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04/08/2026 à 06:53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0 NEUTRE  |  1 VENTE  (sur 47 sociétés)</w:t>
      </w:r>
    </w:p>
    <w:p>
      <w:pPr>
        <w:spacing w:before="20" w:after="20"/>
        <w:ind w:left="360" w:right="360"/>
        <w:shd w:val="clear" w:color="auto" w:fill="EBF5FB"/>
      </w:pPr>
      <w:r>
        <w:rPr>
          <w:b/>
          <w:sz w:val="19"/>
        </w:rPr>
        <w:t xml:space="preserve">Top opportunité :  </w:t>
      </w:r>
      <w:r>
        <w:rPr>
          <w:color w:val="008000"/>
          <w:sz w:val="19"/>
        </w:rPr>
        <w:t>FTSC  (score 78/100)</w:t>
      </w:r>
    </w:p>
    <w:p>
      <w:pPr>
        <w:spacing w:before="20" w:after="20"/>
        <w:ind w:left="360" w:right="360"/>
        <w:shd w:val="clear" w:color="auto" w:fill="EBF5FB"/>
      </w:pPr>
      <w:r>
        <w:rPr>
          <w:b/>
          <w:sz w:val="19"/>
        </w:rPr>
        <w:t xml:space="preserve">Secteur surperformant :  </w:t>
      </w:r>
      <w:r>
        <w:rPr>
          <w:color w:val="008000"/>
          <w:sz w:val="19"/>
        </w:rPr>
        <w:t>SERVICES PUBLICS  (+51.0%)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485.43 points </w:t>
      </w:r>
      <w:r>
        <w:rPr>
          <w:color w:val="008000"/>
        </w:rPr>
        <w:t>(+0.58%)</w:t>
      </w:r>
      <w:r>
        <w:t xml:space="preserve"> sur la séance. </w:t>
      </w:r>
      <w:r>
        <w:t>La capitalisation globale du marché atteint 18 700,366 milliards FCFA.</w:t>
      </w:r>
    </w:p>
    <w:p/>
    <w:p>
      <w:pPr>
        <w:pStyle w:val="Heading3"/>
      </w:pPr>
      <w:r>
        <w:t>📊 Évolution de l'indice BRVM Composite (100 derniers jours)</w:t>
      </w:r>
    </w:p>
    <w:p>
      <w:r>
        <w:rPr>
          <w:b/>
        </w:rPr>
        <w:t xml:space="preserve">BRVM Composite — </w:t>
      </w:r>
      <w:r>
        <w:t xml:space="preserve">Sur les 98 derniers jours de cotation (2026-03-09 au 2026-08-03), l'indice BRVM Composite a évolué de </w:t>
      </w:r>
      <w:r>
        <w:rPr>
          <w:b/>
          <w:color w:val="008000"/>
        </w:rPr>
        <w:t>+17.34%</w:t>
      </w:r>
      <w:r>
        <w:t>, passant de 413.71 pts à 485.43 pts. Le plus haut atteint est 485.43 pts et le plus bas 397.33 pts. Sur l'ensemble de la période, la moyenne de l'indice s'établit à 431.51 pts, la médiane à 421.28 pts et le mode à 403.36 pts</w:t>
      </w:r>
      <w:r>
        <w:t xml:space="preserve"> — l'écart entre moyenne et médiane (10.23 pts) révèle une distribution asymétrique (asymétrie positive — plus de jours sous la moyenne). </w:t>
      </w:r>
      <w:r>
        <w:t xml:space="preserve">L'écart-type de 28.77 pts (CV=6.7%) traduit une faible dispersion des cotations. Le kurtosis de -1.07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+17.24%</w:t>
      </w:r>
      <w:r>
        <w:t xml:space="preserve"> sur la période, passant de 15 950,878 Mds FCFA à 18 700,366 Mds FCFA. Le pic de capitalisation observé est de 18 700,366 Mds FCFA et le plancher de 15 319,235 Mds FCFA. La moyenne de la capitalisation sur la période s'établit à 16 630,494 Mds FCFA, la médiane à 16 240,248 Mds FCFA et le mode à 15 319,235 Mds FCFA</w:t>
      </w:r>
      <w:r>
        <w:t xml:space="preserve"> — l'écart moyenne/médiane (390,246 Mds) signale une distribution asymétrie positive. </w:t>
      </w:r>
      <w:r>
        <w:t>L'écart-type de 1 103,057 Mds FCFA (CV=6.6%) reflète une faible variabilité de la valorisation du marché. Le kurtosis de -1.07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CBIBF - CBIBF - CORIS BANK INTERNATIONAL BURKINA FASO</w:t>
      </w:r>
      <w:r>
        <w:t xml:space="preserve"> | Prix: 28490 FCFA | </w:t>
      </w:r>
      <w:r>
        <w:rPr>
          <w:b/>
          <w:color w:val="008000"/>
        </w:rPr>
        <w:t>ACHAT FORT</w:t>
      </w:r>
      <w:r>
        <w:t xml:space="preserve"> | Confiance: Élevée | Risque: Moyen</w:t>
      </w:r>
    </w:p>
    <w:p>
      <w:pPr>
        <w:pStyle w:val="ListNumber"/>
      </w:pPr>
      <w:r>
        <w:rPr>
          <w:b/>
        </w:rPr>
        <w:t>ONTBF - ONTBF - ONATEL BURKINA FASO</w:t>
      </w:r>
      <w:r>
        <w:t xml:space="preserve"> | Prix: 2990 FCFA | </w:t>
      </w:r>
      <w:r>
        <w:rPr>
          <w:b/>
          <w:color w:val="008000"/>
        </w:rPr>
        <w:t>ACHAT FORT</w:t>
      </w:r>
      <w:r>
        <w:t xml:space="preserve"> | Confiance: Faible | Risque: Faible</w:t>
      </w:r>
    </w:p>
    <w:p>
      <w:pPr>
        <w:pStyle w:val="ListNumber"/>
      </w:pPr>
      <w:r>
        <w:rPr>
          <w:b/>
        </w:rPr>
        <w:t>SEMC - SEMC - EVIOSYS PACKAGING SIEM CI</w:t>
      </w:r>
      <w:r>
        <w:t xml:space="preserve"> | Prix: 1480 FCFA | </w:t>
      </w:r>
      <w:r>
        <w:rPr>
          <w:b/>
          <w:color w:val="008000"/>
        </w:rPr>
        <w:t>ACHAT FORT</w:t>
      </w:r>
      <w:r>
        <w:t xml:space="preserve"> | Confiance: Élevée | Risque: Faible</w:t>
      </w:r>
    </w:p>
    <w:p>
      <w:pPr>
        <w:pStyle w:val="ListNumber"/>
      </w:pPr>
      <w:r>
        <w:rPr>
          <w:b/>
        </w:rPr>
        <w:t>SNTS - SNTS - SONATEL SN</w:t>
      </w:r>
      <w:r>
        <w:t xml:space="preserve"> | Prix: 31000 FCFA | </w:t>
      </w:r>
      <w:r>
        <w:rPr>
          <w:b/>
          <w:color w:val="008000"/>
        </w:rPr>
        <w:t>ACHAT FORT</w:t>
      </w:r>
      <w:r>
        <w:t xml:space="preserve"> | Confiance: Élevée | Risque: Faible</w:t>
      </w:r>
    </w:p>
    <w:p>
      <w:pPr>
        <w:pStyle w:val="ListNumber"/>
      </w:pPr>
      <w:r>
        <w:rPr>
          <w:b/>
        </w:rPr>
        <w:t>ABJC - ABJC - SERVAIR ABIDJAN CI</w:t>
      </w:r>
      <w:r>
        <w:t xml:space="preserve"> | Prix: 2990 FCFA | </w:t>
      </w:r>
      <w:r>
        <w:rPr>
          <w:b/>
          <w:color w:val="008000"/>
        </w:rPr>
        <w:t>ACHAT</w:t>
      </w:r>
      <w:r>
        <w:t xml:space="preserve"> | Confiance: Faible | Risque: Moyen</w:t>
      </w:r>
    </w:p>
    <w:p>
      <w:pPr>
        <w:pStyle w:val="ListNumber"/>
      </w:pPr>
      <w:r>
        <w:rPr>
          <w:b/>
        </w:rPr>
        <w:t>BICB - BIIC BN - Banque internationale pour le commerce du benin</w:t>
      </w:r>
      <w:r>
        <w:t xml:space="preserve"> | Prix: 7690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29015 FCFA | </w:t>
      </w:r>
      <w:r>
        <w:rPr>
          <w:b/>
          <w:color w:val="008000"/>
        </w:rPr>
        <w:t>ACHAT</w:t>
      </w:r>
      <w:r>
        <w:t xml:space="preserve"> | Confiance: Faible | Risque: Moyen</w:t>
      </w:r>
    </w:p>
    <w:p>
      <w:pPr>
        <w:pStyle w:val="ListNumber"/>
      </w:pPr>
      <w:r>
        <w:rPr>
          <w:b/>
        </w:rPr>
        <w:t>BNBC - BNBC - BERNABE CI</w:t>
      </w:r>
      <w:r>
        <w:t xml:space="preserve"> | Prix: 1930 FCFA | </w:t>
      </w:r>
      <w:r>
        <w:rPr>
          <w:b/>
          <w:color w:val="008000"/>
        </w:rPr>
        <w:t>ACHAT</w:t>
      </w:r>
      <w:r>
        <w:t xml:space="preserve"> | Confiance: Moyen | Risque: Moyen</w:t>
      </w:r>
    </w:p>
    <w:p>
      <w:pPr>
        <w:pStyle w:val="ListNumber"/>
      </w:pPr>
      <w:r>
        <w:rPr>
          <w:b/>
        </w:rPr>
        <w:t>BOAB - BANK OF AFRICA BENIN</w:t>
      </w:r>
      <w:r>
        <w:t xml:space="preserve"> | Prix: 8695 FCFA | </w:t>
      </w:r>
      <w:r>
        <w:rPr>
          <w:b/>
          <w:color w:val="008000"/>
        </w:rPr>
        <w:t>ACHAT</w:t>
      </w:r>
      <w:r>
        <w:t xml:space="preserve"> | Confiance: Moyen | Risque: Moyen</w:t>
      </w:r>
    </w:p>
    <w:p>
      <w:pPr>
        <w:pStyle w:val="ListNumber"/>
      </w:pPr>
      <w:r>
        <w:rPr>
          <w:b/>
        </w:rPr>
        <w:t>BOABF - BANK OF AFRICA BURKINA FASO</w:t>
      </w:r>
      <w:r>
        <w:t xml:space="preserve"> | Prix: 7200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STAC - STAC - SETAO COTE D'IVOIRE</w:t>
      </w:r>
      <w:r>
        <w:t xml:space="preserve"> | Prix: 2820 FCFA | </w:t>
      </w:r>
      <w:r>
        <w:rPr>
          <w:b/>
          <w:color w:val="C00000"/>
        </w:rPr>
        <w:t>VENTE FORTE</w:t>
      </w:r>
      <w:r>
        <w:t xml:space="preserve"> | Confiance: Faible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50.96%</w:t>
      </w:r>
      <w:r>
        <w:t xml:space="preserve">  |  </w:t>
      </w:r>
      <w:r>
        <w:rPr>
          <w:b/>
        </w:rPr>
        <w:t xml:space="preserve">vs BRVM Composite: </w:t>
      </w:r>
      <w:r>
        <w:rPr>
          <w:b/>
          <w:color w:val="008000"/>
        </w:rPr>
        <w:t>+33.62%  🟢 Surperformance</w:t>
      </w:r>
      <w:r>
        <w:br/>
      </w:r>
      <w:r>
        <w:rPr>
          <w:b/>
        </w:rPr>
        <w:t xml:space="preserve">Sentiment général: </w:t>
      </w:r>
      <w:r>
        <w:t xml:space="preserve">ACHAT  |  </w:t>
      </w:r>
      <w:r>
        <w:rPr>
          <w:b/>
        </w:rPr>
        <w:t xml:space="preserve">Risque moyen: </w:t>
      </w:r>
      <w:r>
        <w:t xml:space="preserve">Moyen  |  </w:t>
      </w:r>
      <w:r>
        <w:rPr>
          <w:b/>
        </w:rPr>
        <w:t xml:space="preserve">Prix moyen: </w:t>
      </w:r>
      <w:r>
        <w:t>8450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38.82%</w:t>
      </w:r>
      <w:r>
        <w:t xml:space="preserve">  |  </w:t>
      </w:r>
      <w:r>
        <w:rPr>
          <w:b/>
        </w:rPr>
        <w:t xml:space="preserve">vs BRVM Composite: </w:t>
      </w:r>
      <w:r>
        <w:rPr>
          <w:b/>
          <w:color w:val="008000"/>
        </w:rPr>
        <w:t>+21.48%  🟢 Surperformance</w:t>
      </w:r>
      <w:r>
        <w:br/>
      </w:r>
      <w:r>
        <w:rPr>
          <w:b/>
        </w:rPr>
        <w:t xml:space="preserve">Sentiment général: </w:t>
      </w:r>
      <w:r>
        <w:t xml:space="preserve">ACHAT  |  </w:t>
      </w:r>
      <w:r>
        <w:rPr>
          <w:b/>
        </w:rPr>
        <w:t xml:space="preserve">Risque moyen: </w:t>
      </w:r>
      <w:r>
        <w:t xml:space="preserve">Faible  |  </w:t>
      </w:r>
      <w:r>
        <w:rPr>
          <w:b/>
        </w:rPr>
        <w:t xml:space="preserve">Prix moyen: </w:t>
      </w:r>
      <w:r>
        <w:t>12879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21.98%</w:t>
      </w:r>
      <w:r>
        <w:t xml:space="preserve">  |  </w:t>
      </w:r>
      <w:r>
        <w:rPr>
          <w:b/>
        </w:rPr>
        <w:t xml:space="preserve">vs BRVM Composite: </w:t>
      </w:r>
      <w:r>
        <w:rPr>
          <w:b/>
          <w:color w:val="008000"/>
        </w:rPr>
        <w:t>+4.64%  🟢 Surperformance</w:t>
      </w:r>
      <w:r>
        <w:br/>
      </w:r>
      <w:r>
        <w:rPr>
          <w:b/>
        </w:rPr>
        <w:t xml:space="preserve">Sentiment général: </w:t>
      </w:r>
      <w:r>
        <w:t xml:space="preserve">ACHAT  |  </w:t>
      </w:r>
      <w:r>
        <w:rPr>
          <w:b/>
        </w:rPr>
        <w:t xml:space="preserve">Risque moyen: </w:t>
      </w:r>
      <w:r>
        <w:t xml:space="preserve">Moyen  |  </w:t>
      </w:r>
      <w:r>
        <w:rPr>
          <w:b/>
        </w:rPr>
        <w:t xml:space="preserve">Prix moyen: </w:t>
      </w:r>
      <w:r>
        <w:t>18272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9.49%</w:t>
      </w:r>
      <w:r>
        <w:t xml:space="preserve">  |  </w:t>
      </w:r>
      <w:r>
        <w:rPr>
          <w:b/>
        </w:rPr>
        <w:t xml:space="preserve">vs BRVM Composite: </w:t>
      </w:r>
      <w:r>
        <w:rPr>
          <w:b/>
          <w:color w:val="C00000"/>
        </w:rPr>
        <w:t>-7.84%  🔴 Sous-performance</w:t>
      </w:r>
      <w:r>
        <w:br/>
      </w:r>
      <w:r>
        <w:rPr>
          <w:b/>
        </w:rPr>
        <w:t xml:space="preserve">Sentiment général: </w:t>
      </w:r>
      <w:r>
        <w:t xml:space="preserve">ACHAT  |  </w:t>
      </w:r>
      <w:r>
        <w:rPr>
          <w:b/>
        </w:rPr>
        <w:t xml:space="preserve">Risque moyen: </w:t>
      </w:r>
      <w:r>
        <w:t xml:space="preserve">Moyen  |  </w:t>
      </w:r>
      <w:r>
        <w:rPr>
          <w:b/>
        </w:rPr>
        <w:t xml:space="preserve">Prix moyen: </w:t>
      </w:r>
      <w:r>
        <w:t>6118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8.00%</w:t>
      </w:r>
      <w:r>
        <w:t xml:space="preserve">  |  </w:t>
      </w:r>
      <w:r>
        <w:rPr>
          <w:b/>
        </w:rPr>
        <w:t xml:space="preserve">vs BRVM Composite: </w:t>
      </w:r>
      <w:r>
        <w:rPr>
          <w:b/>
          <w:color w:val="C00000"/>
        </w:rPr>
        <w:t>-9.33%  🔴 Sous-performance</w:t>
      </w:r>
      <w:r>
        <w:br/>
      </w:r>
      <w:r>
        <w:rPr>
          <w:b/>
        </w:rPr>
        <w:t xml:space="preserve">Sentiment général: </w:t>
      </w:r>
      <w:r>
        <w:t xml:space="preserve">ACHAT  |  </w:t>
      </w:r>
      <w:r>
        <w:rPr>
          <w:b/>
        </w:rPr>
        <w:t xml:space="preserve">Risque moyen: </w:t>
      </w:r>
      <w:r>
        <w:t xml:space="preserve">Moyen  |  </w:t>
      </w:r>
      <w:r>
        <w:rPr>
          <w:b/>
        </w:rPr>
        <w:t xml:space="preserve">Prix moyen: </w:t>
      </w:r>
      <w:r>
        <w:t>2822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7.30%</w:t>
      </w:r>
      <w:r>
        <w:t xml:space="preserve">  |  </w:t>
      </w:r>
      <w:r>
        <w:rPr>
          <w:b/>
        </w:rPr>
        <w:t xml:space="preserve">vs BRVM Composite: </w:t>
      </w:r>
      <w:r>
        <w:rPr>
          <w:b/>
          <w:color w:val="C00000"/>
        </w:rPr>
        <w:t>-10.04%  🔴 Sous-performance</w:t>
      </w:r>
      <w:r>
        <w:br/>
      </w:r>
      <w:r>
        <w:rPr>
          <w:b/>
        </w:rPr>
        <w:t xml:space="preserve">Sentiment général: </w:t>
      </w:r>
      <w:r>
        <w:t xml:space="preserve">ACHAT FORT  |  </w:t>
      </w:r>
      <w:r>
        <w:rPr>
          <w:b/>
        </w:rPr>
        <w:t xml:space="preserve">Risque moyen: </w:t>
      </w:r>
      <w:r>
        <w:t xml:space="preserve">Faible  |  </w:t>
      </w:r>
      <w:r>
        <w:rPr>
          <w:b/>
        </w:rPr>
        <w:t xml:space="preserve">Prix moyen: </w:t>
      </w:r>
      <w:r>
        <w:t>16997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2.26%</w:t>
      </w:r>
      <w:r>
        <w:t xml:space="preserve">  |  </w:t>
      </w:r>
      <w:r>
        <w:rPr>
          <w:b/>
        </w:rPr>
        <w:t xml:space="preserve">vs BRVM Composite: </w:t>
      </w:r>
      <w:r>
        <w:rPr>
          <w:b/>
          <w:color w:val="C00000"/>
        </w:rPr>
        <w:t>-15.08%  🔴 Sous-performance</w:t>
      </w:r>
      <w:r>
        <w:br/>
      </w:r>
      <w:r>
        <w:rPr>
          <w:b/>
        </w:rPr>
        <w:t xml:space="preserve">Sentiment général: </w:t>
      </w:r>
      <w:r>
        <w:t xml:space="preserve">ACHAT  |  </w:t>
      </w:r>
      <w:r>
        <w:rPr>
          <w:b/>
        </w:rPr>
        <w:t xml:space="preserve">Risque moyen: </w:t>
      </w:r>
      <w:r>
        <w:t xml:space="preserve">Moyen  |  </w:t>
      </w:r>
      <w:r>
        <w:rPr>
          <w:b/>
        </w:rPr>
        <w:t xml:space="preserve">Prix moyen: </w:t>
      </w:r>
      <w:r>
        <w:t>2468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BOAS, CIEC, FTSC, NEIC, PALC, SAFC, SIVC, SLBC, SNTS, SOGC, TTLC, TTLS,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BOAB, BOAC, BOAM, BOAN, CBIBF, ECOC, ETIT, LNBB, ORAC, PRSC, SCRC, SEMC, SHEC, SIBC, SMBC, SPHC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BOABF, CABC, CFAC, NSBC, NTLC, ONTBF, ORGT, SDCC, SDSC, SGBC, SICC, STBC, UNXC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STAC</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2658393</w:t>
            </w:r>
          </w:p>
        </w:tc>
        <w:tc>
          <w:tcPr>
            <w:tcW w:type="dxa" w:w="1728"/>
          </w:tcPr>
          <w:p>
            <w:r>
              <w:t>178203459 FCFA</w:t>
            </w:r>
          </w:p>
        </w:tc>
        <w:tc>
          <w:tcPr>
            <w:tcW w:type="dxa" w:w="1728"/>
          </w:tcPr>
          <w:p>
            <w:r>
              <w:t>115.62%</w:t>
            </w:r>
          </w:p>
        </w:tc>
        <w:tc>
          <w:tcPr>
            <w:tcW w:type="dxa" w:w="1728"/>
          </w:tcPr>
          <w:p>
            <w:r>
              <w:t>ACHAT</w:t>
            </w:r>
          </w:p>
        </w:tc>
      </w:tr>
      <w:tr>
        <w:tc>
          <w:tcPr>
            <w:tcW w:type="dxa" w:w="1728"/>
          </w:tcPr>
          <w:p>
            <w:r>
              <w:t>UNXC (UNXC - UNIWAX COTE D'IVOIRE)</w:t>
            </w:r>
          </w:p>
        </w:tc>
        <w:tc>
          <w:tcPr>
            <w:tcW w:type="dxa" w:w="1728"/>
          </w:tcPr>
          <w:p>
            <w:r>
              <w:t>17175</w:t>
            </w:r>
          </w:p>
        </w:tc>
        <w:tc>
          <w:tcPr>
            <w:tcW w:type="dxa" w:w="1728"/>
          </w:tcPr>
          <w:p>
            <w:r>
              <w:t>27753917 FCFA</w:t>
            </w:r>
          </w:p>
        </w:tc>
        <w:tc>
          <w:tcPr>
            <w:tcW w:type="dxa" w:w="1728"/>
          </w:tcPr>
          <w:p>
            <w:r>
              <w:t>-11.21%</w:t>
            </w:r>
          </w:p>
        </w:tc>
        <w:tc>
          <w:tcPr>
            <w:tcW w:type="dxa" w:w="1728"/>
          </w:tcPr>
          <w:p>
            <w:r>
              <w:t>ACHAT</w:t>
            </w:r>
          </w:p>
        </w:tc>
      </w:tr>
      <w:tr>
        <w:tc>
          <w:tcPr>
            <w:tcW w:type="dxa" w:w="1728"/>
          </w:tcPr>
          <w:p>
            <w:r>
              <w:t>SDSC (SDSC - AFRICA GLOBAL LOGISTICS CI)</w:t>
            </w:r>
          </w:p>
        </w:tc>
        <w:tc>
          <w:tcPr>
            <w:tcW w:type="dxa" w:w="1728"/>
          </w:tcPr>
          <w:p>
            <w:r>
              <w:t>14189</w:t>
            </w:r>
          </w:p>
        </w:tc>
        <w:tc>
          <w:tcPr>
            <w:tcW w:type="dxa" w:w="1728"/>
          </w:tcPr>
          <w:p>
            <w:r>
              <w:t>36236903 FCFA</w:t>
            </w:r>
          </w:p>
        </w:tc>
        <w:tc>
          <w:tcPr>
            <w:tcW w:type="dxa" w:w="1728"/>
          </w:tcPr>
          <w:p>
            <w:r>
              <w:t>41.03%</w:t>
            </w:r>
          </w:p>
        </w:tc>
        <w:tc>
          <w:tcPr>
            <w:tcW w:type="dxa" w:w="1728"/>
          </w:tcPr>
          <w:p>
            <w:r>
              <w:t>ACHAT</w:t>
            </w:r>
          </w:p>
        </w:tc>
      </w:tr>
      <w:tr>
        <w:tc>
          <w:tcPr>
            <w:tcW w:type="dxa" w:w="1728"/>
          </w:tcPr>
          <w:p>
            <w:r>
              <w:t>BOAN (BANK OF AFRICA NIGER)</w:t>
            </w:r>
          </w:p>
        </w:tc>
        <w:tc>
          <w:tcPr>
            <w:tcW w:type="dxa" w:w="1728"/>
          </w:tcPr>
          <w:p>
            <w:r>
              <w:t>10761</w:t>
            </w:r>
          </w:p>
        </w:tc>
        <w:tc>
          <w:tcPr>
            <w:tcW w:type="dxa" w:w="1728"/>
          </w:tcPr>
          <w:p>
            <w:r>
              <w:t>50847247 FCFA</w:t>
            </w:r>
          </w:p>
        </w:tc>
        <w:tc>
          <w:tcPr>
            <w:tcW w:type="dxa" w:w="1728"/>
          </w:tcPr>
          <w:p>
            <w:r>
              <w:t>92.59%</w:t>
            </w:r>
          </w:p>
        </w:tc>
        <w:tc>
          <w:tcPr>
            <w:tcW w:type="dxa" w:w="1728"/>
          </w:tcPr>
          <w:p>
            <w:r>
              <w:t>ACHAT</w:t>
            </w:r>
          </w:p>
        </w:tc>
      </w:tr>
      <w:tr>
        <w:tc>
          <w:tcPr>
            <w:tcW w:type="dxa" w:w="1728"/>
          </w:tcPr>
          <w:p>
            <w:r>
              <w:t>BOAS (BANK OF AFRICA SENEGAL)</w:t>
            </w:r>
          </w:p>
        </w:tc>
        <w:tc>
          <w:tcPr>
            <w:tcW w:type="dxa" w:w="1728"/>
          </w:tcPr>
          <w:p>
            <w:r>
              <w:t>9942</w:t>
            </w:r>
          </w:p>
        </w:tc>
        <w:tc>
          <w:tcPr>
            <w:tcW w:type="dxa" w:w="1728"/>
          </w:tcPr>
          <w:p>
            <w:r>
              <w:t>73561565 FCFA</w:t>
            </w:r>
          </w:p>
        </w:tc>
        <w:tc>
          <w:tcPr>
            <w:tcW w:type="dxa" w:w="1728"/>
          </w:tcPr>
          <w:p>
            <w:r>
              <w:t>13.85%</w:t>
            </w:r>
          </w:p>
        </w:tc>
        <w:tc>
          <w:tcPr>
            <w:tcW w:type="dxa" w:w="1728"/>
          </w:tcPr>
          <w:p>
            <w:r>
              <w:t>ACHAT</w:t>
            </w:r>
          </w:p>
        </w:tc>
      </w:tr>
      <w:tr>
        <w:tc>
          <w:tcPr>
            <w:tcW w:type="dxa" w:w="1728"/>
          </w:tcPr>
          <w:p>
            <w:r>
              <w:t>SNTS (SNTS - SONATEL SN)</w:t>
            </w:r>
          </w:p>
        </w:tc>
        <w:tc>
          <w:tcPr>
            <w:tcW w:type="dxa" w:w="1728"/>
          </w:tcPr>
          <w:p>
            <w:r>
              <w:t>9487</w:t>
            </w:r>
          </w:p>
        </w:tc>
        <w:tc>
          <w:tcPr>
            <w:tcW w:type="dxa" w:w="1728"/>
          </w:tcPr>
          <w:p>
            <w:r>
              <w:t>296650385 FCFA</w:t>
            </w:r>
          </w:p>
        </w:tc>
        <w:tc>
          <w:tcPr>
            <w:tcW w:type="dxa" w:w="1728"/>
          </w:tcPr>
          <w:p>
            <w:r>
              <w:t>8.01%</w:t>
            </w:r>
          </w:p>
        </w:tc>
        <w:tc>
          <w:tcPr>
            <w:tcW w:type="dxa" w:w="1728"/>
          </w:tcPr>
          <w:p>
            <w:r>
              <w:t>ACHAT FORT</w:t>
            </w:r>
          </w:p>
        </w:tc>
      </w:tr>
      <w:tr>
        <w:tc>
          <w:tcPr>
            <w:tcW w:type="dxa" w:w="1728"/>
          </w:tcPr>
          <w:p>
            <w:r>
              <w:t>SIBC (SIBC - SOCIETE IVOIRIENNE DE BANQUE)</w:t>
            </w:r>
          </w:p>
        </w:tc>
        <w:tc>
          <w:tcPr>
            <w:tcW w:type="dxa" w:w="1728"/>
          </w:tcPr>
          <w:p>
            <w:r>
              <w:t>9443</w:t>
            </w:r>
          </w:p>
        </w:tc>
        <w:tc>
          <w:tcPr>
            <w:tcW w:type="dxa" w:w="1728"/>
          </w:tcPr>
          <w:p>
            <w:r>
              <w:t>83731928 FCFA</w:t>
            </w:r>
          </w:p>
        </w:tc>
        <w:tc>
          <w:tcPr>
            <w:tcW w:type="dxa" w:w="1728"/>
          </w:tcPr>
          <w:p>
            <w:r>
              <w:t>27.54%</w:t>
            </w:r>
          </w:p>
        </w:tc>
        <w:tc>
          <w:tcPr>
            <w:tcW w:type="dxa" w:w="1728"/>
          </w:tcPr>
          <w:p>
            <w:r>
              <w:t>ACHAT</w:t>
            </w:r>
          </w:p>
        </w:tc>
      </w:tr>
      <w:tr>
        <w:tc>
          <w:tcPr>
            <w:tcW w:type="dxa" w:w="1728"/>
          </w:tcPr>
          <w:p>
            <w:r>
              <w:t>BICB (BIIC BN - Banque internationale pour le commerce du benin)</w:t>
            </w:r>
          </w:p>
        </w:tc>
        <w:tc>
          <w:tcPr>
            <w:tcW w:type="dxa" w:w="1728"/>
          </w:tcPr>
          <w:p>
            <w:r>
              <w:t>8782</w:t>
            </w:r>
          </w:p>
        </w:tc>
        <w:tc>
          <w:tcPr>
            <w:tcW w:type="dxa" w:w="1728"/>
          </w:tcPr>
          <w:p>
            <w:r>
              <w:t>61648629 FCFA</w:t>
            </w:r>
          </w:p>
        </w:tc>
        <w:tc>
          <w:tcPr>
            <w:tcW w:type="dxa" w:w="1728"/>
          </w:tcPr>
          <w:p>
            <w:r>
              <w:t>46.48%</w:t>
            </w:r>
          </w:p>
        </w:tc>
        <w:tc>
          <w:tcPr>
            <w:tcW w:type="dxa" w:w="1728"/>
          </w:tcPr>
          <w:p>
            <w:r>
              <w:t>ACHAT</w:t>
            </w:r>
          </w:p>
        </w:tc>
      </w:tr>
      <w:tr>
        <w:tc>
          <w:tcPr>
            <w:tcW w:type="dxa" w:w="1728"/>
          </w:tcPr>
          <w:p>
            <w:r>
              <w:t>ONTBF (ONTBF - ONATEL BURKINA FASO)</w:t>
            </w:r>
          </w:p>
        </w:tc>
        <w:tc>
          <w:tcPr>
            <w:tcW w:type="dxa" w:w="1728"/>
          </w:tcPr>
          <w:p>
            <w:r>
              <w:t>8681</w:t>
            </w:r>
          </w:p>
        </w:tc>
        <w:tc>
          <w:tcPr>
            <w:tcW w:type="dxa" w:w="1728"/>
          </w:tcPr>
          <w:p>
            <w:r>
              <w:t>23728650 FCFA</w:t>
            </w:r>
          </w:p>
        </w:tc>
        <w:tc>
          <w:tcPr>
            <w:tcW w:type="dxa" w:w="1728"/>
          </w:tcPr>
          <w:p>
            <w:r>
              <w:t>4.91%</w:t>
            </w:r>
          </w:p>
        </w:tc>
        <w:tc>
          <w:tcPr>
            <w:tcW w:type="dxa" w:w="1728"/>
          </w:tcPr>
          <w:p>
            <w:r>
              <w:t>ACHAT FORT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3456</w:t>
            </w:r>
          </w:p>
        </w:tc>
        <w:tc>
          <w:tcPr>
            <w:tcW w:type="dxa" w:w="1728"/>
          </w:tcPr>
          <w:p>
            <w:r>
              <w:t>10479707 FCFA</w:t>
            </w:r>
          </w:p>
        </w:tc>
        <w:tc>
          <w:tcPr>
            <w:tcW w:type="dxa" w:w="1728"/>
          </w:tcPr>
          <w:p>
            <w:r>
              <w:t>-9.39%</w:t>
            </w:r>
          </w:p>
        </w:tc>
        <w:tc>
          <w:tcPr>
            <w:tcW w:type="dxa" w:w="1728"/>
          </w:tcPr>
          <w:p>
            <w:r>
              <w:t>ACHAT</w:t>
            </w:r>
          </w:p>
        </w:tc>
      </w:tr>
      <w:tr>
        <w:tc>
          <w:tcPr>
            <w:tcW w:type="dxa" w:w="1728"/>
          </w:tcPr>
          <w:p>
            <w:r>
              <w:t>SOGC (SOGC - Société des caoutchoucs de Grand-Béréby)</w:t>
            </w:r>
          </w:p>
        </w:tc>
        <w:tc>
          <w:tcPr>
            <w:tcW w:type="dxa" w:w="1728"/>
          </w:tcPr>
          <w:p>
            <w:r>
              <w:t>3409</w:t>
            </w:r>
          </w:p>
        </w:tc>
        <w:tc>
          <w:tcPr>
            <w:tcW w:type="dxa" w:w="1728"/>
          </w:tcPr>
          <w:p>
            <w:r>
              <w:t>27989890 FCFA</w:t>
            </w:r>
          </w:p>
        </w:tc>
        <w:tc>
          <w:tcPr>
            <w:tcW w:type="dxa" w:w="1728"/>
          </w:tcPr>
          <w:p>
            <w:r>
              <w:t>-3.56%</w:t>
            </w:r>
          </w:p>
        </w:tc>
        <w:tc>
          <w:tcPr>
            <w:tcW w:type="dxa" w:w="1728"/>
          </w:tcPr>
          <w:p>
            <w:r>
              <w:t>ACHAT</w:t>
            </w:r>
          </w:p>
        </w:tc>
      </w:tr>
      <w:tr>
        <w:tc>
          <w:tcPr>
            <w:tcW w:type="dxa" w:w="1728"/>
          </w:tcPr>
          <w:p>
            <w:r>
              <w:t>SGBC (SGBC - SOCIETE GENERALE COTE D'IVOIRE)</w:t>
            </w:r>
          </w:p>
        </w:tc>
        <w:tc>
          <w:tcPr>
            <w:tcW w:type="dxa" w:w="1728"/>
          </w:tcPr>
          <w:p>
            <w:r>
              <w:t>3377</w:t>
            </w:r>
          </w:p>
        </w:tc>
        <w:tc>
          <w:tcPr>
            <w:tcW w:type="dxa" w:w="1728"/>
          </w:tcPr>
          <w:p>
            <w:r>
              <w:t>129008566 FCFA</w:t>
            </w:r>
          </w:p>
        </w:tc>
        <w:tc>
          <w:tcPr>
            <w:tcW w:type="dxa" w:w="1728"/>
          </w:tcPr>
          <w:p>
            <w:r>
              <w:t>8.56%</w:t>
            </w:r>
          </w:p>
        </w:tc>
        <w:tc>
          <w:tcPr>
            <w:tcW w:type="dxa" w:w="1728"/>
          </w:tcPr>
          <w:p>
            <w:r>
              <w:t>ACHAT</w:t>
            </w:r>
          </w:p>
        </w:tc>
      </w:tr>
      <w:tr>
        <w:tc>
          <w:tcPr>
            <w:tcW w:type="dxa" w:w="1728"/>
          </w:tcPr>
          <w:p>
            <w:r>
              <w:t>STBC (STBC - SITAB COTE D'IVOIRE)</w:t>
            </w:r>
          </w:p>
        </w:tc>
        <w:tc>
          <w:tcPr>
            <w:tcW w:type="dxa" w:w="1728"/>
          </w:tcPr>
          <w:p>
            <w:r>
              <w:t>3248</w:t>
            </w:r>
          </w:p>
        </w:tc>
        <w:tc>
          <w:tcPr>
            <w:tcW w:type="dxa" w:w="1728"/>
          </w:tcPr>
          <w:p>
            <w:r>
              <w:t>76495142 FCFA</w:t>
            </w:r>
          </w:p>
        </w:tc>
        <w:tc>
          <w:tcPr>
            <w:tcW w:type="dxa" w:w="1728"/>
          </w:tcPr>
          <w:p>
            <w:r>
              <w:t>11.82%</w:t>
            </w:r>
          </w:p>
        </w:tc>
        <w:tc>
          <w:tcPr>
            <w:tcW w:type="dxa" w:w="1728"/>
          </w:tcPr>
          <w:p>
            <w:r>
              <w:t>ACHAT</w:t>
            </w:r>
          </w:p>
        </w:tc>
      </w:tr>
      <w:tr>
        <w:tc>
          <w:tcPr>
            <w:tcW w:type="dxa" w:w="1728"/>
          </w:tcPr>
          <w:p>
            <w:r>
              <w:t>CABC (CABC - SICABLE COTE D'IVOIRE)</w:t>
            </w:r>
          </w:p>
        </w:tc>
        <w:tc>
          <w:tcPr>
            <w:tcW w:type="dxa" w:w="1728"/>
          </w:tcPr>
          <w:p>
            <w:r>
              <w:t>3072</w:t>
            </w:r>
          </w:p>
        </w:tc>
        <w:tc>
          <w:tcPr>
            <w:tcW w:type="dxa" w:w="1728"/>
          </w:tcPr>
          <w:p>
            <w:r>
              <w:t>11489584 FCFA</w:t>
            </w:r>
          </w:p>
        </w:tc>
        <w:tc>
          <w:tcPr>
            <w:tcW w:type="dxa" w:w="1728"/>
          </w:tcPr>
          <w:p>
            <w:r>
              <w:t>-6.54%</w:t>
            </w:r>
          </w:p>
        </w:tc>
        <w:tc>
          <w:tcPr>
            <w:tcW w:type="dxa" w:w="1728"/>
          </w:tcPr>
          <w:p>
            <w:r>
              <w:t>ACHAT</w:t>
            </w:r>
          </w:p>
        </w:tc>
      </w:tr>
      <w:tr>
        <w:tc>
          <w:tcPr>
            <w:tcW w:type="dxa" w:w="1728"/>
          </w:tcPr>
          <w:p>
            <w:r>
              <w:t>LNBB (LNBB - LOTERIE NATIONALE DU BENIN)</w:t>
            </w:r>
          </w:p>
        </w:tc>
        <w:tc>
          <w:tcPr>
            <w:tcW w:type="dxa" w:w="1728"/>
          </w:tcPr>
          <w:p>
            <w:r>
              <w:t>2878</w:t>
            </w:r>
          </w:p>
        </w:tc>
        <w:tc>
          <w:tcPr>
            <w:tcW w:type="dxa" w:w="1728"/>
          </w:tcPr>
          <w:p>
            <w:r>
              <w:t>12460750 FCFA</w:t>
            </w:r>
          </w:p>
        </w:tc>
        <w:tc>
          <w:tcPr>
            <w:tcW w:type="dxa" w:w="1728"/>
          </w:tcPr>
          <w:p>
            <w:r>
              <w:t>17.07%</w:t>
            </w:r>
          </w:p>
        </w:tc>
        <w:tc>
          <w:tcPr>
            <w:tcW w:type="dxa" w:w="1728"/>
          </w:tcPr>
          <w:p>
            <w:r>
              <w:t>ACHAT</w:t>
            </w:r>
          </w:p>
        </w:tc>
      </w:tr>
      <w:tr>
        <w:tc>
          <w:tcPr>
            <w:tcW w:type="dxa" w:w="1728"/>
          </w:tcPr>
          <w:p>
            <w:r>
              <w:t>SLBC (SLBC - SOLIBRA COTE D'IVOIRE)</w:t>
            </w:r>
          </w:p>
        </w:tc>
        <w:tc>
          <w:tcPr>
            <w:tcW w:type="dxa" w:w="1728"/>
          </w:tcPr>
          <w:p>
            <w:r>
              <w:t>2666</w:t>
            </w:r>
          </w:p>
        </w:tc>
        <w:tc>
          <w:tcPr>
            <w:tcW w:type="dxa" w:w="1728"/>
          </w:tcPr>
          <w:p>
            <w:r>
              <w:t>105152167 FCFA</w:t>
            </w:r>
          </w:p>
        </w:tc>
        <w:tc>
          <w:tcPr>
            <w:tcW w:type="dxa" w:w="1728"/>
          </w:tcPr>
          <w:p>
            <w:r>
              <w:t>-2.08%</w:t>
            </w:r>
          </w:p>
        </w:tc>
        <w:tc>
          <w:tcPr>
            <w:tcW w:type="dxa" w:w="1728"/>
          </w:tcPr>
          <w:p>
            <w:r>
              <w:t>ACHAT</w:t>
            </w:r>
          </w:p>
        </w:tc>
      </w:tr>
      <w:tr>
        <w:tc>
          <w:tcPr>
            <w:tcW w:type="dxa" w:w="1728"/>
          </w:tcPr>
          <w:p>
            <w:r>
              <w:t>NEIC (NEIC - NEI-CEDA CI)</w:t>
            </w:r>
          </w:p>
        </w:tc>
        <w:tc>
          <w:tcPr>
            <w:tcW w:type="dxa" w:w="1728"/>
          </w:tcPr>
          <w:p>
            <w:r>
              <w:t>2086</w:t>
            </w:r>
          </w:p>
        </w:tc>
        <w:tc>
          <w:tcPr>
            <w:tcW w:type="dxa" w:w="1728"/>
          </w:tcPr>
          <w:p>
            <w:r>
              <w:t>4563373 FCFA</w:t>
            </w:r>
          </w:p>
        </w:tc>
        <w:tc>
          <w:tcPr>
            <w:tcW w:type="dxa" w:w="1728"/>
          </w:tcPr>
          <w:p>
            <w:r>
              <w:t>64.03%</w:t>
            </w:r>
          </w:p>
        </w:tc>
        <w:tc>
          <w:tcPr>
            <w:tcW w:type="dxa" w:w="1728"/>
          </w:tcPr>
          <w:p>
            <w:r>
              <w:t>ACHAT</w:t>
            </w:r>
          </w:p>
        </w:tc>
      </w:tr>
      <w:tr>
        <w:tc>
          <w:tcPr>
            <w:tcW w:type="dxa" w:w="1728"/>
          </w:tcPr>
          <w:p>
            <w:r>
              <w:t>SMBC (SMBC - Société Multinationale de Bitumes COTE D'IVOIRE)</w:t>
            </w:r>
          </w:p>
        </w:tc>
        <w:tc>
          <w:tcPr>
            <w:tcW w:type="dxa" w:w="1728"/>
          </w:tcPr>
          <w:p>
            <w:r>
              <w:t>1997</w:t>
            </w:r>
          </w:p>
        </w:tc>
        <w:tc>
          <w:tcPr>
            <w:tcW w:type="dxa" w:w="1728"/>
          </w:tcPr>
          <w:p>
            <w:r>
              <w:t>32723433 FCFA</w:t>
            </w:r>
          </w:p>
        </w:tc>
        <w:tc>
          <w:tcPr>
            <w:tcW w:type="dxa" w:w="1728"/>
          </w:tcPr>
          <w:p>
            <w:r>
              <w:t>15.67%</w:t>
            </w:r>
          </w:p>
        </w:tc>
        <w:tc>
          <w:tcPr>
            <w:tcW w:type="dxa" w:w="1728"/>
          </w:tcPr>
          <w:p>
            <w:r>
              <w:t>ACHAT</w:t>
            </w:r>
          </w:p>
        </w:tc>
      </w:tr>
      <w:tr>
        <w:tc>
          <w:tcPr>
            <w:tcW w:type="dxa" w:w="1728"/>
          </w:tcPr>
          <w:p>
            <w:r>
              <w:t>SPHC (SPHC - Société Africaine de Plantation d'Hévéas de Côte d'Ivoire)</w:t>
            </w:r>
          </w:p>
        </w:tc>
        <w:tc>
          <w:tcPr>
            <w:tcW w:type="dxa" w:w="1728"/>
          </w:tcPr>
          <w:p>
            <w:r>
              <w:t>1893</w:t>
            </w:r>
          </w:p>
        </w:tc>
        <w:tc>
          <w:tcPr>
            <w:tcW w:type="dxa" w:w="1728"/>
          </w:tcPr>
          <w:p>
            <w:r>
              <w:t>14120437 FCFA</w:t>
            </w:r>
          </w:p>
        </w:tc>
        <w:tc>
          <w:tcPr>
            <w:tcW w:type="dxa" w:w="1728"/>
          </w:tcPr>
          <w:p>
            <w:r>
              <w:t>-8.87%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ONTBF - ONTBF - ONATEL BURKINA FASO</w:t>
      </w:r>
    </w:p>
    <w:p>
      <w:r>
        <w:rPr>
          <w:b/>
        </w:rPr>
        <w:t xml:space="preserve">Score de divergence: </w:t>
      </w:r>
      <w:r>
        <w:t>6/8</w:t>
        <w:br/>
      </w:r>
      <w:r>
        <w:rPr>
          <w:b/>
        </w:rPr>
        <w:t xml:space="preserve">Description: </w:t>
      </w:r>
      <w:r>
        <w:t>Signaux d'achat: MACD | Signaux de vente: MM, Bollinger, RSI, Stochastique | Recommandation finale: ACHAT FORT</w:t>
        <w:br/>
      </w:r>
    </w:p>
    <w:p/>
    <w:p>
      <w:pPr>
        <w:pStyle w:val="Heading3"/>
      </w:pPr>
      <w:r>
        <w:t>2.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3.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SGBC - SGBC - SOCIETE GENERALE COTE D'IVOIRE</w:t>
      </w:r>
    </w:p>
    <w:p>
      <w:r>
        <w:rPr>
          <w:b/>
        </w:rPr>
        <w:t xml:space="preserve">Score de divergence: </w:t>
      </w:r>
      <w:r>
        <w:t>5/8</w:t>
        <w:br/>
      </w:r>
      <w:r>
        <w:rPr>
          <w:b/>
        </w:rPr>
        <w:t xml:space="preserve">Description: </w:t>
      </w:r>
      <w:r>
        <w:t>Signaux de vente: MM, MACD | Recommandation finale: ACHAT</w:t>
        <w:br/>
      </w:r>
    </w:p>
    <w:p/>
    <w:p>
      <w:pPr>
        <w:pStyle w:val="Heading3"/>
      </w:pPr>
      <w:r>
        <w:t>5. ABJC - ABJC - SERVAIR ABIDJAN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CFAC - CFAC - CFAO MOTORS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NSBC - NSBC - NSIA BANQUE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ORGT - ORGT - ORAGROUP TOGO</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SHEC (SHEC - VIVO ENERGY COTE D'IVOIRE)</w:t>
      </w:r>
    </w:p>
    <w:p>
      <w:pPr>
        <w:pStyle w:val="ListBullet"/>
      </w:pPr>
      <w:r>
        <w:t>• SICC (SICC - SICOR COTE D'IVOIRE)</w:t>
      </w:r>
    </w:p>
    <w:p>
      <w:pPr>
        <w:pStyle w:val="ListBullet"/>
      </w:pPr>
      <w:r>
        <w:t>• SIVC (SIVC - ERIUM CI (Ex AIR LIQUIDECI))</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 retour de la pression vendeuse sur les matières premières (2026-07-31) et la forte chute des prix du pétrole (2026-07-29) signalent un ralentissement de la demande mondiale et une aversion au risque accrue. Les capitaux se dirigent vers les valeurs refuges, tandis que Wall Street traverse une période d'instabilité en attendant le rapport sur l'emploi américain (2026-07-31).</w:t>
      </w:r>
    </w:p>
    <w:p>
      <w:pPr>
        <w:pStyle w:val="Heading3"/>
      </w:pPr>
      <w:r>
        <w:rPr>
          <w:color w:val="500050"/>
        </w:rPr>
        <w:t>⚡ Impact estimé sur la BRVM</w:t>
      </w:r>
    </w:p>
    <w:p>
      <w:pPr>
        <w:spacing w:before="20" w:after="40"/>
        <w:ind w:left="280"/>
      </w:pPr>
      <w:r>
        <w:rPr>
          <w:i/>
          <w:sz w:val="18"/>
        </w:rPr>
        <w:t>La baisse des prix du pétrole est globalement positive pour les économies importatrices de la zone UEMOA, réduisant les coûts énergétiques pour les entreprises industrielles comme **SIVC** et **FTSC**. Cependant, l'aversion au risque mondiale pourrait freiner l'appétit des investisseurs étrangers pour les marchés émergents, limitant les flux entrants vers la BRVM.</w:t>
      </w:r>
    </w:p>
    <w:p>
      <w:pPr>
        <w:pStyle w:val="Heading2"/>
      </w:pPr>
      <w:r>
        <w:rPr>
          <w:color w:val="006E32"/>
        </w:rPr>
        <w:t>🌍 Plan Africain</w:t>
      </w:r>
    </w:p>
    <w:p>
      <w:pPr>
        <w:spacing w:before="20" w:after="40"/>
        <w:ind w:left="0"/>
      </w:pPr>
      <w:r>
        <w:rPr>
          <w:sz w:val="18"/>
        </w:rPr>
        <w:t>L'investissement dans l'économie des soins est présenté comme un levier de croissance stratégique au Sénégal (2026-07-28), et l'OMS recommande l'investissement privé dans la santé en Mauritanie (2026-07-16). Par ailleurs, Senelec a émis 108 milliards de FCFA de dette verte à la Bourse de Luxembourg (2026-07-18), illustrant l'accès des entreprises africaines aux marchés internationaux.</w:t>
      </w:r>
    </w:p>
    <w:p>
      <w:pPr>
        <w:pStyle w:val="Heading3"/>
      </w:pPr>
      <w:r>
        <w:rPr>
          <w:color w:val="500050"/>
        </w:rPr>
        <w:t>⚡ Impact estimé sur la BRVM</w:t>
      </w:r>
    </w:p>
    <w:p>
      <w:pPr>
        <w:spacing w:before="20" w:after="40"/>
        <w:ind w:left="280"/>
      </w:pPr>
      <w:r>
        <w:rPr>
          <w:i/>
          <w:sz w:val="18"/>
        </w:rPr>
        <w:t>Ces initiatives dans la santé et les infrastructures pourraient indirectement bénéficier aux sociétés de services et de consommation. Le succès de l'émission de Senelec démontre la capacité des acteurs régionaux à lever des fonds, mais détourne potentiellement des capitaux qui auraient pu être investis en actions BRVM.</w:t>
      </w:r>
    </w:p>
    <w:p>
      <w:pPr>
        <w:pStyle w:val="Heading2"/>
      </w:pPr>
      <w:r>
        <w:rPr>
          <w:color w:val="145A28"/>
        </w:rPr>
        <w:t>🌍 Plan Afrique de l'Ouest</w:t>
      </w:r>
    </w:p>
    <w:p>
      <w:pPr>
        <w:spacing w:before="20" w:after="40"/>
        <w:ind w:left="0"/>
      </w:pPr>
      <w:r>
        <w:rPr>
          <w:sz w:val="18"/>
        </w:rPr>
        <w:t>Le Forum de la CEDEAO sur l'eau se tiendra à Abidjan en septembre prochain (2026-08-03), un événement économique majeur pour la région. Le Programme d'Appui au Développement de l'Afrique de l'Ouest (PDAO) 2026 est lié à la Banque d'Investissement et de Développement (2026-08-03). La Guinée a par ailleurs décidé de maintenir son franc national plutôt que d'adopter l'éco (2026-08-02).</w:t>
      </w:r>
    </w:p>
    <w:p>
      <w:pPr>
        <w:pStyle w:val="Heading3"/>
      </w:pPr>
      <w:r>
        <w:rPr>
          <w:color w:val="500050"/>
        </w:rPr>
        <w:t>⚡ Impact estimé sur la BRVM</w:t>
      </w:r>
    </w:p>
    <w:p>
      <w:pPr>
        <w:spacing w:before="20" w:after="40"/>
        <w:ind w:left="280"/>
      </w:pPr>
      <w:r>
        <w:rPr>
          <w:i/>
          <w:sz w:val="18"/>
        </w:rPr>
        <w:t>L'organisation du Forum à Abidjan renforce le positionnement de la Côte d'Ivoire comme hub régional, bénéfique pour l'ensemble des sociétés cotées. Le refus guinéen d'adopter l'éco n'a pas d'impact direct sur la BRVM, la Guinée n'étant pas membre de l'UEMOA.</w:t>
      </w:r>
    </w:p>
    <w:p>
      <w:pPr>
        <w:pStyle w:val="Heading2"/>
      </w:pPr>
      <w:r>
        <w:rPr>
          <w:color w:val="8C4600"/>
        </w:rPr>
        <w:t>🏦 Plan UEMOA / Zone Franc</w:t>
      </w:r>
    </w:p>
    <w:p>
      <w:pPr>
        <w:spacing w:before="20" w:after="40"/>
        <w:ind w:left="0"/>
      </w:pPr>
      <w:r>
        <w:rPr>
          <w:sz w:val="18"/>
        </w:rPr>
        <w:t>Données insuffisantes concernant les décisions BCEAO, l'inflation ou la liquidité bancaire dans les actualités fournies. Aucune information spécifique sur les prix du cacao ou du caoutchouc n'est disponible.</w:t>
      </w:r>
    </w:p>
    <w:p>
      <w:pPr>
        <w:pStyle w:val="Heading3"/>
      </w:pPr>
      <w:r>
        <w:rPr>
          <w:color w:val="500050"/>
        </w:rPr>
        <w:t>⚡ Impact estimé sur la BRVM</w:t>
      </w:r>
    </w:p>
    <w:p>
      <w:pPr>
        <w:spacing w:before="20" w:after="40"/>
        <w:ind w:left="280"/>
      </w:pPr>
      <w:r>
        <w:rPr>
          <w:i/>
          <w:sz w:val="18"/>
        </w:rPr>
        <w:t>Données insuffisantes pour évaluer l'impact direct sur les secteurs bancaires (**BOAC**, **BOAS**, **BICB**), l'agro-industrie (**PALC**, **SOGC**) ou l'énergie (**TTLS**, **TTLC**, **SHEC**).</w:t>
      </w:r>
    </w:p>
    <w:p>
      <w:pPr>
        <w:pStyle w:val="Heading2"/>
      </w:pPr>
      <w:r>
        <w:rPr>
          <w:color w:val="003366"/>
        </w:rPr>
        <w:t>📈 Plan BRVM</w:t>
      </w:r>
    </w:p>
    <w:p>
      <w:pPr>
        <w:spacing w:before="20" w:after="40"/>
        <w:ind w:left="0"/>
      </w:pPr>
      <w:r>
        <w:rPr>
          <w:sz w:val="18"/>
        </w:rPr>
        <w:t>Les résultats encourageants des sociétés cotées ivoiriennes à la BRVM ont été soulignés (2026-06-09), indiquant une dynamique positive des fondamentaux des entreprises.</w:t>
      </w:r>
    </w:p>
    <w:p>
      <w:pPr>
        <w:pStyle w:val="Heading3"/>
      </w:pPr>
      <w:r>
        <w:rPr>
          <w:color w:val="500050"/>
        </w:rPr>
        <w:t>⚡ Impact estimé sur la BRVM</w:t>
      </w:r>
    </w:p>
    <w:p>
      <w:pPr>
        <w:spacing w:before="20" w:after="40"/>
        <w:ind w:left="280"/>
      </w:pPr>
      <w:r>
        <w:rPr>
          <w:i/>
          <w:sz w:val="18"/>
        </w:rPr>
        <w:t>Cette tendance positive des résultats devrait soutenir la confiance des investisseurs. Les sociétés affichant de bonnes performances, notamment dans les secteurs industriels et financiers, pourraient attirer des capitaux. Recommandation : surveiller les publications de résultats de **SGBC**, **BICB** et **PALC** pour confirmer cette dynamique.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concernant les conflits, élections majeures ou sanctions internationales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6E32"/>
        </w:rPr>
        <w:t>🌍 Plan Africain</w:t>
      </w:r>
    </w:p>
    <w:p>
      <w:pPr>
        <w:spacing w:before="20" w:after="40"/>
        <w:ind w:left="0"/>
      </w:pPr>
      <w:r>
        <w:rPr>
          <w:sz w:val="18"/>
        </w:rPr>
        <w:t>Le gouvernement burkinabè salue l'engagement de ses activistes sur les réseaux sociaux (2026-08-03), et l'ancien Premier ministre malien Moussa Mara appelle à l'unité nationale (2026-08-03). Au Sénégal, une alliance inattendue se forme entre Pastef et l'APR face à la transhumance politique (2026-08-03).</w:t>
      </w:r>
    </w:p>
    <w:p>
      <w:pPr>
        <w:pStyle w:val="Heading3"/>
      </w:pPr>
      <w:r>
        <w:rPr>
          <w:color w:val="500050"/>
        </w:rPr>
        <w:t>⚡ Impact estimé sur la BRVM</w:t>
      </w:r>
    </w:p>
    <w:p>
      <w:pPr>
        <w:spacing w:before="20" w:after="40"/>
        <w:ind w:left="280"/>
      </w:pPr>
      <w:r>
        <w:rPr>
          <w:i/>
          <w:sz w:val="18"/>
        </w:rPr>
        <w:t>Les tensions politiques au Mali et au Burkina Faso, membres de l'UEMOA, pourraient générer de l'incertitude pour les investisseurs. Cependant, la stabilité relative en Côte d'Ivoire et au Sénégal rassure les marchés. Les sociétés ayant des activités dans les pays en transition politique, comme **ORGT** ou **BOAS**, pourraient être exposées à des risques opérationnels.</w:t>
      </w:r>
    </w:p>
    <w:p>
      <w:pPr>
        <w:pStyle w:val="Heading2"/>
      </w:pPr>
      <w:r>
        <w:rPr>
          <w:color w:val="145A28"/>
        </w:rPr>
        <w:t>🌍 Plan Afrique de l'Ouest</w:t>
      </w:r>
    </w:p>
    <w:p>
      <w:pPr>
        <w:spacing w:before="20" w:after="40"/>
        <w:ind w:left="0"/>
      </w:pPr>
      <w:r>
        <w:rPr>
          <w:sz w:val="18"/>
        </w:rPr>
        <w:t>Le Forum de la CEDEAO sur l'eau à Abidjan (2026-08-03) est un signal positif de coopération régionale. Les situations politiques au Mali et au Burkina Faso restent préoccupantes pour la stabilité sous-régionale.</w:t>
      </w:r>
    </w:p>
    <w:p>
      <w:pPr>
        <w:pStyle w:val="Heading3"/>
      </w:pPr>
      <w:r>
        <w:rPr>
          <w:color w:val="500050"/>
        </w:rPr>
        <w:t>⚡ Impact estimé sur la BRVM</w:t>
      </w:r>
    </w:p>
    <w:p>
      <w:pPr>
        <w:spacing w:before="20" w:after="40"/>
        <w:ind w:left="280"/>
      </w:pPr>
      <w:r>
        <w:rPr>
          <w:i/>
          <w:sz w:val="18"/>
        </w:rPr>
        <w:t>La tenue d'événements régionaux à Abidjan renforce l'attractivité de la place ivoirienne. Les risques sécuritaires au Sahel pourraient toutefois peser sur la perception du risque global de la région, affectant les flux d'investissement vers la BRVM.</w:t>
      </w:r>
    </w:p>
    <w:p>
      <w:pPr>
        <w:pStyle w:val="Heading2"/>
      </w:pPr>
      <w:r>
        <w:rPr>
          <w:color w:val="8C4600"/>
        </w:rPr>
        <w:t>🏦 Plan UEMOA / Zone Franc</w:t>
      </w:r>
    </w:p>
    <w:p>
      <w:pPr>
        <w:spacing w:before="20" w:after="40"/>
        <w:ind w:left="0"/>
      </w:pPr>
      <w:r>
        <w:rPr>
          <w:sz w:val="18"/>
        </w:rPr>
        <w:t>Les tensions politiques au Mali et au Burkina Faso, membres de l'UEMOA, sont les principaux faits politiques de la zone. L'appel à l'unité nationale de Moussa Mara (2026-08-03) témoigne des défis politiques persistants.</w:t>
      </w:r>
    </w:p>
    <w:p>
      <w:pPr>
        <w:pStyle w:val="Heading3"/>
      </w:pPr>
      <w:r>
        <w:rPr>
          <w:color w:val="500050"/>
        </w:rPr>
        <w:t>⚡ Impact estimé sur la BRVM</w:t>
      </w:r>
    </w:p>
    <w:p>
      <w:pPr>
        <w:spacing w:before="20" w:after="40"/>
        <w:ind w:left="280"/>
      </w:pPr>
      <w:r>
        <w:rPr>
          <w:i/>
          <w:sz w:val="18"/>
        </w:rPr>
        <w:t>L'instabilité politique dans certains pays membres peut affecter la confiance des investisseurs et la notation de la zone. Les banques panafricaines cotées comme **BOAC** et **BOAS** pourraient être sensibles à ces risques pays.</w:t>
      </w:r>
    </w:p>
    <w:p>
      <w:pPr>
        <w:pStyle w:val="Heading2"/>
      </w:pPr>
      <w:r>
        <w:rPr>
          <w:color w:val="003366"/>
        </w:rPr>
        <w:t>📈 Plan BRVM</w:t>
      </w:r>
    </w:p>
    <w:p>
      <w:pPr>
        <w:spacing w:before="20" w:after="40"/>
        <w:ind w:left="0"/>
      </w:pPr>
      <w:r>
        <w:rPr>
          <w:sz w:val="18"/>
        </w:rPr>
        <w:t>Données insuffisantes concernant la réglementation CREPMF ou de nouvelles cotations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est en pleine instabilité, attendant le rapport sur l'emploi américain (2026-07-31). Le marché des matières premières subit une pression vendeuse avec une chute des prix du pétrole (2026-07-29).</w:t>
      </w:r>
    </w:p>
    <w:p>
      <w:pPr>
        <w:pStyle w:val="Heading3"/>
      </w:pPr>
      <w:r>
        <w:rPr>
          <w:color w:val="500050"/>
        </w:rPr>
        <w:t>⚡ Impact estimé sur la BRVM</w:t>
      </w:r>
    </w:p>
    <w:p>
      <w:pPr>
        <w:spacing w:before="20" w:after="40"/>
        <w:ind w:left="280"/>
      </w:pPr>
      <w:r>
        <w:rPr>
          <w:i/>
          <w:sz w:val="18"/>
        </w:rPr>
        <w:t>L'instabilité des marchés développés pousse les investisseurs vers les valeurs refuges, réduisant temporairement l'appétit pour le risque. La BRVM, marché de petite capitalisation, pourrait voir ses volumes diminuer en cas de crise mondiale prolongée.</w:t>
      </w:r>
    </w:p>
    <w:p>
      <w:pPr>
        <w:pStyle w:val="Heading2"/>
      </w:pPr>
      <w:r>
        <w:rPr>
          <w:color w:val="006E32"/>
        </w:rPr>
        <w:t>🌍 Plan Africain</w:t>
      </w:r>
    </w:p>
    <w:p>
      <w:pPr>
        <w:spacing w:before="20" w:after="40"/>
        <w:ind w:left="0"/>
      </w:pPr>
      <w:r>
        <w:rPr>
          <w:sz w:val="18"/>
        </w:rPr>
        <w:t>Le projet de l'Eco de la CEDEAO est comparé à un "copier-coller" de la zone euro (2026-07-30), soulevant des questions sur sa viabilité. L'émission de dette verte de Senelec à Luxembourg (2026-07-18) montre l'intégration des marchés financiers africains.</w:t>
      </w:r>
    </w:p>
    <w:p>
      <w:pPr>
        <w:pStyle w:val="Heading3"/>
      </w:pPr>
      <w:r>
        <w:rPr>
          <w:color w:val="500050"/>
        </w:rPr>
        <w:t>⚡ Impact estimé sur la BRVM</w:t>
      </w:r>
    </w:p>
    <w:p>
      <w:pPr>
        <w:spacing w:before="20" w:after="40"/>
        <w:ind w:left="280"/>
      </w:pPr>
      <w:r>
        <w:rPr>
          <w:i/>
          <w:sz w:val="18"/>
        </w:rPr>
        <w:t>Les débats sur l'Eco créent de l'incertitude monétaire pour les investisseurs. La concurrence des émissions obligataires africaines sur les marchés internationaux pourrait détourner des capitaux de la BRVM.</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est à 485.43 points. Les résultats encourageants des sociétés cotées ivoiriennes (2026-06-09) constituent le principal fait marquant.</w:t>
      </w:r>
    </w:p>
    <w:p>
      <w:pPr>
        <w:pStyle w:val="Heading3"/>
      </w:pPr>
      <w:r>
        <w:rPr>
          <w:color w:val="500050"/>
        </w:rPr>
        <w:t>⚡ Impact estimé sur la BRVM</w:t>
      </w:r>
    </w:p>
    <w:p>
      <w:pPr>
        <w:spacing w:before="20" w:after="40"/>
        <w:ind w:left="280"/>
      </w:pPr>
      <w:r>
        <w:rPr>
          <w:i/>
          <w:sz w:val="18"/>
        </w:rPr>
        <w:t>Les fondamentaux solides des sociétés cotées soutiennent le marché. Recommandations : **PALC** et **SOGC** (consommation de base, défensives) restent des valeurs sûres en période d'incertitude. **SGBC** et **BICB** (banques) bénéficient de la dynamique économique régionale. **SIVC** et **FTSC** (industriels) pourraient profiter de la baisse des coûts énergétiques. Les télécoms **SNTS** et **ORAC** offrent une bonne visibilité sur les flux de trésorerie. Prudence sur **TTLS** et **TTLC** (énergie) en raison de la volatilité des prix du pétrole.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mondial est marqué par une aversion au risque et une baisse des matières premières, tandis que la région ouest-africaine affiche une relative stabilité avec des événements positifs comme le Forum de la CEDEAO à Abidjan. Les fondamentaux des sociétés cotées ivoiriennes sont encourageants, mais les tensions politiques au Mali et au Burkina Faso et l'incertitude monétaire autour de l'Eco créent des risques. Recommandation : privilégier les valeurs défensives (**PALC**, **SOGC**) et les banques solides (**SGBC**, **BICB**), tout en surveillant l'évolution des marchés mondiaux et les publications de résultats.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 Si vous attendiez une opportunité particulièrement propice pour inve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2026-07-31</w:t>
            </w:r>
          </w:p>
        </w:tc>
        <w:tc>
          <w:tcPr>
            <w:tcW w:type="dxa" w:w="1728"/>
          </w:tcPr>
          <w:p>
            <w:r>
              <w:rPr>
                <w:sz w:val="14"/>
              </w:rPr>
              <w:t>VIDEO - Bourse : et si le Dow Jones ne servait… à rien ? - Les Echos</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2026-07-30</w:t>
            </w:r>
          </w:p>
        </w:tc>
        <w:tc>
          <w:tcPr>
            <w:tcW w:type="dxa" w:w="1728"/>
          </w:tcPr>
          <w:p>
            <w:r>
              <w:rPr>
                <w:sz w:val="14"/>
              </w:rPr>
              <w:t>Taux immobilier août 2026 : la BCE souffle, l'OAT surveillée - Pretto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La Guinée renonce à l’eco et conserve son franc guinéen - Africtelegra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2026-07-31</w:t>
            </w:r>
          </w:p>
        </w:tc>
        <w:tc>
          <w:tcPr>
            <w:tcW w:type="dxa" w:w="1728"/>
          </w:tcPr>
          <w:p>
            <w:r>
              <w:rPr>
                <w:sz w:val="14"/>
              </w:rPr>
              <w:t xml:space="preserve">Monnaie unique de la CEDEAO : la Guinée entre dans la Task Force mais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 xml:space="preserve">Côte d'Ivoire : Emblème national, le gouvernement mise sur le civisme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l'ancien Premier ministre Moussa Mara sort de prison après un 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 xml:space="preserve">Côte d'Ivoire : Emblème national, le gouvernement mise sur le civisme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 xml:space="preserve">Côte d'Ivoire : Emblème national, le gouvernement mise sur le civisme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 xml:space="preserve">Côte d'Ivoire : Emblème national, le gouvernement mise sur le civisme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2026-08-02</w:t>
            </w:r>
          </w:p>
        </w:tc>
        <w:tc>
          <w:tcPr>
            <w:tcW w:type="dxa" w:w="1728"/>
          </w:tcPr>
          <w:p>
            <w:r>
              <w:rPr>
                <w:sz w:val="14"/>
              </w:rPr>
              <w:t xml:space="preserve">Septennat présidentiel au Sénégal : Aminata Touré clos le débat lancé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Guinée : le franc national préféré à l'éco, la future monnaie unique 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Mali: l’ancien Premier ministre Moussa Mara appelle à l'unité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 xml:space="preserve">Côte d'Ivoire : Emblème national, le gouvernement mise sur le civisme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2026-08-03</w:t>
            </w:r>
          </w:p>
        </w:tc>
        <w:tc>
          <w:tcPr>
            <w:tcW w:type="dxa" w:w="1728"/>
          </w:tcPr>
          <w:p>
            <w:r>
              <w:rPr>
                <w:sz w:val="14"/>
              </w:rPr>
              <w:t>Au Sénégal, pourquoi Pastef et l’APR se retrouvent unis face à la tran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2026-07-30</w:t>
            </w:r>
          </w:p>
        </w:tc>
        <w:tc>
          <w:tcPr>
            <w:tcW w:type="dxa" w:w="1728"/>
          </w:tcPr>
          <w:p>
            <w:r>
              <w:rPr>
                <w:sz w:val="14"/>
              </w:rPr>
              <w:t>L'Eco de la Cédéao, un "copier-coller" de la zone euro ? - dw.com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2026-08-02</w:t>
            </w:r>
          </w:p>
        </w:tc>
        <w:tc>
          <w:tcPr>
            <w:tcW w:type="dxa" w:w="1728"/>
          </w:tcPr>
          <w:p>
            <w:r>
              <w:rPr>
                <w:sz w:val="14"/>
              </w:rPr>
              <w:t xml:space="preserve">Le Sénégal et la Gambie concluent un accord définitif sur le tracé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2026-08-02</w:t>
            </w:r>
          </w:p>
        </w:tc>
        <w:tc>
          <w:tcPr>
            <w:tcW w:type="dxa" w:w="1728"/>
          </w:tcPr>
          <w:p>
            <w:r>
              <w:rPr>
                <w:sz w:val="14"/>
              </w:rPr>
              <w:t>Mali. Moussa Mara libéré - mondafrique.com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[03/08/2026] ⚪  </w:t>
      </w:r>
      <w:r>
        <w:rPr>
          <w:b/>
          <w:color w:val="505050"/>
          <w:sz w:val="18"/>
        </w:rPr>
        <w:t>Au Sénégal, pourquoi Pastef et l’APR se retrouvent unis face à la transhumance politique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analyse l'alliance inattendue entre le parti Pastef (au pouvoir) et l'APR (ancien parti au pouvoir) au Sénégal face à la transhumance politique, c'est-à-dire les changements de parti des élus. Cette situation reflète des enjeux politiques majeurs dans le pays, avec des implications potentielles pour la stabilité instituti</w:t>
      </w:r>
    </w:p>
    <w:p>
      <w:pPr>
        <w:spacing w:before="0" w:after="40"/>
        <w:ind w:left="600"/>
      </w:pPr>
      <w:r>
        <w:rPr>
          <w:color w:val="00643C"/>
          <w:sz w:val="16"/>
        </w:rPr>
        <w:t>Points clés : Alliance tactique entre Pastef et APR contre la transhumance politique  •  Enjeux de stabilité politique et de gouvernance au Sénégal  •  Réactions et implications pour le système politique sénégalais</w:t>
      </w:r>
    </w:p>
    <w:p>
      <w:pPr>
        <w:spacing w:before="0" w:after="60"/>
        <w:ind w:left="600"/>
      </w:pPr>
      <w:r>
        <w:rPr>
          <w:color w:val="0064B4"/>
          <w:sz w:val="15"/>
        </w:rPr>
        <w:t>Source : https://news.google.com/rss/articles/CBMizwFBVV95cUxOeGU5aTVVTUpDRGFuTDBxaUk5d0g</w:t>
      </w:r>
    </w:p>
    <w:p>
      <w:pPr>
        <w:spacing w:before="40" w:after="40"/>
        <w:ind w:left="360"/>
      </w:pPr>
      <w:r>
        <w:rPr>
          <w:color w:val="646464"/>
          <w:sz w:val="17"/>
        </w:rPr>
        <w:t xml:space="preserve">[03/08/2026] ⚪  </w:t>
      </w:r>
      <w:r>
        <w:rPr>
          <w:b/>
          <w:color w:val="505050"/>
          <w:sz w:val="18"/>
        </w:rPr>
        <w:t>Burkina Faso : le gouvernement salue l'engagement de ses activistes sur les réseaux sociaux - koaci.com</w:t>
      </w:r>
      <w:r>
        <w:rPr>
          <w:color w:val="787878"/>
          <w:sz w:val="15"/>
        </w:rPr>
        <w:t xml:space="preserve">  [politique]</w:t>
      </w:r>
      <w:r>
        <w:rPr>
          <w:color w:val="B47800"/>
          <w:sz w:val="16"/>
        </w:rPr>
        <w:t xml:space="preserve">  ★ 50/10</w:t>
      </w:r>
    </w:p>
    <w:p>
      <w:pPr>
        <w:spacing w:before="0" w:after="20"/>
        <w:ind w:left="600"/>
      </w:pPr>
      <w:r>
        <w:rPr>
          <w:color w:val="323232"/>
          <w:sz w:val="17"/>
        </w:rPr>
        <w:t>Le gouvernement burkinabè a exprimé sa satisfaction envers les activistes qui soutiennent sa politique sur les réseaux sociaux. Cette reconnaissance officielle vise à encourager la mobilisation numérique en faveur de l'action gouvernementale. L'article ne mentionne aucun aspect économique ou financier, se concentrant uniquement sur la communication</w:t>
      </w:r>
    </w:p>
    <w:p>
      <w:pPr>
        <w:spacing w:before="0" w:after="40"/>
        <w:ind w:left="600"/>
      </w:pPr>
      <w:r>
        <w:rPr>
          <w:color w:val="00643C"/>
          <w:sz w:val="16"/>
        </w:rPr>
        <w:t>Points clés : Le gouvernement salue l'engagement des activistes pro-gouvernementaux sur les réseaux sociaux.  •  Cette démarche s'inscrit dans une stratégie de communication politique au Burkina Faso.</w:t>
      </w:r>
    </w:p>
    <w:p>
      <w:pPr>
        <w:spacing w:before="0" w:after="60"/>
        <w:ind w:left="600"/>
      </w:pPr>
      <w:r>
        <w:rPr>
          <w:color w:val="0064B4"/>
          <w:sz w:val="15"/>
        </w:rPr>
        <w:t>Source : https://news.google.com/rss/articles/CBMi9wFBVV95cUxNMjJjc1doQ1IyN1BIZVR2YlRiLUt</w:t>
      </w:r>
    </w:p>
    <w:p>
      <w:pPr>
        <w:spacing w:before="40" w:after="40"/>
        <w:ind w:left="360"/>
      </w:pPr>
      <w:r>
        <w:rPr>
          <w:color w:val="646464"/>
          <w:sz w:val="17"/>
        </w:rPr>
        <w:t xml:space="preserve">[03/08/2026] 🟢  </w:t>
      </w:r>
      <w:r>
        <w:rPr>
          <w:b/>
          <w:color w:val="008000"/>
          <w:sz w:val="18"/>
        </w:rPr>
        <w:t>Côte d'Ivoire : Emblème national, le gouvernement mise sur le civisme pour renforcer l'unité nationale - koaci.com</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lance une campagne de promotion du civisme autour des emblèmes nationaux (drapeau, hymne, armoiries) afin de renforcer l'unité nationale. Cette initiative vise à consolider la cohésion sociale et la stabilité politique du pays, dans un contexte de développement économique. L'accent est mis sur l'éducation citoyenne et le re</w:t>
      </w:r>
    </w:p>
    <w:p>
      <w:pPr>
        <w:spacing w:before="0" w:after="40"/>
        <w:ind w:left="600"/>
      </w:pPr>
      <w:r>
        <w:rPr>
          <w:color w:val="00643C"/>
          <w:sz w:val="16"/>
        </w:rPr>
        <w:t>Points clés : Campagne gouvernementale pour le respect des emblèmes nationaux  •  Objectif : renforcer l'unité nationale et la cohésion sociale  •  Mise sur le civisme comme levier de stabilité politique</w:t>
      </w:r>
    </w:p>
    <w:p>
      <w:pPr>
        <w:spacing w:before="0" w:after="60"/>
        <w:ind w:left="600"/>
      </w:pPr>
      <w:r>
        <w:rPr>
          <w:color w:val="0064B4"/>
          <w:sz w:val="15"/>
        </w:rPr>
        <w:t>Source : https://news.google.com/rss/articles/CBMigwJBVV95cUxPU0w3eHBhczRtVnRwd2Qxel9SMzF</w:t>
      </w:r>
    </w:p>
    <w:p>
      <w:pPr>
        <w:spacing w:before="40" w:after="40"/>
        <w:ind w:left="360"/>
      </w:pPr>
      <w:r>
        <w:rPr>
          <w:color w:val="646464"/>
          <w:sz w:val="17"/>
        </w:rPr>
        <w:t xml:space="preserve">[03/08/2026] ⚪  </w:t>
      </w:r>
      <w:r>
        <w:rPr>
          <w:b/>
          <w:color w:val="505050"/>
          <w:sz w:val="18"/>
        </w:rPr>
        <w:t>Mali: l’ancien Premier ministre Moussa Mara appelle à l'unité nationale - RFI</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lancé un appel à l'unité nationale dans un contexte de tensions politiques et sécuritaires au Mali. Cet appel intervient alors que le pays traverse une période de transition politique et de défis sécuritaires. La déclaration de Moussa Mara vise à rassembler les différentes forces vives du pays autour d</w:t>
      </w:r>
    </w:p>
    <w:p>
      <w:pPr>
        <w:spacing w:before="0" w:after="40"/>
        <w:ind w:left="600"/>
      </w:pPr>
      <w:r>
        <w:rPr>
          <w:color w:val="00643C"/>
          <w:sz w:val="16"/>
        </w:rPr>
        <w:t>Points clés : Appel à l'unité nationale par Moussa Mara, ancien Premier ministre du Mali.  •  Contexte de tensions politiques et sécuritaires au Mali.  •  Possibles implications pour la stabilité de la zone UEMOA.</w:t>
      </w:r>
    </w:p>
    <w:p>
      <w:pPr>
        <w:spacing w:before="0" w:after="60"/>
        <w:ind w:left="600"/>
      </w:pPr>
      <w:r>
        <w:rPr>
          <w:color w:val="0064B4"/>
          <w:sz w:val="15"/>
        </w:rPr>
        <w:t>Source : https://news.google.com/rss/articles/CBMiuAFBVV95cUxNbk5YVm9SU3ZnOUhEeUR2ZHl6WWZ</w:t>
      </w:r>
    </w:p>
    <w:p>
      <w:pPr>
        <w:spacing w:before="40" w:after="40"/>
        <w:ind w:left="360"/>
      </w:pPr>
      <w:r>
        <w:rPr>
          <w:color w:val="646464"/>
          <w:sz w:val="17"/>
        </w:rPr>
        <w:t xml:space="preserve">[02/08/2026] ⚪  </w:t>
      </w:r>
      <w:r>
        <w:rPr>
          <w:b/>
          <w:color w:val="505050"/>
          <w:sz w:val="18"/>
        </w:rPr>
        <w:t>Mali : libération de l’ancien Premier ministre Moussa Mara après 12 mois de prison - Africa24 TV</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été libéré après 12 mois de détention, selon Africa24 TV. Cet événement politique intervient dans un contexte de tensions au Mali, mais n'a pas de lien direct avec les marchés financiers de l'UEMOA. La libération pourrait être perçue comme un signe d'apaisement politique, mais son impact économique res</w:t>
      </w:r>
    </w:p>
    <w:p>
      <w:pPr>
        <w:spacing w:before="0" w:after="40"/>
        <w:ind w:left="600"/>
      </w:pPr>
      <w:r>
        <w:rPr>
          <w:color w:val="00643C"/>
          <w:sz w:val="16"/>
        </w:rPr>
        <w:t>Points clés : Libération de Moussa Mara après 12 mois de prison  •  Événement politique au Mali, sans effet direct sur la BRVM</w:t>
      </w:r>
    </w:p>
    <w:p>
      <w:pPr>
        <w:spacing w:before="0" w:after="60"/>
        <w:ind w:left="600"/>
      </w:pPr>
      <w:r>
        <w:rPr>
          <w:color w:val="0064B4"/>
          <w:sz w:val="15"/>
        </w:rPr>
        <w:t>Source : https://news.google.com/rss/articles/CBMiqAFBVV95cUxOcXdueGcyUm9pdkM2Nk0yNTFJZmZ</w:t>
      </w:r>
    </w:p>
    <w:p>
      <w:pPr>
        <w:spacing w:before="120" w:after="40"/>
      </w:pPr>
      <w:r>
        <w:rPr>
          <w:b/>
          <w:color w:val="00467F"/>
          <w:sz w:val="20"/>
        </w:rPr>
        <w:t>🔑 économique  (5 alerte(s))</w:t>
      </w:r>
    </w:p>
    <w:p>
      <w:pPr>
        <w:spacing w:before="40" w:after="40"/>
        <w:ind w:left="360"/>
      </w:pPr>
      <w:r>
        <w:rPr>
          <w:color w:val="646464"/>
          <w:sz w:val="17"/>
        </w:rPr>
        <w:t xml:space="preserve">[03/08/2026] ⚪  </w:t>
      </w:r>
      <w:r>
        <w:rPr>
          <w:b/>
          <w:color w:val="505050"/>
          <w:sz w:val="18"/>
        </w:rPr>
        <w:t>PDAO 2026 et BIDC - Afriquinfos</w:t>
      </w:r>
      <w:r>
        <w:rPr>
          <w:color w:val="787878"/>
          <w:sz w:val="15"/>
        </w:rPr>
        <w:t xml:space="preserve">  [économique]</w:t>
      </w:r>
      <w:r>
        <w:rPr>
          <w:color w:val="B47800"/>
          <w:sz w:val="16"/>
        </w:rPr>
        <w:t xml:space="preserve">  ★ 50/10</w:t>
      </w:r>
    </w:p>
    <w:p>
      <w:pPr>
        <w:spacing w:before="0" w:after="20"/>
        <w:ind w:left="600"/>
      </w:pPr>
      <w:r>
        <w:rPr>
          <w:color w:val="323232"/>
          <w:sz w:val="17"/>
        </w:rPr>
        <w:t>L'article évoque le Programme d'Appui au Développement de l'Afrique de l'Ouest (PDAO) pour 2026 et son lien avec la Banque d'Investissement et de Développement de la CEDEAO (BIDC). Il s'agit d'une information économique régionale, sans détails spécifiques sur les marchés financiers. Le contenu est très limité, ne fournissant que le titre et la caté</w:t>
      </w:r>
    </w:p>
    <w:p>
      <w:pPr>
        <w:spacing w:before="0" w:after="40"/>
        <w:ind w:left="600"/>
      </w:pPr>
      <w:r>
        <w:rPr>
          <w:color w:val="00643C"/>
          <w:sz w:val="16"/>
        </w:rPr>
        <w:t>Points clés : Le PDAO 2026 est mentionné comme un programme de développement régional.  •  La BIDC est associée à ce programme, suggérant un rôle de financement ou de mise en œuvre.</w:t>
      </w:r>
    </w:p>
    <w:p>
      <w:pPr>
        <w:spacing w:before="0" w:after="60"/>
        <w:ind w:left="600"/>
      </w:pPr>
      <w:r>
        <w:rPr>
          <w:color w:val="0064B4"/>
          <w:sz w:val="15"/>
        </w:rPr>
        <w:t>Source : https://news.google.com/rss/articles/CBMirAJBVV95cUxNYW1mQlFvcDQwTUc1dnM3X1lOOE5</w:t>
      </w:r>
    </w:p>
    <w:p>
      <w:pPr>
        <w:spacing w:before="40" w:after="40"/>
        <w:ind w:left="360"/>
      </w:pPr>
      <w:r>
        <w:rPr>
          <w:color w:val="646464"/>
          <w:sz w:val="17"/>
        </w:rPr>
        <w:t xml:space="preserve">[03/08/2026] 🟢  </w:t>
      </w:r>
      <w:r>
        <w:rPr>
          <w:b/>
          <w:color w:val="008000"/>
          <w:sz w:val="18"/>
        </w:rPr>
        <w:t>Forum de la CEDEAO sur l’eau : Abidjan accueille l’événement en septembre prochain - lopinion.ma</w:t>
      </w:r>
      <w:r>
        <w:rPr>
          <w:color w:val="787878"/>
          <w:sz w:val="15"/>
        </w:rPr>
        <w:t xml:space="preserve">  [économique]</w:t>
      </w:r>
      <w:r>
        <w:rPr>
          <w:color w:val="B47800"/>
          <w:sz w:val="16"/>
        </w:rPr>
        <w:t xml:space="preserve">  ★ 50/10</w:t>
      </w:r>
    </w:p>
    <w:p>
      <w:pPr>
        <w:spacing w:before="0" w:after="20"/>
        <w:ind w:left="600"/>
      </w:pPr>
      <w:r>
        <w:rPr>
          <w:color w:val="323232"/>
          <w:sz w:val="17"/>
        </w:rPr>
        <w:t>Le Forum de la CEDEAO sur l'eau se tiendra à Abidjan en septembre prochain, un événement économique majeur pour la région ouest-africaine. Cette rencontre vise à discuter des enjeux liés à la gestion de l'eau et à promouvoir la coopération régionale. La tenue de ce forum en Côte d'Ivoire renforce la position d'Abidjan comme hub économique et diplom</w:t>
      </w:r>
    </w:p>
    <w:p>
      <w:pPr>
        <w:spacing w:before="0" w:after="40"/>
        <w:ind w:left="600"/>
      </w:pPr>
      <w:r>
        <w:rPr>
          <w:color w:val="00643C"/>
          <w:sz w:val="16"/>
        </w:rPr>
        <w:t>Points clés : Organisation du Forum de la CEDEAO sur l'eau à Abidjan en septembre.  •  Renforcement de la coopération régionale sur les questions hydriques.  •  Mise en avant de la Côte d'Ivoire comme pôle d'attraction pour les événements internationaux.</w:t>
      </w:r>
    </w:p>
    <w:p>
      <w:pPr>
        <w:spacing w:before="0" w:after="60"/>
        <w:ind w:left="600"/>
      </w:pPr>
      <w:r>
        <w:rPr>
          <w:color w:val="0064B4"/>
          <w:sz w:val="15"/>
        </w:rPr>
        <w:t>Source : https://news.google.com/rss/articles/CBMi_AFBVV95cUxQYk9MM25paHRTOThYQXNrdkdaUTE</w:t>
      </w:r>
    </w:p>
    <w:p>
      <w:pPr>
        <w:spacing w:before="40" w:after="40"/>
        <w:ind w:left="360"/>
      </w:pPr>
      <w:r>
        <w:rPr>
          <w:color w:val="646464"/>
          <w:sz w:val="17"/>
        </w:rPr>
        <w:t xml:space="preserve">[02/08/2026] ⚪  </w:t>
      </w:r>
      <w:r>
        <w:rPr>
          <w:b/>
          <w:color w:val="505050"/>
          <w:sz w:val="18"/>
        </w:rPr>
        <w:t>Guinée : le franc national préféré à l'éco, la future monnaie unique de la cédéao - fr.africanews.com</w:t>
      </w:r>
      <w:r>
        <w:rPr>
          <w:color w:val="787878"/>
          <w:sz w:val="15"/>
        </w:rPr>
        <w:t xml:space="preserve">  [économique]</w:t>
      </w:r>
      <w:r>
        <w:rPr>
          <w:color w:val="B47800"/>
          <w:sz w:val="16"/>
        </w:rPr>
        <w:t xml:space="preserve">  ★ 50/10</w:t>
      </w:r>
    </w:p>
    <w:p>
      <w:pPr>
        <w:spacing w:before="0" w:after="20"/>
        <w:ind w:left="600"/>
      </w:pPr>
      <w:r>
        <w:rPr>
          <w:color w:val="323232"/>
          <w:sz w:val="17"/>
        </w:rPr>
        <w:t>La Guinée a décidé de privilégier le maintien de son franc national plutôt que d'adopter l'éco, la future monnaie unique de la CEDEAO. Cette décision reflète une prudence économique face aux risques de perte de souveraineté monétaire et de convergence insuffisante des économies de la région. Le pays préfère ainsi sécuriser sa stabilité financière i</w:t>
      </w:r>
    </w:p>
    <w:p>
      <w:pPr>
        <w:spacing w:before="0" w:after="40"/>
        <w:ind w:left="600"/>
      </w:pPr>
      <w:r>
        <w:rPr>
          <w:color w:val="00643C"/>
          <w:sz w:val="16"/>
        </w:rPr>
        <w:t>Points clés : La Guinée renonce à l'éco pour conserver le franc guinéen.  •  La décision est motivée par des préoccupations de souveraineté et de stabilité économique.  •  Ce choix pourrait influencer d'autres pays de la CEDEAO dans leurs réflexions sur la monnaie unique.</w:t>
      </w:r>
    </w:p>
    <w:p>
      <w:pPr>
        <w:spacing w:before="0" w:after="60"/>
        <w:ind w:left="600"/>
      </w:pPr>
      <w:r>
        <w:rPr>
          <w:color w:val="0064B4"/>
          <w:sz w:val="15"/>
        </w:rPr>
        <w:t>Source : https://news.google.com/rss/articles/CBMitgFBVV95cUxPZjF5Zk4wSEFrUTNodjlwNjBKeG5</w:t>
      </w:r>
    </w:p>
    <w:p>
      <w:pPr>
        <w:spacing w:before="40" w:after="40"/>
        <w:ind w:left="360"/>
      </w:pPr>
      <w:r>
        <w:rPr>
          <w:color w:val="646464"/>
          <w:sz w:val="17"/>
        </w:rPr>
        <w:t xml:space="preserve">[02/08/2026] ⚪  </w:t>
      </w:r>
      <w:r>
        <w:rPr>
          <w:b/>
          <w:color w:val="505050"/>
          <w:sz w:val="18"/>
        </w:rPr>
        <w:t>La Guinée renonce à l’eco et conserve son franc guinéen - Africtelegraph</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à adopter l'eco, la monnaie unique de la CEDEAO, et conservera son franc guinéen. Cette décision marque un retrait du processus d'intégration monétaire régionale, avec des implications pour la convergence économique en Afrique de l'Ouest. Le pays justifie ce choix par des considérations de souveraineté monétaire e</w:t>
      </w:r>
    </w:p>
    <w:p>
      <w:pPr>
        <w:spacing w:before="0" w:after="40"/>
        <w:ind w:left="600"/>
      </w:pPr>
      <w:r>
        <w:rPr>
          <w:color w:val="00643C"/>
          <w:sz w:val="16"/>
        </w:rPr>
        <w:t>Points clés : La Guinée maintient le franc guinéen comme monnaie nationale.  •  Abandon du projet d'adoption de l'eco, monnaie unique de la CEDEAO.</w:t>
      </w:r>
    </w:p>
    <w:p>
      <w:pPr>
        <w:spacing w:before="0" w:after="60"/>
        <w:ind w:left="600"/>
      </w:pPr>
      <w:r>
        <w:rPr>
          <w:color w:val="0064B4"/>
          <w:sz w:val="15"/>
        </w:rPr>
        <w:t>Source : https://news.google.com/rss/articles/CBMikAFBVV95cUxQOVQtNjBxUV8yb0plS2Y3VzkzRVd</w:t>
      </w:r>
    </w:p>
    <w:p>
      <w:pPr>
        <w:spacing w:before="40" w:after="40"/>
        <w:ind w:left="360"/>
      </w:pPr>
      <w:r>
        <w:rPr>
          <w:color w:val="646464"/>
          <w:sz w:val="17"/>
        </w:rPr>
        <w:t xml:space="preserve">[31/07/2026] ⚪  </w:t>
      </w:r>
      <w:r>
        <w:rPr>
          <w:b/>
          <w:color w:val="505050"/>
          <w:sz w:val="18"/>
        </w:rPr>
        <w:t>Monnaie unique de la CEDEAO : la Guinée entre dans la Task Force mais défend le franc guinéen - Guinéenews</w:t>
      </w:r>
      <w:r>
        <w:rPr>
          <w:color w:val="787878"/>
          <w:sz w:val="15"/>
        </w:rPr>
        <w:t xml:space="preserve">  [économique]</w:t>
      </w:r>
      <w:r>
        <w:rPr>
          <w:color w:val="B47800"/>
          <w:sz w:val="16"/>
        </w:rPr>
        <w:t xml:space="preserve">  ★ 50/10</w:t>
      </w:r>
    </w:p>
    <w:p>
      <w:pPr>
        <w:spacing w:before="0" w:after="20"/>
        <w:ind w:left="600"/>
      </w:pPr>
      <w:r>
        <w:rPr>
          <w:color w:val="323232"/>
          <w:sz w:val="17"/>
        </w:rPr>
        <w:t>La Guinée a rejoint la Task Force de la CEDEAO sur la monnaie unique, mais maintient sa position en faveur du franc guinéen. Cette décision reflète une volonté de participer aux discussions régionales tout en préservant sa souveraineté monétaire. L'adhésion pourrait faciliter la coordination économique, mais les divergences sur le calendrier et les</w:t>
      </w:r>
    </w:p>
    <w:p>
      <w:pPr>
        <w:spacing w:before="0" w:after="40"/>
        <w:ind w:left="600"/>
      </w:pPr>
      <w:r>
        <w:rPr>
          <w:color w:val="00643C"/>
          <w:sz w:val="16"/>
        </w:rPr>
        <w:t>Points clés : La Guinée intègre la Task Force de la CEDEAO sur la monnaie unique.  •  La Guinée défend le maintien du franc guinéen face au projet d'éco.  •  La participation vise à influencer les négociations sans abandonner sa monnaie nationale.</w:t>
      </w:r>
    </w:p>
    <w:p>
      <w:pPr>
        <w:spacing w:before="0" w:after="60"/>
        <w:ind w:left="600"/>
      </w:pPr>
      <w:r>
        <w:rPr>
          <w:color w:val="0064B4"/>
          <w:sz w:val="15"/>
        </w:rPr>
        <w:t>Source : https://news.google.com/rss/articles/CBMixAFBVV95cUxPZmRYNkQ2X2lzS2cwa2xoVVptWmp</w:t>
      </w:r>
    </w:p>
    <w:p>
      <w:pPr>
        <w:spacing w:before="120" w:after="40"/>
      </w:pPr>
      <w:r>
        <w:rPr>
          <w:b/>
          <w:color w:val="00467F"/>
          <w:sz w:val="20"/>
        </w:rPr>
        <w:t>🔑 marche_financier  (1 alerte(s))</w:t>
      </w:r>
    </w:p>
    <w:p>
      <w:pPr>
        <w:spacing w:before="40" w:after="40"/>
        <w:ind w:left="360"/>
      </w:pPr>
      <w:r>
        <w:rPr>
          <w:color w:val="646464"/>
          <w:sz w:val="17"/>
        </w:rPr>
        <w:t xml:space="preserve">[31/07/2026] ⚪  </w:t>
      </w:r>
      <w:r>
        <w:rPr>
          <w:b/>
          <w:color w:val="505050"/>
          <w:sz w:val="18"/>
        </w:rPr>
        <w:t>La semaine à venir à Wall Street-Le marché boursier américain, en pleine instabilité, attend le rapport sur l' - Boursor</w:t>
      </w:r>
      <w:r>
        <w:rPr>
          <w:color w:val="787878"/>
          <w:sz w:val="15"/>
        </w:rPr>
        <w:t xml:space="preserve">  [marche_financier]</w:t>
      </w:r>
      <w:r>
        <w:rPr>
          <w:color w:val="B47800"/>
          <w:sz w:val="16"/>
        </w:rPr>
        <w:t xml:space="preserve">  ★ 50/10</w:t>
      </w:r>
    </w:p>
    <w:p>
      <w:pPr>
        <w:spacing w:before="0" w:after="20"/>
        <w:ind w:left="600"/>
      </w:pPr>
      <w:r>
        <w:rPr>
          <w:color w:val="323232"/>
          <w:sz w:val="17"/>
        </w:rPr>
        <w:t>Le marché boursier américain traverse une période d'instabilité, les investisseurs attendant avec attention la publication du rapport sur l'emploi américain. Ce rapport est crucial pour évaluer la santé économique et anticiper les décisions de la Réserve fédérale. Les marchés restent volatils, avec des inquiétudes persistantes sur l'inflation et le</w:t>
      </w:r>
    </w:p>
    <w:p>
      <w:pPr>
        <w:spacing w:before="0" w:after="40"/>
        <w:ind w:left="600"/>
      </w:pPr>
      <w:r>
        <w:rPr>
          <w:color w:val="00643C"/>
          <w:sz w:val="16"/>
        </w:rPr>
        <w:t>Points clés : Publication prochaine du rapport sur l'emploi américain, indicateur clé pour la Fed.  •  Instabilité et volatilité persistantes sur les marchés actions américains.  •  Les investisseurs surveillent les signaux d'inflation et de politique monétaire.</w:t>
      </w:r>
    </w:p>
    <w:p>
      <w:pPr>
        <w:spacing w:before="0" w:after="60"/>
        <w:ind w:left="600"/>
      </w:pPr>
      <w:r>
        <w:rPr>
          <w:color w:val="0064B4"/>
          <w:sz w:val="15"/>
        </w:rPr>
        <w:t>Source : https://news.google.com/rss/articles/CBMi2AJBVV95cUxQMGZoUDc5VTVZQlVKbHVTcmhIVTd</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1,910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3,655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11,350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31,000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5</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7,685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2,990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4,560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3,130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8,400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5,000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2,990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17</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2,280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5,000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1,480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28,490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16,100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37,700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5,625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23,985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2,990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1,930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8,695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24,020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29,015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3,645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6,600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51,020</w:t>
            </w:r>
          </w:p>
        </w:tc>
        <w:tc>
          <w:tcPr>
            <w:tcW w:type="dxa" w:w="1080"/>
            <w:shd w:fill="EBF5FB" w:val="clear"/>
          </w:tcPr>
          <w:p>
            <w:r>
              <w:rPr>
                <w:b/>
                <w:sz w:val="16"/>
              </w:rPr>
              <w:t>59/100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37,995</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CE4D6" w:val="clear"/>
          </w:tcPr>
          <w:p>
            <w:r>
              <w:rPr>
                <w:sz w:val="16"/>
              </w:rPr>
              <w:t>47</w:t>
            </w:r>
          </w:p>
        </w:tc>
        <w:tc>
          <w:tcPr>
            <w:tcW w:type="dxa" w:w="1080"/>
            <w:shd w:fill="FCE4D6" w:val="clear"/>
          </w:tcPr>
          <w:p>
            <w:r>
              <w:rPr>
                <w:sz w:val="16"/>
              </w:rPr>
              <w:t>STAC</w:t>
            </w:r>
          </w:p>
        </w:tc>
        <w:tc>
          <w:tcPr>
            <w:tcW w:type="dxa" w:w="1080"/>
            <w:shd w:fill="FCE4D6" w:val="clear"/>
          </w:tcPr>
          <w:p>
            <w:r>
              <w:rPr>
                <w:sz w:val="16"/>
              </w:rPr>
              <w:t>INDUSTRIELS</w:t>
            </w:r>
          </w:p>
        </w:tc>
        <w:tc>
          <w:tcPr>
            <w:tcW w:type="dxa" w:w="1080"/>
            <w:shd w:fill="FCE4D6" w:val="clear"/>
          </w:tcPr>
          <w:p>
            <w:r>
              <w:rPr>
                <w:sz w:val="16"/>
              </w:rPr>
              <w:t>2,820</w:t>
            </w:r>
          </w:p>
        </w:tc>
        <w:tc>
          <w:tcPr>
            <w:tcW w:type="dxa" w:w="1080"/>
            <w:shd w:fill="FCE4D6" w:val="clear"/>
          </w:tcPr>
          <w:p>
            <w:r>
              <w:rPr>
                <w:b/>
                <w:sz w:val="16"/>
              </w:rPr>
              <w:t>36/100  (Faible)</w:t>
            </w:r>
          </w:p>
        </w:tc>
        <w:tc>
          <w:tcPr>
            <w:tcW w:type="dxa" w:w="1080"/>
            <w:shd w:fill="FCE4D6" w:val="clear"/>
          </w:tcPr>
          <w:p>
            <w:r>
              <w:rPr>
                <w:sz w:val="16"/>
              </w:rPr>
              <w:t>VENTE</w:t>
            </w:r>
          </w:p>
        </w:tc>
        <w:tc>
          <w:tcPr>
            <w:tcW w:type="dxa" w:w="1080"/>
            <w:shd w:fill="FCE4D6" w:val="clear"/>
          </w:tcPr>
          <w:p>
            <w:r>
              <w:rPr>
                <w:sz w:val="16"/>
              </w:rPr>
              <w:t>VENTE</w:t>
            </w:r>
          </w:p>
        </w:tc>
        <w:tc>
          <w:tcPr>
            <w:tcW w:type="dxa" w:w="1080"/>
            <w:shd w:fill="FCE4D6" w:val="clear"/>
          </w:tcPr>
          <w:p>
            <w:r>
              <w:rPr>
                <w:color w:val="C00000"/>
                <w:sz w:val="16"/>
              </w:rPr>
              <w:t>VENTE FORTE</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1,910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11,350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31,000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7,685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2,990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7,690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4,560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17,000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1,910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3,655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11,350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31,000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7,685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2,990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7,690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4,560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1,910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3,655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11,350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31,000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7,685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2,990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7,690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4,560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(72.9 &gt; 70) — risque de correction</w:t>
      </w:r>
    </w:p>
    <w:p>
      <w:pPr>
        <w:pStyle w:val="ListBullet"/>
        <w:spacing w:before="20"/>
        <w:ind w:left="400"/>
      </w:pPr>
      <w:r>
        <w:rPr>
          <w:sz w:val="18"/>
        </w:rPr>
        <w:t>⚠️ Cours à 0.0% du plus haut 100j (16,550 FCFA)</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RSI surachat (75.6 &gt; 70) — risque de correction</w:t>
      </w:r>
    </w:p>
    <w:p>
      <w:pPr>
        <w:pStyle w:val="ListBullet"/>
        <w:spacing w:before="20"/>
        <w:ind w:left="400"/>
      </w:pPr>
      <w:r>
        <w:rPr>
          <w:sz w:val="18"/>
        </w:rPr>
        <w:t>⚠️ Cours à 2.5%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(71.3 &gt; 70) — risque de correction</w:t>
      </w:r>
    </w:p>
    <w:p>
      <w:pPr>
        <w:pStyle w:val="ListBullet"/>
        <w:spacing w:before="20"/>
        <w:ind w:left="400"/>
      </w:pPr>
      <w:r>
        <w:rPr>
          <w:sz w:val="18"/>
        </w:rPr>
        <w:t>⚠️ Cours à 0.0% du plus haut 100j (6,600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(73.7 &gt; 70) — risque de correction</w:t>
      </w:r>
    </w:p>
    <w:p>
      <w:pPr>
        <w:pStyle w:val="ListBullet"/>
        <w:spacing w:before="20"/>
        <w:ind w:left="400"/>
      </w:pPr>
      <w:r>
        <w:rPr>
          <w:sz w:val="18"/>
        </w:rPr>
        <w:t>⚠️ Cours à 2.0% du plus haut 100j (7,850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1.6%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0.8%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(80.7 &gt; 70) — risque de correction</w:t>
      </w:r>
    </w:p>
    <w:p>
      <w:pPr>
        <w:pStyle w:val="ListBullet"/>
        <w:spacing w:before="20"/>
        <w:ind w:left="400"/>
      </w:pPr>
      <w:r>
        <w:rPr>
          <w:sz w:val="18"/>
        </w:rPr>
        <w:t>⚠️ Cours à 0.0% du plus haut 100j (11,350 FCFA)</w:t>
      </w:r>
    </w:p>
    <w:p>
      <w:pPr>
        <w:spacing w:before="120"/>
      </w:pPr>
      <w:r>
        <w:rPr>
          <w:b/>
          <w:color w:val="0050A0"/>
          <w:sz w:val="20"/>
        </w:rPr>
        <w:t>NSBC — NSBC - NSIA BANQUE COTE D'IVOIRE</w:t>
      </w:r>
    </w:p>
    <w:p>
      <w:pPr>
        <w:pStyle w:val="ListBullet"/>
        <w:spacing w:before="20"/>
        <w:ind w:left="400"/>
      </w:pPr>
      <w:r>
        <w:rPr>
          <w:sz w:val="18"/>
        </w:rPr>
        <w:t>⚠️ Cours à 0.0% du plus haut 100j (24,020 FCFA)</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RSI surachat (76.4 &gt; 70) — risque de correction</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RSI surachat (72.2 &gt; 70) — risque de correction</w:t>
      </w:r>
    </w:p>
    <w:p>
      <w:pPr>
        <w:pStyle w:val="ListBullet"/>
        <w:spacing w:before="20"/>
        <w:ind w:left="400"/>
      </w:pPr>
      <w:r>
        <w:rPr>
          <w:sz w:val="18"/>
        </w:rPr>
        <w:t>⚠️ Cours à 0.0% du plus haut 100j (17,000 FCFA)</w:t>
      </w:r>
    </w:p>
    <w:p>
      <w:pPr>
        <w:spacing w:before="120"/>
      </w:pPr>
      <w:r>
        <w:rPr>
          <w:b/>
          <w:color w:val="0050A0"/>
          <w:sz w:val="20"/>
        </w:rPr>
        <w:t>ORGT — ORGT - ORAGROUP TOGO</w:t>
      </w:r>
    </w:p>
    <w:p>
      <w:pPr>
        <w:pStyle w:val="ListBullet"/>
        <w:spacing w:before="20"/>
        <w:ind w:left="400"/>
      </w:pPr>
      <w:r>
        <w:rPr>
          <w:sz w:val="18"/>
        </w:rPr>
        <w:t>🔴 RSI surachat (91.1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(75.2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Cours à 2.5% du plus haut 100j (5,770 FCFA)</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0.0% du plus bas 100j (1,910 FCFA)</w:t>
      </w:r>
    </w:p>
    <w:p>
      <w:pPr>
        <w:spacing w:before="120"/>
      </w:pPr>
      <w:r>
        <w:rPr>
          <w:b/>
          <w:color w:val="0050A0"/>
          <w:sz w:val="20"/>
        </w:rPr>
        <w:t>LNBB — LNBB - LOTERIE NATIONALE DU BENIN</w:t>
      </w:r>
    </w:p>
    <w:p>
      <w:pPr>
        <w:pStyle w:val="ListBullet"/>
        <w:spacing w:before="20"/>
        <w:ind w:left="400"/>
      </w:pPr>
      <w:r>
        <w:rPr>
          <w:sz w:val="18"/>
        </w:rPr>
        <w:t>⚠️ Cours à 0.0% du plus haut 100j (4,560 FCFA)</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0.0% du plus haut 100j (2,325 FCFA)</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2.3% du plus haut 100j (3,060 FCFA)</w:t>
      </w:r>
    </w:p>
    <w:p>
      <w:pPr>
        <w:spacing w:before="120"/>
      </w:pPr>
      <w:r>
        <w:rPr>
          <w:b/>
          <w:color w:val="0050A0"/>
          <w:sz w:val="20"/>
        </w:rPr>
        <w:t>TTLS — TTLS - TOTAL ENERGIES MARKETING SENEGAL</w:t>
      </w:r>
    </w:p>
    <w:p>
      <w:pPr>
        <w:pStyle w:val="ListBullet"/>
        <w:spacing w:before="20"/>
        <w:ind w:left="400"/>
      </w:pPr>
      <w:r>
        <w:rPr>
          <w:sz w:val="18"/>
        </w:rPr>
        <w:t>🟢 RSI survente (20.8 &lt; 30) — opportunité potentielle</w:t>
      </w:r>
    </w:p>
    <w:p>
      <w:pPr>
        <w:spacing w:before="120"/>
      </w:pPr>
      <w:r>
        <w:rPr>
          <w:b/>
          <w:color w:val="0050A0"/>
          <w:sz w:val="20"/>
        </w:rPr>
        <w:t>UNLC — UNLC - UNILEVER COTE D'IVOIRE</w:t>
      </w:r>
    </w:p>
    <w:p>
      <w:pPr>
        <w:pStyle w:val="ListBullet"/>
        <w:spacing w:before="20"/>
        <w:ind w:left="400"/>
      </w:pPr>
      <w:r>
        <w:rPr>
          <w:sz w:val="18"/>
        </w:rPr>
        <w:t>⚠️ Cours à 2.8% du plus bas 100j (49,630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21.0/100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29.6/100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#5</w:t>
            </w:r>
          </w:p>
        </w:tc>
        <w:tc>
          <w:tcPr>
            <w:tcW w:type="dxa" w:w="850"/>
            <w:shd w:fill="FFFFFF" w:val="clear"/>
          </w:tcPr>
          <w:p>
            <w:r>
              <w:rPr>
                <w:sz w:val="16"/>
              </w:rPr>
              <w:t>SDSC</w:t>
            </w:r>
          </w:p>
        </w:tc>
        <w:tc>
          <w:tcPr>
            <w:tcW w:type="dxa" w:w="2268"/>
            <w:shd w:fill="FFFFFF" w:val="clear"/>
          </w:tcPr>
          <w:p>
            <w:r>
              <w:rPr>
                <w:sz w:val="16"/>
              </w:rPr>
              <w:t>SDSC - AFRICA GLOBAL LOGISTI…</w:t>
            </w:r>
          </w:p>
        </w:tc>
        <w:tc>
          <w:tcPr>
            <w:tcW w:type="dxa" w:w="1701"/>
            <w:shd w:fill="FFFFFF" w:val="clear"/>
          </w:tcPr>
          <w:p>
            <w:r>
              <w:rPr>
                <w:sz w:val="16"/>
              </w:rPr>
              <w:t>INDUSTRIELS</w:t>
            </w:r>
          </w:p>
        </w:tc>
        <w:tc>
          <w:tcPr>
            <w:tcW w:type="dxa" w:w="1020"/>
            <w:shd w:fill="FFEB9C" w:val="clear"/>
          </w:tcPr>
          <w:p>
            <w:r>
              <w:rPr>
                <w:b/>
                <w:color w:val="B40000"/>
                <w:sz w:val="16"/>
              </w:rPr>
              <w:t>28.8/100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SICC (29.6/100 — Moyen) : </w:t>
      </w:r>
      <w:r>
        <w:rPr>
          <w:sz w:val="17"/>
        </w:rPr>
        <w:t>Volatilité=Moyenne | Bêta=Contre-cyclique | Liquidité=Très faible | Divergence signaux=taux divergence=40% (Très divergent ❌) | Stabilité=Modérée</w:t>
      </w:r>
    </w:p>
    <w:p>
      <w:pPr>
        <w:pStyle w:val="ListBullet"/>
      </w:pPr>
      <w:r>
        <w:rPr>
          <w:b/>
          <w:color w:val="B40000"/>
          <w:sz w:val="18"/>
        </w:rPr>
        <w:t xml:space="preserve">#5 SDSC (28.8/100 — Moyen) : </w:t>
      </w:r>
      <w:r>
        <w:rPr>
          <w:sz w:val="17"/>
        </w:rPr>
        <w:t>Volatilité=Élevée | Bêta=Contre-cyclique | Liquidité=Excellente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C6EFCE" w:val="clear"/>
          </w:tcPr>
          <w:p>
            <w:r>
              <w:rPr>
                <w:b/>
                <w:color w:val="007800"/>
                <w:sz w:val="16"/>
              </w:rPr>
              <w:t>13.3/100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-10.41%  |  Médiane : -9.98%</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37 sociétés sur 47 sont orientées à la baisse avec une variation moyenne de -10.41%.</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3,645 FCFA</w:t>
            </w:r>
          </w:p>
        </w:tc>
        <w:tc>
          <w:tcPr>
            <w:tcW w:type="dxa" w:w="1417"/>
            <w:shd w:fill="FFFFFF" w:val="clear"/>
          </w:tcPr>
          <w:p>
            <w:r>
              <w:rPr>
                <w:sz w:val="16"/>
              </w:rPr>
              <w:t>6,784 FCFA</w:t>
            </w:r>
          </w:p>
        </w:tc>
        <w:tc>
          <w:tcPr>
            <w:tcW w:type="dxa" w:w="1134"/>
            <w:shd w:fill="C6EFCE" w:val="clear"/>
          </w:tcPr>
          <w:p>
            <w:r>
              <w:rPr>
                <w:b/>
                <w:color w:val="007800"/>
                <w:sz w:val="16"/>
              </w:rPr>
              <w:t>+86.13%</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24,020 FCFA</w:t>
            </w:r>
          </w:p>
        </w:tc>
        <w:tc>
          <w:tcPr>
            <w:tcW w:type="dxa" w:w="1417"/>
            <w:shd w:fill="FFFFFF" w:val="clear"/>
          </w:tcPr>
          <w:p>
            <w:r>
              <w:rPr>
                <w:sz w:val="16"/>
              </w:rPr>
              <w:t>27,854 FCFA</w:t>
            </w:r>
          </w:p>
        </w:tc>
        <w:tc>
          <w:tcPr>
            <w:tcW w:type="dxa" w:w="1134"/>
            <w:shd w:fill="C6EFCE" w:val="clear"/>
          </w:tcPr>
          <w:p>
            <w:r>
              <w:rPr>
                <w:b/>
                <w:color w:val="007800"/>
                <w:sz w:val="16"/>
              </w:rPr>
              <w:t>+15.96%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51,020 FCFA</w:t>
            </w:r>
          </w:p>
        </w:tc>
        <w:tc>
          <w:tcPr>
            <w:tcW w:type="dxa" w:w="1417"/>
            <w:shd w:fill="FFFFFF" w:val="clear"/>
          </w:tcPr>
          <w:p>
            <w:r>
              <w:rPr>
                <w:sz w:val="16"/>
              </w:rPr>
              <w:t>58,352 FCFA</w:t>
            </w:r>
          </w:p>
        </w:tc>
        <w:tc>
          <w:tcPr>
            <w:tcW w:type="dxa" w:w="1134"/>
            <w:shd w:fill="C6EFCE" w:val="clear"/>
          </w:tcPr>
          <w:p>
            <w:r>
              <w:rPr>
                <w:b/>
                <w:color w:val="007800"/>
                <w:sz w:val="16"/>
              </w:rPr>
              <w:t>+14.37%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23,985 FCFA</w:t>
            </w:r>
          </w:p>
        </w:tc>
        <w:tc>
          <w:tcPr>
            <w:tcW w:type="dxa" w:w="1417"/>
            <w:shd w:fill="FFFFFF" w:val="clear"/>
          </w:tcPr>
          <w:p>
            <w:r>
              <w:rPr>
                <w:sz w:val="16"/>
              </w:rPr>
              <w:t>26,018 FCFA</w:t>
            </w:r>
          </w:p>
        </w:tc>
        <w:tc>
          <w:tcPr>
            <w:tcW w:type="dxa" w:w="1134"/>
            <w:shd w:fill="C6EFCE" w:val="clear"/>
          </w:tcPr>
          <w:p>
            <w:r>
              <w:rPr>
                <w:b/>
                <w:color w:val="007800"/>
                <w:sz w:val="16"/>
              </w:rPr>
              <w:t>+8.47%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1,910 FCFA</w:t>
            </w:r>
          </w:p>
        </w:tc>
        <w:tc>
          <w:tcPr>
            <w:tcW w:type="dxa" w:w="1417"/>
            <w:shd w:fill="FFFFFF" w:val="clear"/>
          </w:tcPr>
          <w:p>
            <w:r>
              <w:rPr>
                <w:sz w:val="16"/>
              </w:rPr>
              <w:t>2,003 FCFA</w:t>
            </w:r>
          </w:p>
        </w:tc>
        <w:tc>
          <w:tcPr>
            <w:tcW w:type="dxa" w:w="1134"/>
            <w:shd w:fill="C6EFCE" w:val="clear"/>
          </w:tcPr>
          <w:p>
            <w:r>
              <w:rPr>
                <w:b/>
                <w:color w:val="007800"/>
                <w:sz w:val="16"/>
              </w:rPr>
              <w:t>+4.85%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(+86.1%) — signal potentiellement excessif, à croiser avec l'analyse technique. Trajectoire : 📈 Hausse continue. Cours actuel : 3,645 FCFA → prédit J+10 : 6,784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(+16.0%) — potentiel de revalorisation notable. Trajectoire : 📈 Hausse continue. Cours actuel : 24,020 FCFA → prédit J+10 : 27,854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(+14.4%) — potentiel de revalorisation notable. Trajectoire : 📈 Hausse continue. Cours actuel : 51,020 FCFA → prédit J+10 : 58,352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(+8.5%) — signal raisonnable et crédible. Trajectoire : 📈 Hausse continue. Cours actuel : 23,985 FCFA → prédit J+10 : 26,018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(+4.9%) — progression graduelle attendue. Trajectoire : 📈 Hausse continue. Cours actuel : 1,910 FCFA → prédit J+10 : 2,003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69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3,700 FCFA</w:t>
            </w:r>
          </w:p>
        </w:tc>
        <w:tc>
          <w:tcPr>
            <w:tcW w:type="dxa" w:w="1417"/>
            <w:shd w:fill="FFFFFF" w:val="clear"/>
          </w:tcPr>
          <w:p>
            <w:r>
              <w:rPr>
                <w:sz w:val="16"/>
              </w:rPr>
              <w:t>1,697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2,293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2,820 FCFA</w:t>
            </w:r>
          </w:p>
        </w:tc>
        <w:tc>
          <w:tcPr>
            <w:tcW w:type="dxa" w:w="1417"/>
            <w:shd w:fill="FFFFFF" w:val="clear"/>
          </w:tcPr>
          <w:p>
            <w:r>
              <w:rPr>
                <w:sz w:val="16"/>
              </w:rPr>
              <w:t>1,630 FCFA</w:t>
            </w:r>
          </w:p>
        </w:tc>
        <w:tc>
          <w:tcPr>
            <w:tcW w:type="dxa" w:w="1134"/>
            <w:shd w:fill="FFC7CE" w:val="clear"/>
          </w:tcPr>
          <w:p>
            <w:r>
              <w:rPr>
                <w:b/>
                <w:color w:val="B40000"/>
                <w:sz w:val="16"/>
              </w:rPr>
              <w:t>-42.18%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2,280 FCFA</w:t>
            </w:r>
          </w:p>
        </w:tc>
        <w:tc>
          <w:tcPr>
            <w:tcW w:type="dxa" w:w="1417"/>
            <w:shd w:fill="FFFFFF" w:val="clear"/>
          </w:tcPr>
          <w:p>
            <w:r>
              <w:rPr>
                <w:sz w:val="16"/>
              </w:rPr>
              <w:t>1,382 FCFA</w:t>
            </w:r>
          </w:p>
        </w:tc>
        <w:tc>
          <w:tcPr>
            <w:tcW w:type="dxa" w:w="1134"/>
            <w:shd w:fill="FFC7CE" w:val="clear"/>
          </w:tcPr>
          <w:p>
            <w:r>
              <w:rPr>
                <w:b/>
                <w:color w:val="B40000"/>
                <w:sz w:val="16"/>
              </w:rPr>
              <w:t>-39.39%</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69 FCFA → prédit J+10 : 32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3,700 FCFA → prédit J+10 : 1,697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5,000 FCFA → prédit J+10 : 2,293 FCFA. ⚠️ Confiance limitée — volatilité élevée. Ne pas agir sur ce seul signal.</w:t>
      </w:r>
    </w:p>
    <w:p>
      <w:pPr>
        <w:pStyle w:val="ListBullet"/>
      </w:pPr>
      <w:r>
        <w:rPr>
          <w:b/>
          <w:color w:val="B40000"/>
          <w:sz w:val="18"/>
        </w:rPr>
        <w:t xml:space="preserve">#4 STAC </w:t>
      </w:r>
      <w:r>
        <w:rPr>
          <w:sz w:val="17"/>
        </w:rPr>
        <w:t>(STAC - SETAO COTE D'IVOIRE) — baisse très forte (-42.2%) — amplitude potentiellement surestimée par le modèle. Trajectoire : 📉 Baisse continue. Cours actuel : 2,820 FCFA → prédit J+10 : 1,630 FCFA. ⚠️ Confiance limitée — volatilité élevée. Ne pas agir sur ce seul signal.</w:t>
      </w:r>
    </w:p>
    <w:p>
      <w:pPr>
        <w:pStyle w:val="ListBullet"/>
      </w:pPr>
      <w:r>
        <w:rPr>
          <w:b/>
          <w:color w:val="B40000"/>
          <w:sz w:val="18"/>
        </w:rPr>
        <w:t xml:space="preserve">#5 NEIC </w:t>
      </w:r>
      <w:r>
        <w:rPr>
          <w:sz w:val="17"/>
        </w:rPr>
        <w:t>(NEIC - NEI-CEDA CI) — baisse très forte (-39.4%) — amplitude potentiellement surestimée par le modèle. Trajectoire : 📉 Baisse continue. Cours actuel : 2,280 FCFA → prédit J+10 : 1,382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3,645</w:t>
            </w:r>
          </w:p>
        </w:tc>
        <w:tc>
          <w:tcPr>
            <w:tcW w:type="dxa" w:w="1417"/>
            <w:shd w:fill="FFFFFF" w:val="clear"/>
          </w:tcPr>
          <w:p>
            <w:r>
              <w:rPr>
                <w:sz w:val="16"/>
              </w:rPr>
              <w:t>6,784</w:t>
            </w:r>
          </w:p>
        </w:tc>
        <w:tc>
          <w:tcPr>
            <w:tcW w:type="dxa" w:w="1134"/>
            <w:shd w:fill="C6EFCE" w:val="clear"/>
          </w:tcPr>
          <w:p>
            <w:r>
              <w:rPr>
                <w:b/>
                <w:color w:val="007800"/>
                <w:sz w:val="16"/>
              </w:rPr>
              <w:t>+86.13%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24,020</w:t>
            </w:r>
          </w:p>
        </w:tc>
        <w:tc>
          <w:tcPr>
            <w:tcW w:type="dxa" w:w="1417"/>
            <w:shd w:fill="FFFFFF" w:val="clear"/>
          </w:tcPr>
          <w:p>
            <w:r>
              <w:rPr>
                <w:sz w:val="16"/>
              </w:rPr>
              <w:t>27,854</w:t>
            </w:r>
          </w:p>
        </w:tc>
        <w:tc>
          <w:tcPr>
            <w:tcW w:type="dxa" w:w="1134"/>
            <w:shd w:fill="C6EFCE" w:val="clear"/>
          </w:tcPr>
          <w:p>
            <w:r>
              <w:rPr>
                <w:b/>
                <w:color w:val="007800"/>
                <w:sz w:val="16"/>
              </w:rPr>
              <w:t>+15.96%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51,020</w:t>
            </w:r>
          </w:p>
        </w:tc>
        <w:tc>
          <w:tcPr>
            <w:tcW w:type="dxa" w:w="1417"/>
            <w:shd w:fill="FFFFFF" w:val="clear"/>
          </w:tcPr>
          <w:p>
            <w:r>
              <w:rPr>
                <w:sz w:val="16"/>
              </w:rPr>
              <w:t>58,352</w:t>
            </w:r>
          </w:p>
        </w:tc>
        <w:tc>
          <w:tcPr>
            <w:tcW w:type="dxa" w:w="1134"/>
            <w:shd w:fill="C6EFCE" w:val="clear"/>
          </w:tcPr>
          <w:p>
            <w:r>
              <w:rPr>
                <w:b/>
                <w:color w:val="007800"/>
                <w:sz w:val="16"/>
              </w:rPr>
              <w:t>+14.37%</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23,985</w:t>
            </w:r>
          </w:p>
        </w:tc>
        <w:tc>
          <w:tcPr>
            <w:tcW w:type="dxa" w:w="1417"/>
            <w:shd w:fill="FFFFFF" w:val="clear"/>
          </w:tcPr>
          <w:p>
            <w:r>
              <w:rPr>
                <w:sz w:val="16"/>
              </w:rPr>
              <w:t>26,018</w:t>
            </w:r>
          </w:p>
        </w:tc>
        <w:tc>
          <w:tcPr>
            <w:tcW w:type="dxa" w:w="1134"/>
            <w:shd w:fill="C6EFCE" w:val="clear"/>
          </w:tcPr>
          <w:p>
            <w:r>
              <w:rPr>
                <w:b/>
                <w:color w:val="007800"/>
                <w:sz w:val="16"/>
              </w:rPr>
              <w:t>+8.47%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1,910</w:t>
            </w:r>
          </w:p>
        </w:tc>
        <w:tc>
          <w:tcPr>
            <w:tcW w:type="dxa" w:w="1417"/>
            <w:shd w:fill="FFFFFF" w:val="clear"/>
          </w:tcPr>
          <w:p>
            <w:r>
              <w:rPr>
                <w:sz w:val="16"/>
              </w:rPr>
              <w:t>2,003</w:t>
            </w:r>
          </w:p>
        </w:tc>
        <w:tc>
          <w:tcPr>
            <w:tcW w:type="dxa" w:w="1134"/>
            <w:shd w:fill="C6EFCE" w:val="clear"/>
          </w:tcPr>
          <w:p>
            <w:r>
              <w:rPr>
                <w:b/>
                <w:color w:val="007800"/>
                <w:sz w:val="16"/>
              </w:rPr>
              <w:t>+4.85%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8,990</w:t>
            </w:r>
          </w:p>
        </w:tc>
        <w:tc>
          <w:tcPr>
            <w:tcW w:type="dxa" w:w="1417"/>
            <w:shd w:fill="FFFFFF" w:val="clear"/>
          </w:tcPr>
          <w:p>
            <w:r>
              <w:rPr>
                <w:sz w:val="16"/>
              </w:rPr>
              <w:t>9,238</w:t>
            </w:r>
          </w:p>
        </w:tc>
        <w:tc>
          <w:tcPr>
            <w:tcW w:type="dxa" w:w="1134"/>
            <w:shd w:fill="C6EFCE" w:val="clear"/>
          </w:tcPr>
          <w:p>
            <w:r>
              <w:rPr>
                <w:b/>
                <w:color w:val="007800"/>
                <w:sz w:val="16"/>
              </w:rPr>
              <w:t>+2.75%</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8,400</w:t>
            </w:r>
          </w:p>
        </w:tc>
        <w:tc>
          <w:tcPr>
            <w:tcW w:type="dxa" w:w="1417"/>
            <w:shd w:fill="FFFFFF" w:val="clear"/>
          </w:tcPr>
          <w:p>
            <w:r>
              <w:rPr>
                <w:sz w:val="16"/>
              </w:rPr>
              <w:t>8,445</w:t>
            </w:r>
          </w:p>
        </w:tc>
        <w:tc>
          <w:tcPr>
            <w:tcW w:type="dxa" w:w="1134"/>
            <w:shd w:fill="FFEB9C" w:val="clear"/>
          </w:tcPr>
          <w:p>
            <w:r>
              <w:rPr>
                <w:b/>
                <w:color w:val="646400"/>
                <w:sz w:val="16"/>
              </w:rPr>
              <w:t>+0.54%</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37,700</w:t>
            </w:r>
          </w:p>
        </w:tc>
        <w:tc>
          <w:tcPr>
            <w:tcW w:type="dxa" w:w="1417"/>
            <w:shd w:fill="FFFFFF" w:val="clear"/>
          </w:tcPr>
          <w:p>
            <w:r>
              <w:rPr>
                <w:sz w:val="16"/>
              </w:rPr>
              <w:t>37,582</w:t>
            </w:r>
          </w:p>
        </w:tc>
        <w:tc>
          <w:tcPr>
            <w:tcW w:type="dxa" w:w="1134"/>
            <w:shd w:fill="FFEB9C" w:val="clear"/>
          </w:tcPr>
          <w:p>
            <w:r>
              <w:rPr>
                <w:b/>
                <w:color w:val="646400"/>
                <w:sz w:val="16"/>
              </w:rPr>
              <w:t>-0.31%</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16,100</w:t>
            </w:r>
          </w:p>
        </w:tc>
        <w:tc>
          <w:tcPr>
            <w:tcW w:type="dxa" w:w="1417"/>
            <w:shd w:fill="FFFFFF" w:val="clear"/>
          </w:tcPr>
          <w:p>
            <w:r>
              <w:rPr>
                <w:sz w:val="16"/>
              </w:rPr>
              <w:t>16,021</w:t>
            </w:r>
          </w:p>
        </w:tc>
        <w:tc>
          <w:tcPr>
            <w:tcW w:type="dxa" w:w="1134"/>
            <w:shd w:fill="FFEB9C" w:val="clear"/>
          </w:tcPr>
          <w:p>
            <w:r>
              <w:rPr>
                <w:b/>
                <w:color w:val="646400"/>
                <w:sz w:val="16"/>
              </w:rPr>
              <w:t>-0.49%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1,930</w:t>
            </w:r>
          </w:p>
        </w:tc>
        <w:tc>
          <w:tcPr>
            <w:tcW w:type="dxa" w:w="1417"/>
            <w:shd w:fill="FFFFFF" w:val="clear"/>
          </w:tcPr>
          <w:p>
            <w:r>
              <w:rPr>
                <w:sz w:val="16"/>
              </w:rPr>
              <w:t>1,917</w:t>
            </w:r>
          </w:p>
        </w:tc>
        <w:tc>
          <w:tcPr>
            <w:tcW w:type="dxa" w:w="1134"/>
            <w:shd w:fill="FFEB9C" w:val="clear"/>
          </w:tcPr>
          <w:p>
            <w:r>
              <w:rPr>
                <w:b/>
                <w:color w:val="646400"/>
                <w:sz w:val="16"/>
              </w:rPr>
              <w:t>-0.70%</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30,684</w:t>
            </w:r>
          </w:p>
        </w:tc>
        <w:tc>
          <w:tcPr>
            <w:tcW w:type="dxa" w:w="1134"/>
            <w:shd w:fill="FFC7CE" w:val="clear"/>
          </w:tcPr>
          <w:p>
            <w:r>
              <w:rPr>
                <w:b/>
                <w:color w:val="B40000"/>
                <w:sz w:val="16"/>
              </w:rPr>
              <w:t>-1.02%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5,124</w:t>
            </w:r>
          </w:p>
        </w:tc>
        <w:tc>
          <w:tcPr>
            <w:tcW w:type="dxa" w:w="1134"/>
            <w:shd w:fill="FFC7CE" w:val="clear"/>
          </w:tcPr>
          <w:p>
            <w:r>
              <w:rPr>
                <w:b/>
                <w:color w:val="B40000"/>
                <w:sz w:val="16"/>
              </w:rPr>
              <w:t>-1.46%</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7,500</w:t>
            </w:r>
          </w:p>
        </w:tc>
        <w:tc>
          <w:tcPr>
            <w:tcW w:type="dxa" w:w="1417"/>
            <w:shd w:fill="FFFFFF" w:val="clear"/>
          </w:tcPr>
          <w:p>
            <w:r>
              <w:rPr>
                <w:sz w:val="16"/>
              </w:rPr>
              <w:t>7,382</w:t>
            </w:r>
          </w:p>
        </w:tc>
        <w:tc>
          <w:tcPr>
            <w:tcW w:type="dxa" w:w="1134"/>
            <w:shd w:fill="FFC7CE" w:val="clear"/>
          </w:tcPr>
          <w:p>
            <w:r>
              <w:rPr>
                <w:b/>
                <w:color w:val="B40000"/>
                <w:sz w:val="16"/>
              </w:rPr>
              <w:t>-1.58%</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2,990</w:t>
            </w:r>
          </w:p>
        </w:tc>
        <w:tc>
          <w:tcPr>
            <w:tcW w:type="dxa" w:w="1417"/>
            <w:shd w:fill="FFFFFF" w:val="clear"/>
          </w:tcPr>
          <w:p>
            <w:r>
              <w:rPr>
                <w:sz w:val="16"/>
              </w:rPr>
              <w:t>2,928</w:t>
            </w:r>
          </w:p>
        </w:tc>
        <w:tc>
          <w:tcPr>
            <w:tcW w:type="dxa" w:w="1134"/>
            <w:shd w:fill="FFC7CE" w:val="clear"/>
          </w:tcPr>
          <w:p>
            <w:r>
              <w:rPr>
                <w:b/>
                <w:color w:val="B40000"/>
                <w:sz w:val="16"/>
              </w:rPr>
              <w:t>-2.08%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17,000</w:t>
            </w:r>
          </w:p>
        </w:tc>
        <w:tc>
          <w:tcPr>
            <w:tcW w:type="dxa" w:w="1417"/>
            <w:shd w:fill="FFFFFF" w:val="clear"/>
          </w:tcPr>
          <w:p>
            <w:r>
              <w:rPr>
                <w:sz w:val="16"/>
              </w:rPr>
              <w:t>16,590</w:t>
            </w:r>
          </w:p>
        </w:tc>
        <w:tc>
          <w:tcPr>
            <w:tcW w:type="dxa" w:w="1134"/>
            <w:shd w:fill="FFC7CE" w:val="clear"/>
          </w:tcPr>
          <w:p>
            <w:r>
              <w:rPr>
                <w:b/>
                <w:color w:val="B40000"/>
                <w:sz w:val="16"/>
              </w:rPr>
              <w:t>-2.41%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37,995</w:t>
            </w:r>
          </w:p>
        </w:tc>
        <w:tc>
          <w:tcPr>
            <w:tcW w:type="dxa" w:w="1417"/>
            <w:shd w:fill="FFFFFF" w:val="clear"/>
          </w:tcPr>
          <w:p>
            <w:r>
              <w:rPr>
                <w:sz w:val="16"/>
              </w:rPr>
              <w:t>37,056</w:t>
            </w:r>
          </w:p>
        </w:tc>
        <w:tc>
          <w:tcPr>
            <w:tcW w:type="dxa" w:w="1134"/>
            <w:shd w:fill="FFC7CE" w:val="clear"/>
          </w:tcPr>
          <w:p>
            <w:r>
              <w:rPr>
                <w:b/>
                <w:color w:val="B40000"/>
                <w:sz w:val="16"/>
              </w:rPr>
              <w:t>-2.47%</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15,500</w:t>
            </w:r>
          </w:p>
        </w:tc>
        <w:tc>
          <w:tcPr>
            <w:tcW w:type="dxa" w:w="1417"/>
            <w:shd w:fill="FFFFFF" w:val="clear"/>
          </w:tcPr>
          <w:p>
            <w:r>
              <w:rPr>
                <w:sz w:val="16"/>
              </w:rPr>
              <w:t>15,087</w:t>
            </w:r>
          </w:p>
        </w:tc>
        <w:tc>
          <w:tcPr>
            <w:tcW w:type="dxa" w:w="1134"/>
            <w:shd w:fill="FFC7CE" w:val="clear"/>
          </w:tcPr>
          <w:p>
            <w:r>
              <w:rPr>
                <w:b/>
                <w:color w:val="B40000"/>
                <w:sz w:val="16"/>
              </w:rPr>
              <w:t>-2.67%</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2,990</w:t>
            </w:r>
          </w:p>
        </w:tc>
        <w:tc>
          <w:tcPr>
            <w:tcW w:type="dxa" w:w="1417"/>
            <w:shd w:fill="FFFFFF" w:val="clear"/>
          </w:tcPr>
          <w:p>
            <w:r>
              <w:rPr>
                <w:sz w:val="16"/>
              </w:rPr>
              <w:t>2,906</w:t>
            </w:r>
          </w:p>
        </w:tc>
        <w:tc>
          <w:tcPr>
            <w:tcW w:type="dxa" w:w="1134"/>
            <w:shd w:fill="FFC7CE" w:val="clear"/>
          </w:tcPr>
          <w:p>
            <w:r>
              <w:rPr>
                <w:b/>
                <w:color w:val="B40000"/>
                <w:sz w:val="16"/>
              </w:rPr>
              <w:t>-2.80%</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3,130</w:t>
            </w:r>
          </w:p>
        </w:tc>
        <w:tc>
          <w:tcPr>
            <w:tcW w:type="dxa" w:w="1417"/>
            <w:shd w:fill="FFFFFF" w:val="clear"/>
          </w:tcPr>
          <w:p>
            <w:r>
              <w:rPr>
                <w:sz w:val="16"/>
              </w:rPr>
              <w:t>3,023</w:t>
            </w:r>
          </w:p>
        </w:tc>
        <w:tc>
          <w:tcPr>
            <w:tcW w:type="dxa" w:w="1134"/>
            <w:shd w:fill="FFC7CE" w:val="clear"/>
          </w:tcPr>
          <w:p>
            <w:r>
              <w:rPr>
                <w:b/>
                <w:color w:val="B40000"/>
                <w:sz w:val="16"/>
              </w:rPr>
              <w:t>-3.42%</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16,550</w:t>
            </w:r>
          </w:p>
        </w:tc>
        <w:tc>
          <w:tcPr>
            <w:tcW w:type="dxa" w:w="1417"/>
            <w:shd w:fill="FFFFFF" w:val="clear"/>
          </w:tcPr>
          <w:p>
            <w:r>
              <w:rPr>
                <w:sz w:val="16"/>
              </w:rPr>
              <w:t>15,940</w:t>
            </w:r>
          </w:p>
        </w:tc>
        <w:tc>
          <w:tcPr>
            <w:tcW w:type="dxa" w:w="1134"/>
            <w:shd w:fill="FFC7CE" w:val="clear"/>
          </w:tcPr>
          <w:p>
            <w:r>
              <w:rPr>
                <w:b/>
                <w:color w:val="B40000"/>
                <w:sz w:val="16"/>
              </w:rPr>
              <w:t>-3.69%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4,230</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1,812</w:t>
            </w:r>
          </w:p>
        </w:tc>
        <w:tc>
          <w:tcPr>
            <w:tcW w:type="dxa" w:w="1134"/>
            <w:shd w:fill="FFC7CE" w:val="clear"/>
          </w:tcPr>
          <w:p>
            <w:r>
              <w:rPr>
                <w:b/>
                <w:color w:val="B40000"/>
                <w:sz w:val="16"/>
              </w:rPr>
              <w:t>-4.66%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2,750</w:t>
            </w:r>
          </w:p>
        </w:tc>
        <w:tc>
          <w:tcPr>
            <w:tcW w:type="dxa" w:w="1417"/>
            <w:shd w:fill="FFFFFF" w:val="clear"/>
          </w:tcPr>
          <w:p>
            <w:r>
              <w:rPr>
                <w:sz w:val="16"/>
              </w:rPr>
              <w:t>2,521</w:t>
            </w:r>
          </w:p>
        </w:tc>
        <w:tc>
          <w:tcPr>
            <w:tcW w:type="dxa" w:w="1134"/>
            <w:shd w:fill="FFC7CE" w:val="clear"/>
          </w:tcPr>
          <w:p>
            <w:r>
              <w:rPr>
                <w:b/>
                <w:color w:val="B40000"/>
                <w:sz w:val="16"/>
              </w:rPr>
              <w:t>-8.34%</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2,990</w:t>
            </w:r>
          </w:p>
        </w:tc>
        <w:tc>
          <w:tcPr>
            <w:tcW w:type="dxa" w:w="1417"/>
            <w:shd w:fill="FFFFFF" w:val="clear"/>
          </w:tcPr>
          <w:p>
            <w:r>
              <w:rPr>
                <w:sz w:val="16"/>
              </w:rPr>
              <w:t>2,692</w:t>
            </w:r>
          </w:p>
        </w:tc>
        <w:tc>
          <w:tcPr>
            <w:tcW w:type="dxa" w:w="1134"/>
            <w:shd w:fill="FFC7CE" w:val="clear"/>
          </w:tcPr>
          <w:p>
            <w:r>
              <w:rPr>
                <w:b/>
                <w:color w:val="B40000"/>
                <w:sz w:val="16"/>
              </w:rPr>
              <w:t>-9.98%</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29,015</w:t>
            </w:r>
          </w:p>
        </w:tc>
        <w:tc>
          <w:tcPr>
            <w:tcW w:type="dxa" w:w="1417"/>
            <w:shd w:fill="FFFFFF" w:val="clear"/>
          </w:tcPr>
          <w:p>
            <w:r>
              <w:rPr>
                <w:sz w:val="16"/>
              </w:rPr>
              <w:t>26,096</w:t>
            </w:r>
          </w:p>
        </w:tc>
        <w:tc>
          <w:tcPr>
            <w:tcW w:type="dxa" w:w="1134"/>
            <w:shd w:fill="FFC7CE" w:val="clear"/>
          </w:tcPr>
          <w:p>
            <w:r>
              <w:rPr>
                <w:b/>
                <w:color w:val="B40000"/>
                <w:sz w:val="16"/>
              </w:rPr>
              <w:t>-10.06%</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7,200</w:t>
            </w:r>
          </w:p>
        </w:tc>
        <w:tc>
          <w:tcPr>
            <w:tcW w:type="dxa" w:w="1417"/>
            <w:shd w:fill="FFFFFF" w:val="clear"/>
          </w:tcPr>
          <w:p>
            <w:r>
              <w:rPr>
                <w:sz w:val="16"/>
              </w:rPr>
              <w:t>6,470</w:t>
            </w:r>
          </w:p>
        </w:tc>
        <w:tc>
          <w:tcPr>
            <w:tcW w:type="dxa" w:w="1134"/>
            <w:shd w:fill="FFC7CE" w:val="clear"/>
          </w:tcPr>
          <w:p>
            <w:r>
              <w:rPr>
                <w:b/>
                <w:color w:val="B40000"/>
                <w:sz w:val="16"/>
              </w:rPr>
              <w:t>-10.14%</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1,480</w:t>
            </w:r>
          </w:p>
        </w:tc>
        <w:tc>
          <w:tcPr>
            <w:tcW w:type="dxa" w:w="1417"/>
            <w:shd w:fill="FFFFFF" w:val="clear"/>
          </w:tcPr>
          <w:p>
            <w:r>
              <w:rPr>
                <w:sz w:val="16"/>
              </w:rPr>
              <w:t>1,327</w:t>
            </w:r>
          </w:p>
        </w:tc>
        <w:tc>
          <w:tcPr>
            <w:tcW w:type="dxa" w:w="1134"/>
            <w:shd w:fill="FFC7CE" w:val="clear"/>
          </w:tcPr>
          <w:p>
            <w:r>
              <w:rPr>
                <w:b/>
                <w:color w:val="B40000"/>
                <w:sz w:val="16"/>
              </w:rPr>
              <w:t>-10.34%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10,661</w:t>
            </w:r>
          </w:p>
        </w:tc>
        <w:tc>
          <w:tcPr>
            <w:tcW w:type="dxa" w:w="1134"/>
            <w:shd w:fill="FFC7CE" w:val="clear"/>
          </w:tcPr>
          <w:p>
            <w:r>
              <w:rPr>
                <w:b/>
                <w:color w:val="B40000"/>
                <w:sz w:val="16"/>
              </w:rPr>
              <w:t>-10.41%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5,625</w:t>
            </w:r>
          </w:p>
        </w:tc>
        <w:tc>
          <w:tcPr>
            <w:tcW w:type="dxa" w:w="1417"/>
            <w:shd w:fill="FFFFFF" w:val="clear"/>
          </w:tcPr>
          <w:p>
            <w:r>
              <w:rPr>
                <w:sz w:val="16"/>
              </w:rPr>
              <w:t>5,020</w:t>
            </w:r>
          </w:p>
        </w:tc>
        <w:tc>
          <w:tcPr>
            <w:tcW w:type="dxa" w:w="1134"/>
            <w:shd w:fill="FFC7CE" w:val="clear"/>
          </w:tcPr>
          <w:p>
            <w:r>
              <w:rPr>
                <w:b/>
                <w:color w:val="B40000"/>
                <w:sz w:val="16"/>
              </w:rPr>
              <w:t>-10.76%</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6,600</w:t>
            </w:r>
          </w:p>
        </w:tc>
        <w:tc>
          <w:tcPr>
            <w:tcW w:type="dxa" w:w="1417"/>
            <w:shd w:fill="FFFFFF" w:val="clear"/>
          </w:tcPr>
          <w:p>
            <w:r>
              <w:rPr>
                <w:sz w:val="16"/>
              </w:rPr>
              <w:t>5,881</w:t>
            </w:r>
          </w:p>
        </w:tc>
        <w:tc>
          <w:tcPr>
            <w:tcW w:type="dxa" w:w="1134"/>
            <w:shd w:fill="FFC7CE" w:val="clear"/>
          </w:tcPr>
          <w:p>
            <w:r>
              <w:rPr>
                <w:b/>
                <w:color w:val="B40000"/>
                <w:sz w:val="16"/>
              </w:rPr>
              <w:t>-10.90%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8,695</w:t>
            </w:r>
          </w:p>
        </w:tc>
        <w:tc>
          <w:tcPr>
            <w:tcW w:type="dxa" w:w="1417"/>
            <w:shd w:fill="FFFFFF" w:val="clear"/>
          </w:tcPr>
          <w:p>
            <w:r>
              <w:rPr>
                <w:sz w:val="16"/>
              </w:rPr>
              <w:t>7,694</w:t>
            </w:r>
          </w:p>
        </w:tc>
        <w:tc>
          <w:tcPr>
            <w:tcW w:type="dxa" w:w="1134"/>
            <w:shd w:fill="FFC7CE" w:val="clear"/>
          </w:tcPr>
          <w:p>
            <w:r>
              <w:rPr>
                <w:b/>
                <w:color w:val="B40000"/>
                <w:sz w:val="16"/>
              </w:rPr>
              <w:t>-11.51%</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4,560</w:t>
            </w:r>
          </w:p>
        </w:tc>
        <w:tc>
          <w:tcPr>
            <w:tcW w:type="dxa" w:w="1417"/>
            <w:shd w:fill="FFFFFF" w:val="clear"/>
          </w:tcPr>
          <w:p>
            <w:r>
              <w:rPr>
                <w:sz w:val="16"/>
              </w:rPr>
              <w:t>4,030</w:t>
            </w:r>
          </w:p>
        </w:tc>
        <w:tc>
          <w:tcPr>
            <w:tcW w:type="dxa" w:w="1134"/>
            <w:shd w:fill="FFC7CE" w:val="clear"/>
          </w:tcPr>
          <w:p>
            <w:r>
              <w:rPr>
                <w:b/>
                <w:color w:val="B40000"/>
                <w:sz w:val="16"/>
              </w:rPr>
              <w:t>-11.63%</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3,655</w:t>
            </w:r>
          </w:p>
        </w:tc>
        <w:tc>
          <w:tcPr>
            <w:tcW w:type="dxa" w:w="1417"/>
            <w:shd w:fill="FFFFFF" w:val="clear"/>
          </w:tcPr>
          <w:p>
            <w:r>
              <w:rPr>
                <w:sz w:val="16"/>
              </w:rPr>
              <w:t>3,204</w:t>
            </w:r>
          </w:p>
        </w:tc>
        <w:tc>
          <w:tcPr>
            <w:tcW w:type="dxa" w:w="1134"/>
            <w:shd w:fill="FFC7CE" w:val="clear"/>
          </w:tcPr>
          <w:p>
            <w:r>
              <w:rPr>
                <w:b/>
                <w:color w:val="B40000"/>
                <w:sz w:val="16"/>
              </w:rPr>
              <w:t>-12.34%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7,685</w:t>
            </w:r>
          </w:p>
        </w:tc>
        <w:tc>
          <w:tcPr>
            <w:tcW w:type="dxa" w:w="1417"/>
            <w:shd w:fill="FFFFFF" w:val="clear"/>
          </w:tcPr>
          <w:p>
            <w:r>
              <w:rPr>
                <w:sz w:val="16"/>
              </w:rPr>
              <w:t>6,725</w:t>
            </w:r>
          </w:p>
        </w:tc>
        <w:tc>
          <w:tcPr>
            <w:tcW w:type="dxa" w:w="1134"/>
            <w:shd w:fill="FFC7CE" w:val="clear"/>
          </w:tcPr>
          <w:p>
            <w:r>
              <w:rPr>
                <w:b/>
                <w:color w:val="B40000"/>
                <w:sz w:val="16"/>
              </w:rPr>
              <w:t>-12.49%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1,695</w:t>
            </w:r>
          </w:p>
        </w:tc>
        <w:tc>
          <w:tcPr>
            <w:tcW w:type="dxa" w:w="1417"/>
            <w:shd w:fill="FFFFFF" w:val="clear"/>
          </w:tcPr>
          <w:p>
            <w:r>
              <w:rPr>
                <w:sz w:val="16"/>
              </w:rPr>
              <w:t>1,438</w:t>
            </w:r>
          </w:p>
        </w:tc>
        <w:tc>
          <w:tcPr>
            <w:tcW w:type="dxa" w:w="1134"/>
            <w:shd w:fill="FFC7CE" w:val="clear"/>
          </w:tcPr>
          <w:p>
            <w:r>
              <w:rPr>
                <w:b/>
                <w:color w:val="B40000"/>
                <w:sz w:val="16"/>
              </w:rPr>
              <w:t>-15.16%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8,800</w:t>
            </w:r>
          </w:p>
        </w:tc>
        <w:tc>
          <w:tcPr>
            <w:tcW w:type="dxa" w:w="1417"/>
            <w:shd w:fill="FFFFFF" w:val="clear"/>
          </w:tcPr>
          <w:p>
            <w:r>
              <w:rPr>
                <w:sz w:val="16"/>
              </w:rPr>
              <w:t>7,092</w:t>
            </w:r>
          </w:p>
        </w:tc>
        <w:tc>
          <w:tcPr>
            <w:tcW w:type="dxa" w:w="1134"/>
            <w:shd w:fill="FFC7CE" w:val="clear"/>
          </w:tcPr>
          <w:p>
            <w:r>
              <w:rPr>
                <w:b/>
                <w:color w:val="B40000"/>
                <w:sz w:val="16"/>
              </w:rPr>
              <w:t>-19.41%</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2,200</w:t>
            </w:r>
          </w:p>
        </w:tc>
        <w:tc>
          <w:tcPr>
            <w:tcW w:type="dxa" w:w="1417"/>
            <w:shd w:fill="FFFFFF" w:val="clear"/>
          </w:tcPr>
          <w:p>
            <w:r>
              <w:rPr>
                <w:sz w:val="16"/>
              </w:rPr>
              <w:t>1,715</w:t>
            </w:r>
          </w:p>
        </w:tc>
        <w:tc>
          <w:tcPr>
            <w:tcW w:type="dxa" w:w="1134"/>
            <w:shd w:fill="FFC7CE" w:val="clear"/>
          </w:tcPr>
          <w:p>
            <w:r>
              <w:rPr>
                <w:b/>
                <w:color w:val="B40000"/>
                <w:sz w:val="16"/>
              </w:rPr>
              <w:t>-22.05%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11,350</w:t>
            </w:r>
          </w:p>
        </w:tc>
        <w:tc>
          <w:tcPr>
            <w:tcW w:type="dxa" w:w="1417"/>
            <w:shd w:fill="FFFFFF" w:val="clear"/>
          </w:tcPr>
          <w:p>
            <w:r>
              <w:rPr>
                <w:sz w:val="16"/>
              </w:rPr>
              <w:t>8,509</w:t>
            </w:r>
          </w:p>
        </w:tc>
        <w:tc>
          <w:tcPr>
            <w:tcW w:type="dxa" w:w="1134"/>
            <w:shd w:fill="FFC7CE" w:val="clear"/>
          </w:tcPr>
          <w:p>
            <w:r>
              <w:rPr>
                <w:b/>
                <w:color w:val="B40000"/>
                <w:sz w:val="16"/>
              </w:rPr>
              <w:t>-25.03%</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2,325</w:t>
            </w:r>
          </w:p>
        </w:tc>
        <w:tc>
          <w:tcPr>
            <w:tcW w:type="dxa" w:w="1417"/>
            <w:shd w:fill="FFFFFF" w:val="clear"/>
          </w:tcPr>
          <w:p>
            <w:r>
              <w:rPr>
                <w:sz w:val="16"/>
              </w:rPr>
              <w:t>1,659</w:t>
            </w:r>
          </w:p>
        </w:tc>
        <w:tc>
          <w:tcPr>
            <w:tcW w:type="dxa" w:w="1134"/>
            <w:shd w:fill="FFC7CE" w:val="clear"/>
          </w:tcPr>
          <w:p>
            <w:r>
              <w:rPr>
                <w:b/>
                <w:color w:val="B40000"/>
                <w:sz w:val="16"/>
              </w:rPr>
              <w:t>-28.63%</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7,690</w:t>
            </w:r>
          </w:p>
        </w:tc>
        <w:tc>
          <w:tcPr>
            <w:tcW w:type="dxa" w:w="1417"/>
            <w:shd w:fill="FFFFFF" w:val="clear"/>
          </w:tcPr>
          <w:p>
            <w:r>
              <w:rPr>
                <w:sz w:val="16"/>
              </w:rPr>
              <w:t>5,411</w:t>
            </w:r>
          </w:p>
        </w:tc>
        <w:tc>
          <w:tcPr>
            <w:tcW w:type="dxa" w:w="1134"/>
            <w:shd w:fill="FFC7CE" w:val="clear"/>
          </w:tcPr>
          <w:p>
            <w:r>
              <w:rPr>
                <w:b/>
                <w:color w:val="B40000"/>
                <w:sz w:val="16"/>
              </w:rPr>
              <w:t>-29.63%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5,000</w:t>
            </w:r>
          </w:p>
        </w:tc>
        <w:tc>
          <w:tcPr>
            <w:tcW w:type="dxa" w:w="1417"/>
            <w:shd w:fill="FFFFFF" w:val="clear"/>
          </w:tcPr>
          <w:p>
            <w:r>
              <w:rPr>
                <w:sz w:val="16"/>
              </w:rPr>
              <w:t>3,169</w:t>
            </w:r>
          </w:p>
        </w:tc>
        <w:tc>
          <w:tcPr>
            <w:tcW w:type="dxa" w:w="1134"/>
            <w:shd w:fill="FFC7CE" w:val="clear"/>
          </w:tcPr>
          <w:p>
            <w:r>
              <w:rPr>
                <w:b/>
                <w:color w:val="B40000"/>
                <w:sz w:val="16"/>
              </w:rPr>
              <w:t>-36.62%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28,490</w:t>
            </w:r>
          </w:p>
        </w:tc>
        <w:tc>
          <w:tcPr>
            <w:tcW w:type="dxa" w:w="1417"/>
            <w:shd w:fill="FFFFFF" w:val="clear"/>
          </w:tcPr>
          <w:p>
            <w:r>
              <w:rPr>
                <w:sz w:val="16"/>
              </w:rPr>
              <w:t>17,308</w:t>
            </w:r>
          </w:p>
        </w:tc>
        <w:tc>
          <w:tcPr>
            <w:tcW w:type="dxa" w:w="1134"/>
            <w:shd w:fill="FFC7CE" w:val="clear"/>
          </w:tcPr>
          <w:p>
            <w:r>
              <w:rPr>
                <w:b/>
                <w:color w:val="B40000"/>
                <w:sz w:val="16"/>
              </w:rPr>
              <w:t>-39.25%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2,280</w:t>
            </w:r>
          </w:p>
        </w:tc>
        <w:tc>
          <w:tcPr>
            <w:tcW w:type="dxa" w:w="1417"/>
            <w:shd w:fill="FFFFFF" w:val="clear"/>
          </w:tcPr>
          <w:p>
            <w:r>
              <w:rPr>
                <w:sz w:val="16"/>
              </w:rPr>
              <w:t>1,382</w:t>
            </w:r>
          </w:p>
        </w:tc>
        <w:tc>
          <w:tcPr>
            <w:tcW w:type="dxa" w:w="1134"/>
            <w:shd w:fill="FFC7CE" w:val="clear"/>
          </w:tcPr>
          <w:p>
            <w:r>
              <w:rPr>
                <w:b/>
                <w:color w:val="B40000"/>
                <w:sz w:val="16"/>
              </w:rPr>
              <w:t>-39.39%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2,820</w:t>
            </w:r>
          </w:p>
        </w:tc>
        <w:tc>
          <w:tcPr>
            <w:tcW w:type="dxa" w:w="1417"/>
            <w:shd w:fill="FFFFFF" w:val="clear"/>
          </w:tcPr>
          <w:p>
            <w:r>
              <w:rPr>
                <w:sz w:val="16"/>
              </w:rPr>
              <w:t>1,630</w:t>
            </w:r>
          </w:p>
        </w:tc>
        <w:tc>
          <w:tcPr>
            <w:tcW w:type="dxa" w:w="1134"/>
            <w:shd w:fill="FFC7CE" w:val="clear"/>
          </w:tcPr>
          <w:p>
            <w:r>
              <w:rPr>
                <w:b/>
                <w:color w:val="B40000"/>
                <w:sz w:val="16"/>
              </w:rPr>
              <w:t>-42.18%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5,000</w:t>
            </w:r>
          </w:p>
        </w:tc>
        <w:tc>
          <w:tcPr>
            <w:tcW w:type="dxa" w:w="1417"/>
            <w:shd w:fill="FFFFFF" w:val="clear"/>
          </w:tcPr>
          <w:p>
            <w:r>
              <w:rPr>
                <w:sz w:val="16"/>
              </w:rPr>
              <w:t>2,293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3,700</w:t>
            </w:r>
          </w:p>
        </w:tc>
        <w:tc>
          <w:tcPr>
            <w:tcW w:type="dxa" w:w="1417"/>
            <w:shd w:fill="FFFFFF" w:val="clear"/>
          </w:tcPr>
          <w:p>
            <w:r>
              <w:rPr>
                <w:sz w:val="16"/>
              </w:rPr>
              <w:t>1,697</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3,400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B40000"/>
                <w:sz w:val="17"/>
              </w:rPr>
              <w:t>-9.39%</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7.28% (Moyenne) — μ=3,240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β=-0.9698 (Contre-cyclique) — Cov=-0.000035, Var(idx)=0.000036, ρ=-0.176,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2,847</w:t>
            </w:r>
          </w:p>
        </w:tc>
        <w:tc>
          <w:tcPr>
            <w:tcW w:type="dxa" w:w="1440"/>
            <w:shd w:fill="FAFAFA" w:val="clear"/>
          </w:tcPr>
          <w:p>
            <w:r>
              <w:rPr>
                <w:b/>
                <w:sz w:val="17"/>
              </w:rPr>
              <w:t>2,948</w:t>
            </w:r>
          </w:p>
        </w:tc>
        <w:tc>
          <w:tcPr>
            <w:tcW w:type="dxa" w:w="1440"/>
            <w:shd w:fill="FAFAFA" w:val="clear"/>
          </w:tcPr>
          <w:p>
            <w:r>
              <w:rPr>
                <w:sz w:val="17"/>
              </w:rPr>
              <w:t>3,050</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2,774</w:t>
            </w:r>
          </w:p>
        </w:tc>
        <w:tc>
          <w:tcPr>
            <w:tcW w:type="dxa" w:w="1440"/>
            <w:shd w:fill="FFDCE0" w:val="clear"/>
          </w:tcPr>
          <w:p>
            <w:r>
              <w:rPr>
                <w:b/>
                <w:sz w:val="17"/>
              </w:rPr>
              <w:t>2,916</w:t>
            </w:r>
          </w:p>
        </w:tc>
        <w:tc>
          <w:tcPr>
            <w:tcW w:type="dxa" w:w="1440"/>
            <w:shd w:fill="FFDCE0" w:val="clear"/>
          </w:tcPr>
          <w:p>
            <w:r>
              <w:rPr>
                <w:sz w:val="17"/>
              </w:rPr>
              <w:t>3,058</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2,710</w:t>
            </w:r>
          </w:p>
        </w:tc>
        <w:tc>
          <w:tcPr>
            <w:tcW w:type="dxa" w:w="1440"/>
            <w:shd w:fill="FFDCE0" w:val="clear"/>
          </w:tcPr>
          <w:p>
            <w:r>
              <w:rPr>
                <w:b/>
                <w:sz w:val="17"/>
              </w:rPr>
              <w:t>2,882</w:t>
            </w:r>
          </w:p>
        </w:tc>
        <w:tc>
          <w:tcPr>
            <w:tcW w:type="dxa" w:w="1440"/>
            <w:shd w:fill="FFDCE0" w:val="clear"/>
          </w:tcPr>
          <w:p>
            <w:r>
              <w:rPr>
                <w:sz w:val="17"/>
              </w:rPr>
              <w:t>3,054</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2,654</w:t>
            </w:r>
          </w:p>
        </w:tc>
        <w:tc>
          <w:tcPr>
            <w:tcW w:type="dxa" w:w="1440"/>
            <w:shd w:fill="FFDCE0" w:val="clear"/>
          </w:tcPr>
          <w:p>
            <w:r>
              <w:rPr>
                <w:b/>
                <w:sz w:val="17"/>
              </w:rPr>
              <w:t>2,851</w:t>
            </w:r>
          </w:p>
        </w:tc>
        <w:tc>
          <w:tcPr>
            <w:tcW w:type="dxa" w:w="1440"/>
            <w:shd w:fill="FFDCE0" w:val="clear"/>
          </w:tcPr>
          <w:p>
            <w:r>
              <w:rPr>
                <w:sz w:val="17"/>
              </w:rPr>
              <w:t>3,047</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2,604</w:t>
            </w:r>
          </w:p>
        </w:tc>
        <w:tc>
          <w:tcPr>
            <w:tcW w:type="dxa" w:w="1440"/>
            <w:shd w:fill="FFDCE0" w:val="clear"/>
          </w:tcPr>
          <w:p>
            <w:r>
              <w:rPr>
                <w:b/>
                <w:sz w:val="17"/>
              </w:rPr>
              <w:t>2,821</w:t>
            </w:r>
          </w:p>
        </w:tc>
        <w:tc>
          <w:tcPr>
            <w:tcW w:type="dxa" w:w="1440"/>
            <w:shd w:fill="FFDCE0" w:val="clear"/>
          </w:tcPr>
          <w:p>
            <w:r>
              <w:rPr>
                <w:sz w:val="17"/>
              </w:rPr>
              <w:t>3,038</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2,558</w:t>
            </w:r>
          </w:p>
        </w:tc>
        <w:tc>
          <w:tcPr>
            <w:tcW w:type="dxa" w:w="1440"/>
            <w:shd w:fill="FFDCE0" w:val="clear"/>
          </w:tcPr>
          <w:p>
            <w:r>
              <w:rPr>
                <w:b/>
                <w:sz w:val="17"/>
              </w:rPr>
              <w:t>2,793</w:t>
            </w:r>
          </w:p>
        </w:tc>
        <w:tc>
          <w:tcPr>
            <w:tcW w:type="dxa" w:w="1440"/>
            <w:shd w:fill="FFDCE0" w:val="clear"/>
          </w:tcPr>
          <w:p>
            <w:r>
              <w:rPr>
                <w:sz w:val="17"/>
              </w:rPr>
              <w:t>3,028</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2,514</w:t>
            </w:r>
          </w:p>
        </w:tc>
        <w:tc>
          <w:tcPr>
            <w:tcW w:type="dxa" w:w="1440"/>
            <w:shd w:fill="FFDCE0" w:val="clear"/>
          </w:tcPr>
          <w:p>
            <w:r>
              <w:rPr>
                <w:b/>
                <w:sz w:val="17"/>
              </w:rPr>
              <w:t>2,766</w:t>
            </w:r>
          </w:p>
        </w:tc>
        <w:tc>
          <w:tcPr>
            <w:tcW w:type="dxa" w:w="1440"/>
            <w:shd w:fill="FFDCE0" w:val="clear"/>
          </w:tcPr>
          <w:p>
            <w:r>
              <w:rPr>
                <w:sz w:val="17"/>
              </w:rPr>
              <w:t>3,018</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2,474</w:t>
            </w:r>
          </w:p>
        </w:tc>
        <w:tc>
          <w:tcPr>
            <w:tcW w:type="dxa" w:w="1440"/>
            <w:shd w:fill="FFDCE0" w:val="clear"/>
          </w:tcPr>
          <w:p>
            <w:r>
              <w:rPr>
                <w:b/>
                <w:sz w:val="17"/>
              </w:rPr>
              <w:t>2,740</w:t>
            </w:r>
          </w:p>
        </w:tc>
        <w:tc>
          <w:tcPr>
            <w:tcW w:type="dxa" w:w="1440"/>
            <w:shd w:fill="FFDCE0" w:val="clear"/>
          </w:tcPr>
          <w:p>
            <w:r>
              <w:rPr>
                <w:sz w:val="17"/>
              </w:rPr>
              <w:t>3,007</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2,435</w:t>
            </w:r>
          </w:p>
        </w:tc>
        <w:tc>
          <w:tcPr>
            <w:tcW w:type="dxa" w:w="1440"/>
            <w:shd w:fill="FFDCE0" w:val="clear"/>
          </w:tcPr>
          <w:p>
            <w:r>
              <w:rPr>
                <w:b/>
                <w:sz w:val="17"/>
              </w:rPr>
              <w:t>2,716</w:t>
            </w:r>
          </w:p>
        </w:tc>
        <w:tc>
          <w:tcPr>
            <w:tcW w:type="dxa" w:w="1440"/>
            <w:shd w:fill="FFDCE0" w:val="clear"/>
          </w:tcPr>
          <w:p>
            <w:r>
              <w:rPr>
                <w:sz w:val="17"/>
              </w:rPr>
              <w:t>2,996</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2,399</w:t>
            </w:r>
          </w:p>
        </w:tc>
        <w:tc>
          <w:tcPr>
            <w:tcW w:type="dxa" w:w="1440"/>
            <w:shd w:fill="FFDCE0" w:val="clear"/>
          </w:tcPr>
          <w:p>
            <w:r>
              <w:rPr>
                <w:b/>
                <w:sz w:val="17"/>
              </w:rPr>
              <w:t>2,692</w:t>
            </w:r>
          </w:p>
        </w:tc>
        <w:tc>
          <w:tcPr>
            <w:tcW w:type="dxa" w:w="1440"/>
            <w:shd w:fill="FFDCE0" w:val="clear"/>
          </w:tcPr>
          <w:p>
            <w:r>
              <w:rPr>
                <w:sz w:val="17"/>
              </w:rPr>
              <w:t>2,984</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32,63 milliards FCFA, un niveau significatif pour une valeur de la cote BRVM, reflétant son statut de société de services aéroportuaires établie. Le BPA de 124 FCFA indique que chaque action a généré un bénéfice net de ce montant sur l'exercice 2025. Le PER de 24,2x est nettement supérieur à la moyenne historique de la BRVM (8-12x), ce qui signifie que les investisseurs paient une prime substantielle pour chaque franc de bénéfice, anticipant une forte croissance future ou traduisant une possible surévaluation. Le P/B de 6,32x confirme cette prime, le marché valorisant l'actif net comptable plus de six fois au-dessus de sa valeur. Enfin, l'EV/EBITDA de 12,1x, bien que dans la fourchette haute (10-15x), indique que la valeur totale de l'entreprise (capitalisation + dette nette) représente 12,1 fois son excédent brut d'exploitation, une valorisation exigeante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significative de -9,39%, avec une dernière séance en léger repli de -0,33% à 2 990 FCFA. Le titre a évolué dans une fourchette large de 935 FCFA, entre un plus haut de 3 780 FCFA et un plus bas de 2 845 FCFA, illustrant une forte amplitude de mouvement. La moyenne du cours sur la période est de 3 240 FCFA, très proche de la médiane (3 235 FCFA), ce qui indique une distribution des prix relativement symétrique, confirmée par un skewness de 0,123. L'écart-type de 237 FCFA (CV=7,3%) montre une dispersion modérée autour de la moyenne. Le kurtosis de -0,813 (mésokurtique) suggère une absence de pics de volatilité extrêmes, avec une distribution proche de la normale. La volatilité annualisée de 52,2% est très élevée (&gt;30%), classant ABJC comme un titre à risque fort, ce qui est cohérent avec la tendance baissière marquée observée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(2 990 FCFA) est inférieur à la MM20 (3 079 FCFA) et à la MM50 (3 162,6 FCFA), confirmant une dynamique baissière à court et moyen terme. La configuration en "cascade" (prix &lt; MM20 &lt; MM50) est un signal de vente classique, indiquant que la pression vendeuse domine.</w:t>
      </w:r>
    </w:p>
    <w:p>
      <w:pPr>
        <w:spacing w:after="120" w:line="276" w:lineRule="auto"/>
      </w:pPr>
      <w:r>
        <w:t>**Bandes de Bollinger** : Le prix se situe dans la moitié inférieure des bandes, proche de la borne basse (2 910,6 FCFA) et loin de la borne supérieure (3 247,4 FCFA). Cela suggère que le titre est survendu à court terme, mais sans signal de retournement immédiat. La décision "Neutre" reflète une position en attente d'un catalyseur.</w:t>
      </w:r>
    </w:p>
    <w:p>
      <w:pPr>
        <w:spacing w:after="120" w:line="276" w:lineRule="auto"/>
      </w:pPr>
      <w:r>
        <w:t>**MACD** : Le MACD (-48,7) est inférieur à son signal (-42,6), tous deux en territoire négatif. Cette configuration baissière indique que le momentum est résolument négatif et que la tendance de fond reste vendeuse, sans signe d'essoufflement de la baisse.</w:t>
      </w:r>
    </w:p>
    <w:p>
      <w:pPr>
        <w:spacing w:after="120" w:line="276" w:lineRule="auto"/>
      </w:pPr>
      <w:r>
        <w:t>**RSI** : À 40,69, le RSI se situe en zone neutre, en dessous de sa moyenne. Il n'est pas en zone de survente (&lt;30), ce qui signifie que le potentiel de baisse n'est pas encore épuisé et qu'aucun rebond technique majeur n'est à attendre sur la base de cet indicateur.</w:t>
      </w:r>
    </w:p>
    <w:p>
      <w:pPr>
        <w:spacing w:after="120" w:line="276" w:lineRule="auto"/>
      </w:pPr>
      <w:r>
        <w:t>**Stochastique** : Le %K (17,4) est inférieur au %D (20,3), tous deux en zone de survente profonde. Bien que la décision soit "Achat", ce croisement en zone de survente suggère un potentiel de rebond technique à très court terme, mais qui pourrait être fragile dans une tendance baissière plus large.</w:t>
      </w:r>
    </w:p>
    <w:p>
      <w:pPr>
        <w:spacing w:after="120" w:line="276" w:lineRule="auto"/>
      </w:pPr>
      <w:r>
        <w:t>**Conclusion technique** : La convergence des indicateurs (MM, MACD) est clairement baissière, tandis que les oscillateurs (RSI, Stochastique) montrent des signes de survente sans confirmation de retournement. Le titre est dans une phase de faiblesse marquée, avec un biais vendeur dominant. Un rebond technique est possible, mais la tendance de fond reste résolument négative.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a réalisé un chiffre d'affaires de 13,298 milliards FCFA, en croissance de +6,7%, mais son résultat net a baissé de 12,1% à 1,351 milliard FCFA, principalement en raison d'une hausse de 46,7% de la charge d'impôt. La marge nette ressort à 10,2%, et le ROE est excellent à 26,2%, tandis que le ROA est de 14,6%. La structure financière est très saine avec une autonomie financière de 55,9% et une trésorerie nette positive de 4,035 milliards FCFA. Le BFR est faible (257 millions FCFA), et les délais clients (70 jours) et fournisseurs (92 jours) sont bien gérés. Les rapports trimestriels de 2025 montrent une trajectoire contrastée : un T1 2025 difficile (résultat net -6,8% à 346 millions FCFA) dû à un litige avec la BCEAO, suivi d'un T3 2025 très solide (résultat net +17,1% à 1,325 milliards FCFA). Cependant, le rapport T1 2026 (publié en 2026) révèle une forte dégradation : le résultat net chute de -35,6% à 222,6 millions FCFA, impacté par les ajustements de redevances aéroportuaires. Sur la base de ce T1 2026, on estime que l'exercice 2026 pourrait voir une contraction significative de la rentabilité, potentiellement autour de 800-900 millions FCFA de résultat net si la tendance se maintient, soit une baisse de 35-40% par rapport à 2025.</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préoccupante pour ABJC. La valorisation (Partie 0) est exigeante avec un PER de 24,2x et un P/B de 6,32x, nettement supérieurs aux moyennes du marché, indiquant une surévaluation relative. Le comportement du cours (Partie 1) est baissier (-9,4% sur 100 jours) avec une volatilité très élevée (52,2%), signalant un risque important. Les signaux techniques (Partie 2) sont majoritairement vendeurs (MM, MACD), avec seulement des signes de survente à court terme. Les fondamentaux (Partie 3), bien que solides en 2025 (ROE de 26,2%), montrent une dégradation nette en 2026, avec une baisse estimée du résultat net de 35-40%. Les prédictions IA pour les 10 prochains jours (baisse de 2 948 à 2 821 FCFA) confirment cette tendance baissière. La convergence de tous les signaux (valorisation, technique, fondamental, prédiction) est négative. **Recommandation : VENTE.** Le niveau de confiance est **Élevé** et le niveau de risque est **Élevé**. L'horizon d'investissement optimal est le **court terme (&lt;3 mois)** pour les investisseurs cherchant à réduire leur exposition, car la tendance de fond reste baissière malgré un possible rebond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444.17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8,400 titres</w:t>
            </w:r>
          </w:p>
        </w:tc>
        <w:tc>
          <w:tcPr>
            <w:tcW w:type="dxa" w:w="2268"/>
            <w:shd w:fill="FFF2CC" w:val="clear"/>
          </w:tcPr>
          <w:p>
            <w:r>
              <w:rPr>
                <w:b/>
                <w:color w:val="503200"/>
                <w:sz w:val="16"/>
              </w:rPr>
              <w:t xml:space="preserve">Cours actuel : </w:t>
            </w:r>
            <w:r>
              <w:rPr>
                <w:color w:val="000000"/>
                <w:sz w:val="17"/>
              </w:rPr>
              <w:t>7,690 FCFA</w:t>
            </w:r>
          </w:p>
          <w:p>
            <w:r>
              <w:rPr>
                <w:b/>
                <w:color w:val="503200"/>
                <w:sz w:val="16"/>
              </w:rPr>
              <w:t xml:space="preserve">Var. 100 jours : </w:t>
            </w:r>
            <w:r>
              <w:rPr>
                <w:b/>
                <w:color w:val="007800"/>
                <w:sz w:val="17"/>
              </w:rPr>
              <w:t>+46.48%</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12.63% (Moyenne) — μ=5,660 FCFA, σ=715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β=0.4015 (Défensif) — Cov=0.000015, Var(idx)=0.000036,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8954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6,820</w:t>
            </w:r>
          </w:p>
        </w:tc>
        <w:tc>
          <w:tcPr>
            <w:tcW w:type="dxa" w:w="1440"/>
            <w:shd w:fill="FFDCE0" w:val="clear"/>
          </w:tcPr>
          <w:p>
            <w:r>
              <w:rPr>
                <w:b/>
                <w:sz w:val="17"/>
              </w:rPr>
              <w:t>7,113</w:t>
            </w:r>
          </w:p>
        </w:tc>
        <w:tc>
          <w:tcPr>
            <w:tcW w:type="dxa" w:w="1440"/>
            <w:shd w:fill="FFDCE0" w:val="clear"/>
          </w:tcPr>
          <w:p>
            <w:r>
              <w:rPr>
                <w:sz w:val="17"/>
              </w:rPr>
              <w:t>7,407</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6,196</w:t>
            </w:r>
          </w:p>
        </w:tc>
        <w:tc>
          <w:tcPr>
            <w:tcW w:type="dxa" w:w="1440"/>
            <w:shd w:fill="FFDCE0" w:val="clear"/>
          </w:tcPr>
          <w:p>
            <w:r>
              <w:rPr>
                <w:b/>
                <w:sz w:val="17"/>
              </w:rPr>
              <w:t>6,580</w:t>
            </w:r>
          </w:p>
        </w:tc>
        <w:tc>
          <w:tcPr>
            <w:tcW w:type="dxa" w:w="1440"/>
            <w:shd w:fill="FFDCE0" w:val="clear"/>
          </w:tcPr>
          <w:p>
            <w:r>
              <w:rPr>
                <w:sz w:val="17"/>
              </w:rPr>
              <w:t>6,964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5,699</w:t>
            </w:r>
          </w:p>
        </w:tc>
        <w:tc>
          <w:tcPr>
            <w:tcW w:type="dxa" w:w="1440"/>
            <w:shd w:fill="FFDCE0" w:val="clear"/>
          </w:tcPr>
          <w:p>
            <w:r>
              <w:rPr>
                <w:b/>
                <w:sz w:val="17"/>
              </w:rPr>
              <w:t>6,138</w:t>
            </w:r>
          </w:p>
        </w:tc>
        <w:tc>
          <w:tcPr>
            <w:tcW w:type="dxa" w:w="1440"/>
            <w:shd w:fill="FFDCE0" w:val="clear"/>
          </w:tcPr>
          <w:p>
            <w:r>
              <w:rPr>
                <w:sz w:val="17"/>
              </w:rPr>
              <w:t>6,577</w:t>
            </w:r>
          </w:p>
        </w:tc>
        <w:tc>
          <w:tcPr>
            <w:tcW w:type="dxa" w:w="1440"/>
            <w:shd w:fill="FFDCE0" w:val="clear"/>
          </w:tcPr>
          <w:p>
            <w:r>
              <w:rPr>
                <w:b/>
                <w:color w:val="C00000"/>
                <w:sz w:val="17"/>
              </w:rPr>
              <w:t>-20.2%</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5,497</w:t>
            </w:r>
          </w:p>
        </w:tc>
        <w:tc>
          <w:tcPr>
            <w:tcW w:type="dxa" w:w="1440"/>
            <w:shd w:fill="FFDCE0" w:val="clear"/>
          </w:tcPr>
          <w:p>
            <w:r>
              <w:rPr>
                <w:b/>
                <w:sz w:val="17"/>
              </w:rPr>
              <w:t>5,992</w:t>
            </w:r>
          </w:p>
        </w:tc>
        <w:tc>
          <w:tcPr>
            <w:tcW w:type="dxa" w:w="1440"/>
            <w:shd w:fill="FFDCE0" w:val="clear"/>
          </w:tcPr>
          <w:p>
            <w:r>
              <w:rPr>
                <w:sz w:val="17"/>
              </w:rPr>
              <w:t>6,487</w:t>
            </w:r>
          </w:p>
        </w:tc>
        <w:tc>
          <w:tcPr>
            <w:tcW w:type="dxa" w:w="1440"/>
            <w:shd w:fill="FFDCE0" w:val="clear"/>
          </w:tcPr>
          <w:p>
            <w:r>
              <w:rPr>
                <w:b/>
                <w:color w:val="C00000"/>
                <w:sz w:val="17"/>
              </w:rPr>
              <w:t>-22.1%</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5,318</w:t>
            </w:r>
          </w:p>
        </w:tc>
        <w:tc>
          <w:tcPr>
            <w:tcW w:type="dxa" w:w="1440"/>
            <w:shd w:fill="FFDCE0" w:val="clear"/>
          </w:tcPr>
          <w:p>
            <w:r>
              <w:rPr>
                <w:b/>
                <w:sz w:val="17"/>
              </w:rPr>
              <w:t>5,859</w:t>
            </w:r>
          </w:p>
        </w:tc>
        <w:tc>
          <w:tcPr>
            <w:tcW w:type="dxa" w:w="1440"/>
            <w:shd w:fill="FFDCE0" w:val="clear"/>
          </w:tcPr>
          <w:p>
            <w:r>
              <w:rPr>
                <w:sz w:val="17"/>
              </w:rPr>
              <w:t>6,400</w:t>
            </w:r>
          </w:p>
        </w:tc>
        <w:tc>
          <w:tcPr>
            <w:tcW w:type="dxa" w:w="1440"/>
            <w:shd w:fill="FFDCE0" w:val="clear"/>
          </w:tcPr>
          <w:p>
            <w:r>
              <w:rPr>
                <w:b/>
                <w:color w:val="C00000"/>
                <w:sz w:val="17"/>
              </w:rPr>
              <w:t>-23.8%</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5,162</w:t>
            </w:r>
          </w:p>
        </w:tc>
        <w:tc>
          <w:tcPr>
            <w:tcW w:type="dxa" w:w="1440"/>
            <w:shd w:fill="FFDCE0" w:val="clear"/>
          </w:tcPr>
          <w:p>
            <w:r>
              <w:rPr>
                <w:b/>
                <w:sz w:val="17"/>
              </w:rPr>
              <w:t>5,743</w:t>
            </w:r>
          </w:p>
        </w:tc>
        <w:tc>
          <w:tcPr>
            <w:tcW w:type="dxa" w:w="1440"/>
            <w:shd w:fill="FFDCE0" w:val="clear"/>
          </w:tcPr>
          <w:p>
            <w:r>
              <w:rPr>
                <w:sz w:val="17"/>
              </w:rPr>
              <w:t>6,324</w:t>
            </w:r>
          </w:p>
        </w:tc>
        <w:tc>
          <w:tcPr>
            <w:tcW w:type="dxa" w:w="1440"/>
            <w:shd w:fill="FFDCE0" w:val="clear"/>
          </w:tcPr>
          <w:p>
            <w:r>
              <w:rPr>
                <w:b/>
                <w:color w:val="C00000"/>
                <w:sz w:val="17"/>
              </w:rPr>
              <w:t>-25.3%</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5,025</w:t>
            </w:r>
          </w:p>
        </w:tc>
        <w:tc>
          <w:tcPr>
            <w:tcW w:type="dxa" w:w="1440"/>
            <w:shd w:fill="FFDCE0" w:val="clear"/>
          </w:tcPr>
          <w:p>
            <w:r>
              <w:rPr>
                <w:b/>
                <w:sz w:val="17"/>
              </w:rPr>
              <w:t>5,641</w:t>
            </w:r>
          </w:p>
        </w:tc>
        <w:tc>
          <w:tcPr>
            <w:tcW w:type="dxa" w:w="1440"/>
            <w:shd w:fill="FFDCE0" w:val="clear"/>
          </w:tcPr>
          <w:p>
            <w:r>
              <w:rPr>
                <w:sz w:val="17"/>
              </w:rPr>
              <w:t>6,258</w:t>
            </w:r>
          </w:p>
        </w:tc>
        <w:tc>
          <w:tcPr>
            <w:tcW w:type="dxa" w:w="1440"/>
            <w:shd w:fill="FFDCE0" w:val="clear"/>
          </w:tcPr>
          <w:p>
            <w:r>
              <w:rPr>
                <w:b/>
                <w:color w:val="C00000"/>
                <w:sz w:val="17"/>
              </w:rPr>
              <w:t>-26.6%</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4,905</w:t>
            </w:r>
          </w:p>
        </w:tc>
        <w:tc>
          <w:tcPr>
            <w:tcW w:type="dxa" w:w="1440"/>
            <w:shd w:fill="FFDCE0" w:val="clear"/>
          </w:tcPr>
          <w:p>
            <w:r>
              <w:rPr>
                <w:b/>
                <w:sz w:val="17"/>
              </w:rPr>
              <w:t>5,553</w:t>
            </w:r>
          </w:p>
        </w:tc>
        <w:tc>
          <w:tcPr>
            <w:tcW w:type="dxa" w:w="1440"/>
            <w:shd w:fill="FFDCE0" w:val="clear"/>
          </w:tcPr>
          <w:p>
            <w:r>
              <w:rPr>
                <w:sz w:val="17"/>
              </w:rPr>
              <w:t>6,202</w:t>
            </w:r>
          </w:p>
        </w:tc>
        <w:tc>
          <w:tcPr>
            <w:tcW w:type="dxa" w:w="1440"/>
            <w:shd w:fill="FFDCE0" w:val="clear"/>
          </w:tcPr>
          <w:p>
            <w:r>
              <w:rPr>
                <w:b/>
                <w:color w:val="C00000"/>
                <w:sz w:val="17"/>
              </w:rPr>
              <w:t>-27.8%</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4,799</w:t>
            </w:r>
          </w:p>
        </w:tc>
        <w:tc>
          <w:tcPr>
            <w:tcW w:type="dxa" w:w="1440"/>
            <w:shd w:fill="FFDCE0" w:val="clear"/>
          </w:tcPr>
          <w:p>
            <w:r>
              <w:rPr>
                <w:b/>
                <w:sz w:val="17"/>
              </w:rPr>
              <w:t>5,477</w:t>
            </w:r>
          </w:p>
        </w:tc>
        <w:tc>
          <w:tcPr>
            <w:tcW w:type="dxa" w:w="1440"/>
            <w:shd w:fill="FFDCE0" w:val="clear"/>
          </w:tcPr>
          <w:p>
            <w:r>
              <w:rPr>
                <w:sz w:val="17"/>
              </w:rPr>
              <w:t>6,156</w:t>
            </w:r>
          </w:p>
        </w:tc>
        <w:tc>
          <w:tcPr>
            <w:tcW w:type="dxa" w:w="1440"/>
            <w:shd w:fill="FFDCE0" w:val="clear"/>
          </w:tcPr>
          <w:p>
            <w:r>
              <w:rPr>
                <w:b/>
                <w:color w:val="C00000"/>
                <w:sz w:val="17"/>
              </w:rPr>
              <w:t>-28.8%</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4,705</w:t>
            </w:r>
          </w:p>
        </w:tc>
        <w:tc>
          <w:tcPr>
            <w:tcW w:type="dxa" w:w="1440"/>
            <w:shd w:fill="FFDCE0" w:val="clear"/>
          </w:tcPr>
          <w:p>
            <w:r>
              <w:rPr>
                <w:b/>
                <w:sz w:val="17"/>
              </w:rPr>
              <w:t>5,411</w:t>
            </w:r>
          </w:p>
        </w:tc>
        <w:tc>
          <w:tcPr>
            <w:tcW w:type="dxa" w:w="1440"/>
            <w:shd w:fill="FFDCE0" w:val="clear"/>
          </w:tcPr>
          <w:p>
            <w:r>
              <w:rPr>
                <w:sz w:val="17"/>
              </w:rPr>
              <w:t>6,118</w:t>
            </w:r>
          </w:p>
        </w:tc>
        <w:tc>
          <w:tcPr>
            <w:tcW w:type="dxa" w:w="1440"/>
            <w:shd w:fill="FFDCE0" w:val="clear"/>
          </w:tcPr>
          <w:p>
            <w:r>
              <w:rPr>
                <w:b/>
                <w:color w:val="C00000"/>
                <w:sz w:val="17"/>
              </w:rPr>
              <w:t>-29.6%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444,17 milliards FCFA, un niveau qui la positionne parmi les valeurs moyennes à grandes capitalisations de la BRVM, lui conférant une liquidité potentiellement correcte. Avec un BPA de 627 FCFA, chaque action génère un bénéfice substantiel, justifiant un PER de 12,3x. Ce ratio, bien que légèrement supérieur à la moyenne historique de la place (~8-12x), reste modéré et traduit une valorisation raisonnable pour une banque de cette envergure. Le P/B de 3,29x indique que le marché accorde une prime de croissance significative par rapport à la valeur comptable des actifs, reflétant la confiance des investisseurs dans la rentabilité future. Enfin, l'EV/EBITDA de 22,9x est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+46,48%, avec une dernière séance en hausse de +1,38% à 7 690 FCFA. Le titre a évolué dans une fourchette de 5 000 à 7 850 FCFA, démontrant une forte dynamique haussière. La moyenne du cours sur la période (5 660 FCFA) est supérieure à la médiane (5 250 FCFA), ce qui, combiné à un skewness positif de 1,552, indique une asymétrie positive avec des journées de forte hausse plus fréquentes. L'écart-type de 718 FCFA (CV=12,7%) montre une dispersion modérée, tandis que le kurtosis de 1,575 (leptokurtique) signale un risque de mouvements extrêmes. La volatilité annualisée de 28,6% classe le titre dans la catégorie "modérée à élevée", reflétant un intérêt soutenu mais aussi une certaine nervosité du marché.</w:t>
      </w:r>
    </w:p>
    <w:p>
      <w:pPr>
        <w:spacing w:after="120" w:line="276" w:lineRule="auto" w:before="240"/>
      </w:pPr>
      <w:r>
        <w:rPr>
          <w:b/>
          <w:color w:val="003366"/>
          <w:sz w:val="24"/>
        </w:rPr>
        <w:t>**PARTIE 2 : ANALYSE TECHNIQUE DÉTAILLÉE**</w:t>
      </w:r>
    </w:p>
    <w:p>
      <w:pPr>
        <w:spacing w:after="120" w:line="276" w:lineRule="auto"/>
      </w:pPr>
      <w:r>
        <w:t>**Moyennes Mobiles** : Le cours actuel (7 690 FCFA) se situe nettement au-dessus de la MM20 (6 885 FCFA) et de la MM50 (6 142,8 FCFA), confirmant une tendance haussière solide. La configuration des moyennes mobiles, avec le cours au-dessus des deux, génère un signal d'achat, indiquant que la dynamique positive est toujours en place.</w:t>
      </w:r>
    </w:p>
    <w:p>
      <w:pPr>
        <w:spacing w:after="120" w:line="276" w:lineRule="auto"/>
      </w:pPr>
      <w:r>
        <w:t>**Bandes de Bollinger** : Le prix évolue dans la partie supérieure des bandes, proche de la borne haute (8 058 FCFA), ce qui témoigne d'une pression acheteuse persistante. La décision est neutre, car le titre n'a pas encore touché la borne, mais la largeur des bandes suggère une volatilité élevée. Un dépassement de la borne pourrait signaler une extension de tendance ou un retournement.</w:t>
      </w:r>
    </w:p>
    <w:p>
      <w:pPr>
        <w:spacing w:after="120" w:line="276" w:lineRule="auto"/>
      </w:pPr>
      <w:r>
        <w:t>**MACD** : Le MACD (456,8) est nettement au-dessus de sa ligne de signal (392,9), avec un écart positif croissant. Ce croisement haussier confirme un momentum positif et une dynamique d'achat soutenue, justifiant la décision d'achat. La tendance semble robuste à moyen terme.</w:t>
      </w:r>
    </w:p>
    <w:p>
      <w:pPr>
        <w:spacing w:after="120" w:line="276" w:lineRule="auto"/>
      </w:pPr>
      <w:r>
        <w:t>**RSI** : Le RSI à 73,7 est en zone de surachat (au-dessus de 70), signalant que le titre est potentiellement surévalué à court terme. Cela suggère un risque de correction ou de consolidation, d'où une décision de vente. Les investisseurs pourraient prendre leurs profits après une telle progression.</w:t>
      </w:r>
    </w:p>
    <w:p>
      <w:pPr>
        <w:spacing w:after="120" w:line="276" w:lineRule="auto"/>
      </w:pPr>
      <w:r>
        <w:t>**Stochastique** : Le %K (89,7) et le %D (85,5) sont tous deux en zone de surachat, avec %K au-dessus de %D, indiquant une force haussière mais aussi une extrême tension. La décision de vente reflète le risque de retournement imminent, car les conditions de surachat sont extrêmes.</w:t>
      </w:r>
    </w:p>
    <w:p>
      <w:pPr>
        <w:spacing w:after="120" w:line="276" w:lineRule="auto"/>
      </w:pPr>
      <w:r>
        <w:t>**Conclusion technique** : Les indicateurs de tendance (MM, MACD) sont positifs, mais les oscillateurs (RSI, Stochastique) signalent un surachat prononcé. Cette divergence suggère que la tendance haussière pourrait marquer une pause ou subir une correction à court terme. La prudence est recommandée, bien que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BICB (banque) révèlent un Produit Net Bancaire (PNB) de 52,805 milliards FCFA, en croissance de 16,49% par rapport à 2024 (45,207 milliards FCFA, rapport du 31/12/2024). Le résultat net s'établit à 36,237 milliards FCFA, contre 30,341 milliards en 2024, soit une progression de 19,4%. La rentabilité est excellente avec un ROE de 26,82% et un ROA de 1,96%. Le coefficient d'exploitation de 31,12% est remarquable, indiquant une banque très efficace dans la maîtrise de ses charges. Cependant, le coût du risque de 9,61% est élevé, reflétant une dégradation de la qualité du portefeuille de crédits, comme le confirment les rapports trimestriels 2025. Au S1 2025, le résultat net a chuté de 26,7% à 7,903 milliards FCFA (PNB +28% à 25,738 milliards), et au T3 2025, le résultat net cumulé est de 13,128 milliards FCFA (-9% vs T3 2024), malgré un PNB en hausse de 26%. Cette divergence s'explique par une explosion du coût du risque (+429% au S1), liée à une politique de provisionnement prudente face à la croissance rapide des crédits (+30% au T3). La banque affiche une solidité financière avec des capitaux propres de 135,118 milliards FCFA et un ratio de solvabilité de 19,64% (rapport 2025), bien au-dessus du minimum réglementaire. Les dépôts clientèle (1 181 milliards) financent largement les créances (1 151 milliards), avec un ratio de transformation de 97,5%, signalant une tension sur la liquidité. En estimant sur la base du T3 2025, le résultat net annuel pourrait atteindre environ 17,5 milliards FCFA, en baisse par rapport à 2024, mais le PNB devrait dépasser 48 milliards FCFA, confirmant la dynamique commerciale. La recommandation fondamentale est de conserver le titre, car la croissance est solide mais la rentabilité est pénalisée par le risque de crédit.</w:t>
      </w:r>
    </w:p>
    <w:p>
      <w:pPr>
        <w:spacing w:after="120" w:line="276" w:lineRule="auto" w:before="240"/>
      </w:pPr>
      <w:r>
        <w:rPr>
          <w:b/>
          <w:color w:val="003366"/>
          <w:sz w:val="24"/>
        </w:rPr>
        <w:t>**PARTIE 4 : CONCLUSION D'INVESTISSEMENT**</w:t>
      </w:r>
    </w:p>
    <w:p>
      <w:pPr>
        <w:spacing w:after="120" w:line="276" w:lineRule="auto"/>
      </w:pPr>
      <w:r>
        <w:t>La valorisation de BICB (PER 12,3x, P/B 3,29x, EV/EBITDA 22,9x) est modérée mais exigeante, reflétant une prime de croissance justifiée par des fondamentaux solides. Le comportement du cours (+46,5% en 100 jours) montre une tendance haussière forte, mais les statistiques (kurtosis élevé, skewness positif) et la volatilité de 28,6% signalent un risque de retournement. Les signaux techniques sont mitigés : les indicateurs de tendance (MM, MACD) sont positifs, mais les oscillateurs (RSI, Stochastique) sont en surachat, suggérant une correction probable. Les fondamentaux sont contrastés : une croissance du PNB de 16,5% en 2025, un ROE de 26,8% excellent, mais un coût du risque élevé et une baisse du résultat net au T3 2025. Les prédictions IA (J+1 à J+10) prévoient une chute du cours de 7 690 à 5 859 FCFA, confirmant les signaux de surachat technique. En synthèse, la convergence entre les signaux techniques (surachat) et les prédictions IA (baisse) contraste avec la solidité fondamentale à long terme. La recommandation finale est **CONSERVER** avec un niveau de confiance **Moyen**, un risque global **Élevé**, et un horizon d'investissement **moyen terme (3-12 mois)** pour absorber une éventuelle correction avant de renforcer la position.</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822 titres</w:t>
            </w:r>
          </w:p>
        </w:tc>
        <w:tc>
          <w:tcPr>
            <w:tcW w:type="dxa" w:w="2268"/>
            <w:shd w:fill="FFF2CC" w:val="clear"/>
          </w:tcPr>
          <w:p>
            <w:r>
              <w:rPr>
                <w:b/>
                <w:color w:val="503200"/>
                <w:sz w:val="16"/>
              </w:rPr>
              <w:t xml:space="preserve">Cours actuel : </w:t>
            </w:r>
            <w:r>
              <w:rPr>
                <w:color w:val="000000"/>
                <w:sz w:val="17"/>
              </w:rPr>
              <w:t>29,015 FCFA</w:t>
            </w:r>
          </w:p>
          <w:p>
            <w:r>
              <w:rPr>
                <w:b/>
                <w:color w:val="503200"/>
                <w:sz w:val="16"/>
              </w:rPr>
              <w:t xml:space="preserve">Var. 100 jours : </w:t>
            </w:r>
            <w:r>
              <w:rPr>
                <w:b/>
                <w:color w:val="007800"/>
                <w:sz w:val="17"/>
              </w:rPr>
              <w:t>+16.53%</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7.25% (Moyenne) — μ=26,721 FCFA, σ=1,937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β=0.7095 (Défensif) — Cov=0.000026, Var(idx)=0.000036, ρ=0.217,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822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728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27,271</w:t>
            </w:r>
          </w:p>
        </w:tc>
        <w:tc>
          <w:tcPr>
            <w:tcW w:type="dxa" w:w="1440"/>
            <w:shd w:fill="FFDCE0" w:val="clear"/>
          </w:tcPr>
          <w:p>
            <w:r>
              <w:rPr>
                <w:b/>
                <w:sz w:val="17"/>
              </w:rPr>
              <w:t>28,195</w:t>
            </w:r>
          </w:p>
        </w:tc>
        <w:tc>
          <w:tcPr>
            <w:tcW w:type="dxa" w:w="1440"/>
            <w:shd w:fill="FFDCE0" w:val="clear"/>
          </w:tcPr>
          <w:p>
            <w:r>
              <w:rPr>
                <w:sz w:val="17"/>
              </w:rPr>
              <w:t>29,119</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26,665</w:t>
            </w:r>
          </w:p>
        </w:tc>
        <w:tc>
          <w:tcPr>
            <w:tcW w:type="dxa" w:w="1440"/>
            <w:shd w:fill="FFDCE0" w:val="clear"/>
          </w:tcPr>
          <w:p>
            <w:r>
              <w:rPr>
                <w:b/>
                <w:sz w:val="17"/>
              </w:rPr>
              <w:t>27,961</w:t>
            </w:r>
          </w:p>
        </w:tc>
        <w:tc>
          <w:tcPr>
            <w:tcW w:type="dxa" w:w="1440"/>
            <w:shd w:fill="FFDCE0" w:val="clear"/>
          </w:tcPr>
          <w:p>
            <w:r>
              <w:rPr>
                <w:sz w:val="17"/>
              </w:rPr>
              <w:t>29,257</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26,105</w:t>
            </w:r>
          </w:p>
        </w:tc>
        <w:tc>
          <w:tcPr>
            <w:tcW w:type="dxa" w:w="1440"/>
            <w:shd w:fill="FFDCE0" w:val="clear"/>
          </w:tcPr>
          <w:p>
            <w:r>
              <w:rPr>
                <w:b/>
                <w:sz w:val="17"/>
              </w:rPr>
              <w:t>27,676</w:t>
            </w:r>
          </w:p>
        </w:tc>
        <w:tc>
          <w:tcPr>
            <w:tcW w:type="dxa" w:w="1440"/>
            <w:shd w:fill="FFDCE0" w:val="clear"/>
          </w:tcPr>
          <w:p>
            <w:r>
              <w:rPr>
                <w:sz w:val="17"/>
              </w:rPr>
              <w:t>29,247</w:t>
            </w:r>
          </w:p>
        </w:tc>
        <w:tc>
          <w:tcPr>
            <w:tcW w:type="dxa" w:w="1440"/>
            <w:shd w:fill="FFDCE0" w:val="clear"/>
          </w:tcPr>
          <w:p>
            <w:r>
              <w:rPr>
                <w:b/>
                <w:color w:val="C00000"/>
                <w:sz w:val="17"/>
              </w:rPr>
              <w:t>-4.6%</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25,614</w:t>
            </w:r>
          </w:p>
        </w:tc>
        <w:tc>
          <w:tcPr>
            <w:tcW w:type="dxa" w:w="1440"/>
            <w:shd w:fill="FFDCE0" w:val="clear"/>
          </w:tcPr>
          <w:p>
            <w:r>
              <w:rPr>
                <w:b/>
                <w:sz w:val="17"/>
              </w:rPr>
              <w:t>27,411</w:t>
            </w:r>
          </w:p>
        </w:tc>
        <w:tc>
          <w:tcPr>
            <w:tcW w:type="dxa" w:w="1440"/>
            <w:shd w:fill="FFDCE0" w:val="clear"/>
          </w:tcPr>
          <w:p>
            <w:r>
              <w:rPr>
                <w:sz w:val="17"/>
              </w:rPr>
              <w:t>29,208</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25,176</w:t>
            </w:r>
          </w:p>
        </w:tc>
        <w:tc>
          <w:tcPr>
            <w:tcW w:type="dxa" w:w="1440"/>
            <w:shd w:fill="FFDCE0" w:val="clear"/>
          </w:tcPr>
          <w:p>
            <w:r>
              <w:rPr>
                <w:b/>
                <w:sz w:val="17"/>
              </w:rPr>
              <w:t>27,168</w:t>
            </w:r>
          </w:p>
        </w:tc>
        <w:tc>
          <w:tcPr>
            <w:tcW w:type="dxa" w:w="1440"/>
            <w:shd w:fill="FFDCE0" w:val="clear"/>
          </w:tcPr>
          <w:p>
            <w:r>
              <w:rPr>
                <w:sz w:val="17"/>
              </w:rPr>
              <w:t>29,159</w:t>
            </w:r>
          </w:p>
        </w:tc>
        <w:tc>
          <w:tcPr>
            <w:tcW w:type="dxa" w:w="1440"/>
            <w:shd w:fill="FFDCE0" w:val="clear"/>
          </w:tcPr>
          <w:p>
            <w:r>
              <w:rPr>
                <w:b/>
                <w:color w:val="C00000"/>
                <w:sz w:val="17"/>
              </w:rPr>
              <w:t>-6.4%</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24,774</w:t>
            </w:r>
          </w:p>
        </w:tc>
        <w:tc>
          <w:tcPr>
            <w:tcW w:type="dxa" w:w="1440"/>
            <w:shd w:fill="FFDCE0" w:val="clear"/>
          </w:tcPr>
          <w:p>
            <w:r>
              <w:rPr>
                <w:b/>
                <w:sz w:val="17"/>
              </w:rPr>
              <w:t>26,937</w:t>
            </w:r>
          </w:p>
        </w:tc>
        <w:tc>
          <w:tcPr>
            <w:tcW w:type="dxa" w:w="1440"/>
            <w:shd w:fill="FFDCE0" w:val="clear"/>
          </w:tcPr>
          <w:p>
            <w:r>
              <w:rPr>
                <w:sz w:val="17"/>
              </w:rPr>
              <w:t>29,099</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24,398</w:t>
            </w:r>
          </w:p>
        </w:tc>
        <w:tc>
          <w:tcPr>
            <w:tcW w:type="dxa" w:w="1440"/>
            <w:shd w:fill="FFDCE0" w:val="clear"/>
          </w:tcPr>
          <w:p>
            <w:r>
              <w:rPr>
                <w:b/>
                <w:sz w:val="17"/>
              </w:rPr>
              <w:t>26,715</w:t>
            </w:r>
          </w:p>
        </w:tc>
        <w:tc>
          <w:tcPr>
            <w:tcW w:type="dxa" w:w="1440"/>
            <w:shd w:fill="FFDCE0" w:val="clear"/>
          </w:tcPr>
          <w:p>
            <w:r>
              <w:rPr>
                <w:sz w:val="17"/>
              </w:rPr>
              <w:t>29,032</w:t>
            </w:r>
          </w:p>
        </w:tc>
        <w:tc>
          <w:tcPr>
            <w:tcW w:type="dxa" w:w="1440"/>
            <w:shd w:fill="FFDCE0" w:val="clear"/>
          </w:tcPr>
          <w:p>
            <w:r>
              <w:rPr>
                <w:b/>
                <w:color w:val="C00000"/>
                <w:sz w:val="17"/>
              </w:rPr>
              <w:t>-7.9%</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24,044</w:t>
            </w:r>
          </w:p>
        </w:tc>
        <w:tc>
          <w:tcPr>
            <w:tcW w:type="dxa" w:w="1440"/>
            <w:shd w:fill="FFDCE0" w:val="clear"/>
          </w:tcPr>
          <w:p>
            <w:r>
              <w:rPr>
                <w:b/>
                <w:sz w:val="17"/>
              </w:rPr>
              <w:t>26,501</w:t>
            </w:r>
          </w:p>
        </w:tc>
        <w:tc>
          <w:tcPr>
            <w:tcW w:type="dxa" w:w="1440"/>
            <w:shd w:fill="FFDCE0" w:val="clear"/>
          </w:tcPr>
          <w:p>
            <w:r>
              <w:rPr>
                <w:sz w:val="17"/>
              </w:rPr>
              <w:t>28,958</w:t>
            </w:r>
          </w:p>
        </w:tc>
        <w:tc>
          <w:tcPr>
            <w:tcW w:type="dxa" w:w="1440"/>
            <w:shd w:fill="FFDCE0" w:val="clear"/>
          </w:tcPr>
          <w:p>
            <w:r>
              <w:rPr>
                <w:b/>
                <w:color w:val="C00000"/>
                <w:sz w:val="17"/>
              </w:rPr>
              <w:t>-8.7%</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23,709</w:t>
            </w:r>
          </w:p>
        </w:tc>
        <w:tc>
          <w:tcPr>
            <w:tcW w:type="dxa" w:w="1440"/>
            <w:shd w:fill="FFDCE0" w:val="clear"/>
          </w:tcPr>
          <w:p>
            <w:r>
              <w:rPr>
                <w:b/>
                <w:sz w:val="17"/>
              </w:rPr>
              <w:t>26,295</w:t>
            </w:r>
          </w:p>
        </w:tc>
        <w:tc>
          <w:tcPr>
            <w:tcW w:type="dxa" w:w="1440"/>
            <w:shd w:fill="FFDCE0" w:val="clear"/>
          </w:tcPr>
          <w:p>
            <w:r>
              <w:rPr>
                <w:sz w:val="17"/>
              </w:rPr>
              <w:t>28,880</w:t>
            </w:r>
          </w:p>
        </w:tc>
        <w:tc>
          <w:tcPr>
            <w:tcW w:type="dxa" w:w="1440"/>
            <w:shd w:fill="FFDCE0" w:val="clear"/>
          </w:tcPr>
          <w:p>
            <w:r>
              <w:rPr>
                <w:b/>
                <w:color w:val="C00000"/>
                <w:sz w:val="17"/>
              </w:rPr>
              <w:t>-9.4%</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23,391</w:t>
            </w:r>
          </w:p>
        </w:tc>
        <w:tc>
          <w:tcPr>
            <w:tcW w:type="dxa" w:w="1440"/>
            <w:shd w:fill="FFDCE0" w:val="clear"/>
          </w:tcPr>
          <w:p>
            <w:r>
              <w:rPr>
                <w:b/>
                <w:sz w:val="17"/>
              </w:rPr>
              <w:t>26,096</w:t>
            </w:r>
          </w:p>
        </w:tc>
        <w:tc>
          <w:tcPr>
            <w:tcW w:type="dxa" w:w="1440"/>
            <w:shd w:fill="FFDCE0" w:val="clear"/>
          </w:tcPr>
          <w:p>
            <w:r>
              <w:rPr>
                <w:sz w:val="17"/>
              </w:rPr>
              <w:t>28,800</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483,58 milliards FCFA, ce qui positionne la banque parmi les poids lourds de la BRVM, reflétant la confiance des investisseurs dans ce titre bancaire de premier plan. Avec un BPA de 2 191 FCFA, chaque action génère un bénéfice substantiel, justifiant un PER de 13,2x, légèrement au-dessus de la moyenne historique de la place (~8-12x), ce qui indique que le marché valorise la croissance future de la banque sans pour autant la surpayer excessivement. Le P/B de 4,01x est en revanche plus exigeant, signalant que le marché intègre une prime significative par rapport à la valeur comptable des actifs, une situation typique des banques à forte rentabilité. Enfin, l'EV/EBITDA de 9,3x reste dans une zone raisonnable (5-10x), suggérant une valorisation globale cohérente avec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+16,53%, avec une dernière séance en hausse de +1,20% à 29 015 FCFA, démontrant une dynamique haussière soutenue. Le titre a évolué dans une fourchette de 22 500 FCFA (plus bas) à 29 490 FCFA (plus haut), soit une amplitude de près de 31%, témoignant d'une volatilité intra-période significative. La moyenne du cours (26 721 FCFA) est légèrement inférieure à la médiane (27 000 FCFA), indiquant une distribution quasi symétrique, confirmée par un skewness de -0,366, tandis que le kurtosis de -1,251 (platykurtique) révèle une distribution aplatie avec peu de valeurs extrêmes. L'écart-type de 1 946 FCFA (CV=7,3%) montre une dispersion modérée autour de la moyenne, et la volatilité annualisée de 31,0% classe le titre dans la catégorie des valeurs à volatilité élevée, ce qui implique un risque de marché non négligeable mais aussi un potentiel de rendement accru.</w:t>
      </w:r>
    </w:p>
    <w:p>
      <w:pPr>
        <w:spacing w:after="120" w:line="276" w:lineRule="auto" w:before="240"/>
      </w:pPr>
      <w:r>
        <w:rPr>
          <w:b/>
          <w:color w:val="003366"/>
          <w:sz w:val="24"/>
        </w:rPr>
        <w:t>**PARTIE 2 : ANALYSE TECHNIQUE DÉTAILLÉE**</w:t>
      </w:r>
    </w:p>
    <w:p>
      <w:pPr>
        <w:spacing w:after="120" w:line="276" w:lineRule="auto"/>
      </w:pPr>
      <w:r>
        <w:t>**Moyennes Mobiles** : Le cours actuel (29 015 FCFA) se situe au-dessus des MM20 (28 375 FCFA) et MM50 (28 449,5 FCFA), indiquant une tendance haussière à court et moyen terme. Cependant, la décision technique globale est "Vente", ce qui suggère que le marché pourrait anticiper un essoufflement après cette phase de hausse, les moyennes mobiles ne confirmant pas encore une dynamique suffisamment robuste pour maintenir le niveau actuel.</w:t>
      </w:r>
    </w:p>
    <w:p>
      <w:pPr>
        <w:spacing w:after="120" w:line="276" w:lineRule="auto"/>
      </w:pPr>
      <w:r>
        <w:t>**Bandes de Bollinger** : Le prix évolue près de la borne supérieure (29 273 FCFA), avec une borne inférieure à 27 476 FCFA, indiquant une volatilité élevée et une pression acheteuse marquée. La décision "Neutre" reflète un équilibre précaire : le titre n'est pas encore en situation de surachat extrême, mais sa proximité avec la borne supérieure suggère un risque de correction technique à court terme.</w:t>
      </w:r>
    </w:p>
    <w:p>
      <w:pPr>
        <w:spacing w:after="120" w:line="276" w:lineRule="auto"/>
      </w:pPr>
      <w:r>
        <w:t>**MACD** : La valeur du MACD (163,421) est nettement supérieure à son signal (90,149), avec une divergence positive qui confirme un momentum haussier solide. La décision "Achat" est justifiée par cette configuration, qui indique que la tendance de fond reste positive et que les acheteurs contrôlent le marché, malgré les signaux de prudence émanant d'autres indicateurs.</w:t>
      </w:r>
    </w:p>
    <w:p>
      <w:pPr>
        <w:spacing w:after="120" w:line="276" w:lineRule="auto"/>
      </w:pPr>
      <w:r>
        <w:t>**RSI** : À 54,994, le RSI se situe en zone neutre (30-70), ce qui signifie que le titre n'est ni suracheté ni survendu. Cette valeur reflète un équilibre entre acheteurs et vendeurs, avec une légère prédominance des premiers, mais sans excès qui justifierait une décision d'achat ou de vente agressive.</w:t>
      </w:r>
    </w:p>
    <w:p>
      <w:pPr>
        <w:spacing w:after="120" w:line="276" w:lineRule="auto"/>
      </w:pPr>
      <w:r>
        <w:t>**Stochastique** : Avec %K à 100,0 et %D à 92,642, l'indicateur est en zone de surachat extrême, signalant que le titre a fortement progressé récemment et qu'une consolidation est probable. La décision "Vente" est cohérente avec cette configuration, qui suggère que le potentiel de hausse immédiat est limité et qu'un repli technique pourrait survenir.</w:t>
      </w:r>
    </w:p>
    <w:p>
      <w:pPr>
        <w:spacing w:after="120" w:line="276" w:lineRule="auto"/>
      </w:pPr>
      <w:r>
        <w:t>**Conclusion technique** : Les signaux sont mitigés, avec un MACD positif et un RSI neutre contrastant avec un stochastique en surachat et des moyennes mobiles en position de vente. Cette divergence indique que la tendance de fond reste haussière, mais que le titre est techniquement vulnérable à une correction à court terme. Les investisseurs devraient surveiller une possible consolidation avant une nouvelle impulsion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santé financière exceptionnelle : le Produit Net Bancaire atteint 79,563 milliards FCFA, avec un résultat net de 36,520 milliards FCFA, soit une marge nette de 45,9%. Le ROE s'établit à 30,29%, largement au-dessus du seuil d'excellence de 15%, et le ROA à 3,24%, confirmant une gestion très efficace des actifs. Le coefficient d'exploitation de 50,83% témoigne d'une excellente maîtrise des charges, tandis que le coût du risque de -12,15% indique un portefeuille de crédits sain, malgré un ratio de dépendance financière élevé (89,29%) typique du secteur bancaire. Les dépôts clientèle (952,872 milliards FCFA) dépassent largement les créances (524,439 milliards FCFA), assurant une transformation solide. Les rapports trimestriels confirment cette dynamique : au T1 2026 (rapport du 31 mars 2026), le PNB progresse de +17,0% à 21,214 milliards FCFA et le résultat net de +29,7% à 10,387 milliards FCFA, avec une marge nette de 49,0%. En 2024, le PNB était de 68,063 milliards FCFA (+22,6%) et le résultat net de 26,226 milliards FCFA (+57,1%), montrant une accélération continue. Sur la base du T1 2026, on estime que le PNB annuel pourrait dépasser 85 milliards FCFA et le résultat net 40 milliards FCFA, confirmant la solidité et la croissance durable de la banque.</w:t>
      </w:r>
    </w:p>
    <w:p>
      <w:pPr>
        <w:spacing w:after="120" w:line="276" w:lineRule="auto" w:before="240"/>
      </w:pPr>
      <w:r>
        <w:rPr>
          <w:b/>
          <w:color w:val="003366"/>
          <w:sz w:val="24"/>
        </w:rPr>
        <w:t>**PARTIE 4 : CONCLUSION D'INVESTISSEMENT**</w:t>
      </w:r>
    </w:p>
    <w:p>
      <w:pPr>
        <w:spacing w:after="120" w:line="276" w:lineRule="auto"/>
      </w:pPr>
      <w:r>
        <w:t>La valorisation de BICC (PER 13,2x, P/B 4,01x, EV/EBITDA 9,3x) est raisonnable pour une banque de cette qualité, avec une prime justifiée par une rentabilité exceptionnelle (ROE 30,29%). Le comportement du cours montre une tendance haussière solide (+16,53% sur 100 jours) avec une volatilité élevée (31%), mais une distribution statistique stable. Les signaux techniques sont mitigés, avec un MACD positif et un RSI neutre, mais un stochastique en surachat et des MM en position de vente, suggérant une possible consolidation. Les fondamentaux sont excellents, avec une croissance soutenue du PNB et du résultat net, une maîtrise des coûts et un risque de crédit maîtrisé. Les prédictions IA (J+1 à J+10) prévoient une légère baisse progressive de 28 195 à 27 168 FCFA, confirmant le scénario de consolidation technique. En synthèse, la convergence entre des fondamentaux solides et une valorisation raisonnable, malgré des signaux techniques de court terme prudents, conduit à une recommandation **ACHAT** pour les investisseurs à moyen terme, avec un niveau de confiance **Élevé** et un risque global **Moyen**. L'horizon d'investissement optimal est de **3 à 12 mois**, permettant de bénéficier de la croissance fondamentale tout en absorbant la volatilité technique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2,166 titres</w:t>
            </w:r>
          </w:p>
        </w:tc>
        <w:tc>
          <w:tcPr>
            <w:tcW w:type="dxa" w:w="2268"/>
            <w:shd w:fill="FFF2CC" w:val="clear"/>
          </w:tcPr>
          <w:p>
            <w:r>
              <w:rPr>
                <w:b/>
                <w:color w:val="503200"/>
                <w:sz w:val="16"/>
              </w:rPr>
              <w:t xml:space="preserve">Cours actuel : </w:t>
            </w:r>
            <w:r>
              <w:rPr>
                <w:color w:val="000000"/>
                <w:sz w:val="17"/>
              </w:rPr>
              <w:t>1,930 FCFA</w:t>
            </w:r>
          </w:p>
          <w:p>
            <w:r>
              <w:rPr>
                <w:b/>
                <w:color w:val="503200"/>
                <w:sz w:val="16"/>
              </w:rPr>
              <w:t xml:space="preserve">Var. 100 jours : </w:t>
            </w:r>
            <w:r>
              <w:rPr>
                <w:b/>
                <w:color w:val="007800"/>
                <w:sz w:val="17"/>
              </w:rPr>
              <w:t>+19.88%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11.35% (Moyenne) — μ=1,706 FCFA, σ=194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β=-0.1240 (Contre-cyclique) — Cov=-0.000004, Var(idx)=0.000036, ρ=-0.024,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1,838</w:t>
            </w:r>
          </w:p>
        </w:tc>
        <w:tc>
          <w:tcPr>
            <w:tcW w:type="dxa" w:w="1440"/>
            <w:shd w:fill="FAFAFA" w:val="clear"/>
          </w:tcPr>
          <w:p>
            <w:r>
              <w:rPr>
                <w:b/>
                <w:sz w:val="17"/>
              </w:rPr>
              <w:t>1,918</w:t>
            </w:r>
          </w:p>
        </w:tc>
        <w:tc>
          <w:tcPr>
            <w:tcW w:type="dxa" w:w="1440"/>
            <w:shd w:fill="FAFAFA" w:val="clear"/>
          </w:tcPr>
          <w:p>
            <w:r>
              <w:rPr>
                <w:sz w:val="17"/>
              </w:rPr>
              <w:t>1,998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1,807</w:t>
            </w:r>
          </w:p>
        </w:tc>
        <w:tc>
          <w:tcPr>
            <w:tcW w:type="dxa" w:w="1440"/>
            <w:shd w:fill="FAFAFA" w:val="clear"/>
          </w:tcPr>
          <w:p>
            <w:r>
              <w:rPr>
                <w:b/>
                <w:sz w:val="17"/>
              </w:rPr>
              <w:t>1,920</w:t>
            </w:r>
          </w:p>
        </w:tc>
        <w:tc>
          <w:tcPr>
            <w:tcW w:type="dxa" w:w="1440"/>
            <w:shd w:fill="FAFAFA" w:val="clear"/>
          </w:tcPr>
          <w:p>
            <w:r>
              <w:rPr>
                <w:sz w:val="17"/>
              </w:rPr>
              <w:t>2,034</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1,780</w:t>
            </w:r>
          </w:p>
        </w:tc>
        <w:tc>
          <w:tcPr>
            <w:tcW w:type="dxa" w:w="1440"/>
            <w:shd w:fill="FAFAFA" w:val="clear"/>
          </w:tcPr>
          <w:p>
            <w:r>
              <w:rPr>
                <w:b/>
                <w:sz w:val="17"/>
              </w:rPr>
              <w:t>1,919</w:t>
            </w:r>
          </w:p>
        </w:tc>
        <w:tc>
          <w:tcPr>
            <w:tcW w:type="dxa" w:w="1440"/>
            <w:shd w:fill="FAFAFA" w:val="clear"/>
          </w:tcPr>
          <w:p>
            <w:r>
              <w:rPr>
                <w:sz w:val="17"/>
              </w:rPr>
              <w:t>2,058</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1,758</w:t>
            </w:r>
          </w:p>
        </w:tc>
        <w:tc>
          <w:tcPr>
            <w:tcW w:type="dxa" w:w="1440"/>
            <w:shd w:fill="FAFAFA" w:val="clear"/>
          </w:tcPr>
          <w:p>
            <w:r>
              <w:rPr>
                <w:b/>
                <w:sz w:val="17"/>
              </w:rPr>
              <w:t>1,918</w:t>
            </w:r>
          </w:p>
        </w:tc>
        <w:tc>
          <w:tcPr>
            <w:tcW w:type="dxa" w:w="1440"/>
            <w:shd w:fill="FAFAFA" w:val="clear"/>
          </w:tcPr>
          <w:p>
            <w:r>
              <w:rPr>
                <w:sz w:val="17"/>
              </w:rPr>
              <w:t>2,079</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1,739</w:t>
            </w:r>
          </w:p>
        </w:tc>
        <w:tc>
          <w:tcPr>
            <w:tcW w:type="dxa" w:w="1440"/>
            <w:shd w:fill="FAFAFA" w:val="clear"/>
          </w:tcPr>
          <w:p>
            <w:r>
              <w:rPr>
                <w:b/>
                <w:sz w:val="17"/>
              </w:rPr>
              <w:t>1,918</w:t>
            </w:r>
          </w:p>
        </w:tc>
        <w:tc>
          <w:tcPr>
            <w:tcW w:type="dxa" w:w="1440"/>
            <w:shd w:fill="FAFAFA" w:val="clear"/>
          </w:tcPr>
          <w:p>
            <w:r>
              <w:rPr>
                <w:sz w:val="17"/>
              </w:rPr>
              <w:t>2,097</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1,721</w:t>
            </w:r>
          </w:p>
        </w:tc>
        <w:tc>
          <w:tcPr>
            <w:tcW w:type="dxa" w:w="1440"/>
            <w:shd w:fill="FAFAFA" w:val="clear"/>
          </w:tcPr>
          <w:p>
            <w:r>
              <w:rPr>
                <w:b/>
                <w:sz w:val="17"/>
              </w:rPr>
              <w:t>1,918</w:t>
            </w:r>
          </w:p>
        </w:tc>
        <w:tc>
          <w:tcPr>
            <w:tcW w:type="dxa" w:w="1440"/>
            <w:shd w:fill="FAFAFA" w:val="clear"/>
          </w:tcPr>
          <w:p>
            <w:r>
              <w:rPr>
                <w:sz w:val="17"/>
              </w:rPr>
              <w:t>2,114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1,705</w:t>
            </w:r>
          </w:p>
        </w:tc>
        <w:tc>
          <w:tcPr>
            <w:tcW w:type="dxa" w:w="1440"/>
            <w:shd w:fill="FAFAFA" w:val="clear"/>
          </w:tcPr>
          <w:p>
            <w:r>
              <w:rPr>
                <w:b/>
                <w:sz w:val="17"/>
              </w:rPr>
              <w:t>1,917</w:t>
            </w:r>
          </w:p>
        </w:tc>
        <w:tc>
          <w:tcPr>
            <w:tcW w:type="dxa" w:w="1440"/>
            <w:shd w:fill="FAFAFA" w:val="clear"/>
          </w:tcPr>
          <w:p>
            <w:r>
              <w:rPr>
                <w:sz w:val="17"/>
              </w:rPr>
              <w:t>2,129</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1,690</w:t>
            </w:r>
          </w:p>
        </w:tc>
        <w:tc>
          <w:tcPr>
            <w:tcW w:type="dxa" w:w="1440"/>
            <w:shd w:fill="FAFAFA" w:val="clear"/>
          </w:tcPr>
          <w:p>
            <w:r>
              <w:rPr>
                <w:b/>
                <w:sz w:val="17"/>
              </w:rPr>
              <w:t>1,917</w:t>
            </w:r>
          </w:p>
        </w:tc>
        <w:tc>
          <w:tcPr>
            <w:tcW w:type="dxa" w:w="1440"/>
            <w:shd w:fill="FAFAFA" w:val="clear"/>
          </w:tcPr>
          <w:p>
            <w:r>
              <w:rPr>
                <w:sz w:val="17"/>
              </w:rPr>
              <w:t>2,144</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1,676</w:t>
            </w:r>
          </w:p>
        </w:tc>
        <w:tc>
          <w:tcPr>
            <w:tcW w:type="dxa" w:w="1440"/>
            <w:shd w:fill="FAFAFA" w:val="clear"/>
          </w:tcPr>
          <w:p>
            <w:r>
              <w:rPr>
                <w:b/>
                <w:sz w:val="17"/>
              </w:rPr>
              <w:t>1,917</w:t>
            </w:r>
          </w:p>
        </w:tc>
        <w:tc>
          <w:tcPr>
            <w:tcW w:type="dxa" w:w="1440"/>
            <w:shd w:fill="FAFAFA" w:val="clear"/>
          </w:tcPr>
          <w:p>
            <w:r>
              <w:rPr>
                <w:sz w:val="17"/>
              </w:rPr>
              <w:t>2,157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2026-08-18</w:t>
            </w:r>
          </w:p>
        </w:tc>
        <w:tc>
          <w:tcPr>
            <w:tcW w:type="dxa" w:w="1440"/>
            <w:shd w:fill="FAFAFA" w:val="clear"/>
          </w:tcPr>
          <w:p>
            <w:r>
              <w:rPr>
                <w:sz w:val="17"/>
              </w:rPr>
              <w:t>1,663</w:t>
            </w:r>
          </w:p>
        </w:tc>
        <w:tc>
          <w:tcPr>
            <w:tcW w:type="dxa" w:w="1440"/>
            <w:shd w:fill="FAFAFA" w:val="clear"/>
          </w:tcPr>
          <w:p>
            <w:r>
              <w:rPr>
                <w:b/>
                <w:sz w:val="17"/>
              </w:rPr>
              <w:t>1,917</w:t>
            </w:r>
          </w:p>
        </w:tc>
        <w:tc>
          <w:tcPr>
            <w:tcW w:type="dxa" w:w="1440"/>
            <w:shd w:fill="FAFAFA" w:val="clear"/>
          </w:tcPr>
          <w:p>
            <w:r>
              <w:rPr>
                <w:sz w:val="17"/>
              </w:rPr>
              <w:t>2,170</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 04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12,78 milliards FCFA, un niveau modeste qui la classe parmi les valeurs moyennes de la cote. Le BPA de 3 FCFA par action est extrêmement faible, ce qui explique un PER de 572,8x, très largement supérieur à la moyenne du marché BRVM (8-12x). Ce ratio indique que les investisseurs paient un prix très élevé pour des bénéfices quasi inexistants, signe d'une valorisation spéculative ou d'une anticipation de retournement majeur. En revanche, le P/B de 0,72x est inférieur à 1, ce qui signifie que le marché valorise la société en dessous de sa valeur comptable (17,77 Mds FCFA de capitaux propres), suggérant une décote potentiellement attractive. Enfin, l'EV/EBITDA de 24,0x est exigeant, reflétant une valeur d'entreprise élevée par rapport à sa capacité opérationnelle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remarquable de +19,88%, avec une dernière séance en hausse de +2,12% à 1 930 FCFA. Le titre a évolué dans une fourchette large de 1 300 à 2 100 FCFA, démontrant une forte amplitude de trading. La moyenne (1 706 FCFA) est supérieure à la médiane (1 610 FCFA), indiquant une distribution légèrement asymétrique à droite, confirmée par un skewness positif de 0,244. L'écart-type de 195 FCFA (CV = 11,4%) révèle une dispersion modérée autour de la moyenne. Le kurtosis négatif (-1,069) signale une distribution platykurtique, c'est-à-dire une faible concentration des prix autour de la moyenne, avec moins de pics extrêmes que la normale. La volatilité annualisée de 47,9% classe ce titre comme très volatil, un niveau élevé qui implique un risque important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(1 930 FCFA) se positionne au-dessus de la MM20 (1 894,75 FCFA) et de la MM50 (1 859,2 FCFA), confirmant une tendance haussière de court et moyen terme. La configuration des moyennes mobiles, avec la MM20 au-dessus de la MM50, valide la dynamique positive et justifie la décision d'achat.</w:t>
      </w:r>
    </w:p>
    <w:p>
      <w:pPr>
        <w:spacing w:after="120" w:line="276" w:lineRule="auto"/>
      </w:pPr>
      <w:r>
        <w:t>**Bandes de Bollinger** : Le prix évolue entre la borne inférieure (1 738,77 FCFA) et la borne supérieure (2 050,74 FCFA), se situant à environ 60% de la largeur des bandes. Cette position médiane-hautière indique une volatilité normale sans surachat ni survente, d'où la décision neutre. L'écart entre les bornes (environ 312 FCFA) reflète une volatilité modérée sur la période récente.</w:t>
      </w:r>
    </w:p>
    <w:p>
      <w:pPr>
        <w:spacing w:after="120" w:line="276" w:lineRule="auto"/>
      </w:pPr>
      <w:r>
        <w:t>**MACD** : La valeur du MACD (10,999) est inférieure à son signal (18,098), générant une divergence baissière. Bien que les deux indicateurs restent positifs, le croisement à la baisse suggère un affaiblissement du momentum haussier à court terme, justifiant la décision de vente.</w:t>
      </w:r>
    </w:p>
    <w:p>
      <w:pPr>
        <w:spacing w:after="120" w:line="276" w:lineRule="auto"/>
      </w:pPr>
      <w:r>
        <w:t>**RSI** : À 70,0, le RSI se trouve exactement à la limite de la zone de surachat. Cette valeur indique que le titre est fortement sollicité à l'achat, mais sans excès extrême. La décision neutre reflète l'équilibre précaire entre la force de la tendance et le risque de correction.</w:t>
      </w:r>
    </w:p>
    <w:p>
      <w:pPr>
        <w:spacing w:after="120" w:line="276" w:lineRule="auto"/>
      </w:pPr>
      <w:r>
        <w:t>**Stochastique** : Le %K (47,83) est inférieur au %D (53,44), montrant une dynamique baissière à très court terme. Les deux lignes évoluent dans la zone neutre (30-70), sans signal directionnel fort. La décision neutre est donc cohérente avec cette configuration.</w:t>
      </w:r>
    </w:p>
    <w:p>
      <w:pPr>
        <w:spacing w:after="120" w:line="276" w:lineRule="auto"/>
      </w:pPr>
      <w:r>
        <w:t>**Conclusion technique** : Les indicateurs sont partagés entre une tendance haussière confirmée par les moyennes mobiles et des signaux de prudence émanant du MACD et du RSI. La configuration globale suggère une consolidation après la forte hausse récente,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 milliards FCFA, en baisse de 6,31% par rapport à 2024 (45,31 milliards FCFA). Le résultat net s'établit à 22,32 millions FCFA, en amélioration par rapport aux 7,31 millions de 2024, mais reste extrêmement faible avec une marge nette de 0,05%. Le ROE est de 0,13% et le ROA de 0,05%, des niveaux très en deçà des standards de rentabilité. En tant qu'entreprise de distribution, les délais clients (104 jours) et de stockage (339 jours) sont préoccupants, immobilisant une trésorerie importante. Le BFR de 29,37 milliards FCFA et la trésorerie nette négative de 16,69 milliards FCFA confirment une pression de liquidité majeure. Le ratio d'endettement de 105,48% et la capacité de remboursement de 19,17 ans sont des signaux d'alerte. Selon le rapport T1 2026 (daté du 31/12/2026), le chiffre d'affaires est stable à 11,19 milliards FCFA (-0,12%), mais le résultat net s'est redressé à +65,57 millions FCFA contre une perte de 16,15 millions au T1 2025, grâce à l'intégration de la division Équipement. On estime que l'exercice 2026 pourrait voir une amélioration progressive de la rentabilité, mais la société reste structurellement fragile avec une dépendance aux affaires exceptionnelles et des charges financières élevées (1,03 milliard FCFA en 2025).</w:t>
      </w:r>
    </w:p>
    <w:p>
      <w:pPr>
        <w:spacing w:after="120" w:line="276" w:lineRule="auto"/>
      </w:pPr>
      <w:r>
        <w:t>---</w:t>
      </w:r>
    </w:p>
    <w:p>
      <w:pPr>
        <w:spacing w:after="120" w:line="276" w:lineRule="auto"/>
      </w:pPr>
      <w:r>
        <w:t>### PARTIE 4 : CONCLUSION D'INVESTISSEMENT</w:t>
      </w:r>
    </w:p>
    <w:p>
      <w:pPr>
        <w:spacing w:after="120" w:line="276" w:lineRule="auto"/>
      </w:pPr>
      <w:r>
        <w:t>La valorisation de BNBC est paradoxale : un PER extrêmement élevé (572,8x) contraste avec un P/B décoté (0,72x), reflétant une situation financière délicate malgré des actifs comptables solides. Le comportement du cours (+19,88% sur 100 jours) montre une dynamique haussière soutenue, mais la volatilité élevée (47,9%) et le kurtosis négatif indiquent un risque de mouvements brusques. Les signaux techniques sont mitigés : les moyennes mobiles sont haussières, mais le MACD et le RSI flirtent avec des zones de prudence. Fondamentalement, la société affiche une rentabilité anémique (marge nette de 0,05%), une trésorerie négative et un endettement élevé, malgré une légère amélioration au T1 2026. Les prédictions IA (1 918-1 920 FCFA sur 10 jours) suggèrent une stabilisation proche du cours actuel, confirmant l'absence de catalyseur majeur à court terme. La recommandation finale est **CONSERVER** avec un niveau de confiance **Moyen** et un risque global **Élevé**. L'horizon d'investissement optimal est le **moyen terme (3-12 mois)**, en attendant une confirmation de l'amélioration opérationnelle et une résolution des problèmes de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5,687 titres</w:t>
            </w:r>
          </w:p>
        </w:tc>
        <w:tc>
          <w:tcPr>
            <w:tcW w:type="dxa" w:w="2268"/>
            <w:shd w:fill="FFF2CC" w:val="clear"/>
          </w:tcPr>
          <w:p>
            <w:r>
              <w:rPr>
                <w:b/>
                <w:color w:val="503200"/>
                <w:sz w:val="16"/>
              </w:rPr>
              <w:t xml:space="preserve">Cours actuel : </w:t>
            </w:r>
            <w:r>
              <w:rPr>
                <w:color w:val="000000"/>
                <w:sz w:val="17"/>
              </w:rPr>
              <w:t>8,695 FCFA</w:t>
            </w:r>
          </w:p>
          <w:p>
            <w:r>
              <w:rPr>
                <w:b/>
                <w:color w:val="503200"/>
                <w:sz w:val="16"/>
              </w:rPr>
              <w:t xml:space="preserve">Var. 100 jours : </w:t>
            </w:r>
            <w:r>
              <w:rPr>
                <w:b/>
                <w:color w:val="007800"/>
                <w:sz w:val="17"/>
              </w:rPr>
              <w:t>+24.39%</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6,975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7.60% (Moyenne) — μ=8,497 FCFA, σ=646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β=-0.0104 (Contre-cyclique) — Cov=-0.000000, Var(idx)=0.000036, ρ=-0.004,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8,348</w:t>
            </w:r>
          </w:p>
        </w:tc>
        <w:tc>
          <w:tcPr>
            <w:tcW w:type="dxa" w:w="1440"/>
            <w:shd w:fill="FFDCE0" w:val="clear"/>
          </w:tcPr>
          <w:p>
            <w:r>
              <w:rPr>
                <w:b/>
                <w:sz w:val="17"/>
              </w:rPr>
              <w:t>8,471</w:t>
            </w:r>
          </w:p>
        </w:tc>
        <w:tc>
          <w:tcPr>
            <w:tcW w:type="dxa" w:w="1440"/>
            <w:shd w:fill="FFDCE0" w:val="clear"/>
          </w:tcPr>
          <w:p>
            <w:r>
              <w:rPr>
                <w:sz w:val="17"/>
              </w:rPr>
              <w:t>8,595</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8,177</w:t>
            </w:r>
          </w:p>
        </w:tc>
        <w:tc>
          <w:tcPr>
            <w:tcW w:type="dxa" w:w="1440"/>
            <w:shd w:fill="FFDCE0" w:val="clear"/>
          </w:tcPr>
          <w:p>
            <w:r>
              <w:rPr>
                <w:b/>
                <w:sz w:val="17"/>
              </w:rPr>
              <w:t>8,350</w:t>
            </w:r>
          </w:p>
        </w:tc>
        <w:tc>
          <w:tcPr>
            <w:tcW w:type="dxa" w:w="1440"/>
            <w:shd w:fill="FFDCE0" w:val="clear"/>
          </w:tcPr>
          <w:p>
            <w:r>
              <w:rPr>
                <w:sz w:val="17"/>
              </w:rPr>
              <w:t>8,523</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8,030</w:t>
            </w:r>
          </w:p>
        </w:tc>
        <w:tc>
          <w:tcPr>
            <w:tcW w:type="dxa" w:w="1440"/>
            <w:shd w:fill="FFDCE0" w:val="clear"/>
          </w:tcPr>
          <w:p>
            <w:r>
              <w:rPr>
                <w:b/>
                <w:sz w:val="17"/>
              </w:rPr>
              <w:t>8,238</w:t>
            </w:r>
          </w:p>
        </w:tc>
        <w:tc>
          <w:tcPr>
            <w:tcW w:type="dxa" w:w="1440"/>
            <w:shd w:fill="FFDCE0" w:val="clear"/>
          </w:tcPr>
          <w:p>
            <w:r>
              <w:rPr>
                <w:sz w:val="17"/>
              </w:rPr>
              <w:t>8,447</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7,905</w:t>
            </w:r>
          </w:p>
        </w:tc>
        <w:tc>
          <w:tcPr>
            <w:tcW w:type="dxa" w:w="1440"/>
            <w:shd w:fill="FFDCE0" w:val="clear"/>
          </w:tcPr>
          <w:p>
            <w:r>
              <w:rPr>
                <w:b/>
                <w:sz w:val="17"/>
              </w:rPr>
              <w:t>8,143</w:t>
            </w:r>
          </w:p>
        </w:tc>
        <w:tc>
          <w:tcPr>
            <w:tcW w:type="dxa" w:w="1440"/>
            <w:shd w:fill="FFDCE0" w:val="clear"/>
          </w:tcPr>
          <w:p>
            <w:r>
              <w:rPr>
                <w:sz w:val="17"/>
              </w:rPr>
              <w:t>8,381</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7,794</w:t>
            </w:r>
          </w:p>
        </w:tc>
        <w:tc>
          <w:tcPr>
            <w:tcW w:type="dxa" w:w="1440"/>
            <w:shd w:fill="FFDCE0" w:val="clear"/>
          </w:tcPr>
          <w:p>
            <w:r>
              <w:rPr>
                <w:b/>
                <w:sz w:val="17"/>
              </w:rPr>
              <w:t>8,057</w:t>
            </w:r>
          </w:p>
        </w:tc>
        <w:tc>
          <w:tcPr>
            <w:tcW w:type="dxa" w:w="1440"/>
            <w:shd w:fill="FFDCE0" w:val="clear"/>
          </w:tcPr>
          <w:p>
            <w:r>
              <w:rPr>
                <w:sz w:val="17"/>
              </w:rPr>
              <w:t>8,321</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7,691</w:t>
            </w:r>
          </w:p>
        </w:tc>
        <w:tc>
          <w:tcPr>
            <w:tcW w:type="dxa" w:w="1440"/>
            <w:shd w:fill="FFDCE0" w:val="clear"/>
          </w:tcPr>
          <w:p>
            <w:r>
              <w:rPr>
                <w:b/>
                <w:sz w:val="17"/>
              </w:rPr>
              <w:t>7,977</w:t>
            </w:r>
          </w:p>
        </w:tc>
        <w:tc>
          <w:tcPr>
            <w:tcW w:type="dxa" w:w="1440"/>
            <w:shd w:fill="FFDCE0" w:val="clear"/>
          </w:tcPr>
          <w:p>
            <w:r>
              <w:rPr>
                <w:sz w:val="17"/>
              </w:rPr>
              <w:t>8,262</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7,595</w:t>
            </w:r>
          </w:p>
        </w:tc>
        <w:tc>
          <w:tcPr>
            <w:tcW w:type="dxa" w:w="1440"/>
            <w:shd w:fill="FFDCE0" w:val="clear"/>
          </w:tcPr>
          <w:p>
            <w:r>
              <w:rPr>
                <w:b/>
                <w:sz w:val="17"/>
              </w:rPr>
              <w:t>7,901</w:t>
            </w:r>
          </w:p>
        </w:tc>
        <w:tc>
          <w:tcPr>
            <w:tcW w:type="dxa" w:w="1440"/>
            <w:shd w:fill="FFDCE0" w:val="clear"/>
          </w:tcPr>
          <w:p>
            <w:r>
              <w:rPr>
                <w:sz w:val="17"/>
              </w:rPr>
              <w:t>8,206</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7,505</w:t>
            </w:r>
          </w:p>
        </w:tc>
        <w:tc>
          <w:tcPr>
            <w:tcW w:type="dxa" w:w="1440"/>
            <w:shd w:fill="FFDCE0" w:val="clear"/>
          </w:tcPr>
          <w:p>
            <w:r>
              <w:rPr>
                <w:b/>
                <w:sz w:val="17"/>
              </w:rPr>
              <w:t>7,828</w:t>
            </w:r>
          </w:p>
        </w:tc>
        <w:tc>
          <w:tcPr>
            <w:tcW w:type="dxa" w:w="1440"/>
            <w:shd w:fill="FFDCE0" w:val="clear"/>
          </w:tcPr>
          <w:p>
            <w:r>
              <w:rPr>
                <w:sz w:val="17"/>
              </w:rPr>
              <w:t>8,152</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7,419</w:t>
            </w:r>
          </w:p>
        </w:tc>
        <w:tc>
          <w:tcPr>
            <w:tcW w:type="dxa" w:w="1440"/>
            <w:shd w:fill="FFDCE0" w:val="clear"/>
          </w:tcPr>
          <w:p>
            <w:r>
              <w:rPr>
                <w:b/>
                <w:sz w:val="17"/>
              </w:rPr>
              <w:t>7,759</w:t>
            </w:r>
          </w:p>
        </w:tc>
        <w:tc>
          <w:tcPr>
            <w:tcW w:type="dxa" w:w="1440"/>
            <w:shd w:fill="FFDCE0" w:val="clear"/>
          </w:tcPr>
          <w:p>
            <w:r>
              <w:rPr>
                <w:sz w:val="17"/>
              </w:rPr>
              <w:t>8,100</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7,338</w:t>
            </w:r>
          </w:p>
        </w:tc>
        <w:tc>
          <w:tcPr>
            <w:tcW w:type="dxa" w:w="1440"/>
            <w:shd w:fill="FFDCE0" w:val="clear"/>
          </w:tcPr>
          <w:p>
            <w:r>
              <w:rPr>
                <w:b/>
                <w:sz w:val="17"/>
              </w:rPr>
              <w:t>7,694</w:t>
            </w:r>
          </w:p>
        </w:tc>
        <w:tc>
          <w:tcPr>
            <w:tcW w:type="dxa" w:w="1440"/>
            <w:shd w:fill="FFDCE0" w:val="clear"/>
          </w:tcPr>
          <w:p>
            <w:r>
              <w:rPr>
                <w:sz w:val="17"/>
              </w:rPr>
              <w:t>8,049</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352,68 milliards FCFA, ce qui positionne la banque parmi les valeurs moyennes à grandes capitalisations de la BRVM, lui conférant une liquidité théorique appréciable. Avec un BPA de 496 FCFA, chaque action génère un bénéfice substantiel, mais le PER de 17,5x indique que les investisseurs paient une prime significative par rapport à la moyenne historique du marché (8-12x). Cette valorisation est confirmée par un P/B de 3,00x, signifiant que le marché valorise la banque à trois fois sa valeur comptable, une prime de croissance accordée pour sa solidité et sa rentabilité. Cependant, l'EV/EBITDA de 18,4x, supérieur au seuil de 15x, révèle une valorisation très exigeante sur le plan opérationnel, suggérant que les attentes de croissance future sont déjà largement intégrées dans le prix, ce qui réduit la marge de sécurité pour un nouvel 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remarquable de +24,39%, passant d'un plus bas de 6 975 FCFA à un plus haut de 9 420 FCFA, avant de se stabiliser à 8 695 FCFA, soit une légère baisse de -0,06% lors de la dernière séance. La moyenne du cours sur la période (8 497 FCFA) est inférieure à la médiane (8 705 FCFA), et le skewness négatif (-0,612) confirme une distribution asymétrique avec des journées plus nombreuses au-dessus de la moyenne, indiquant une tendance haussière dominante mais ponctuée de fortes corrections. L'écart-type de 649 FCFA, avec un coefficient de variation de 7,6%, démontre une dispersion modérée autour de la moyenne, tandis que le kurtosis de -0,770 (mésokurtique) suggère l'absence de mouvements extrêmes ou de "pics" de volatilité. La volatilité annualisée de 27,9% classe le titre dans la catégorie des valeurs à volatilité modérée à élevée, ce qui implique des fluctuations de prix notables mais non excessives, offrant des opportunités pour les investisseurs actifs tout en nécessitant une gestion du risque rigoureuse.</w:t>
      </w:r>
    </w:p>
    <w:p>
      <w:pPr>
        <w:spacing w:after="120" w:line="276" w:lineRule="auto" w:before="240"/>
      </w:pPr>
      <w:r>
        <w:rPr>
          <w:b/>
          <w:color w:val="003366"/>
          <w:sz w:val="24"/>
        </w:rPr>
        <w:t>**PARTIE 2 : ANALYSE TECHNIQUE DÉTAILLÉE**</w:t>
      </w:r>
    </w:p>
    <w:p>
      <w:pPr>
        <w:spacing w:after="120" w:line="276" w:lineRule="auto"/>
      </w:pPr>
      <w:r>
        <w:t>**Moyennes Mobiles** : Le cours actuel de 8 695 FCFA se situe sous la MM20 (8 719,25 FCFA) et nettement sous la MM50 (8 820,2 FCFA), configuration baissière à court et moyen terme. La décision de "Vente" est justifiée par la position du prix sous ces moyennes, indiquant une dynamique négative récente, bien que la tendance de fond reste haussière sur la période des 100 jours.</w:t>
      </w:r>
    </w:p>
    <w:p>
      <w:pPr>
        <w:spacing w:after="120" w:line="276" w:lineRule="auto"/>
      </w:pPr>
      <w:r>
        <w:t>**Bandes de Bollinger** : Le prix se positionne légèrement au-dessus de la borne inférieure (8 473,18 FCFA) et à distance de la borne supérieure (8 965,32 FCFA), dans la moitié basse du canal. La décision "Neutre" reflète une volatilité modérée, avec un cours qui n'est ni en situation de surachat ni de survente, mais qui pourrait tester la borne inférieure si la pression vendeuse persiste.</w:t>
      </w:r>
    </w:p>
    <w:p>
      <w:pPr>
        <w:spacing w:after="120" w:line="276" w:lineRule="auto"/>
      </w:pPr>
      <w:r>
        <w:t>**MACD** : La valeur du MACD (-63,837) est supérieure à son signal (-69,556), formant un croisement haussier récent malgré des valeurs négatives. La décision "Achat" suggère que le momentum baissier s'atténue et qu'un retournement haussier pourrait se produire, même si la dynamique reste fragile tant que les valeurs restent sous zéro.</w:t>
      </w:r>
    </w:p>
    <w:p>
      <w:pPr>
        <w:spacing w:after="120" w:line="276" w:lineRule="auto"/>
      </w:pPr>
      <w:r>
        <w:t>**RSI** : À 40,645, le RSI se situe dans la zone neutre (30-70), sans signal de surachat ni de survente. La décision "Neutre" indique que le marché n'est pas encore dans une phase de forte pression acheteuse ou vendeuse, laissant place à une possible consolidation avant une direction claire.</w:t>
      </w:r>
    </w:p>
    <w:p>
      <w:pPr>
        <w:spacing w:after="120" w:line="276" w:lineRule="auto"/>
      </w:pPr>
      <w:r>
        <w:t>**Stochastique** : Le %K (67,308) est supérieur au %D (59,936), montrant un croisement haussier en territoire neutre. La décision "Neutre" suggère que le momentum de court terme est légèrement positif, mais sans la force nécessaire pour confirmer un signal d'achat robuste.</w:t>
      </w:r>
    </w:p>
    <w:p>
      <w:pPr>
        <w:spacing w:after="120" w:line="276" w:lineRule="auto"/>
      </w:pPr>
      <w:r>
        <w:t>**Conclusion technique** : Les indicateurs sont globalement mitigés, avec une prédominance de signaux neutres et un signal de vente sur les moyennes mobiles. Cependant, le croisement haussier du MACD et la configuration du stochastique laissent entrevoir un potentiel de rebond à court terme. La prudence reste de mise, car le cours doit reconquérir la MM20 pour confirmer une reprise durable, tandis que la zone des 8 400-8 500 FCFA constitue un support clé à surveiller.</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BOAB révèlent une banque solide avec un Produit Net Bancaire (PNB) de 51,274 milliards FCFA, en croissance de 10,2%, et un résultat net de 20,107 milliards FCFA, démontrant une excellente rentabilité avec un ROE de 17,11% et un ROA de 2,08%. Le coefficient d'exploitation de 49,53% est excellent, indiquant une gestion efficace des charges, tandis que le coût du risque de 22,5% reste élevé, signalant un portefeuille de crédits sous pression. Les dépôts clients (711,642 milliards FCFA) couvrent largement les créances sur la clientèle (391,724 milliards FCFA), avec un ratio de transformation de 55%, reflétant une gestion prudente de la liquidité. Les rapports trimestriels confirment cette dynamique : au T1 2025, le PNB atteint 11,081 milliards FCFA (+1,7%) mais le résultat net recule de 8,2% à 4,446 milliards FCFA en raison d'un coût du risque accru ; au S1 2025, le PNB progresse de 5,91% à 24,556 milliards FCFA avec un résultat net de 11,012 milliards FCFA (+0,75%) ; au T3 2025, la performance s'améliore nettement avec un PNB de 37,065 milliards FCFA (+9%) et un résultat net de 15,880 milliards FCFA (+13%). Sur la base de ces tendances, on estime que l'exercice 2025 devrait clôturer avec un PNB autour de 51-52 milliards FCFA et un résultat net proche de 20 milliards FCFA, confirmant la solidité de la banque, malgré une contraction des crédits (-8% à -10%) et des dépôts, qui constitue le principal risque à surveiller. La banque privilégie la qualité à la croissance volumique, une stratégie qui porte ses fruits en termes de rentabilité, mais qui pourrait limiter le potentiel de développement futur si la contraction du bilan se prolongeait.</w:t>
      </w:r>
    </w:p>
    <w:p>
      <w:pPr>
        <w:spacing w:after="120" w:line="276" w:lineRule="auto" w:before="240"/>
      </w:pPr>
      <w:r>
        <w:rPr>
          <w:b/>
          <w:color w:val="003366"/>
          <w:sz w:val="24"/>
        </w:rPr>
        <w:t>**PARTIE 4 : CONCLUSION D'INVESTISSEMENT**</w:t>
      </w:r>
    </w:p>
    <w:p>
      <w:pPr>
        <w:spacing w:after="120" w:line="276" w:lineRule="auto"/>
      </w:pPr>
      <w:r>
        <w:t>La valorisation de BOAB, avec un PER de 17,5x et un P/B de 3,00x, apparaît exigeante, intégrant déjà les excellentes performances fondamentales de la banque, tandis que le comportement du cours sur 100 jours (+24,39%) témoigne d'une tendance haussière solide, bien que la volatilité de 27,9% et l'asymétrie négative appellent à la prudence. Les signaux techniques sont mitigés, avec une pression baissière à court terme (MM20/MM50) mais des signes de stabilisation (MACD, stochastique), suggérant une phase de consolidation avant une éventuelle reprise. Les fondamentaux restent très solides, avec un ROE de 17,1%, un coefficient d'exploitation de 49,5% et une croissance du PNB de 10,2%, soutenus par des rapports trimestriels positifs en 2025. Cependant, les prédictions IA pour les 10 prochains jours indiquent une trajectoire baissière, avec un cours projeté à 8 057 FCFA, soit une baisse potentielle de 7,3%, ce qui contredit la tendance haussière de long terme et suggère une correction technique à court terme. En synthèse, la convergence entre des fondamentaux excellents et une valorisation déjà élevée, combinée à des signaux techniques neutres et une prédiction IA baissière, conduit à une recommandation de **CONSERVER** avec un niveau de confiance **Moyen** et un risque global **Moyen**. L'horizon d'investissement optimal serait le **moyen terme (3-12 mois)**, en attendant une meilleure opportunité d'entrée après la correction anticipée, tout en surveillant l'évolution du coût du risque et la capacité de la banque à maintenir sa rentabilité malgré la contraction du bilan.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316.80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6,197 titres</w:t>
            </w:r>
          </w:p>
        </w:tc>
        <w:tc>
          <w:tcPr>
            <w:tcW w:type="dxa" w:w="2268"/>
            <w:shd w:fill="FFF2CC" w:val="clear"/>
          </w:tcPr>
          <w:p>
            <w:r>
              <w:rPr>
                <w:b/>
                <w:color w:val="503200"/>
                <w:sz w:val="16"/>
              </w:rPr>
              <w:t xml:space="preserve">Cours actuel : </w:t>
            </w:r>
            <w:r>
              <w:rPr>
                <w:color w:val="000000"/>
                <w:sz w:val="17"/>
              </w:rPr>
              <w:t>7,200 FCFA</w:t>
            </w:r>
          </w:p>
          <w:p>
            <w:r>
              <w:rPr>
                <w:b/>
                <w:color w:val="503200"/>
                <w:sz w:val="16"/>
              </w:rPr>
              <w:t xml:space="preserve">Var. 100 jours : </w:t>
            </w:r>
            <w:r>
              <w:rPr>
                <w:b/>
                <w:color w:val="007800"/>
                <w:sz w:val="17"/>
              </w:rPr>
              <w:t>+54.67%</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4,655 FCFA</w:t>
            </w:r>
          </w:p>
          <w:p>
            <w:r>
              <w:rPr>
                <w:b/>
                <w:color w:val="503200"/>
                <w:sz w:val="16"/>
              </w:rPr>
              <w:t xml:space="preserve">Volatilité ann. : </w:t>
            </w:r>
            <w:r>
              <w:rPr>
                <w:color w:val="000000"/>
                <w:sz w:val="17"/>
              </w:rPr>
              <w:t>31.5%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10.36% (Moyenne) — μ=5,755 FCFA, σ=596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β=0.2621 (Défensif) — Cov=0.000009, Var(idx)=0.000036, ρ=0.084,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σ_j=1.99%/j (Stable) — Vol. annualisée≈31.5%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6,775</w:t>
            </w:r>
          </w:p>
        </w:tc>
        <w:tc>
          <w:tcPr>
            <w:tcW w:type="dxa" w:w="1440"/>
            <w:shd w:fill="FFDCE0" w:val="clear"/>
          </w:tcPr>
          <w:p>
            <w:r>
              <w:rPr>
                <w:b/>
                <w:sz w:val="17"/>
              </w:rPr>
              <w:t>7,043</w:t>
            </w:r>
          </w:p>
        </w:tc>
        <w:tc>
          <w:tcPr>
            <w:tcW w:type="dxa" w:w="1440"/>
            <w:shd w:fill="FFDCE0" w:val="clear"/>
          </w:tcPr>
          <w:p>
            <w:r>
              <w:rPr>
                <w:sz w:val="17"/>
              </w:rPr>
              <w:t>7,310</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6,570</w:t>
            </w:r>
          </w:p>
        </w:tc>
        <w:tc>
          <w:tcPr>
            <w:tcW w:type="dxa" w:w="1440"/>
            <w:shd w:fill="FFDCE0" w:val="clear"/>
          </w:tcPr>
          <w:p>
            <w:r>
              <w:rPr>
                <w:b/>
                <w:sz w:val="17"/>
              </w:rPr>
              <w:t>6,943</w:t>
            </w:r>
          </w:p>
        </w:tc>
        <w:tc>
          <w:tcPr>
            <w:tcW w:type="dxa" w:w="1440"/>
            <w:shd w:fill="FFDCE0" w:val="clear"/>
          </w:tcPr>
          <w:p>
            <w:r>
              <w:rPr>
                <w:sz w:val="17"/>
              </w:rPr>
              <w:t>7,316</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6,404</w:t>
            </w:r>
          </w:p>
        </w:tc>
        <w:tc>
          <w:tcPr>
            <w:tcW w:type="dxa" w:w="1440"/>
            <w:shd w:fill="FFDCE0" w:val="clear"/>
          </w:tcPr>
          <w:p>
            <w:r>
              <w:rPr>
                <w:b/>
                <w:sz w:val="17"/>
              </w:rPr>
              <w:t>6,856</w:t>
            </w:r>
          </w:p>
        </w:tc>
        <w:tc>
          <w:tcPr>
            <w:tcW w:type="dxa" w:w="1440"/>
            <w:shd w:fill="FFDCE0" w:val="clear"/>
          </w:tcPr>
          <w:p>
            <w:r>
              <w:rPr>
                <w:sz w:val="17"/>
              </w:rPr>
              <w:t>7,307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6,269</w:t>
            </w:r>
          </w:p>
        </w:tc>
        <w:tc>
          <w:tcPr>
            <w:tcW w:type="dxa" w:w="1440"/>
            <w:shd w:fill="FFDCE0" w:val="clear"/>
          </w:tcPr>
          <w:p>
            <w:r>
              <w:rPr>
                <w:b/>
                <w:sz w:val="17"/>
              </w:rPr>
              <w:t>6,785</w:t>
            </w:r>
          </w:p>
        </w:tc>
        <w:tc>
          <w:tcPr>
            <w:tcW w:type="dxa" w:w="1440"/>
            <w:shd w:fill="FFDCE0" w:val="clear"/>
          </w:tcPr>
          <w:p>
            <w:r>
              <w:rPr>
                <w:sz w:val="17"/>
              </w:rPr>
              <w:t>7,300</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6,153</w:t>
            </w:r>
          </w:p>
        </w:tc>
        <w:tc>
          <w:tcPr>
            <w:tcW w:type="dxa" w:w="1440"/>
            <w:shd w:fill="FFDCE0" w:val="clear"/>
          </w:tcPr>
          <w:p>
            <w:r>
              <w:rPr>
                <w:b/>
                <w:sz w:val="17"/>
              </w:rPr>
              <w:t>6,724</w:t>
            </w:r>
          </w:p>
        </w:tc>
        <w:tc>
          <w:tcPr>
            <w:tcW w:type="dxa" w:w="1440"/>
            <w:shd w:fill="FFDCE0" w:val="clear"/>
          </w:tcPr>
          <w:p>
            <w:r>
              <w:rPr>
                <w:sz w:val="17"/>
              </w:rPr>
              <w:t>7,295</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6,048</w:t>
            </w:r>
          </w:p>
        </w:tc>
        <w:tc>
          <w:tcPr>
            <w:tcW w:type="dxa" w:w="1440"/>
            <w:shd w:fill="FFDCE0" w:val="clear"/>
          </w:tcPr>
          <w:p>
            <w:r>
              <w:rPr>
                <w:b/>
                <w:sz w:val="17"/>
              </w:rPr>
              <w:t>6,668</w:t>
            </w:r>
          </w:p>
        </w:tc>
        <w:tc>
          <w:tcPr>
            <w:tcW w:type="dxa" w:w="1440"/>
            <w:shd w:fill="FFDCE0" w:val="clear"/>
          </w:tcPr>
          <w:p>
            <w:r>
              <w:rPr>
                <w:sz w:val="17"/>
              </w:rPr>
              <w:t>7,289</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5,951</w:t>
            </w:r>
          </w:p>
        </w:tc>
        <w:tc>
          <w:tcPr>
            <w:tcW w:type="dxa" w:w="1440"/>
            <w:shd w:fill="FFDCE0" w:val="clear"/>
          </w:tcPr>
          <w:p>
            <w:r>
              <w:rPr>
                <w:b/>
                <w:sz w:val="17"/>
              </w:rPr>
              <w:t>6,616</w:t>
            </w:r>
          </w:p>
        </w:tc>
        <w:tc>
          <w:tcPr>
            <w:tcW w:type="dxa" w:w="1440"/>
            <w:shd w:fill="FFDCE0" w:val="clear"/>
          </w:tcPr>
          <w:p>
            <w:r>
              <w:rPr>
                <w:sz w:val="17"/>
              </w:rPr>
              <w:t>7,281</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5,860</w:t>
            </w:r>
          </w:p>
        </w:tc>
        <w:tc>
          <w:tcPr>
            <w:tcW w:type="dxa" w:w="1440"/>
            <w:shd w:fill="FFDCE0" w:val="clear"/>
          </w:tcPr>
          <w:p>
            <w:r>
              <w:rPr>
                <w:b/>
                <w:sz w:val="17"/>
              </w:rPr>
              <w:t>6,565</w:t>
            </w:r>
          </w:p>
        </w:tc>
        <w:tc>
          <w:tcPr>
            <w:tcW w:type="dxa" w:w="1440"/>
            <w:shd w:fill="FFDCE0" w:val="clear"/>
          </w:tcPr>
          <w:p>
            <w:r>
              <w:rPr>
                <w:sz w:val="17"/>
              </w:rPr>
              <w:t>7,271</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5,774</w:t>
            </w:r>
          </w:p>
        </w:tc>
        <w:tc>
          <w:tcPr>
            <w:tcW w:type="dxa" w:w="1440"/>
            <w:shd w:fill="FFDCE0" w:val="clear"/>
          </w:tcPr>
          <w:p>
            <w:r>
              <w:rPr>
                <w:b/>
                <w:sz w:val="17"/>
              </w:rPr>
              <w:t>6,517</w:t>
            </w:r>
          </w:p>
        </w:tc>
        <w:tc>
          <w:tcPr>
            <w:tcW w:type="dxa" w:w="1440"/>
            <w:shd w:fill="FFDCE0" w:val="clear"/>
          </w:tcPr>
          <w:p>
            <w:r>
              <w:rPr>
                <w:sz w:val="17"/>
              </w:rPr>
              <w:t>7,260</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5,693</w:t>
            </w:r>
          </w:p>
        </w:tc>
        <w:tc>
          <w:tcPr>
            <w:tcW w:type="dxa" w:w="1440"/>
            <w:shd w:fill="FFDCE0" w:val="clear"/>
          </w:tcPr>
          <w:p>
            <w:r>
              <w:rPr>
                <w:b/>
                <w:sz w:val="17"/>
              </w:rPr>
              <w:t>6,470</w:t>
            </w:r>
          </w:p>
        </w:tc>
        <w:tc>
          <w:tcPr>
            <w:tcW w:type="dxa" w:w="1440"/>
            <w:shd w:fill="FFDCE0" w:val="clear"/>
          </w:tcPr>
          <w:p>
            <w:r>
              <w:rPr>
                <w:sz w:val="17"/>
              </w:rPr>
              <w:t>7,247</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04 août 2026 | Cours de référence : 7,200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316,80 milliards FCFA positionne BOABF comme une valeur de premier plan sur la BRVM, reflétant son statut de banque systémique au Burkina Faso. Avec un BPA de 438 FCFA, chaque action génère un bénéfice substantiel, justifiant un PER de 16,5x. Ce ratio est supérieur à la moyenne historique de la BRVM (8-12x), indiquant que le marché valorise déjà une prime de croissance et de solidité sur la valeur. Le P/B de 2,50x confirme cette prime, le marché valorisant la banque à 2,5 fois ses capitaux propres, ce qui traduit une confiance dans sa rentabilité future (ROE élevé). Enfin, un EV/EBITDA de 6,9x reste dans une zone raisonnable, suggérant que la valorisation globale de l'entreprise, rapportée à sa capacité opérationnelle, n'est pas excessive malgré les ratios précédents.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performance spectaculaire de +54,67%, avec une dernière séance en hausse de +1,41% à 7,200 FCFA. Le titre a évolué dans un large range de 4,655 FCFA (plus bas) à 7,255 FCFA (plus haut), démontrant une forte dynamique haussière. La moyenne du cours sur la période (5,755 FCFA) est supérieure à la médiane (5,585 FCFA), et le mode (5,400 FCFA) est le plus bas des trois, ce qui confirme une distribution asymétrique positive (skewness de 1.434) : le titre a passé plus de temps sous sa moyenne, mais a connu des épisodes de hausse violente. L'écart-type de 599 FCFA (CV de 10,4%) indique une dispersion modérée, mais le kurtosis excédentaire de 1.176 signale un risque de pics de volatilité. La volatilité annualisée de 31,5% classe le titre dans la catégorie "élevée" (&gt;30%), un niveau à surveiller pour les investisseurs prudents.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(7,200 FCFA) est nettement au-dessus de sa MM20 (6,793 FCFA) et de sa MM50 (6,083.7 FCFA), confirmant une tendance haussière de moyen terme. La pente positive des moyennes et l'écart croissant entre elles renforcent le signal d'**Achat**, indiquant que la dynamique haussière est solide et soutenue par les volumes.</w:t>
      </w:r>
    </w:p>
    <w:p>
      <w:pPr>
        <w:spacing w:after="120" w:line="276" w:lineRule="auto"/>
      </w:pPr>
      <w:r>
        <w:t>**Bandes de Bollinger** : Le prix se situe sous la borne supérieure (7,806.28 FCFA) mais bien au-dessus de la borne inférieure (5,779.72 FCFA). La largeur des bandes reflète la volatilité élevée du titre. La position du prix dans la moitié supérieure des bandes suggère une pression acheteuse toujours présente, mais la décision est **Neutre** car le prix n'a pas encore touché la borne supérieure, ce qui pourrait indiquer une perte de momentum à court terme.</w:t>
      </w:r>
    </w:p>
    <w:p>
      <w:pPr>
        <w:spacing w:after="120" w:line="276" w:lineRule="auto"/>
      </w:pPr>
      <w:r>
        <w:t>**MACD** : La valeur du MACD (336.16) est inférieure à sa ligne de signal (351.299), indiquant un croisement baissier récent. Bien que les deux lignes soient en territoire positif, ce croisement signale un ralentissement du momentum haussier. La décision est **Vente**, suggérant une possible consolidation ou correction à court terme après la forte hausse.</w:t>
      </w:r>
    </w:p>
    <w:p>
      <w:pPr>
        <w:spacing w:after="120" w:line="276" w:lineRule="auto"/>
      </w:pPr>
      <w:r>
        <w:t>**RSI** : À 69.767, le RSI est en zone neutre, mais très proche du seuil de surachat (70). Cela indique que la pression acheteuse est forte, mais que le titre commence à devenir "cher" à court terme. La décision **Neutre** suggère que les investisseurs attendent un signal plus clair, soit une poursuite au-delà de 70 (surachat), soit un repli.</w:t>
      </w:r>
    </w:p>
    <w:p>
      <w:pPr>
        <w:spacing w:after="120" w:line="276" w:lineRule="auto"/>
      </w:pPr>
      <w:r>
        <w:t>**Stochastique** : Le %K (87.209) est supérieur au %D (85.554), mais les deux sont en zone de surachat (&gt;80). Ce niveau extrême indique que le titre est survendu à la hausse et qu'un retournement technique est probable. La décision de **Vente** est cohérente avec cette lecture, signalant un risque de correction à très court terme.</w:t>
      </w:r>
    </w:p>
    <w:p>
      <w:pPr>
        <w:spacing w:after="120" w:line="276" w:lineRule="auto"/>
      </w:pPr>
      <w:r>
        <w:t>**Conclusion technique** : Les indicateurs de tendance (MM) sont positifs, mais les oscillateurs (MACD, RSI, Stochastique) montrent des signes d'essoufflement et de surachat. La configuration suggère une pause dans la tendance haussière, avec un risque de consolidation ou de léger repli avant une éventuelle reprise. Le signal global est donc mitigé, avec une prudence accrue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solide mais confrontée à des défis majeurs. Le Produit Net Bancaire (PNB) s'établit à 57,82 milliards FCFA, avec un résultat net de 19,25 milliards FCFA, soit une marge nette de 33,3%. La rentabilité des fonds propres (ROE) est excellente à 15,2%, et le coefficient d'exploitation de 47,2% démontre une efficacité opérationnelle remarquable. Cependant, le coût du risque est élevé (33,9% des charges financières), signalant une dégradation de la qualité du portefeuille de crédits. Les rapports trimestriels de 2025 confirment cette tendance : le T1 2025 (PNB 14,22 Mds, RN 5,20 Mds) et le S1 2025 (PNB 29,06 Mds, RN 8,23 Mds) montrent une stagnation de l'activité et une chute du résultat net (-37,7% au S1) due à une explosion des provisions. Le rapport du T3 2025 (PNB 43,28 Mds, RN 13,45 Mds) confirme la pression persistante du coût du risque. Enfin, le rapport du T1 2026 (PNB 12,69 Mds, RN 4,52 Mds) indique une contraction de l'activité (-10,75%) et une baisse du résultat net (-12,99%), malgré une collecte de dépôts dynamique (+6,3%). Sur la base de ces données, on estime que l'exercice 2026 pourrait voir un PNB annuel en léger repli et un résultat net sous pression, bien que la banque maintienne une rentabilité positive. La solidité du bilan (total actif de 1 148,7 Mds FCFA) et la croissance des dépôts offrent une base stable, mais la gestion du risque de crédit reste le principal défi.</w:t>
      </w:r>
    </w:p>
    <w:p>
      <w:pPr>
        <w:spacing w:after="120" w:line="276" w:lineRule="auto"/>
      </w:pPr>
      <w:r>
        <w:t>---</w:t>
      </w:r>
    </w:p>
    <w:p>
      <w:pPr>
        <w:spacing w:after="120" w:line="276" w:lineRule="auto"/>
      </w:pPr>
      <w:r>
        <w:t>### PARTIE 4 : CONCLUSION D'INVESTISSEMENT</w:t>
      </w:r>
    </w:p>
    <w:p>
      <w:pPr>
        <w:spacing w:after="120" w:line="276" w:lineRule="auto"/>
      </w:pPr>
      <w:r>
        <w:t>La valorisation de BOABF (PER 16,5x, P/B 2,5x) est exigeante, intégrant une prime pour sa solidité et sa rentabilité, mais elle n'apparaît pas excessive au vu de son ROE élevé. Le comportement du cours sur 100 jours est extrêmement positif (+54,67%), mais la volatilité élevée (31,5%) et l'asymétrie positive (skewness) suggèrent un risque de retournement. Les signaux techniques sont divergents : la tendance de fond (MM) est haussière, mais les oscillateurs (MACD, RSI, Stochastique) sont en zone de surachat, signalant une consolidation probable. Les fondamentaux, bien que solides (ROE &gt;15%, coefficient d'exploitation &lt;50%), sont assombris par un coût du risque élevé et une contraction récente du PNB et du résultat net (T1 2026). Enfin, les prédictions IA pour les 10 prochains jours (7,043 à 6,724 FCFA) confirment cette hypothèse de correction, anticipant un repli progressif du cours. En synthèse, la convergence des signaux techniques (surachat) et des prédictions IA (baisse) avec la dégradation des fondamentaux récents suggère une prudence à court terme. **Recommandation : CONSERVER**. Le niveau de confiance est **Moyen**, le risque global est **Élevé** (volatilité et risque de crédit). L'horizon d'investissement optimal est le **moyen terme (3-12 mois)**, en attendant une stabilisation des indicateurs de rentabilité et un point d'entrée plus favorable après une éventuelle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14,209 titres</w:t>
            </w:r>
          </w:p>
        </w:tc>
        <w:tc>
          <w:tcPr>
            <w:tcW w:type="dxa" w:w="2268"/>
            <w:shd w:fill="FFF2CC" w:val="clear"/>
          </w:tcPr>
          <w:p>
            <w:r>
              <w:rPr>
                <w:b/>
                <w:color w:val="503200"/>
                <w:sz w:val="16"/>
              </w:rPr>
              <w:t xml:space="preserve">Cours actuel : </w:t>
            </w:r>
            <w:r>
              <w:rPr>
                <w:color w:val="000000"/>
                <w:sz w:val="17"/>
              </w:rPr>
              <w:t>11,350 FCFA</w:t>
            </w:r>
          </w:p>
          <w:p>
            <w:r>
              <w:rPr>
                <w:b/>
                <w:color w:val="503200"/>
                <w:sz w:val="16"/>
              </w:rPr>
              <w:t xml:space="preserve">Var. 100 jours : </w:t>
            </w:r>
            <w:r>
              <w:rPr>
                <w:b/>
                <w:color w:val="007800"/>
                <w:sz w:val="17"/>
              </w:rPr>
              <w:t>+36.83%</w:t>
            </w:r>
          </w:p>
          <w:p>
            <w:r>
              <w:rPr>
                <w:b/>
                <w:color w:val="503200"/>
                <w:sz w:val="16"/>
              </w:rPr>
              <w:t xml:space="preserve">Plus haut 100j : </w:t>
            </w:r>
            <w:r>
              <w:rPr>
                <w:color w:val="000000"/>
                <w:sz w:val="17"/>
              </w:rPr>
              <w:t>11,350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7.07% (Moyenne) — μ=9,056 FCFA, σ=641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β=0.6499 (Défensif) — Cov=0.000023, Var(idx)=0.000036, ρ=0.229,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58728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10,415</w:t>
            </w:r>
          </w:p>
        </w:tc>
        <w:tc>
          <w:tcPr>
            <w:tcW w:type="dxa" w:w="1440"/>
            <w:shd w:fill="FFDCE0" w:val="clear"/>
          </w:tcPr>
          <w:p>
            <w:r>
              <w:rPr>
                <w:b/>
                <w:sz w:val="17"/>
              </w:rPr>
              <w:t>10,739</w:t>
            </w:r>
          </w:p>
        </w:tc>
        <w:tc>
          <w:tcPr>
            <w:tcW w:type="dxa" w:w="1440"/>
            <w:shd w:fill="FFDCE0" w:val="clear"/>
          </w:tcPr>
          <w:p>
            <w:r>
              <w:rPr>
                <w:sz w:val="17"/>
              </w:rPr>
              <w:t>11,063</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10,015</w:t>
            </w:r>
          </w:p>
        </w:tc>
        <w:tc>
          <w:tcPr>
            <w:tcW w:type="dxa" w:w="1440"/>
            <w:shd w:fill="FFDCE0" w:val="clear"/>
          </w:tcPr>
          <w:p>
            <w:r>
              <w:rPr>
                <w:b/>
                <w:sz w:val="17"/>
              </w:rPr>
              <w:t>10,461</w:t>
            </w:r>
          </w:p>
        </w:tc>
        <w:tc>
          <w:tcPr>
            <w:tcW w:type="dxa" w:w="1440"/>
            <w:shd w:fill="FFDCE0" w:val="clear"/>
          </w:tcPr>
          <w:p>
            <w:r>
              <w:rPr>
                <w:sz w:val="17"/>
              </w:rPr>
              <w:t>10,907</w:t>
            </w:r>
          </w:p>
        </w:tc>
        <w:tc>
          <w:tcPr>
            <w:tcW w:type="dxa" w:w="1440"/>
            <w:shd w:fill="FFDCE0" w:val="clear"/>
          </w:tcPr>
          <w:p>
            <w:r>
              <w:rPr>
                <w:b/>
                <w:color w:val="C00000"/>
                <w:sz w:val="17"/>
              </w:rPr>
              <w:t>-7.8%</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9,595</w:t>
            </w:r>
          </w:p>
        </w:tc>
        <w:tc>
          <w:tcPr>
            <w:tcW w:type="dxa" w:w="1440"/>
            <w:shd w:fill="FFDCE0" w:val="clear"/>
          </w:tcPr>
          <w:p>
            <w:r>
              <w:rPr>
                <w:b/>
                <w:sz w:val="17"/>
              </w:rPr>
              <w:t>10,123</w:t>
            </w:r>
          </w:p>
        </w:tc>
        <w:tc>
          <w:tcPr>
            <w:tcW w:type="dxa" w:w="1440"/>
            <w:shd w:fill="FFDCE0" w:val="clear"/>
          </w:tcPr>
          <w:p>
            <w:r>
              <w:rPr>
                <w:sz w:val="17"/>
              </w:rPr>
              <w:t>10,652</w:t>
            </w:r>
          </w:p>
        </w:tc>
        <w:tc>
          <w:tcPr>
            <w:tcW w:type="dxa" w:w="1440"/>
            <w:shd w:fill="FFDCE0" w:val="clear"/>
          </w:tcPr>
          <w:p>
            <w:r>
              <w:rPr>
                <w:b/>
                <w:color w:val="C00000"/>
                <w:sz w:val="17"/>
              </w:rPr>
              <w:t>-10.8%</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9,218</w:t>
            </w:r>
          </w:p>
        </w:tc>
        <w:tc>
          <w:tcPr>
            <w:tcW w:type="dxa" w:w="1440"/>
            <w:shd w:fill="FFDCE0" w:val="clear"/>
          </w:tcPr>
          <w:p>
            <w:r>
              <w:rPr>
                <w:b/>
                <w:sz w:val="17"/>
              </w:rPr>
              <w:t>9,810</w:t>
            </w:r>
          </w:p>
        </w:tc>
        <w:tc>
          <w:tcPr>
            <w:tcW w:type="dxa" w:w="1440"/>
            <w:shd w:fill="FFDCE0" w:val="clear"/>
          </w:tcPr>
          <w:p>
            <w:r>
              <w:rPr>
                <w:sz w:val="17"/>
              </w:rPr>
              <w:t>10,401</w:t>
            </w:r>
          </w:p>
        </w:tc>
        <w:tc>
          <w:tcPr>
            <w:tcW w:type="dxa" w:w="1440"/>
            <w:shd w:fill="FFDCE0" w:val="clear"/>
          </w:tcPr>
          <w:p>
            <w:r>
              <w:rPr>
                <w:b/>
                <w:color w:val="C00000"/>
                <w:sz w:val="17"/>
              </w:rPr>
              <w:t>-13.6%</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8,885</w:t>
            </w:r>
          </w:p>
        </w:tc>
        <w:tc>
          <w:tcPr>
            <w:tcW w:type="dxa" w:w="1440"/>
            <w:shd w:fill="FFDCE0" w:val="clear"/>
          </w:tcPr>
          <w:p>
            <w:r>
              <w:rPr>
                <w:b/>
                <w:sz w:val="17"/>
              </w:rPr>
              <w:t>9,528</w:t>
            </w:r>
          </w:p>
        </w:tc>
        <w:tc>
          <w:tcPr>
            <w:tcW w:type="dxa" w:w="1440"/>
            <w:shd w:fill="FFDCE0" w:val="clear"/>
          </w:tcPr>
          <w:p>
            <w:r>
              <w:rPr>
                <w:sz w:val="17"/>
              </w:rPr>
              <w:t>10,170</w:t>
            </w:r>
          </w:p>
        </w:tc>
        <w:tc>
          <w:tcPr>
            <w:tcW w:type="dxa" w:w="1440"/>
            <w:shd w:fill="FFDCE0" w:val="clear"/>
          </w:tcPr>
          <w:p>
            <w:r>
              <w:rPr>
                <w:b/>
                <w:color w:val="C00000"/>
                <w:sz w:val="17"/>
              </w:rPr>
              <w:t>-16.1%</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8,591</w:t>
            </w:r>
          </w:p>
        </w:tc>
        <w:tc>
          <w:tcPr>
            <w:tcW w:type="dxa" w:w="1440"/>
            <w:shd w:fill="FFDCE0" w:val="clear"/>
          </w:tcPr>
          <w:p>
            <w:r>
              <w:rPr>
                <w:b/>
                <w:sz w:val="17"/>
              </w:rPr>
              <w:t>9,276</w:t>
            </w:r>
          </w:p>
        </w:tc>
        <w:tc>
          <w:tcPr>
            <w:tcW w:type="dxa" w:w="1440"/>
            <w:shd w:fill="FFDCE0" w:val="clear"/>
          </w:tcPr>
          <w:p>
            <w:r>
              <w:rPr>
                <w:sz w:val="17"/>
              </w:rPr>
              <w:t>9,961</w:t>
            </w:r>
          </w:p>
        </w:tc>
        <w:tc>
          <w:tcPr>
            <w:tcW w:type="dxa" w:w="1440"/>
            <w:shd w:fill="FFDCE0" w:val="clear"/>
          </w:tcPr>
          <w:p>
            <w:r>
              <w:rPr>
                <w:b/>
                <w:color w:val="C00000"/>
                <w:sz w:val="17"/>
              </w:rPr>
              <w:t>-18.3%</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8,330</w:t>
            </w:r>
          </w:p>
        </w:tc>
        <w:tc>
          <w:tcPr>
            <w:tcW w:type="dxa" w:w="1440"/>
            <w:shd w:fill="FFDCE0" w:val="clear"/>
          </w:tcPr>
          <w:p>
            <w:r>
              <w:rPr>
                <w:b/>
                <w:sz w:val="17"/>
              </w:rPr>
              <w:t>9,052</w:t>
            </w:r>
          </w:p>
        </w:tc>
        <w:tc>
          <w:tcPr>
            <w:tcW w:type="dxa" w:w="1440"/>
            <w:shd w:fill="FFDCE0" w:val="clear"/>
          </w:tcPr>
          <w:p>
            <w:r>
              <w:rPr>
                <w:sz w:val="17"/>
              </w:rPr>
              <w:t>9,774</w:t>
            </w:r>
          </w:p>
        </w:tc>
        <w:tc>
          <w:tcPr>
            <w:tcW w:type="dxa" w:w="1440"/>
            <w:shd w:fill="FFDCE0" w:val="clear"/>
          </w:tcPr>
          <w:p>
            <w:r>
              <w:rPr>
                <w:b/>
                <w:color w:val="C00000"/>
                <w:sz w:val="17"/>
              </w:rPr>
              <w:t>-20.2%</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8,096</w:t>
            </w:r>
          </w:p>
        </w:tc>
        <w:tc>
          <w:tcPr>
            <w:tcW w:type="dxa" w:w="1440"/>
            <w:shd w:fill="FFDCE0" w:val="clear"/>
          </w:tcPr>
          <w:p>
            <w:r>
              <w:rPr>
                <w:b/>
                <w:sz w:val="17"/>
              </w:rPr>
              <w:t>8,851</w:t>
            </w:r>
          </w:p>
        </w:tc>
        <w:tc>
          <w:tcPr>
            <w:tcW w:type="dxa" w:w="1440"/>
            <w:shd w:fill="FFDCE0" w:val="clear"/>
          </w:tcPr>
          <w:p>
            <w:r>
              <w:rPr>
                <w:sz w:val="17"/>
              </w:rPr>
              <w:t>9,606</w:t>
            </w:r>
          </w:p>
        </w:tc>
        <w:tc>
          <w:tcPr>
            <w:tcW w:type="dxa" w:w="1440"/>
            <w:shd w:fill="FFDCE0" w:val="clear"/>
          </w:tcPr>
          <w:p>
            <w:r>
              <w:rPr>
                <w:b/>
                <w:color w:val="C00000"/>
                <w:sz w:val="17"/>
              </w:rPr>
              <w:t>-22.0%</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7,887</w:t>
            </w:r>
          </w:p>
        </w:tc>
        <w:tc>
          <w:tcPr>
            <w:tcW w:type="dxa" w:w="1440"/>
            <w:shd w:fill="FFDCE0" w:val="clear"/>
          </w:tcPr>
          <w:p>
            <w:r>
              <w:rPr>
                <w:b/>
                <w:sz w:val="17"/>
              </w:rPr>
              <w:t>8,671</w:t>
            </w:r>
          </w:p>
        </w:tc>
        <w:tc>
          <w:tcPr>
            <w:tcW w:type="dxa" w:w="1440"/>
            <w:shd w:fill="FFDCE0" w:val="clear"/>
          </w:tcPr>
          <w:p>
            <w:r>
              <w:rPr>
                <w:sz w:val="17"/>
              </w:rPr>
              <w:t>9,455</w:t>
            </w:r>
          </w:p>
        </w:tc>
        <w:tc>
          <w:tcPr>
            <w:tcW w:type="dxa" w:w="1440"/>
            <w:shd w:fill="FFDCE0" w:val="clear"/>
          </w:tcPr>
          <w:p>
            <w:r>
              <w:rPr>
                <w:b/>
                <w:color w:val="C00000"/>
                <w:sz w:val="17"/>
              </w:rPr>
              <w:t>-23.6%</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7,697</w:t>
            </w:r>
          </w:p>
        </w:tc>
        <w:tc>
          <w:tcPr>
            <w:tcW w:type="dxa" w:w="1440"/>
            <w:shd w:fill="FFDCE0" w:val="clear"/>
          </w:tcPr>
          <w:p>
            <w:r>
              <w:rPr>
                <w:b/>
                <w:sz w:val="17"/>
              </w:rPr>
              <w:t>8,509</w:t>
            </w:r>
          </w:p>
        </w:tc>
        <w:tc>
          <w:tcPr>
            <w:tcW w:type="dxa" w:w="1440"/>
            <w:shd w:fill="FFDCE0" w:val="clear"/>
          </w:tcPr>
          <w:p>
            <w:r>
              <w:rPr>
                <w:sz w:val="17"/>
              </w:rPr>
              <w:t>9,320</w:t>
            </w:r>
          </w:p>
        </w:tc>
        <w:tc>
          <w:tcPr>
            <w:tcW w:type="dxa" w:w="1440"/>
            <w:shd w:fill="FFDCE0" w:val="clear"/>
          </w:tcPr>
          <w:p>
            <w:r>
              <w:rPr>
                <w:b/>
                <w:color w:val="C00000"/>
                <w:sz w:val="17"/>
              </w:rPr>
              <w:t>-25.0%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454 milliards FCFA, ce qui en fait l'une des valeurs les plus significatives de la BRVM, reflétant son statut de banque systémique en Côte d'Ivoire. Le BPA de 888 FCFA indique que chaque action génère un bénéfice substantiel, justifiant un PER de 12,8x. Ce ratio est légèrement supérieur à la moyenne historique de la BRVM (8-12x), ce qui suggère que le marché accorde une prime de croissance à la banque, mais reste dans une zone de valorisation raisonnable. Le P/B de 3,57x confirme cette prime, le marché valorisant la société à plus de 3,5 fois sa valeur comptable, signe d'une forte confiance dans la création de valeur future. En revanche, l'EV/EBITDA de 26,4x est particulièrement exigeant, indiquant que la valeur totale de l'entreprise (capitalisation + dette nette) est très élevée par rapport à sa capacité opérationnelle,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+36,83%, avec une accélération notable lors de la dernière séance (+4,95%), clôturant à son plus haut historique de 11 350 FCFA. Le titre a évolué dans une fourchette large de 8 100 à 11 350 FCFA, démontrant une dynamique haussière puissante. La moyenne du cours sur la période (9 056 FCFA) est supérieure à la médiane (8 885 FCFA), et le skewness positif de 1,649 confirme une asymétrie avec des journées de forte hausse plus marquées, tirant la moyenne vers le haut. L'écart-type de 644 FCFA (CV=7,1%) indique une dispersion modérée autour de la moyenne. Le kurtosis élevé de 2,752 signale un risque de pics de volatilité, avec des mouvements de cours plus extrêmes que la normale. La volatilité annualisée de 27,3% classe le titre dans une zone de risque modéré à élevé, nécessitant une gestion attentive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(11 350 FCFA) évolue nettement au-dessus de la MM20 (10 087,5 FCFA) et de la MM50 (9 461,2 FCFA), confirmant une tendance haussière solide à court et moyen terme. L'écart croissant entre les deux moyennes indique une accélération du momentum, justifiant la décision d'achat. Tant que le cours reste au-dessus de la MM20, la tendance haussière demeure intacte.</w:t>
      </w:r>
    </w:p>
    <w:p>
      <w:pPr>
        <w:spacing w:after="120" w:line="276" w:lineRule="auto"/>
      </w:pPr>
      <w:r>
        <w:t>**Bandes de Bollinger** : Le prix est positionné à la borne supérieure (11 370,89 FCFA), très proche de la limite, ce qui indique une pression acheteuse intense. La décision est neutre car un tel positionnement peut précéder une poursuite de la hausse ou un retour vers la moyenne. La largeur des bandes suggère une volatilité élevée, et un éventuel dépassement de la borne supérieure signalerait une extension de tendance.</w:t>
      </w:r>
    </w:p>
    <w:p>
      <w:pPr>
        <w:spacing w:after="120" w:line="276" w:lineRule="auto"/>
      </w:pPr>
      <w:r>
        <w:t>**MACD** : Le MACD (477,6) est nettement au-dessus de son signal (363,0), avec un histogramme positif en expansion. Cette configuration confirme un momentum haussier robuste, justifiant la décision d'achat. La divergence positive indique que la dynamique haussière est soutenue par les volumes et la pression acheteuse.</w:t>
      </w:r>
    </w:p>
    <w:p>
      <w:pPr>
        <w:spacing w:after="120" w:line="276" w:lineRule="auto"/>
      </w:pPr>
      <w:r>
        <w:t>**RSI** : Le RSI à 80,65 est en zone de surachat sévère (&gt;70), signalant que le titre est techniquement surévalué à court terme. La décision de vente est justifiée par ce niveau extrême, qui suggère un risque élevé de correction technique. Les investisseurs devraient surveiller un éventuel retour sous le seuil de 70 comme premier signe de faiblesse.</w:t>
      </w:r>
    </w:p>
    <w:p>
      <w:pPr>
        <w:spacing w:after="120" w:line="276" w:lineRule="auto"/>
      </w:pPr>
      <w:r>
        <w:t>**Stochastique** : Le %K à 100 et le %D à 83,44 confirment une condition de surachat extrême. Le %K est à son niveau maximal, indiquant que le titre est survendu d'un point de vue technique. La décision de vente est cohérente avec ces niveaux, bien que le croisement baissier ne soit pas encore amorcé.</w:t>
      </w:r>
    </w:p>
    <w:p>
      <w:pPr>
        <w:spacing w:after="120" w:line="276" w:lineRule="auto"/>
      </w:pPr>
      <w:r>
        <w:t>**Conclusion technique** : Les indicateurs de tendance (MM, MACD) sont résolument haussiers, mais les oscillateurs (RSI, Stochastique) signalent un surachat extrême. Cette divergence suggère une consolidation ou une correction technique à court terme avant une éventuelle poursuite de la tendance. Les investisseurs devraient attendre un repli vers les 10 500-10 700 FCFA pour renforcer leurs positions.</w:t>
      </w:r>
    </w:p>
    <w:p>
      <w:pPr>
        <w:spacing w:after="120" w:line="276" w:lineRule="auto"/>
      </w:pPr>
      <w:r>
        <w:t>---</w:t>
      </w:r>
    </w:p>
    <w:p>
      <w:pPr>
        <w:spacing w:after="120" w:line="276" w:lineRule="auto"/>
      </w:pPr>
      <w:r>
        <w:t>### PARTIE 3 : ANALYSE FONDAMENTALE (SECTION CRITIQUE)</w:t>
      </w:r>
    </w:p>
    <w:p>
      <w:pPr>
        <w:spacing w:after="120" w:line="276" w:lineRule="auto"/>
      </w:pPr>
      <w:r>
        <w:t>En 2025, BOAC affiche des fondamentaux solides avec un Produit Net Bancaire (PNB) de 73,545 milliards FCFA et un résultat net de 35,540 milliards FCFA, en hausse de 10,9% par rapport à 2024 (32,044 milliards FCFA). La rentabilité des fonds propres (ROE) atteint un niveau exceptionnel de 27,9%, tandis que le ROA s'établit à 3,2%, témoignant d'une gestion efficace des actifs. Le coefficient d'exploitation de 36,7% démontre une excellente maîtrise des charges, bien en deçà du seuil de 60% considéré comme sain. Le coût du risque de 6,7% reste un point de vigilance, reflétant une dégradation de la qualité du crédit observée depuis 2024 (+40,8% des provisions). Les dépôts clients (850,5 milliards FCFA) représentent 1,98x les créances clients (430,4 milliards FCFA), indiquant une liquidité abondante et une capacité de transformation limitée. Sur la base du rapport du 3ème trimestre 2025 (PNB de 53,49 milliards FCFA, résultat net de 26,63 milliards FCFA), on estime que l'exercice 2026 devrait maintenir une croissance modérée, avec un PNB annuel projeté autour de 74-75 milliards FCFA et un résultat net de 36-37 milliards FCFA, en ligne avec les objectifs triennaux de croissance du PNB de +11,6%. La banque, bien que confrontée à une stagnation de son activité, démontre une résilience opérationnelle remarquable.</w:t>
      </w:r>
    </w:p>
    <w:p>
      <w:pPr>
        <w:spacing w:after="120" w:line="276" w:lineRule="auto"/>
      </w:pPr>
      <w:r>
        <w:t>---</w:t>
      </w:r>
    </w:p>
    <w:p>
      <w:pPr>
        <w:spacing w:after="120" w:line="276" w:lineRule="auto"/>
      </w:pPr>
      <w:r>
        <w:t>### PARTIE 4 : CONCLUSION D'INVESTISSEMENT</w:t>
      </w:r>
    </w:p>
    <w:p>
      <w:pPr>
        <w:spacing w:after="120" w:line="276" w:lineRule="auto"/>
      </w:pPr>
      <w:r>
        <w:t>La valorisation de BOAC (PER 12,8x, P/B 3,57x) est légèrement supérieure aux moyennes du marché, mais justifiée par une rentabilité exceptionnelle (ROE 27,9%) et une solidité financière avérée. Le comportement du cours (+36,83% sur 100 jours) est extrêmement positif, mais les statistiques (kurtosis élevé, skewness positif) et la volatilité de 27,3% signalent un risque accru de mouvements brusques. Les signaux techniques sont divergents : les indicateurs de tendance (MM, MACD) sont haussiers, tandis que les oscillateurs (RSI, Stochastique) indiquent un surachat extrême, suggérant une correction imminente. Les fondamentaux restent solides avec une croissance modérée du PNB et une maîtrise des coûts, mais le coût du risque élevé et la stagnation de l'activité constituent des points de vigilance. Les prédictions IA (10 739 FCFA à J+1, 9 528 FCFA à J+10) confirment cette analyse, anticipant un repli technique vers les 9 500-10 700 FCFA. **Recommandation finale : CONSERVER** avec un niveau de confiance **Moyen** et un risque global **Élevé**. L'horizon d'investissement optimal est le **moyen terme (3-12 mois)**, en attendant une correction technique pour renforcer les positions sur un titre aux fondamentaux solides.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154.41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6,469 titres</w:t>
            </w:r>
          </w:p>
        </w:tc>
        <w:tc>
          <w:tcPr>
            <w:tcW w:type="dxa" w:w="2268"/>
            <w:shd w:fill="FFF2CC" w:val="clear"/>
          </w:tcPr>
          <w:p>
            <w:r>
              <w:rPr>
                <w:b/>
                <w:color w:val="503200"/>
                <w:sz w:val="16"/>
              </w:rPr>
              <w:t xml:space="preserve">Cours actuel : </w:t>
            </w:r>
            <w:r>
              <w:rPr>
                <w:color w:val="000000"/>
                <w:sz w:val="17"/>
              </w:rPr>
              <w:t>5,625 FCFA</w:t>
            </w:r>
          </w:p>
          <w:p>
            <w:r>
              <w:rPr>
                <w:b/>
                <w:color w:val="503200"/>
                <w:sz w:val="16"/>
              </w:rPr>
              <w:t xml:space="preserve">Var. 100 jours : </w:t>
            </w:r>
            <w:r>
              <w:rPr>
                <w:b/>
                <w:color w:val="007800"/>
                <w:sz w:val="17"/>
              </w:rPr>
              <w:t>+22.55%</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7.70% (Moyenne) — μ=4,898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β=0.2869 (Défensif) — Cov=0.000010, Var(idx)=0.000036, ρ=0.087,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5,292</w:t>
            </w:r>
          </w:p>
        </w:tc>
        <w:tc>
          <w:tcPr>
            <w:tcW w:type="dxa" w:w="1440"/>
            <w:shd w:fill="FAFAFA" w:val="clear"/>
          </w:tcPr>
          <w:p>
            <w:r>
              <w:rPr>
                <w:b/>
                <w:sz w:val="17"/>
              </w:rPr>
              <w:t>5,548</w:t>
            </w:r>
          </w:p>
        </w:tc>
        <w:tc>
          <w:tcPr>
            <w:tcW w:type="dxa" w:w="1440"/>
            <w:shd w:fill="FAFAFA" w:val="clear"/>
          </w:tcPr>
          <w:p>
            <w:r>
              <w:rPr>
                <w:sz w:val="17"/>
              </w:rPr>
              <w:t>5,804</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5,110</w:t>
            </w:r>
          </w:p>
        </w:tc>
        <w:tc>
          <w:tcPr>
            <w:tcW w:type="dxa" w:w="1440"/>
            <w:shd w:fill="FFDCE0" w:val="clear"/>
          </w:tcPr>
          <w:p>
            <w:r>
              <w:rPr>
                <w:b/>
                <w:sz w:val="17"/>
              </w:rPr>
              <w:t>5,466</w:t>
            </w:r>
          </w:p>
        </w:tc>
        <w:tc>
          <w:tcPr>
            <w:tcW w:type="dxa" w:w="1440"/>
            <w:shd w:fill="FFDCE0" w:val="clear"/>
          </w:tcPr>
          <w:p>
            <w:r>
              <w:rPr>
                <w:sz w:val="17"/>
              </w:rPr>
              <w:t>5,823</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4,961</w:t>
            </w:r>
          </w:p>
        </w:tc>
        <w:tc>
          <w:tcPr>
            <w:tcW w:type="dxa" w:w="1440"/>
            <w:shd w:fill="FFDCE0" w:val="clear"/>
          </w:tcPr>
          <w:p>
            <w:r>
              <w:rPr>
                <w:b/>
                <w:sz w:val="17"/>
              </w:rPr>
              <w:t>5,392</w:t>
            </w:r>
          </w:p>
        </w:tc>
        <w:tc>
          <w:tcPr>
            <w:tcW w:type="dxa" w:w="1440"/>
            <w:shd w:fill="FFDCE0" w:val="clear"/>
          </w:tcPr>
          <w:p>
            <w:r>
              <w:rPr>
                <w:sz w:val="17"/>
              </w:rPr>
              <w:t>5,823</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4,835</w:t>
            </w:r>
          </w:p>
        </w:tc>
        <w:tc>
          <w:tcPr>
            <w:tcW w:type="dxa" w:w="1440"/>
            <w:shd w:fill="FFDCE0" w:val="clear"/>
          </w:tcPr>
          <w:p>
            <w:r>
              <w:rPr>
                <w:b/>
                <w:sz w:val="17"/>
              </w:rPr>
              <w:t>5,326</w:t>
            </w:r>
          </w:p>
        </w:tc>
        <w:tc>
          <w:tcPr>
            <w:tcW w:type="dxa" w:w="1440"/>
            <w:shd w:fill="FFDCE0" w:val="clear"/>
          </w:tcPr>
          <w:p>
            <w:r>
              <w:rPr>
                <w:sz w:val="17"/>
              </w:rPr>
              <w:t>5,818</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4,724</w:t>
            </w:r>
          </w:p>
        </w:tc>
        <w:tc>
          <w:tcPr>
            <w:tcW w:type="dxa" w:w="1440"/>
            <w:shd w:fill="FFDCE0" w:val="clear"/>
          </w:tcPr>
          <w:p>
            <w:r>
              <w:rPr>
                <w:b/>
                <w:sz w:val="17"/>
              </w:rPr>
              <w:t>5,267</w:t>
            </w:r>
          </w:p>
        </w:tc>
        <w:tc>
          <w:tcPr>
            <w:tcW w:type="dxa" w:w="1440"/>
            <w:shd w:fill="FFDCE0" w:val="clear"/>
          </w:tcPr>
          <w:p>
            <w:r>
              <w:rPr>
                <w:sz w:val="17"/>
              </w:rPr>
              <w:t>5,810</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4,623</w:t>
            </w:r>
          </w:p>
        </w:tc>
        <w:tc>
          <w:tcPr>
            <w:tcW w:type="dxa" w:w="1440"/>
            <w:shd w:fill="FFDCE0" w:val="clear"/>
          </w:tcPr>
          <w:p>
            <w:r>
              <w:rPr>
                <w:b/>
                <w:sz w:val="17"/>
              </w:rPr>
              <w:t>5,212</w:t>
            </w:r>
          </w:p>
        </w:tc>
        <w:tc>
          <w:tcPr>
            <w:tcW w:type="dxa" w:w="1440"/>
            <w:shd w:fill="FFDCE0" w:val="clear"/>
          </w:tcPr>
          <w:p>
            <w:r>
              <w:rPr>
                <w:sz w:val="17"/>
              </w:rPr>
              <w:t>5,801</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4,530</w:t>
            </w:r>
          </w:p>
        </w:tc>
        <w:tc>
          <w:tcPr>
            <w:tcW w:type="dxa" w:w="1440"/>
            <w:shd w:fill="FFDCE0" w:val="clear"/>
          </w:tcPr>
          <w:p>
            <w:r>
              <w:rPr>
                <w:b/>
                <w:sz w:val="17"/>
              </w:rPr>
              <w:t>5,160</w:t>
            </w:r>
          </w:p>
        </w:tc>
        <w:tc>
          <w:tcPr>
            <w:tcW w:type="dxa" w:w="1440"/>
            <w:shd w:fill="FFDCE0" w:val="clear"/>
          </w:tcPr>
          <w:p>
            <w:r>
              <w:rPr>
                <w:sz w:val="17"/>
              </w:rPr>
              <w:t>5,790</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4,444</w:t>
            </w:r>
          </w:p>
        </w:tc>
        <w:tc>
          <w:tcPr>
            <w:tcW w:type="dxa" w:w="1440"/>
            <w:shd w:fill="FFDCE0" w:val="clear"/>
          </w:tcPr>
          <w:p>
            <w:r>
              <w:rPr>
                <w:b/>
                <w:sz w:val="17"/>
              </w:rPr>
              <w:t>5,111</w:t>
            </w:r>
          </w:p>
        </w:tc>
        <w:tc>
          <w:tcPr>
            <w:tcW w:type="dxa" w:w="1440"/>
            <w:shd w:fill="FFDCE0" w:val="clear"/>
          </w:tcPr>
          <w:p>
            <w:r>
              <w:rPr>
                <w:sz w:val="17"/>
              </w:rPr>
              <w:t>5,778</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4,363</w:t>
            </w:r>
          </w:p>
        </w:tc>
        <w:tc>
          <w:tcPr>
            <w:tcW w:type="dxa" w:w="1440"/>
            <w:shd w:fill="FFDCE0" w:val="clear"/>
          </w:tcPr>
          <w:p>
            <w:r>
              <w:rPr>
                <w:b/>
                <w:sz w:val="17"/>
              </w:rPr>
              <w:t>5,064</w:t>
            </w:r>
          </w:p>
        </w:tc>
        <w:tc>
          <w:tcPr>
            <w:tcW w:type="dxa" w:w="1440"/>
            <w:shd w:fill="FFDCE0" w:val="clear"/>
          </w:tcPr>
          <w:p>
            <w:r>
              <w:rPr>
                <w:sz w:val="17"/>
              </w:rPr>
              <w:t>5,765</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4,288</w:t>
            </w:r>
          </w:p>
        </w:tc>
        <w:tc>
          <w:tcPr>
            <w:tcW w:type="dxa" w:w="1440"/>
            <w:shd w:fill="FFDCE0" w:val="clear"/>
          </w:tcPr>
          <w:p>
            <w:r>
              <w:rPr>
                <w:b/>
                <w:sz w:val="17"/>
              </w:rPr>
              <w:t>5,020</w:t>
            </w:r>
          </w:p>
        </w:tc>
        <w:tc>
          <w:tcPr>
            <w:tcW w:type="dxa" w:w="1440"/>
            <w:shd w:fill="FFDCE0" w:val="clear"/>
          </w:tcPr>
          <w:p>
            <w:r>
              <w:rPr>
                <w:sz w:val="17"/>
              </w:rPr>
              <w:t>5,752</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154,41 milliards FCFA, un niveau significatif qui la positionne parmi les valeurs moyennes du compartiment bancaire de la BRVM. Avec un BPA de 404 FCFA, chaque action génère un bénéfice substantiel, justifiant un PER de 13,9x. Ce ratio est légèrement supérieur à la moyenne historique de la BRVM (8-12x), indiquant que le marché accorde une prime de croissance à la valeur, mais sans excès spéculatif. Le P/B de 3,10x confirme cette lecture : le titre se négocie au-dessus de sa valeur comptable, reflétant la confiance des investisseurs dans la capacité de la banque à générer de la valeur ajoutée. Enfin, l'EV/EBITDA de 6,8x, situé dans la fourchette raisonnable de 5-10x, suggère que la valorisation globale de l'entreprise reste cohérente avec sa capacité opérationnelle à dégager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+22,55%, malgré un léger repli de -0,71% lors de la dernière séance. Le titre a évolué dans une fourchette de 4 425 FCFA (plus bas) à 5 770 FCFA (plus haut), démontrant une dynamique haussière soutenue. La moyenne du cours (4 898 FCFA) est supérieure à la médiane (4 700 FCFA), ce qui, combiné à un skewness positif de 1,144, indique une distribution asymétrique avec des épisodes de hausse plus marqués que les baisses. L'écart-type de 379 FCFA (CV=7,7%) révèle une dispersion modérée des prix autour de la moyenne, tandis que le kurtosis de -0,054 (mésokurtique) suggère l'absence de risques extrêmes de pics ou de creux. La volatilité annualisée de 31,0% classe le titre dans la catégorie des valeurs à forte volatilité, ce qui implique des fluctuations de prix importantes, propices aux opportunités mais également aux risques.</w:t>
      </w:r>
    </w:p>
    <w:p>
      <w:pPr>
        <w:spacing w:after="120" w:line="276" w:lineRule="auto" w:before="240"/>
      </w:pPr>
      <w:r>
        <w:rPr>
          <w:b/>
          <w:color w:val="003366"/>
          <w:sz w:val="24"/>
        </w:rPr>
        <w:t>**PARTIE 2 : ANALYSE TECHNIQUE DÉTAILLÉE**</w:t>
      </w:r>
    </w:p>
    <w:p>
      <w:pPr>
        <w:spacing w:after="120" w:line="276" w:lineRule="auto"/>
      </w:pPr>
      <w:r>
        <w:t>Les **Moyennes Mobiles** (MM20 à 5 583,5 FCFA et MM50 à 5 103,5 FCFA) sont toutes deux inférieures au cours actuel de 5 625 FCFA, confirmant une tendance haussière de court et moyen terme. La configuration des MM (MM20 &gt; MM50) valide un signal d'achat, le prix évoluant au-dessus de ses moyennes mobiles, ce qui indique une dynamique positive soutenue par les acheteurs.</w:t>
      </w:r>
    </w:p>
    <w:p>
      <w:pPr>
        <w:spacing w:after="120" w:line="276" w:lineRule="auto"/>
      </w:pPr>
      <w:r>
        <w:t>Les **Bandes de Bollinger** (borne supérieure à 5 907,65 FCFA et borne inférieure à 5 259,35 FCFA) encadrent le cours actuel, qui se situe dans la partie médiane-haute de la bande. Cette position suggère une volatilité modérée sans excès, le prix n'étant ni suracheté ni survendu. La décision "Neutre" est justifiée, le marché semblant chercher une direction après une phase de hausse.</w:t>
      </w:r>
    </w:p>
    <w:p>
      <w:pPr>
        <w:spacing w:after="120" w:line="276" w:lineRule="auto"/>
      </w:pPr>
      <w:r>
        <w:t>Le **MACD** (valeur à 160,66 contre un signal à 186,99) affiche une divergence négative, le MACD étant passé sous sa ligne de signal. Cette configuration indique un affaiblissement du momentum haussier à court terme, justifiant une décision de "Vente" prudente. Les acheteurs pourraient marquer une pause, mais la tendance de fond reste positive.</w:t>
      </w:r>
    </w:p>
    <w:p>
      <w:pPr>
        <w:spacing w:after="120" w:line="276" w:lineRule="auto"/>
      </w:pPr>
      <w:r>
        <w:t>Le **RSI** à 46,67 se situe dans la zone neutre (30-70), sans signal de surachat ou de survente. Cette valeur reflète un équilibre entre les forces acheteuses et vendeuses, le marché n'étant pas encore engagé dans une direction claire. La décision "Neutre" est cohérente avec cette lecture.</w:t>
      </w:r>
    </w:p>
    <w:p>
      <w:pPr>
        <w:spacing w:after="120" w:line="276" w:lineRule="auto"/>
      </w:pPr>
      <w:r>
        <w:t>Le **Stochastique** (%K à 65,48 et %D à 71,43) montre que le %K est inférieur au %D, indiquant un croisement baissier potentiel. Cependant, les deux lignes restent au-dessus de 50, ce qui suggère que la dynamique haussière n'est pas totalement inversée. La décision "Neutre" reflète cette ambiguïté.</w:t>
      </w:r>
    </w:p>
    <w:p>
      <w:pPr>
        <w:spacing w:after="120" w:line="276" w:lineRule="auto"/>
      </w:pPr>
      <w:r>
        <w:t>**Conclusion technique** : La tendance de fond reste haussière, soutenue par les moyennes mobiles et la position du cours dans les bandes de Bollinger. Cependant, les signaux de court terme (MACD et Stochastique) indiquent un essoufflement du momentum, suggérant une possible consolidation avant la poursuite de la hausse. Les indicateurs sont globalement mitigés, avec une légère prédominance baissière à très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révèlent une banque solide et rentable. Le Produit Net Bancaire (PNB) s'établit à 37,996 milliards FCFA, avec un résultat net de 11,081 milliards FCFA, soit une marge nette de 29,16%. La rentabilité des fonds propres (ROE) atteint 22,24%, un niveau excellent (&gt;15%), et le ROA de 1,87% témoigne d'une bonne efficacité dans l'utilisation des actifs. Le coefficient d'exploitation de 63,14% reste légèrement au-dessus du seuil d'efficacité de 60%, indiquant une marge de progression dans la maîtrise des charges. Le coût du risque, à 43,39% des charges financières, est élevé, signalant un risque de crédit significatif, mais en amélioration. La structure financière montre une dépendance aux dépôts clientèle (502,89 milliards FCFA) pour financer les crédits (253,65 milliards FCFA), avec un ratio de transformation sain. Les rapports trimestriels 2025 confirment cette trajectoire : le T1 2025 affiche un résultat net de 3,02 milliards FCFA (+91,2% sur un an), le S1 2025 un PNB de 18,71 milliards (+2,7%) et un résultat net de 6,21 milliards (+28,8%), et le T3 2025 un PNB cumulé de 28,52 milliards (+5,8%) avec un résultat net de 9,16 milliards (+26,2%). Sur la base de ces performances, on estime que l'exercice 2025 devrait confirmer une croissance soutenue de la rentabilité, portée par la maîtrise du coût du risque et la diversification des revenus. La banque démontre une résilience remarquable dans un environnement malien difficile, avec des fondamentaux solides et des perspectives de croissance modérées mais stables.</w:t>
      </w:r>
    </w:p>
    <w:p>
      <w:pPr>
        <w:spacing w:after="120" w:line="276" w:lineRule="auto" w:before="240"/>
      </w:pPr>
      <w:r>
        <w:rPr>
          <w:b/>
          <w:color w:val="003366"/>
          <w:sz w:val="24"/>
        </w:rPr>
        <w:t>**PARTIE 4 : CONCLUSION D'INVESTISSEMENT**</w:t>
      </w:r>
    </w:p>
    <w:p>
      <w:pPr>
        <w:spacing w:after="120" w:line="276" w:lineRule="auto"/>
      </w:pPr>
      <w:r>
        <w:t>La valorisation de BOAM (PER 13,9x, P/B 3,10x, EV/EBITDA 6,8x) est raisonnable, avec une prime de croissance justifiée par la solidité des fondamentaux. Le comportement du cours sur 100 jours (+22,55%) est très positif, mais la volatilité élevée (31%) et les statistiques descriptives (skewness positif, kurtosis mésokurtique) suggèrent une certaine instabilité. Les signaux techniques sont mitigés : la tendance de fond reste haussière (MM), mais les indicateurs de momentum (MACD, Stochastique) montrent un essoufflement à court terme. Les fondamentaux sont excellents, avec un ROE de 22,24%, une croissance soutenue du résultat net (+26-28% sur les trois premiers trimestres 2025) et une gestion prudente du risque. Les prédictions IA pour les 10 prochains jours (baisse progressive de 5 548 à 5 267 FCFA) confirment la consolidation technique anticipée. En synthèse, la convergence entre la solidité fondamentale et la valorisation raisonnable est contrebalancée par les signaux techniques de court terme. **Recommandation : ACHAT** sur les replis, avec un niveau de confiance **Moyen** et un risque global **Moyen**. L'horizon d'investissement optimal est le **moyen terme (3-12 mois)**, en attendant que la consolidation technique se résorbe pour capitaliser sur la croissance fondamentale de la banque.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11,172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+92.59%</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22.02% (Élevée) — μ=3,726 FCFA, σ=820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β=0.6607 (Défensif) — Cov=0.000024, Var(idx)=0.000036, ρ=0.142,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547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4,981</w:t>
            </w:r>
          </w:p>
        </w:tc>
        <w:tc>
          <w:tcPr>
            <w:tcW w:type="dxa" w:w="1440"/>
            <w:shd w:fill="FAFAFA" w:val="clear"/>
          </w:tcPr>
          <w:p>
            <w:r>
              <w:rPr>
                <w:b/>
                <w:sz w:val="17"/>
              </w:rPr>
              <w:t>5,226</w:t>
            </w:r>
          </w:p>
        </w:tc>
        <w:tc>
          <w:tcPr>
            <w:tcW w:type="dxa" w:w="1440"/>
            <w:shd w:fill="FAFAFA" w:val="clear"/>
          </w:tcPr>
          <w:p>
            <w:r>
              <w:rPr>
                <w:sz w:val="17"/>
              </w:rPr>
              <w:t>5,472</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4,863</w:t>
            </w:r>
          </w:p>
        </w:tc>
        <w:tc>
          <w:tcPr>
            <w:tcW w:type="dxa" w:w="1440"/>
            <w:shd w:fill="FAFAFA" w:val="clear"/>
          </w:tcPr>
          <w:p>
            <w:r>
              <w:rPr>
                <w:b/>
                <w:sz w:val="17"/>
              </w:rPr>
              <w:t>5,209</w:t>
            </w:r>
          </w:p>
        </w:tc>
        <w:tc>
          <w:tcPr>
            <w:tcW w:type="dxa" w:w="1440"/>
            <w:shd w:fill="FAFAFA" w:val="clear"/>
          </w:tcPr>
          <w:p>
            <w:r>
              <w:rPr>
                <w:sz w:val="17"/>
              </w:rPr>
              <w:t>5,554</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4,774</w:t>
            </w:r>
          </w:p>
        </w:tc>
        <w:tc>
          <w:tcPr>
            <w:tcW w:type="dxa" w:w="1440"/>
            <w:shd w:fill="FAFAFA" w:val="clear"/>
          </w:tcPr>
          <w:p>
            <w:r>
              <w:rPr>
                <w:b/>
                <w:sz w:val="17"/>
              </w:rPr>
              <w:t>5,197</w:t>
            </w:r>
          </w:p>
        </w:tc>
        <w:tc>
          <w:tcPr>
            <w:tcW w:type="dxa" w:w="1440"/>
            <w:shd w:fill="FAFAFA" w:val="clear"/>
          </w:tcPr>
          <w:p>
            <w:r>
              <w:rPr>
                <w:sz w:val="17"/>
              </w:rPr>
              <w:t>5,619</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4,699</w:t>
            </w:r>
          </w:p>
        </w:tc>
        <w:tc>
          <w:tcPr>
            <w:tcW w:type="dxa" w:w="1440"/>
            <w:shd w:fill="FAFAFA" w:val="clear"/>
          </w:tcPr>
          <w:p>
            <w:r>
              <w:rPr>
                <w:b/>
                <w:sz w:val="17"/>
              </w:rPr>
              <w:t>5,186</w:t>
            </w:r>
          </w:p>
        </w:tc>
        <w:tc>
          <w:tcPr>
            <w:tcW w:type="dxa" w:w="1440"/>
            <w:shd w:fill="FAFAFA" w:val="clear"/>
          </w:tcPr>
          <w:p>
            <w:r>
              <w:rPr>
                <w:sz w:val="17"/>
              </w:rPr>
              <w:t>5,672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4,632</w:t>
            </w:r>
          </w:p>
        </w:tc>
        <w:tc>
          <w:tcPr>
            <w:tcW w:type="dxa" w:w="1440"/>
            <w:shd w:fill="FAFAFA" w:val="clear"/>
          </w:tcPr>
          <w:p>
            <w:r>
              <w:rPr>
                <w:b/>
                <w:sz w:val="17"/>
              </w:rPr>
              <w:t>5,175</w:t>
            </w:r>
          </w:p>
        </w:tc>
        <w:tc>
          <w:tcPr>
            <w:tcW w:type="dxa" w:w="1440"/>
            <w:shd w:fill="FAFAFA" w:val="clear"/>
          </w:tcPr>
          <w:p>
            <w:r>
              <w:rPr>
                <w:sz w:val="17"/>
              </w:rPr>
              <w:t>5,718</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4,571</w:t>
            </w:r>
          </w:p>
        </w:tc>
        <w:tc>
          <w:tcPr>
            <w:tcW w:type="dxa" w:w="1440"/>
            <w:shd w:fill="FAFAFA" w:val="clear"/>
          </w:tcPr>
          <w:p>
            <w:r>
              <w:rPr>
                <w:b/>
                <w:sz w:val="17"/>
              </w:rPr>
              <w:t>5,165</w:t>
            </w:r>
          </w:p>
        </w:tc>
        <w:tc>
          <w:tcPr>
            <w:tcW w:type="dxa" w:w="1440"/>
            <w:shd w:fill="FAFAFA" w:val="clear"/>
          </w:tcPr>
          <w:p>
            <w:r>
              <w:rPr>
                <w:sz w:val="17"/>
              </w:rPr>
              <w:t>5,758</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4,514</w:t>
            </w:r>
          </w:p>
        </w:tc>
        <w:tc>
          <w:tcPr>
            <w:tcW w:type="dxa" w:w="1440"/>
            <w:shd w:fill="FAFAFA" w:val="clear"/>
          </w:tcPr>
          <w:p>
            <w:r>
              <w:rPr>
                <w:b/>
                <w:sz w:val="17"/>
              </w:rPr>
              <w:t>5,154</w:t>
            </w:r>
          </w:p>
        </w:tc>
        <w:tc>
          <w:tcPr>
            <w:tcW w:type="dxa" w:w="1440"/>
            <w:shd w:fill="FAFAFA" w:val="clear"/>
          </w:tcPr>
          <w:p>
            <w:r>
              <w:rPr>
                <w:sz w:val="17"/>
              </w:rPr>
              <w:t>5,794</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4,461</w:t>
            </w:r>
          </w:p>
        </w:tc>
        <w:tc>
          <w:tcPr>
            <w:tcW w:type="dxa" w:w="1440"/>
            <w:shd w:fill="FAFAFA" w:val="clear"/>
          </w:tcPr>
          <w:p>
            <w:r>
              <w:rPr>
                <w:b/>
                <w:sz w:val="17"/>
              </w:rPr>
              <w:t>5,144</w:t>
            </w:r>
          </w:p>
        </w:tc>
        <w:tc>
          <w:tcPr>
            <w:tcW w:type="dxa" w:w="1440"/>
            <w:shd w:fill="FAFAFA" w:val="clear"/>
          </w:tcPr>
          <w:p>
            <w:r>
              <w:rPr>
                <w:sz w:val="17"/>
              </w:rPr>
              <w:t>5,826</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4,411</w:t>
            </w:r>
          </w:p>
        </w:tc>
        <w:tc>
          <w:tcPr>
            <w:tcW w:type="dxa" w:w="1440"/>
            <w:shd w:fill="FAFAFA" w:val="clear"/>
          </w:tcPr>
          <w:p>
            <w:r>
              <w:rPr>
                <w:b/>
                <w:sz w:val="17"/>
              </w:rPr>
              <w:t>5,134</w:t>
            </w:r>
          </w:p>
        </w:tc>
        <w:tc>
          <w:tcPr>
            <w:tcW w:type="dxa" w:w="1440"/>
            <w:shd w:fill="FAFAFA" w:val="clear"/>
          </w:tcPr>
          <w:p>
            <w:r>
              <w:rPr>
                <w:sz w:val="17"/>
              </w:rPr>
              <w:t>5,856</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2026-08-18</w:t>
            </w:r>
          </w:p>
        </w:tc>
        <w:tc>
          <w:tcPr>
            <w:tcW w:type="dxa" w:w="1440"/>
            <w:shd w:fill="FAFAFA" w:val="clear"/>
          </w:tcPr>
          <w:p>
            <w:r>
              <w:rPr>
                <w:sz w:val="17"/>
              </w:rPr>
              <w:t>4,364</w:t>
            </w:r>
          </w:p>
        </w:tc>
        <w:tc>
          <w:tcPr>
            <w:tcW w:type="dxa" w:w="1440"/>
            <w:shd w:fill="FAFAFA" w:val="clear"/>
          </w:tcPr>
          <w:p>
            <w:r>
              <w:rPr>
                <w:b/>
                <w:sz w:val="17"/>
              </w:rPr>
              <w:t>5,124</w:t>
            </w:r>
          </w:p>
        </w:tc>
        <w:tc>
          <w:tcPr>
            <w:tcW w:type="dxa" w:w="1440"/>
            <w:shd w:fill="FAFAFA" w:val="clear"/>
          </w:tcPr>
          <w:p>
            <w:r>
              <w:rPr>
                <w:sz w:val="17"/>
              </w:rPr>
              <w:t>5,884</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un niveau significatif qui la positionne parmi les valeurs moyennes de la BRVM. Avec un BPA de seulement 20 FCFA, le PER ressort à 264,4x, un niveau extrêmement élevé qui contraste fortement avec la moyenne du marché BRVM (8-12x), indiquant que les investisseurs paient un prix très supérieur aux bénéfices actuels de la banque. Le P/B de 3,00x montre que le marché valorise l'action à trois fois sa valeur comptable, traduisant une prime de croissance substantielle accordée par les investisseurs malgré des fondamentaux dégradés. L'EV/EBITDA de 39,9x, très supérieur au seuil de 15x considéré comme exigeant, confirme une valorisation qui intègre des perspectives de redressement très optimistes. Ces ratios témoignent d'une anticipation forte d'un rebond des résultats, mais exposent également le titre à un risque de correction sévère si les performances ne suivent pas.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+92,59%, passant d'un plus bas de 2 460 FCFA à un plus haut de 5 400 FCFA, avant de clôturer à 5 200 FCFA, soit une légère baisse de -1,70% lors de la dernière séance. Cette performance exceptionnelle traduit une tendance résolument haussière, portée par un regain d'intérêt des investisseurs pour le titre. La moyenne du cours sur la période (3 726 FCFA) est très proche de la médiane (3 700 FCFA), indiquant une distribution relativement symétrique des prix, tandis que le mode à 3 500 FCFA suggère une concentration des échanges autour de ce niveau. L'écart-type de 825 FCFA avec un coefficient de variation de 22,1% dénote une dispersion modérée des cours autour de la moyenne. Le kurtosis de -0,471, proche d'une distribution normale, indique l'absence de mouvements extrêmes inhabituels, tandis que le skewness positif de 0,588 révèle que le cours a passé plus de journées sous la moyenne, avec des épisodes de hausse marqués. La volatilité annualisée de 45,2% classe le titre dans la catégorie des valeurs à très forte volatilité, impliquant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5 200 FCFA se positionne nettement au-dessus de la MM20 (5 060,75 FCFA) et de la MM50 (4 347,4 FCFA), confirmant une dynamique haussière solide à court et moyen terme. L'écart positif entre le cours et les deux moyennes mobiles, avec une MM20 supérieure à la MM50, valide la configuration de tendance haussière et justifie la décision d'achat.</w:t>
      </w:r>
    </w:p>
    <w:p>
      <w:pPr>
        <w:spacing w:after="120" w:line="276" w:lineRule="auto"/>
      </w:pPr>
      <w:r>
        <w:t>**Bandes de Bollinger** : Le prix évolue à 5 200 FCFA, dans la partie supérieure de l'enveloppe délimitée par la borne inférieure à 4 290,91 FCFA et la borne supérieure à 5 830,59 FCFA. La position du cours dans la moitié supérieure des bandes, sans toutefois toucher la borne haute, suggère une pression acheteuse persistante mais non excessive. La décision neutre reflète une volatilité modérée avec un potentiel de poursuite de la hausse vers la borne supérieure.</w:t>
      </w:r>
    </w:p>
    <w:p>
      <w:pPr>
        <w:spacing w:after="120" w:line="276" w:lineRule="auto"/>
      </w:pPr>
      <w:r>
        <w:t>**MACD** : Le MACD s'établit à 290,59, légèrement sous sa ligne de signal à 326,83, indiquant un affaiblissement du momentum haussier à court terme. Cette configuration, où le MACD passe sous le signal, génère un signal de vente précoce qui pourrait annoncer une consolidation ou un repli technique après la forte progression récente. Les investisseurs devront surveiller si le MACD repasse au-dessus du signal pour confirmer la reprise du mouvement haussier.</w:t>
      </w:r>
    </w:p>
    <w:p>
      <w:pPr>
        <w:spacing w:after="120" w:line="276" w:lineRule="auto"/>
      </w:pPr>
      <w:r>
        <w:t>**RSI** : Le RSI à 64,78 se situe dans la zone neutre-haute, en dessous du seuil de surachat de 70. Cette valeur indique que le titre conserve un potentiel haussier sans être encore en situation de surachat extrême. La décision neutre suggère que les acheteurs gardent le contrôle, mais avec une prudence croissante à mesure que le RSI approche de la zone critique.</w:t>
      </w:r>
    </w:p>
    <w:p>
      <w:pPr>
        <w:spacing w:after="120" w:line="276" w:lineRule="auto"/>
      </w:pPr>
      <w:r>
        <w:t>**Stochastique** : Le %K à 31,03 est nettement inférieur au %D à 66,01, formant une configuration baissière qui signale un essoufflement de la dynamique haussière à très court terme. Ce croisement baissier, intervenant après une période de hausse, suggère une possible phase de correction ou de consolidation avant la reprise éventuelle du mouvement.</w:t>
      </w:r>
    </w:p>
    <w:p>
      <w:pPr>
        <w:spacing w:after="120" w:line="276" w:lineRule="auto"/>
      </w:pPr>
      <w:r>
        <w:t>**Conclusion technique** : La tendance de fond reste clairement haussière, confirmée par les moyennes mobiles et la position dans les bandes de Bollinger. Cependant, les indicateurs de momentum (MACD, Stochastique) montrent des signes d'essoufflement à court terme, tandis que le RSI approche de la zone de surachat. Cette divergence entre la tendance de fond et les indicateurs de court terme suggère une probabilité de consolidation dans les prochaines séances,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 Produit Net Bancaire de BOAN s'établit à 21,125 milliards FCFA, en légère baisse de 1,2% par rapport à 2024 (21,38 milliards FCFA), après une chute de 20,74% enregistrée en 2024. Le résultat net s'effondre à 409 millions FCFA en 2025, contre 5 002 millions FCFA en 2024, soit une dégradation de 91,8%, principalement due à une hausse massive du coût du risque (provisions de 4,292 milliards FCFA) et à des charges exceptionnelles. Le ROE chute à 1,13% et le ROA à 0,14%, des niveaux très faibles qui reflètent une rentabilité quasi nulle des capitaux propres et des actifs. Le coefficient d'exploitation se détériore à 74,37%, bien au-dessus du seuil de 60% considéré comme efficace, indiquant une mauvaise maîtrise des charges face aux revenus. Les dépôts clientèle s'élèvent à 183,28 milliards FCFA contre des créances clientèle de 128,447 milliards FCFA, soit un ratio de transformation de 70%, traduisant une politique prudente de distribution du crédit. Le rapport du T1 2026, daté de mars 2026, fait état d'une nette amélioration avec un PNB en hausse de 7,9% à 5 170 millions FCFA et un résultat net en progression de 28,9% à 1 467,3 millions FCFA, porté par une meilleure maîtrise des frais généraux (-9,1%) et un coefficient d'exploitation ramené à 56,2%. Sur la base de ces données trimestrielles, on estime que l'exercice 2026 pourrait voir le PNB progresser d'environ 8% et le résultat net se redresser significativement, potentiellement vers 4-5 milliards FCFA, si la tendance se maintient. La banque bénéficie du soutien du groupe Bank of Africa et d'un ratio de solvabilité conforme (14,06%), mais reste exposée à un risque de crédit élevé avec un taux de créances en souffrance sectoriel de 24%.</w:t>
      </w:r>
    </w:p>
    <w:p>
      <w:pPr>
        <w:spacing w:after="120" w:line="276" w:lineRule="auto" w:before="240"/>
      </w:pPr>
      <w:r>
        <w:rPr>
          <w:b/>
          <w:color w:val="003366"/>
          <w:sz w:val="24"/>
        </w:rPr>
        <w:t>**PARTIE 4 : CONCLUSION D'INVESTISSEMENT**</w:t>
      </w:r>
    </w:p>
    <w:p>
      <w:pPr>
        <w:spacing w:after="120" w:line="276" w:lineRule="auto"/>
      </w:pPr>
      <w:r>
        <w:t>La valorisation de BOAN apparaît extrêmement exigeante avec un PER de 264,4x et un EV/EBITDA de 39,9x, intégrant des anticipations de redressement très optimistes qui contraste avec la faiblesse actuelle des fondamentaux (ROE de 1,13%). Le comportement du cours sur 100 jours, avec une hausse spectaculaire de 92,59% et une volatilité annualisée de 45,2%, témoigne d'un enthousiasme marqué des investisseurs, mais le skewness positif et le kurtosis mésokurtique suggèrent un risque de retournement. Les signaux techniques sont mitigés : la tendance de fond reste haussière (MM20 et MM50), mais les indicateurs de momentum (MACD et Stochastique) signalent un essoufflement à court terme. Les fondamentaux montrent une amélioration encourageante au T1 2026 (résultat net +28,9%), confirmant les perspectives de redressement, mais la prudence reste de mise face au risque de crédit élevé. Les prédictions IA pour les 10 prochains jours (5 226 à 5 175 FCFA) suggèrent une légère consolidation, en ligne avec les signaux techniques de court terme. La convergence entre les perspectives fondamentales positives et la dynamique haussière du cours justifie une recommandation **CONSERVER** avec un niveau de confiance **Moyen** et un risque global **Élevé**. L'horizon d'investissement optimal se situe à **moyen terme (3-12 mois)**, en attendant la confirmation du redressement sur l'ensemble de l'exercice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276.66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9,041 titres</w:t>
            </w:r>
          </w:p>
        </w:tc>
        <w:tc>
          <w:tcPr>
            <w:tcW w:type="dxa" w:w="2268"/>
            <w:shd w:fill="FFF2CC" w:val="clear"/>
          </w:tcPr>
          <w:p>
            <w:r>
              <w:rPr>
                <w:b/>
                <w:color w:val="503200"/>
                <w:sz w:val="16"/>
              </w:rPr>
              <w:t xml:space="preserve">Cours actuel : </w:t>
            </w:r>
            <w:r>
              <w:rPr>
                <w:color w:val="000000"/>
                <w:sz w:val="17"/>
              </w:rPr>
              <w:t>7,685 FCFA</w:t>
            </w:r>
          </w:p>
          <w:p>
            <w:r>
              <w:rPr>
                <w:b/>
                <w:color w:val="503200"/>
                <w:sz w:val="16"/>
              </w:rPr>
              <w:t xml:space="preserve">Var. 100 jours : </w:t>
            </w:r>
            <w:r>
              <w:rPr>
                <w:b/>
                <w:color w:val="007800"/>
                <w:sz w:val="17"/>
              </w:rPr>
              <w:t>+13.85%</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μ=7,224 FCFA, σ=390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β=0.5739 (Défensif) — Cov=0.000021, Var(idx)=0.000036, ρ=0.218,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5477"/>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7,371</w:t>
            </w:r>
          </w:p>
        </w:tc>
        <w:tc>
          <w:tcPr>
            <w:tcW w:type="dxa" w:w="1440"/>
            <w:shd w:fill="FAFAFA" w:val="clear"/>
          </w:tcPr>
          <w:p>
            <w:r>
              <w:rPr>
                <w:b/>
                <w:sz w:val="17"/>
              </w:rPr>
              <w:t>7,546</w:t>
            </w:r>
          </w:p>
        </w:tc>
        <w:tc>
          <w:tcPr>
            <w:tcW w:type="dxa" w:w="1440"/>
            <w:shd w:fill="FAFAFA" w:val="clear"/>
          </w:tcPr>
          <w:p>
            <w:r>
              <w:rPr>
                <w:sz w:val="17"/>
              </w:rPr>
              <w:t>7,721</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7,189</w:t>
            </w:r>
          </w:p>
        </w:tc>
        <w:tc>
          <w:tcPr>
            <w:tcW w:type="dxa" w:w="1440"/>
            <w:shd w:fill="FFDCE0" w:val="clear"/>
          </w:tcPr>
          <w:p>
            <w:r>
              <w:rPr>
                <w:b/>
                <w:sz w:val="17"/>
              </w:rPr>
              <w:t>7,433</w:t>
            </w:r>
          </w:p>
        </w:tc>
        <w:tc>
          <w:tcPr>
            <w:tcW w:type="dxa" w:w="1440"/>
            <w:shd w:fill="FFDCE0" w:val="clear"/>
          </w:tcPr>
          <w:p>
            <w:r>
              <w:rPr>
                <w:sz w:val="17"/>
              </w:rPr>
              <w:t>7,676</w:t>
            </w:r>
          </w:p>
        </w:tc>
        <w:tc>
          <w:tcPr>
            <w:tcW w:type="dxa" w:w="1440"/>
            <w:shd w:fill="FFDCE0" w:val="clear"/>
          </w:tcPr>
          <w:p>
            <w:r>
              <w:rPr>
                <w:b/>
                <w:color w:val="C00000"/>
                <w:sz w:val="17"/>
              </w:rPr>
              <w:t>-3.3%</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7,030</w:t>
            </w:r>
          </w:p>
        </w:tc>
        <w:tc>
          <w:tcPr>
            <w:tcW w:type="dxa" w:w="1440"/>
            <w:shd w:fill="FFDCE0" w:val="clear"/>
          </w:tcPr>
          <w:p>
            <w:r>
              <w:rPr>
                <w:b/>
                <w:sz w:val="17"/>
              </w:rPr>
              <w:t>7,325</w:t>
            </w:r>
          </w:p>
        </w:tc>
        <w:tc>
          <w:tcPr>
            <w:tcW w:type="dxa" w:w="1440"/>
            <w:shd w:fill="FFDCE0" w:val="clear"/>
          </w:tcPr>
          <w:p>
            <w:r>
              <w:rPr>
                <w:sz w:val="17"/>
              </w:rPr>
              <w:t>7,619</w:t>
            </w:r>
          </w:p>
        </w:tc>
        <w:tc>
          <w:tcPr>
            <w:tcW w:type="dxa" w:w="1440"/>
            <w:shd w:fill="FFDCE0" w:val="clear"/>
          </w:tcPr>
          <w:p>
            <w:r>
              <w:rPr>
                <w:b/>
                <w:color w:val="C00000"/>
                <w:sz w:val="17"/>
              </w:rPr>
              <w:t>-4.7%</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6,889</w:t>
            </w:r>
          </w:p>
        </w:tc>
        <w:tc>
          <w:tcPr>
            <w:tcW w:type="dxa" w:w="1440"/>
            <w:shd w:fill="FFDCE0" w:val="clear"/>
          </w:tcPr>
          <w:p>
            <w:r>
              <w:rPr>
                <w:b/>
                <w:sz w:val="17"/>
              </w:rPr>
              <w:t>7,224</w:t>
            </w:r>
          </w:p>
        </w:tc>
        <w:tc>
          <w:tcPr>
            <w:tcW w:type="dxa" w:w="1440"/>
            <w:shd w:fill="FFDCE0" w:val="clear"/>
          </w:tcPr>
          <w:p>
            <w:r>
              <w:rPr>
                <w:sz w:val="17"/>
              </w:rPr>
              <w:t>7,559</w:t>
            </w:r>
          </w:p>
        </w:tc>
        <w:tc>
          <w:tcPr>
            <w:tcW w:type="dxa" w:w="1440"/>
            <w:shd w:fill="FFDCE0" w:val="clear"/>
          </w:tcPr>
          <w:p>
            <w:r>
              <w:rPr>
                <w:b/>
                <w:color w:val="C00000"/>
                <w:sz w:val="17"/>
              </w:rPr>
              <w:t>-6.0%</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6,760</w:t>
            </w:r>
          </w:p>
        </w:tc>
        <w:tc>
          <w:tcPr>
            <w:tcW w:type="dxa" w:w="1440"/>
            <w:shd w:fill="FFDCE0" w:val="clear"/>
          </w:tcPr>
          <w:p>
            <w:r>
              <w:rPr>
                <w:b/>
                <w:sz w:val="17"/>
              </w:rPr>
              <w:t>7,129</w:t>
            </w:r>
          </w:p>
        </w:tc>
        <w:tc>
          <w:tcPr>
            <w:tcW w:type="dxa" w:w="1440"/>
            <w:shd w:fill="FFDCE0" w:val="clear"/>
          </w:tcPr>
          <w:p>
            <w:r>
              <w:rPr>
                <w:sz w:val="17"/>
              </w:rPr>
              <w:t>7,499</w:t>
            </w:r>
          </w:p>
        </w:tc>
        <w:tc>
          <w:tcPr>
            <w:tcW w:type="dxa" w:w="1440"/>
            <w:shd w:fill="FFDCE0" w:val="clear"/>
          </w:tcPr>
          <w:p>
            <w:r>
              <w:rPr>
                <w:b/>
                <w:color w:val="C00000"/>
                <w:sz w:val="17"/>
              </w:rPr>
              <w:t>-7.2%</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6,640</w:t>
            </w:r>
          </w:p>
        </w:tc>
        <w:tc>
          <w:tcPr>
            <w:tcW w:type="dxa" w:w="1440"/>
            <w:shd w:fill="FFDCE0" w:val="clear"/>
          </w:tcPr>
          <w:p>
            <w:r>
              <w:rPr>
                <w:b/>
                <w:sz w:val="17"/>
              </w:rPr>
              <w:t>7,040</w:t>
            </w:r>
          </w:p>
        </w:tc>
        <w:tc>
          <w:tcPr>
            <w:tcW w:type="dxa" w:w="1440"/>
            <w:shd w:fill="FFDCE0" w:val="clear"/>
          </w:tcPr>
          <w:p>
            <w:r>
              <w:rPr>
                <w:sz w:val="17"/>
              </w:rPr>
              <w:t>7,440</w:t>
            </w:r>
          </w:p>
        </w:tc>
        <w:tc>
          <w:tcPr>
            <w:tcW w:type="dxa" w:w="1440"/>
            <w:shd w:fill="FFDCE0" w:val="clear"/>
          </w:tcPr>
          <w:p>
            <w:r>
              <w:rPr>
                <w:b/>
                <w:color w:val="C00000"/>
                <w:sz w:val="17"/>
              </w:rPr>
              <w:t>-8.4%</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6,528</w:t>
            </w:r>
          </w:p>
        </w:tc>
        <w:tc>
          <w:tcPr>
            <w:tcW w:type="dxa" w:w="1440"/>
            <w:shd w:fill="FFDCE0" w:val="clear"/>
          </w:tcPr>
          <w:p>
            <w:r>
              <w:rPr>
                <w:b/>
                <w:sz w:val="17"/>
              </w:rPr>
              <w:t>6,955</w:t>
            </w:r>
          </w:p>
        </w:tc>
        <w:tc>
          <w:tcPr>
            <w:tcW w:type="dxa" w:w="1440"/>
            <w:shd w:fill="FFDCE0" w:val="clear"/>
          </w:tcPr>
          <w:p>
            <w:r>
              <w:rPr>
                <w:sz w:val="17"/>
              </w:rPr>
              <w:t>7,382</w:t>
            </w:r>
          </w:p>
        </w:tc>
        <w:tc>
          <w:tcPr>
            <w:tcW w:type="dxa" w:w="1440"/>
            <w:shd w:fill="FFDCE0" w:val="clear"/>
          </w:tcPr>
          <w:p>
            <w:r>
              <w:rPr>
                <w:b/>
                <w:color w:val="C00000"/>
                <w:sz w:val="17"/>
              </w:rPr>
              <w:t>-9.5%</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6,423</w:t>
            </w:r>
          </w:p>
        </w:tc>
        <w:tc>
          <w:tcPr>
            <w:tcW w:type="dxa" w:w="1440"/>
            <w:shd w:fill="FFDCE0" w:val="clear"/>
          </w:tcPr>
          <w:p>
            <w:r>
              <w:rPr>
                <w:b/>
                <w:sz w:val="17"/>
              </w:rPr>
              <w:t>6,874</w:t>
            </w:r>
          </w:p>
        </w:tc>
        <w:tc>
          <w:tcPr>
            <w:tcW w:type="dxa" w:w="1440"/>
            <w:shd w:fill="FFDCE0" w:val="clear"/>
          </w:tcPr>
          <w:p>
            <w:r>
              <w:rPr>
                <w:sz w:val="17"/>
              </w:rPr>
              <w:t>7,326</w:t>
            </w:r>
          </w:p>
        </w:tc>
        <w:tc>
          <w:tcPr>
            <w:tcW w:type="dxa" w:w="1440"/>
            <w:shd w:fill="FFDCE0" w:val="clear"/>
          </w:tcPr>
          <w:p>
            <w:r>
              <w:rPr>
                <w:b/>
                <w:color w:val="C00000"/>
                <w:sz w:val="17"/>
              </w:rPr>
              <w:t>-10.5%</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6,325</w:t>
            </w:r>
          </w:p>
        </w:tc>
        <w:tc>
          <w:tcPr>
            <w:tcW w:type="dxa" w:w="1440"/>
            <w:shd w:fill="FFDCE0" w:val="clear"/>
          </w:tcPr>
          <w:p>
            <w:r>
              <w:rPr>
                <w:b/>
                <w:sz w:val="17"/>
              </w:rPr>
              <w:t>6,798</w:t>
            </w:r>
          </w:p>
        </w:tc>
        <w:tc>
          <w:tcPr>
            <w:tcW w:type="dxa" w:w="1440"/>
            <w:shd w:fill="FFDCE0" w:val="clear"/>
          </w:tcPr>
          <w:p>
            <w:r>
              <w:rPr>
                <w:sz w:val="17"/>
              </w:rPr>
              <w:t>7,271</w:t>
            </w:r>
          </w:p>
        </w:tc>
        <w:tc>
          <w:tcPr>
            <w:tcW w:type="dxa" w:w="1440"/>
            <w:shd w:fill="FFDCE0" w:val="clear"/>
          </w:tcPr>
          <w:p>
            <w:r>
              <w:rPr>
                <w:b/>
                <w:color w:val="C00000"/>
                <w:sz w:val="17"/>
              </w:rPr>
              <w:t>-11.5%</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6,232</w:t>
            </w:r>
          </w:p>
        </w:tc>
        <w:tc>
          <w:tcPr>
            <w:tcW w:type="dxa" w:w="1440"/>
            <w:shd w:fill="FFDCE0" w:val="clear"/>
          </w:tcPr>
          <w:p>
            <w:r>
              <w:rPr>
                <w:b/>
                <w:sz w:val="17"/>
              </w:rPr>
              <w:t>6,725</w:t>
            </w:r>
          </w:p>
        </w:tc>
        <w:tc>
          <w:tcPr>
            <w:tcW w:type="dxa" w:w="1440"/>
            <w:shd w:fill="FFDCE0" w:val="clear"/>
          </w:tcPr>
          <w:p>
            <w:r>
              <w:rPr>
                <w:sz w:val="17"/>
              </w:rPr>
              <w:t>7,218</w:t>
            </w:r>
          </w:p>
        </w:tc>
        <w:tc>
          <w:tcPr>
            <w:tcW w:type="dxa" w:w="1440"/>
            <w:shd w:fill="FFDCE0" w:val="clear"/>
          </w:tcPr>
          <w:p>
            <w:r>
              <w:rPr>
                <w:b/>
                <w:color w:val="C00000"/>
                <w:sz w:val="17"/>
              </w:rPr>
              <w:t>-12.5%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de l'analyse : 31 juillet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276,66 milliards FCFA, un niveau significatif qui en fait l'une des valeurs les plus capitalisées du compartiment financier de la BRVM, reflétant son statut de banque systémique dans la zone UEMOA. Avec un BPA de 608 FCFA, chaque action génère un bénéfice substantiel, justifiant un PER de 12,6x. Ce ratio, légèrement supérieur à la moyenne historique de la BRVM (8-12x), indique que les investisseurs acceptent de payer une prime modérée pour la qualité de l'actif, sans pour autant tomber dans une surévaluation spéculative. Le P/B de 2,87x confirme cette lecture : le marché valorise la banque près de trois fois sa valeur comptable, une prime de croissance accordée aux établissements performants et bien gérés. Enfin, l'EV/EBITDA de 8,1x, situé dans la fourchette raisonnable de 5-10x, suggère que la valeur totale de l'entreprise reste cohérente avec sa capacité opérationnelle à générer des flux, renforçant l'attractivité du titre pour une valorisation équilibrée.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totale de +13,85%, passant d'un plus bas de 6 400 FCFA à un plus haut de 8 050 FCFA, démontrant une dynamique haussière soutenue. Cependant, la dernière séance affiche un repli de -1,35% à 7 685 FCFA, suggérant une consolidation après ce rallye. La moyenne du cours sur la période (7 224 FCFA) est inférieure à la médiane (7 300 FCFA), indiquant une distribution légèrement asymétrique avec une concentration des valeurs vers le haut. L'écart-type de 392 FCFA (CV=5,4%) révèle une dispersion modérée, tandis que le kurtosis de -0,790 (mésokurtique) et le skewness de 0,032 confirment une distribution proche de la normale, sans risque de pics extrêmes. La volatilité annualisée de 25,5% classe le titre dans une zone de volatilité modérée (15-30%), ce qui est acceptable pour une valeur bancaire, offrant un équilibre entre potentiel de rendement et stabilité relative.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(7 685 FCFA) se positionne au-dessus de la MM20 (7 556,25 FCFA) et de la MM50 (7 466,7 FCFA), avec un écart croissant entre ces deux moyennes. Cette configuration haussière, où le prix évolue au-dessus des moyennes et où la MM20 est au-dessus de la MM50, confirme une tendance de fond positive. La décision d'achat est justifiée par cette structure de tendance robuste, bien que le récent repli puisse offrir un point d'entrée plus favorable.</w:t>
      </w:r>
    </w:p>
    <w:p>
      <w:pPr>
        <w:spacing w:after="120" w:line="276" w:lineRule="auto"/>
      </w:pPr>
      <w:r>
        <w:t>**Bandes de Bollinger** : Le prix se situe à 7 685 FCFA, entre la borne inférieure (7 067,257 FCFA) et la borne supérieure (8 045,243 FCFA), plus près de cette dernière. Cette position indique une volatilité normale sans surachat extrême, mais avec un biais haussier. La décision neutre s'explique par le fait que le titre n'a pas encore atteint les extrêmes des bandes, laissant une marge de manœuvre avant une éventuelle correction ou une poursuite de la hausse.</w:t>
      </w:r>
    </w:p>
    <w:p>
      <w:pPr>
        <w:spacing w:after="120" w:line="276" w:lineRule="auto"/>
      </w:pPr>
      <w:r>
        <w:t>**MACD** : Le MACD (116,15) est nettement au-dessus de sa ligne de signal (97,317), avec un écart positif de près de 19 points. Cette divergence positive indique un momentum haussier solide et une accélération de la dynamique de prix. La décision d'achat est pleinement justifiée par cette configuration, qui suggère que la tendance haussière est toujours alimentée par des flux acheteurs soutenus.</w:t>
      </w:r>
    </w:p>
    <w:p>
      <w:pPr>
        <w:spacing w:after="120" w:line="276" w:lineRule="auto"/>
      </w:pPr>
      <w:r>
        <w:t>**RSI** : Le RSI s'établit à 62,013, dans la zone neutre (30-70), mais proche de la zone de surachat (70). Cette valeur indique une pression acheteuse encore présente sans être excessive. La décision neutre est prudente, car le RSI pourrait atteindre la zone de surachat dans les prochaines séances, ce qui pourrait déclencher une correction technique.</w:t>
      </w:r>
    </w:p>
    <w:p>
      <w:pPr>
        <w:spacing w:after="120" w:line="276" w:lineRule="auto"/>
      </w:pPr>
      <w:r>
        <w:t>**Stochastique** : Le %K (56,589) est inférieur au %D (63,272), indiquant un croisement baissier récent, bien que les deux valeurs restent en zone neutre. Cette configuration suggère une perte de momentum à court terme après la hausse récente. La décision neutre reflète cette hésitation entre la poursuite de la tendance haussière et un possible repli technique.</w:t>
      </w:r>
    </w:p>
    <w:p>
      <w:pPr>
        <w:spacing w:after="120" w:line="276" w:lineRule="auto"/>
      </w:pPr>
      <w:r>
        <w:t>**Conclusion technique** : La convergence des indicateurs (MM et MACD positifs, RSI et Stochastique neutres) suggère une tendance haussière de fond intacte, mais avec des signaux de consolidation à court terme. Le titre pourrait connaître un léger repli avant de reprendre sa progression, offrant potentiellement un point d'entrée intéressant pour les investisseurs patients.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BOAS révèlent une banque performante : le Produit Net Bancaire (PNB) s'établit à 51,926 milliards FCFA, générant un résultat net de 21,905 milliards FCFA, soit une marge nette exceptionnelle de 42,19%. La rentabilité des fonds propres (ROE) atteint 22,69%, largement au-dessus du seuil d'excellence de 15%, tandis que le ROA de 2,62% confirme une utilisation efficace des actifs. Le coefficient d'exploitation de 44,02% témoigne d'une excellente maîtrise des charges, bien en deçà du seuil de 60% considéré comme efficace. Le coût du risque de 23,31% reste élevé, indiquant un risque de crédit significatif à surveiller. Les dépôts clientèle (686,927 milliards FCFA) dépassent largement les créances sur la clientèle (386,424 milliards FCFA), démontrant une capacité de transformation saine. Les rapports trimestriels 2025 confirment cette dynamique : au T1, le PNB progresse de 2,36% et le résultat net de 9,25% ; au S1, la croissance s'accélère avec un PNB à 25,37 milliards (+6,77%) et un résultat net de 11,62 milliards (+12,70%) ; au T3, le PNB cumulé atteint 37,44 milliards (+6,71%) et le résultat net 16,37 milliards (+10,01%). Le rapport T1 2026 (publié en 2026) montre une poursuite de la croissance avec un PNB de 12,58 milliards (+6,82%) et un résultat net de 5,741 milliards (+9,78%). Sur la base de ces tendances, on estime que l'exercice 2026 devrait voir un PNB autour de 55-56 milliards FCFA et un résultat net proche de 24 milliards FCFA, confirmant la solidité et la régularité de la performance de BOAS.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convergence remarquable des signaux positifs. La valorisation (PER 12,6x, P/B 2,87x, EV/EBITDA 8,1x) indique une prime de qualité justifiée par des fondamentaux solides, sans surévaluation excessive. Le comportement du cours (+13,85% sur 100 jours) avec une volatilité modérée et une distribution normale des rendements est favorable, bien que le récent repli de -1,35% suggère une consolidation saine. Les signaux techniques sont globalement positifs (MM et MACD en achat, RSI et Stochastique neutres), indiquant une tendance haussière de fond avec un possible répit à court terme. Les fondamentaux sont excellents : ROE de 22,69%, coefficient d'exploitation de 44,02%, et une croissance régulière du résultat net (+10% en 2025, +9,78% au T1 2026). Cependant, les prédictions IA pour les 10 prochains jours (7 546 à 7 129 FCFA) anticipent une correction de 5 à 7%, ce qui contredit temporairement la tendance haussière mais pourrait offrir un point d'entrée optimal. **Recommandation : ACHAT** avec un niveau de confiance Élevé, un risque global Moyen (coût du risque élevé, concurrence sectorielle), et un horizon d'investissement optimal à moyen terme (3-12 mois) pour capitaliser sur la solidité fondamentale et la croissance soutenue de la banque, en profitant d'une éventuelle correction à court terme pour renforcer les positions.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2,465 titres</w:t>
            </w:r>
          </w:p>
        </w:tc>
        <w:tc>
          <w:tcPr>
            <w:tcW w:type="dxa" w:w="2268"/>
            <w:shd w:fill="FFF2CC" w:val="clear"/>
          </w:tcPr>
          <w:p>
            <w:r>
              <w:rPr>
                <w:b/>
                <w:color w:val="503200"/>
                <w:sz w:val="16"/>
              </w:rPr>
              <w:t xml:space="preserve">Cours actuel : </w:t>
            </w:r>
            <w:r>
              <w:rPr>
                <w:color w:val="000000"/>
                <w:sz w:val="17"/>
              </w:rPr>
              <w:t>3,645 FCFA</w:t>
            </w:r>
          </w:p>
          <w:p>
            <w:r>
              <w:rPr>
                <w:b/>
                <w:color w:val="503200"/>
                <w:sz w:val="16"/>
              </w:rPr>
              <w:t xml:space="preserve">Var. 100 jours : </w:t>
            </w:r>
            <w:r>
              <w:rPr>
                <w:b/>
                <w:color w:val="B40000"/>
                <w:sz w:val="17"/>
              </w:rPr>
              <w:t>-6.54%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8.53% (Moyenne) — μ=3,756 FCFA, σ=320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β=0.0638 (Défensif) — Cov=0.000002, Var(idx)=0.000036,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σ_j=3.65%/j (Modérée) — Vol. annualisée≈58.0%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547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2026-08-04</w:t>
            </w:r>
          </w:p>
        </w:tc>
        <w:tc>
          <w:tcPr>
            <w:tcW w:type="dxa" w:w="1440"/>
            <w:shd w:fill="C6EFCE" w:val="clear"/>
          </w:tcPr>
          <w:p>
            <w:r>
              <w:rPr>
                <w:sz w:val="17"/>
              </w:rPr>
              <w:t>3,569</w:t>
            </w:r>
          </w:p>
        </w:tc>
        <w:tc>
          <w:tcPr>
            <w:tcW w:type="dxa" w:w="1440"/>
            <w:shd w:fill="C6EFCE" w:val="clear"/>
          </w:tcPr>
          <w:p>
            <w:r>
              <w:rPr>
                <w:b/>
                <w:sz w:val="17"/>
              </w:rPr>
              <w:t>3,807</w:t>
            </w:r>
          </w:p>
        </w:tc>
        <w:tc>
          <w:tcPr>
            <w:tcW w:type="dxa" w:w="1440"/>
            <w:shd w:fill="C6EFCE" w:val="clear"/>
          </w:tcPr>
          <w:p>
            <w:r>
              <w:rPr>
                <w:sz w:val="17"/>
              </w:rPr>
              <w:t>4,045</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2026-08-05</w:t>
            </w:r>
          </w:p>
        </w:tc>
        <w:tc>
          <w:tcPr>
            <w:tcW w:type="dxa" w:w="1440"/>
            <w:shd w:fill="C6EFCE" w:val="clear"/>
          </w:tcPr>
          <w:p>
            <w:r>
              <w:rPr>
                <w:sz w:val="17"/>
              </w:rPr>
              <w:t>3,648</w:t>
            </w:r>
          </w:p>
        </w:tc>
        <w:tc>
          <w:tcPr>
            <w:tcW w:type="dxa" w:w="1440"/>
            <w:shd w:fill="C6EFCE" w:val="clear"/>
          </w:tcPr>
          <w:p>
            <w:r>
              <w:rPr>
                <w:b/>
                <w:sz w:val="17"/>
              </w:rPr>
              <w:t>4,003</w:t>
            </w:r>
          </w:p>
        </w:tc>
        <w:tc>
          <w:tcPr>
            <w:tcW w:type="dxa" w:w="1440"/>
            <w:shd w:fill="C6EFCE" w:val="clear"/>
          </w:tcPr>
          <w:p>
            <w:r>
              <w:rPr>
                <w:sz w:val="17"/>
              </w:rPr>
              <w:t>4,357</w:t>
            </w:r>
          </w:p>
        </w:tc>
        <w:tc>
          <w:tcPr>
            <w:tcW w:type="dxa" w:w="1440"/>
            <w:shd w:fill="C6EFCE" w:val="clear"/>
          </w:tcPr>
          <w:p>
            <w:r>
              <w:rPr>
                <w:b/>
                <w:color w:val="008000"/>
                <w:sz w:val="17"/>
              </w:rPr>
              <w:t>+9.8%</w:t>
            </w:r>
          </w:p>
        </w:tc>
      </w:tr>
      <w:tr>
        <w:tc>
          <w:tcPr>
            <w:tcW w:type="dxa" w:w="1440"/>
            <w:shd w:fill="C6EFCE" w:val="clear"/>
          </w:tcPr>
          <w:p>
            <w:r>
              <w:rPr>
                <w:sz w:val="17"/>
              </w:rPr>
              <w:t>J+3  Moyenne</w:t>
            </w:r>
          </w:p>
        </w:tc>
        <w:tc>
          <w:tcPr>
            <w:tcW w:type="dxa" w:w="1440"/>
            <w:shd w:fill="C6EFCE" w:val="clear"/>
          </w:tcPr>
          <w:p>
            <w:r>
              <w:rPr>
                <w:sz w:val="17"/>
              </w:rPr>
              <w:t>2026-08-06</w:t>
            </w:r>
          </w:p>
        </w:tc>
        <w:tc>
          <w:tcPr>
            <w:tcW w:type="dxa" w:w="1440"/>
            <w:shd w:fill="C6EFCE" w:val="clear"/>
          </w:tcPr>
          <w:p>
            <w:r>
              <w:rPr>
                <w:sz w:val="17"/>
              </w:rPr>
              <w:t>3,768</w:t>
            </w:r>
          </w:p>
        </w:tc>
        <w:tc>
          <w:tcPr>
            <w:tcW w:type="dxa" w:w="1440"/>
            <w:shd w:fill="C6EFCE" w:val="clear"/>
          </w:tcPr>
          <w:p>
            <w:r>
              <w:rPr>
                <w:b/>
                <w:sz w:val="17"/>
              </w:rPr>
              <w:t>4,226</w:t>
            </w:r>
          </w:p>
        </w:tc>
        <w:tc>
          <w:tcPr>
            <w:tcW w:type="dxa" w:w="1440"/>
            <w:shd w:fill="C6EFCE" w:val="clear"/>
          </w:tcPr>
          <w:p>
            <w:r>
              <w:rPr>
                <w:sz w:val="17"/>
              </w:rPr>
              <w:t>4,684</w:t>
            </w:r>
          </w:p>
        </w:tc>
        <w:tc>
          <w:tcPr>
            <w:tcW w:type="dxa" w:w="1440"/>
            <w:shd w:fill="C6EFCE" w:val="clear"/>
          </w:tcPr>
          <w:p>
            <w:r>
              <w:rPr>
                <w:b/>
                <w:color w:val="008000"/>
                <w:sz w:val="17"/>
              </w:rPr>
              <w:t>+15.9%</w:t>
            </w:r>
          </w:p>
        </w:tc>
      </w:tr>
      <w:tr>
        <w:tc>
          <w:tcPr>
            <w:tcW w:type="dxa" w:w="1440"/>
            <w:shd w:fill="C6EFCE" w:val="clear"/>
          </w:tcPr>
          <w:p>
            <w:r>
              <w:rPr>
                <w:sz w:val="17"/>
              </w:rPr>
              <w:t>J+4  ⭐</w:t>
            </w:r>
          </w:p>
        </w:tc>
        <w:tc>
          <w:tcPr>
            <w:tcW w:type="dxa" w:w="1440"/>
            <w:shd w:fill="C6EFCE" w:val="clear"/>
          </w:tcPr>
          <w:p>
            <w:r>
              <w:rPr>
                <w:sz w:val="17"/>
              </w:rPr>
              <w:t>2026-08-10</w:t>
            </w:r>
          </w:p>
        </w:tc>
        <w:tc>
          <w:tcPr>
            <w:tcW w:type="dxa" w:w="1440"/>
            <w:shd w:fill="C6EFCE" w:val="clear"/>
          </w:tcPr>
          <w:p>
            <w:r>
              <w:rPr>
                <w:sz w:val="17"/>
              </w:rPr>
              <w:t>3,916</w:t>
            </w:r>
          </w:p>
        </w:tc>
        <w:tc>
          <w:tcPr>
            <w:tcW w:type="dxa" w:w="1440"/>
            <w:shd w:fill="C6EFCE" w:val="clear"/>
          </w:tcPr>
          <w:p>
            <w:r>
              <w:rPr>
                <w:b/>
                <w:sz w:val="17"/>
              </w:rPr>
              <w:t>4,476</w:t>
            </w:r>
          </w:p>
        </w:tc>
        <w:tc>
          <w:tcPr>
            <w:tcW w:type="dxa" w:w="1440"/>
            <w:shd w:fill="C6EFCE" w:val="clear"/>
          </w:tcPr>
          <w:p>
            <w:r>
              <w:rPr>
                <w:sz w:val="17"/>
              </w:rPr>
              <w:t>5,036</w:t>
            </w:r>
          </w:p>
        </w:tc>
        <w:tc>
          <w:tcPr>
            <w:tcW w:type="dxa" w:w="1440"/>
            <w:shd w:fill="C6EFCE" w:val="clear"/>
          </w:tcPr>
          <w:p>
            <w:r>
              <w:rPr>
                <w:b/>
                <w:color w:val="008000"/>
                <w:sz w:val="17"/>
              </w:rPr>
              <w:t>+22.8%</w:t>
            </w:r>
          </w:p>
        </w:tc>
      </w:tr>
      <w:tr>
        <w:tc>
          <w:tcPr>
            <w:tcW w:type="dxa" w:w="1440"/>
            <w:shd w:fill="C6EFCE" w:val="clear"/>
          </w:tcPr>
          <w:p>
            <w:r>
              <w:rPr>
                <w:sz w:val="17"/>
              </w:rPr>
              <w:t>J+5  ⭐</w:t>
            </w:r>
          </w:p>
        </w:tc>
        <w:tc>
          <w:tcPr>
            <w:tcW w:type="dxa" w:w="1440"/>
            <w:shd w:fill="C6EFCE" w:val="clear"/>
          </w:tcPr>
          <w:p>
            <w:r>
              <w:rPr>
                <w:sz w:val="17"/>
              </w:rPr>
              <w:t>2026-08-11</w:t>
            </w:r>
          </w:p>
        </w:tc>
        <w:tc>
          <w:tcPr>
            <w:tcW w:type="dxa" w:w="1440"/>
            <w:shd w:fill="C6EFCE" w:val="clear"/>
          </w:tcPr>
          <w:p>
            <w:r>
              <w:rPr>
                <w:sz w:val="17"/>
              </w:rPr>
              <w:t>4,093</w:t>
            </w:r>
          </w:p>
        </w:tc>
        <w:tc>
          <w:tcPr>
            <w:tcW w:type="dxa" w:w="1440"/>
            <w:shd w:fill="C6EFCE" w:val="clear"/>
          </w:tcPr>
          <w:p>
            <w:r>
              <w:rPr>
                <w:b/>
                <w:sz w:val="17"/>
              </w:rPr>
              <w:t>4,758</w:t>
            </w:r>
          </w:p>
        </w:tc>
        <w:tc>
          <w:tcPr>
            <w:tcW w:type="dxa" w:w="1440"/>
            <w:shd w:fill="C6EFCE" w:val="clear"/>
          </w:tcPr>
          <w:p>
            <w:r>
              <w:rPr>
                <w:sz w:val="17"/>
              </w:rPr>
              <w:t>5,424</w:t>
            </w:r>
          </w:p>
        </w:tc>
        <w:tc>
          <w:tcPr>
            <w:tcW w:type="dxa" w:w="1440"/>
            <w:shd w:fill="C6EFCE" w:val="clear"/>
          </w:tcPr>
          <w:p>
            <w:r>
              <w:rPr>
                <w:b/>
                <w:color w:val="008000"/>
                <w:sz w:val="17"/>
              </w:rPr>
              <w:t>+30.5%</w:t>
            </w:r>
          </w:p>
        </w:tc>
      </w:tr>
      <w:tr>
        <w:tc>
          <w:tcPr>
            <w:tcW w:type="dxa" w:w="1440"/>
            <w:shd w:fill="C6EFCE" w:val="clear"/>
          </w:tcPr>
          <w:p>
            <w:r>
              <w:rPr>
                <w:sz w:val="17"/>
              </w:rPr>
              <w:t>J+6  ⭐</w:t>
            </w:r>
          </w:p>
        </w:tc>
        <w:tc>
          <w:tcPr>
            <w:tcW w:type="dxa" w:w="1440"/>
            <w:shd w:fill="C6EFCE" w:val="clear"/>
          </w:tcPr>
          <w:p>
            <w:r>
              <w:rPr>
                <w:sz w:val="17"/>
              </w:rPr>
              <w:t>2026-08-12</w:t>
            </w:r>
          </w:p>
        </w:tc>
        <w:tc>
          <w:tcPr>
            <w:tcW w:type="dxa" w:w="1440"/>
            <w:shd w:fill="C6EFCE" w:val="clear"/>
          </w:tcPr>
          <w:p>
            <w:r>
              <w:rPr>
                <w:sz w:val="17"/>
              </w:rPr>
              <w:t>4,303</w:t>
            </w:r>
          </w:p>
        </w:tc>
        <w:tc>
          <w:tcPr>
            <w:tcW w:type="dxa" w:w="1440"/>
            <w:shd w:fill="C6EFCE" w:val="clear"/>
          </w:tcPr>
          <w:p>
            <w:r>
              <w:rPr>
                <w:b/>
                <w:sz w:val="17"/>
              </w:rPr>
              <w:t>5,082</w:t>
            </w:r>
          </w:p>
        </w:tc>
        <w:tc>
          <w:tcPr>
            <w:tcW w:type="dxa" w:w="1440"/>
            <w:shd w:fill="C6EFCE" w:val="clear"/>
          </w:tcPr>
          <w:p>
            <w:r>
              <w:rPr>
                <w:sz w:val="17"/>
              </w:rPr>
              <w:t>5,860</w:t>
            </w:r>
          </w:p>
        </w:tc>
        <w:tc>
          <w:tcPr>
            <w:tcW w:type="dxa" w:w="1440"/>
            <w:shd w:fill="C6EFCE" w:val="clear"/>
          </w:tcPr>
          <w:p>
            <w:r>
              <w:rPr>
                <w:b/>
                <w:color w:val="008000"/>
                <w:sz w:val="17"/>
              </w:rPr>
              <w:t>+39.4%</w:t>
            </w:r>
          </w:p>
        </w:tc>
      </w:tr>
      <w:tr>
        <w:tc>
          <w:tcPr>
            <w:tcW w:type="dxa" w:w="1440"/>
            <w:shd w:fill="C6EFCE" w:val="clear"/>
          </w:tcPr>
          <w:p>
            <w:r>
              <w:rPr>
                <w:sz w:val="17"/>
              </w:rPr>
              <w:t>J+7  ⭐</w:t>
            </w:r>
          </w:p>
        </w:tc>
        <w:tc>
          <w:tcPr>
            <w:tcW w:type="dxa" w:w="1440"/>
            <w:shd w:fill="C6EFCE" w:val="clear"/>
          </w:tcPr>
          <w:p>
            <w:r>
              <w:rPr>
                <w:sz w:val="17"/>
              </w:rPr>
              <w:t>2026-08-13</w:t>
            </w:r>
          </w:p>
        </w:tc>
        <w:tc>
          <w:tcPr>
            <w:tcW w:type="dxa" w:w="1440"/>
            <w:shd w:fill="C6EFCE" w:val="clear"/>
          </w:tcPr>
          <w:p>
            <w:r>
              <w:rPr>
                <w:sz w:val="17"/>
              </w:rPr>
              <w:t>4,557</w:t>
            </w:r>
          </w:p>
        </w:tc>
        <w:tc>
          <w:tcPr>
            <w:tcW w:type="dxa" w:w="1440"/>
            <w:shd w:fill="C6EFCE" w:val="clear"/>
          </w:tcPr>
          <w:p>
            <w:r>
              <w:rPr>
                <w:b/>
                <w:sz w:val="17"/>
              </w:rPr>
              <w:t>5,461</w:t>
            </w:r>
          </w:p>
        </w:tc>
        <w:tc>
          <w:tcPr>
            <w:tcW w:type="dxa" w:w="1440"/>
            <w:shd w:fill="C6EFCE" w:val="clear"/>
          </w:tcPr>
          <w:p>
            <w:r>
              <w:rPr>
                <w:sz w:val="17"/>
              </w:rPr>
              <w:t>6,365</w:t>
            </w:r>
          </w:p>
        </w:tc>
        <w:tc>
          <w:tcPr>
            <w:tcW w:type="dxa" w:w="1440"/>
            <w:shd w:fill="C6EFCE" w:val="clear"/>
          </w:tcPr>
          <w:p>
            <w:r>
              <w:rPr>
                <w:b/>
                <w:color w:val="008000"/>
                <w:sz w:val="17"/>
              </w:rPr>
              <w:t>+49.8%</w:t>
            </w:r>
          </w:p>
        </w:tc>
      </w:tr>
      <w:tr>
        <w:tc>
          <w:tcPr>
            <w:tcW w:type="dxa" w:w="1440"/>
            <w:shd w:fill="C6EFCE" w:val="clear"/>
          </w:tcPr>
          <w:p>
            <w:r>
              <w:rPr>
                <w:sz w:val="17"/>
              </w:rPr>
              <w:t>J+8  ⭐</w:t>
            </w:r>
          </w:p>
        </w:tc>
        <w:tc>
          <w:tcPr>
            <w:tcW w:type="dxa" w:w="1440"/>
            <w:shd w:fill="C6EFCE" w:val="clear"/>
          </w:tcPr>
          <w:p>
            <w:r>
              <w:rPr>
                <w:sz w:val="17"/>
              </w:rPr>
              <w:t>2026-08-14</w:t>
            </w:r>
          </w:p>
        </w:tc>
        <w:tc>
          <w:tcPr>
            <w:tcW w:type="dxa" w:w="1440"/>
            <w:shd w:fill="C6EFCE" w:val="clear"/>
          </w:tcPr>
          <w:p>
            <w:r>
              <w:rPr>
                <w:sz w:val="17"/>
              </w:rPr>
              <w:t>4,832</w:t>
            </w:r>
          </w:p>
        </w:tc>
        <w:tc>
          <w:tcPr>
            <w:tcW w:type="dxa" w:w="1440"/>
            <w:shd w:fill="C6EFCE" w:val="clear"/>
          </w:tcPr>
          <w:p>
            <w:r>
              <w:rPr>
                <w:b/>
                <w:sz w:val="17"/>
              </w:rPr>
              <w:t>5,871</w:t>
            </w:r>
          </w:p>
        </w:tc>
        <w:tc>
          <w:tcPr>
            <w:tcW w:type="dxa" w:w="1440"/>
            <w:shd w:fill="C6EFCE" w:val="clear"/>
          </w:tcPr>
          <w:p>
            <w:r>
              <w:rPr>
                <w:sz w:val="17"/>
              </w:rPr>
              <w:t>6,910</w:t>
            </w:r>
          </w:p>
        </w:tc>
        <w:tc>
          <w:tcPr>
            <w:tcW w:type="dxa" w:w="1440"/>
            <w:shd w:fill="C6EFCE" w:val="clear"/>
          </w:tcPr>
          <w:p>
            <w:r>
              <w:rPr>
                <w:b/>
                <w:color w:val="008000"/>
                <w:sz w:val="17"/>
              </w:rPr>
              <w:t>+61.1%</w:t>
            </w:r>
          </w:p>
        </w:tc>
      </w:tr>
      <w:tr>
        <w:tc>
          <w:tcPr>
            <w:tcW w:type="dxa" w:w="1440"/>
            <w:shd w:fill="C6EFCE" w:val="clear"/>
          </w:tcPr>
          <w:p>
            <w:r>
              <w:rPr>
                <w:sz w:val="17"/>
              </w:rPr>
              <w:t>J+9  ⭐</w:t>
            </w:r>
          </w:p>
        </w:tc>
        <w:tc>
          <w:tcPr>
            <w:tcW w:type="dxa" w:w="1440"/>
            <w:shd w:fill="C6EFCE" w:val="clear"/>
          </w:tcPr>
          <w:p>
            <w:r>
              <w:rPr>
                <w:sz w:val="17"/>
              </w:rPr>
              <w:t>2026-08-17</w:t>
            </w:r>
          </w:p>
        </w:tc>
        <w:tc>
          <w:tcPr>
            <w:tcW w:type="dxa" w:w="1440"/>
            <w:shd w:fill="C6EFCE" w:val="clear"/>
          </w:tcPr>
          <w:p>
            <w:r>
              <w:rPr>
                <w:sz w:val="17"/>
              </w:rPr>
              <w:t>5,126</w:t>
            </w:r>
          </w:p>
        </w:tc>
        <w:tc>
          <w:tcPr>
            <w:tcW w:type="dxa" w:w="1440"/>
            <w:shd w:fill="C6EFCE" w:val="clear"/>
          </w:tcPr>
          <w:p>
            <w:r>
              <w:rPr>
                <w:b/>
                <w:sz w:val="17"/>
              </w:rPr>
              <w:t>6,311</w:t>
            </w:r>
          </w:p>
        </w:tc>
        <w:tc>
          <w:tcPr>
            <w:tcW w:type="dxa" w:w="1440"/>
            <w:shd w:fill="C6EFCE" w:val="clear"/>
          </w:tcPr>
          <w:p>
            <w:r>
              <w:rPr>
                <w:sz w:val="17"/>
              </w:rPr>
              <w:t>7,495</w:t>
            </w:r>
          </w:p>
        </w:tc>
        <w:tc>
          <w:tcPr>
            <w:tcW w:type="dxa" w:w="1440"/>
            <w:shd w:fill="C6EFCE" w:val="clear"/>
          </w:tcPr>
          <w:p>
            <w:r>
              <w:rPr>
                <w:b/>
                <w:color w:val="008000"/>
                <w:sz w:val="17"/>
              </w:rPr>
              <w:t>+73.1%</w:t>
            </w:r>
          </w:p>
        </w:tc>
      </w:tr>
      <w:tr>
        <w:tc>
          <w:tcPr>
            <w:tcW w:type="dxa" w:w="1440"/>
            <w:shd w:fill="C6EFCE" w:val="clear"/>
          </w:tcPr>
          <w:p>
            <w:r>
              <w:rPr>
                <w:sz w:val="17"/>
              </w:rPr>
              <w:t>J+10  ⭐</w:t>
            </w:r>
          </w:p>
        </w:tc>
        <w:tc>
          <w:tcPr>
            <w:tcW w:type="dxa" w:w="1440"/>
            <w:shd w:fill="C6EFCE" w:val="clear"/>
          </w:tcPr>
          <w:p>
            <w:r>
              <w:rPr>
                <w:sz w:val="17"/>
              </w:rPr>
              <w:t>2026-08-18</w:t>
            </w:r>
          </w:p>
        </w:tc>
        <w:tc>
          <w:tcPr>
            <w:tcW w:type="dxa" w:w="1440"/>
            <w:shd w:fill="C6EFCE" w:val="clear"/>
          </w:tcPr>
          <w:p>
            <w:r>
              <w:rPr>
                <w:sz w:val="17"/>
              </w:rPr>
              <w:t>5,442</w:t>
            </w:r>
          </w:p>
        </w:tc>
        <w:tc>
          <w:tcPr>
            <w:tcW w:type="dxa" w:w="1440"/>
            <w:shd w:fill="C6EFCE" w:val="clear"/>
          </w:tcPr>
          <w:p>
            <w:r>
              <w:rPr>
                <w:b/>
                <w:sz w:val="17"/>
              </w:rPr>
              <w:t>6,784</w:t>
            </w:r>
          </w:p>
        </w:tc>
        <w:tc>
          <w:tcPr>
            <w:tcW w:type="dxa" w:w="1440"/>
            <w:shd w:fill="C6EFCE" w:val="clear"/>
          </w:tcPr>
          <w:p>
            <w:r>
              <w:rPr>
                <w:sz w:val="17"/>
              </w:rPr>
              <w:t>8,127</w:t>
            </w:r>
          </w:p>
        </w:tc>
        <w:tc>
          <w:tcPr>
            <w:tcW w:type="dxa" w:w="1440"/>
            <w:shd w:fill="C6EFCE" w:val="clear"/>
          </w:tcPr>
          <w:p>
            <w:r>
              <w:rPr>
                <w:b/>
                <w:color w:val="008000"/>
                <w:sz w:val="17"/>
              </w:rPr>
              <w:t>+86.1%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31 juillet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21,58 milliards FCFA, un niveau qui la positionne comme une valeur de taille moyenne sur la BRVM, offrant une liquidité potentiellement suffisante pour les investisseurs institutionnels. Le BPA de 243 FCFA indique que chaque action génère un bénéfice net de ce montant, mais le PER de 15,0x se situe nettement au-dessus de la moyenne historique de la BRVM (8-12x), suggérant que le marché paie une prime de croissance qui pourrait être jugée excessive au regard des récentes difficultés. Le P/B de 2,31x confirme cette prime, le marché valorisant la société à plus du double de sa valeur comptable, ce qui témoigne d'attentes de croissance future ou d'une perception de qualité des actifs. Enfin, l'EV/EBITDA de 7,7x, dans la fourchette raisonnable de 5-10x, indique que la valeur totale de l'entreprise (capitalisation plus dette nette) reste cohérente avec sa capacité opérationnelle à générer des flux, offrant une lecture plus mesurée que le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variation totale de -6,54%, mais a rebondi de +4,14% lors de la dernière séance, signe d'un possible retour des acheteurs. Le cours a évolué dans une fourchette large de 3 165 FCFA (plus bas) à 4 500 FCFA (plus haut), illustrant une volatilité significative. La moyenne du cours sur la période (3 756 FCFA) est supérieure à la médiane (3 705 FCFA), ce qui, combiné à un skewness positif de 0,280, indique une distribution légèrement asymétrique avec quelques fortes hausses ponctuelles. L'écart-type de 322 FCFA (CV=8,6%) montre une dispersion modérée autour de la moyenne, tandis que le kurtosis de -0,420 (mésokurtique) suggère une distribution proche de la normale, sans risque de variations extrêmes fréquentes. La volatilité annualisée de 58,0% est très élevée (bien au-dessus du seuil de 30%), ce qui classe CABC comme un titre spéculatif à fort risque, où les mouvements de prix peuvent être amples et rapides.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3 645 FCFA est inférieur à la MM20 (3 781,5 FCFA) et nettement sous la MM50 (3 888,5 FCFA). Cette configuration baissière, où le prix évolue sous les deux moyennes, confirme une tendance de fond négative à court et moyen terme. La décision de "Vente" est justifiée par cette structure, indiquant que les vendeurs contrôlent toujours le marché malgré le rebond récent.</w:t>
      </w:r>
    </w:p>
    <w:p>
      <w:pPr>
        <w:spacing w:after="120" w:line="276" w:lineRule="auto"/>
      </w:pPr>
      <w:r>
        <w:t>**Bandes de Bollinger** : Le cours se situe à 3 645 FCFA, proche de la borne inférieure (3 417,7 FCFA) et loin de la borne supérieure (4 145,3 FCFA). Cette position suggère que le titre est dans la partie basse de son canal de volatilité, ce qui pourrait indiquer une zone de survente relative. La décision "Neutre" est cohérente, car le prix n'a pas encore touché la borne inférieure, mais la pression vendeuse reste présente.</w:t>
      </w:r>
    </w:p>
    <w:p>
      <w:pPr>
        <w:spacing w:after="120" w:line="276" w:lineRule="auto"/>
      </w:pPr>
      <w:r>
        <w:t>**MACD** : La valeur du MACD (-103,7) est inférieure à son signal (-73,0), avec les deux indicateurs en territoire négatif. Cette divergence négative confirme un momentum baissier persistant. La décision de "Vente" est justifiée, car la dynamique de prix reste sous pression, sans signe de retournement imminent.</w:t>
      </w:r>
    </w:p>
    <w:p>
      <w:pPr>
        <w:spacing w:after="120" w:line="276" w:lineRule="auto"/>
      </w:pPr>
      <w:r>
        <w:t>**RSI** : Le RSI à 44,36 se situe dans la zone neutre (30-70), indiquant que le titre n'est ni suracheté ni survendu. Cette valeur suggère une absence de signal directionnel fort, mais elle est plus proche de la zone de survente que de surachat, ce qui pourrait laisser présager un potentiel de rebond. La décision "Neutre" est appropriée.</w:t>
      </w:r>
    </w:p>
    <w:p>
      <w:pPr>
        <w:spacing w:after="120" w:line="276" w:lineRule="auto"/>
      </w:pPr>
      <w:r>
        <w:t>**Stochastique** : Le %K (32,22) est supérieur au %D (10,74), formant un croisement haussier en zone de survente. Ce signal précoce indique que la pression vendeuse s'atténue et qu'un rebond technique est possible à court terme. La décision "Neutre" reflète la prudence, car le croisement n'est pas encore confirmé par une dynamique de prix claire.</w:t>
      </w:r>
    </w:p>
    <w:p>
      <w:pPr>
        <w:spacing w:after="120" w:line="276" w:lineRule="auto"/>
      </w:pPr>
      <w:r>
        <w:t>**Conclusion technique** : Les indicateurs de tendance (MM, MACD) sont baissiers, tandis que les oscillateurs (RSI, Stochastique) montrent des signes de stabilisation ou de rebond potentiel. Cette divergence suggère que le titre pourrait connaître un rebond technique à court terme, mais la tendance de fond reste négative. Un investisseur prudent attendra une confirmation de retournement avant de prendre position.</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indiquent un chiffre d'affaires de 21,263 milliards FCFA, en croissance de +11,2% par rapport à 2024, avec un résultat net de 1,439 milliard FCFA (marge nette de 6,8%). La rentabilité des fonds propres (ROE) est excellente à 15,4%, et le ROA de 6,1% témoigne d'une utilisation efficace des actifs. Cependant, l'analyse des rapports narratifs révèle des contradictions : le rapport MISTRAL de mars 2026 (données provisoires 2025) confirme ces chiffres et souligne une amélioration de la marge nette depuis 2021, mais un autre rapport FALLBACK (avril 2026) mentionne une perte nette de 1,7 milliard FCFA pour 2025, ce qui est en contradiction flagrante avec les données structurées. Cette divergence pourrait provenir de retraitements comptables ou de provisions exceptionnelles. Les rapports trimestriels 2025 montrent une dynamique positive au S1 (résultat net de 851,5 millions FCFA, +55,3%) et au T3 (1 329,5 millions FCFA, +26%), mais le T1 2026 enregistre une perte de 221,7 millions FCFA due à une maintenance planifiée. Les délais clients (144,7 jours) et de stockage (152,1 jours) sont très élevés, représentant un risque de trésorerie majeur, confirmé par un flux opérationnel négatif de -819,7 millions FCFA. La structure financière reste saine avec une autonomie financière de 39,6% et une capacité de remboursement de 0,26 an. En estimant sur la base du T1 2026 (CA en baisse de 26,5%), l'exercice 2026 pourrait être difficile, mais la direction anticipe une normalisation dès le T2.</w:t>
      </w:r>
    </w:p>
    <w:p>
      <w:pPr>
        <w:spacing w:after="120" w:line="276" w:lineRule="auto"/>
      </w:pPr>
      <w:r>
        <w:t>---</w:t>
      </w:r>
    </w:p>
    <w:p>
      <w:pPr>
        <w:spacing w:after="120" w:line="276" w:lineRule="auto"/>
      </w:pPr>
      <w:r>
        <w:t>### PARTIE 4 : CONCLUSION D'INVESTISSEMENT</w:t>
      </w:r>
    </w:p>
    <w:p>
      <w:pPr>
        <w:spacing w:after="120" w:line="276" w:lineRule="auto"/>
      </w:pPr>
      <w:r>
        <w:t>La valorisation de CABC (PER 15x, P/B 2,31x) apparaît exigeante, surtout si l'on considère les incertitudes fondamentales et la volatilité élevée du titre (58% annualisé). Le comportement du cours sur 100 jours est baissier (-6,54%), mais les statistiques (kurtosis mésokurtique, skewness positif) suggèrent un profil de risque relativement normal, avec un rebond récent de +4,14% qui pourrait marquer un point d'inflexion. Les signaux techniques sont mitigés : les indicateurs de tendance (MM, MACD) restent vendeurs, tandis que les oscillateurs (RSI, Stochastique) montrent des signes de stabilisation, indiquant un possible rebond technique à court terme. Les fondamentaux sont contrastés : la croissance du CA et la rentabilité (ROE 15,4%) sont solides, mais les délais de paiement élevés, le flux opérationnel négatif et les contradictions entre les rapports créent une incertitude significative. Les prédictions IA (3 807 à 4 758 FCFA sur 10 jours) suggèrent une forte hausse, ce qui contredit les signaux techniques de tendance mais pourrait refléter un rebond attendu. En synthèse, la convergence entre la valorisation élevée, les signaux techniques mitigés et les incertitudes fondamentales conduit à une recommandation **CONSERVER**. Le niveau de confiance est **Moyen**, le risque global est **Élevé**, et l'horizon d'investissement optimal serait le **moyen terme (3-12 mois)**, en attendant une clarification des résultats 2026 et une amélioration de la gestion du besoin en fonds de roulement.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911.68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1,764 titres</w:t>
            </w:r>
          </w:p>
        </w:tc>
        <w:tc>
          <w:tcPr>
            <w:tcW w:type="dxa" w:w="2268"/>
            <w:shd w:fill="FFF2CC" w:val="clear"/>
          </w:tcPr>
          <w:p>
            <w:r>
              <w:rPr>
                <w:b/>
                <w:color w:val="503200"/>
                <w:sz w:val="16"/>
              </w:rPr>
              <w:t xml:space="preserve">Cours actuel : </w:t>
            </w:r>
            <w:r>
              <w:rPr>
                <w:color w:val="000000"/>
                <w:sz w:val="17"/>
              </w:rPr>
              <w:t>28,490 FCFA</w:t>
            </w:r>
          </w:p>
          <w:p>
            <w:r>
              <w:rPr>
                <w:b/>
                <w:color w:val="503200"/>
                <w:sz w:val="16"/>
              </w:rPr>
              <w:t xml:space="preserve">Var. 100 jours : </w:t>
            </w:r>
            <w:r>
              <w:rPr>
                <w:b/>
                <w:color w:val="007800"/>
                <w:sz w:val="17"/>
              </w:rPr>
              <w:t>+117.32%</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13,110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25.32% (Élevée) — μ=20,092 FCFA, σ=5,088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β=0.6795 (Défensif) — Cov=0.000025, Var(idx)=0.000036, ρ=0.152,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728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25,130</w:t>
            </w:r>
          </w:p>
        </w:tc>
        <w:tc>
          <w:tcPr>
            <w:tcW w:type="dxa" w:w="1440"/>
            <w:shd w:fill="FFDCE0" w:val="clear"/>
          </w:tcPr>
          <w:p>
            <w:r>
              <w:rPr>
                <w:b/>
                <w:sz w:val="17"/>
              </w:rPr>
              <w:t>26,353</w:t>
            </w:r>
          </w:p>
        </w:tc>
        <w:tc>
          <w:tcPr>
            <w:tcW w:type="dxa" w:w="1440"/>
            <w:shd w:fill="FFDCE0" w:val="clear"/>
          </w:tcPr>
          <w:p>
            <w:r>
              <w:rPr>
                <w:sz w:val="17"/>
              </w:rPr>
              <w:t>27,576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22,777</w:t>
            </w:r>
          </w:p>
        </w:tc>
        <w:tc>
          <w:tcPr>
            <w:tcW w:type="dxa" w:w="1440"/>
            <w:shd w:fill="FFDCE0" w:val="clear"/>
          </w:tcPr>
          <w:p>
            <w:r>
              <w:rPr>
                <w:b/>
                <w:sz w:val="17"/>
              </w:rPr>
              <w:t>24,377</w:t>
            </w:r>
          </w:p>
        </w:tc>
        <w:tc>
          <w:tcPr>
            <w:tcW w:type="dxa" w:w="1440"/>
            <w:shd w:fill="FFDCE0" w:val="clear"/>
          </w:tcPr>
          <w:p>
            <w:r>
              <w:rPr>
                <w:sz w:val="17"/>
              </w:rPr>
              <w:t>25,977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20,736</w:t>
            </w:r>
          </w:p>
        </w:tc>
        <w:tc>
          <w:tcPr>
            <w:tcW w:type="dxa" w:w="1440"/>
            <w:shd w:fill="FFDCE0" w:val="clear"/>
          </w:tcPr>
          <w:p>
            <w:r>
              <w:rPr>
                <w:b/>
                <w:sz w:val="17"/>
              </w:rPr>
              <w:t>22,548</w:t>
            </w:r>
          </w:p>
        </w:tc>
        <w:tc>
          <w:tcPr>
            <w:tcW w:type="dxa" w:w="1440"/>
            <w:shd w:fill="FFDCE0" w:val="clear"/>
          </w:tcPr>
          <w:p>
            <w:r>
              <w:rPr>
                <w:sz w:val="17"/>
              </w:rPr>
              <w:t>24,361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18,922</w:t>
            </w:r>
          </w:p>
        </w:tc>
        <w:tc>
          <w:tcPr>
            <w:tcW w:type="dxa" w:w="1440"/>
            <w:shd w:fill="FFDCE0" w:val="clear"/>
          </w:tcPr>
          <w:p>
            <w:r>
              <w:rPr>
                <w:b/>
                <w:sz w:val="17"/>
              </w:rPr>
              <w:t>20,857</w:t>
            </w:r>
          </w:p>
        </w:tc>
        <w:tc>
          <w:tcPr>
            <w:tcW w:type="dxa" w:w="1440"/>
            <w:shd w:fill="FFDCE0" w:val="clear"/>
          </w:tcPr>
          <w:p>
            <w:r>
              <w:rPr>
                <w:sz w:val="17"/>
              </w:rPr>
              <w:t>22,793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17,421</w:t>
            </w:r>
          </w:p>
        </w:tc>
        <w:tc>
          <w:tcPr>
            <w:tcW w:type="dxa" w:w="1440"/>
            <w:shd w:fill="FFDCE0" w:val="clear"/>
          </w:tcPr>
          <w:p>
            <w:r>
              <w:rPr>
                <w:b/>
                <w:sz w:val="17"/>
              </w:rPr>
              <w:t>19,438</w:t>
            </w:r>
          </w:p>
        </w:tc>
        <w:tc>
          <w:tcPr>
            <w:tcW w:type="dxa" w:w="1440"/>
            <w:shd w:fill="FFDCE0" w:val="clear"/>
          </w:tcPr>
          <w:p>
            <w:r>
              <w:rPr>
                <w:sz w:val="17"/>
              </w:rPr>
              <w:t>21,455</w:t>
            </w:r>
          </w:p>
        </w:tc>
        <w:tc>
          <w:tcPr>
            <w:tcW w:type="dxa" w:w="1440"/>
            <w:shd w:fill="FFDCE0" w:val="clear"/>
          </w:tcPr>
          <w:p>
            <w:r>
              <w:rPr>
                <w:b/>
                <w:color w:val="C00000"/>
                <w:sz w:val="17"/>
              </w:rPr>
              <w:t>-31.8%</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16,754</w:t>
            </w:r>
          </w:p>
        </w:tc>
        <w:tc>
          <w:tcPr>
            <w:tcW w:type="dxa" w:w="1440"/>
            <w:shd w:fill="FFDCE0" w:val="clear"/>
          </w:tcPr>
          <w:p>
            <w:r>
              <w:rPr>
                <w:b/>
                <w:sz w:val="17"/>
              </w:rPr>
              <w:t>18,903</w:t>
            </w:r>
          </w:p>
        </w:tc>
        <w:tc>
          <w:tcPr>
            <w:tcW w:type="dxa" w:w="1440"/>
            <w:shd w:fill="FFDCE0" w:val="clear"/>
          </w:tcPr>
          <w:p>
            <w:r>
              <w:rPr>
                <w:sz w:val="17"/>
              </w:rPr>
              <w:t>21,052</w:t>
            </w:r>
          </w:p>
        </w:tc>
        <w:tc>
          <w:tcPr>
            <w:tcW w:type="dxa" w:w="1440"/>
            <w:shd w:fill="FFDCE0" w:val="clear"/>
          </w:tcPr>
          <w:p>
            <w:r>
              <w:rPr>
                <w:b/>
                <w:color w:val="C00000"/>
                <w:sz w:val="17"/>
              </w:rPr>
              <w:t>-33.6%</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16,173</w:t>
            </w:r>
          </w:p>
        </w:tc>
        <w:tc>
          <w:tcPr>
            <w:tcW w:type="dxa" w:w="1440"/>
            <w:shd w:fill="FFDCE0" w:val="clear"/>
          </w:tcPr>
          <w:p>
            <w:r>
              <w:rPr>
                <w:b/>
                <w:sz w:val="17"/>
              </w:rPr>
              <w:t>18,436</w:t>
            </w:r>
          </w:p>
        </w:tc>
        <w:tc>
          <w:tcPr>
            <w:tcW w:type="dxa" w:w="1440"/>
            <w:shd w:fill="FFDCE0" w:val="clear"/>
          </w:tcPr>
          <w:p>
            <w:r>
              <w:rPr>
                <w:sz w:val="17"/>
              </w:rPr>
              <w:t>20,700</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15,656</w:t>
            </w:r>
          </w:p>
        </w:tc>
        <w:tc>
          <w:tcPr>
            <w:tcW w:type="dxa" w:w="1440"/>
            <w:shd w:fill="FFDCE0" w:val="clear"/>
          </w:tcPr>
          <w:p>
            <w:r>
              <w:rPr>
                <w:b/>
                <w:sz w:val="17"/>
              </w:rPr>
              <w:t>18,021</w:t>
            </w:r>
          </w:p>
        </w:tc>
        <w:tc>
          <w:tcPr>
            <w:tcW w:type="dxa" w:w="1440"/>
            <w:shd w:fill="FFDCE0" w:val="clear"/>
          </w:tcPr>
          <w:p>
            <w:r>
              <w:rPr>
                <w:sz w:val="17"/>
              </w:rPr>
              <w:t>20,387</w:t>
            </w:r>
          </w:p>
        </w:tc>
        <w:tc>
          <w:tcPr>
            <w:tcW w:type="dxa" w:w="1440"/>
            <w:shd w:fill="FFDCE0" w:val="clear"/>
          </w:tcPr>
          <w:p>
            <w:r>
              <w:rPr>
                <w:b/>
                <w:color w:val="C00000"/>
                <w:sz w:val="17"/>
              </w:rPr>
              <w:t>-36.7%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15,191</w:t>
            </w:r>
          </w:p>
        </w:tc>
        <w:tc>
          <w:tcPr>
            <w:tcW w:type="dxa" w:w="1440"/>
            <w:shd w:fill="FFDCE0" w:val="clear"/>
          </w:tcPr>
          <w:p>
            <w:r>
              <w:rPr>
                <w:b/>
                <w:sz w:val="17"/>
              </w:rPr>
              <w:t>17,648</w:t>
            </w:r>
          </w:p>
        </w:tc>
        <w:tc>
          <w:tcPr>
            <w:tcW w:type="dxa" w:w="1440"/>
            <w:shd w:fill="FFDCE0" w:val="clear"/>
          </w:tcPr>
          <w:p>
            <w:r>
              <w:rPr>
                <w:sz w:val="17"/>
              </w:rPr>
              <w:t>20,104</w:t>
            </w:r>
          </w:p>
        </w:tc>
        <w:tc>
          <w:tcPr>
            <w:tcW w:type="dxa" w:w="1440"/>
            <w:shd w:fill="FFDCE0" w:val="clear"/>
          </w:tcPr>
          <w:p>
            <w:r>
              <w:rPr>
                <w:b/>
                <w:color w:val="C00000"/>
                <w:sz w:val="17"/>
              </w:rPr>
              <w:t>-38.1%</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14,768</w:t>
            </w:r>
          </w:p>
        </w:tc>
        <w:tc>
          <w:tcPr>
            <w:tcW w:type="dxa" w:w="1440"/>
            <w:shd w:fill="FFDCE0" w:val="clear"/>
          </w:tcPr>
          <w:p>
            <w:r>
              <w:rPr>
                <w:b/>
                <w:sz w:val="17"/>
              </w:rPr>
              <w:t>17,308</w:t>
            </w:r>
          </w:p>
        </w:tc>
        <w:tc>
          <w:tcPr>
            <w:tcW w:type="dxa" w:w="1440"/>
            <w:shd w:fill="FFDCE0" w:val="clear"/>
          </w:tcPr>
          <w:p>
            <w:r>
              <w:rPr>
                <w:sz w:val="17"/>
              </w:rPr>
              <w:t>19,848</w:t>
            </w:r>
          </w:p>
        </w:tc>
        <w:tc>
          <w:tcPr>
            <w:tcW w:type="dxa" w:w="1440"/>
            <w:shd w:fill="FFDCE0" w:val="clear"/>
          </w:tcPr>
          <w:p>
            <w:r>
              <w:rPr>
                <w:b/>
                <w:color w:val="C00000"/>
                <w:sz w:val="17"/>
              </w:rPr>
              <w:t>-39.2%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911,68 milliards FCFA, un niveau qui la positionne parmi les poids lourds de la BRVM, reflétant la confiance des investisseurs dans ce pilier bancaire régional. Avec un BPA de 2 047 FCFA, chaque action génère un bénéfice substantiel, justifiant un cours de 28 490 FCFA. Le PER de 13,9x est supérieur à la moyenne historique de la BRVM (8-12x), indiquant que le marché valorise déjà une partie de la croissance future et que le titre n'est pas "bon marché" au sens strict. En l'absence de données sur le P/B, nous nous appuyons sur l'EV/EBITDA de 10,3x, qui, bien que dans la fourchette haute (10-15x), reste raisonnable pour une banque affichant une rentabilité opérationnelle solide et une dynamique de croissance soutenue. Cette valorisation reflète une prime de qualité pour un leader de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appréciation spectaculaire de +117,32%, passant d'un plus bas de 13 110 FCFA à un plus haut de 30 005 FCFA, avec une dernière séance en hausse de +1,75% à 28 490 FCFA. Cette tendance est fortement haussière, mais la statistique descriptive révèle une distribution particulière : la moyenne (20 092 FCFA) est inférieure à la médiane (20 700 FCFA), suggérant une asymétrie positive (skewness de 0.344) où les fortes hausses récentes tirent la moyenne vers le haut. L'écart-type de 5 113 FCFA (CV=25,4%) indique une dispersion modérée, mais le kurtosis négatif (-1.064) signale une distribution "aplatie" avec moins de valeurs extrêmes que la normale. La volatilité annualisée de 42,5% est très élevée (&gt;30%), ce qui classe CBIBF comme un titre à haut risque, où les mouvements de prix peuvent être amples et rapides, offrant des opportunités mais exigeant une grande prudence.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(28 490 FCFA) est supérieur à la MM20 (27 954,75 FCFA) et à la MM50 (24 461,1 FCFA), confirmant une tendance haussière de court et moyen terme. La MM20 étant au-dessus de la MM50, la configuration est positive et justifie la décision d'**Achat**, indiquant que le momentum reste favorable.</w:t>
      </w:r>
    </w:p>
    <w:p>
      <w:pPr>
        <w:spacing w:after="120" w:line="276" w:lineRule="auto"/>
      </w:pPr>
      <w:r>
        <w:t>**Bandes de Bollinger :** Le prix se situe à 28 490 FCFA, entre la borne supérieure (30 684,815 FCFA) et la borne inférieure (25 224,685 FCFA). Cette position médiane suggère une volatilité modérée sans condition de surachat ou de survente extrême. La décision est **Neutre**, le marché laissant place à une consolidation avant une possible poursuite du mouvement.</w:t>
      </w:r>
    </w:p>
    <w:p>
      <w:pPr>
        <w:spacing w:after="120" w:line="276" w:lineRule="auto"/>
      </w:pPr>
      <w:r>
        <w:t>**MACD :** La valeur du MACD (993,354) est inférieure à son signal (1 187,527), indiquant un momentum baissier à court terme. Cette divergence négative, malgré la tendance haussière de fond, signale un essoufflement potentiel de la dynamique haussière. La décision est **Vente**, suggérant une possible correction ou consolidation à venir.</w:t>
      </w:r>
    </w:p>
    <w:p>
      <w:pPr>
        <w:spacing w:after="120" w:line="276" w:lineRule="auto"/>
      </w:pPr>
      <w:r>
        <w:t>**RSI :** À 38,543, le RSI se situe en zone neutre (entre 30 et 70), sans être en survente. Cela indique que la pression vendeuse récente a tempéré l'enthousiasme, mais sans signaler de retournement majeur. La décision est **Neutre**, le titre n'étant ni suracheté ni survendu.</w:t>
      </w:r>
    </w:p>
    <w:p>
      <w:pPr>
        <w:spacing w:after="120" w:line="276" w:lineRule="auto"/>
      </w:pPr>
      <w:r>
        <w:t>**Stochastique :** Le %K (59,654) est supérieur au %D (48,291), indiquant un croisement haussier en cours. Ce signal suggère un regain d'intérêt acheteur après une phase de consolidation. La décision est **Neutre**, mais la configuration est légèrement positive, laissant entrevoir une possible reprise.</w:t>
      </w:r>
    </w:p>
    <w:p>
      <w:pPr>
        <w:spacing w:after="120" w:line="276" w:lineRule="auto"/>
      </w:pPr>
      <w:r>
        <w:t>**Conclusion technique :** Les indicateurs sont mitigés. La tendance de fond (MM) reste haussière, mais le MACD envoie un signal de prudence à court terme. Le RSI et les Bandes de Bollinger suggèrent une phase de consolidation, tandis que le Stochastique montre un léger rebond. Globalement, le titre est dans une phase de correction au sein d'une tendance haussière plus large, ce qui appelle à la patience pour un point d'entrée optimal.</w:t>
      </w:r>
    </w:p>
    <w:p>
      <w:pPr>
        <w:spacing w:after="120" w:line="276" w:lineRule="auto"/>
      </w:pPr>
      <w:r>
        <w:t>---</w:t>
      </w:r>
    </w:p>
    <w:p>
      <w:pPr>
        <w:spacing w:after="120" w:line="276" w:lineRule="auto"/>
      </w:pPr>
      <w:r>
        <w:t>### PARTIE 3 : ANALYSE FONDAMENTALE (SECTION CRITIQUE)</w:t>
      </w:r>
    </w:p>
    <w:p>
      <w:pPr>
        <w:spacing w:after="120" w:line="276" w:lineRule="auto"/>
      </w:pPr>
      <w:r>
        <w:t>**En 2025**, CBIBF a affiché des résultats financiers solides, avec un Produit Net Bancaire (PNB) de 138,986 milliards FCFA et un résultat net de 65,495 milliards FCFA, en progression de 36,6% par rapport à 2024. La banque maintient une excellente efficacité opérationnelle avec un coefficient d'exploitation de 36,38% (bien en dessous du seuil de 60%), et une marge nette élevée de 47,12%. Le ROA de 2,18% est sain pour le secteur. Cependant, le coût du risque, bien qu'en amélioration de 59,3%, reste un point de vigilance. Les rapports trimestriels 2025 confirment cette dynamique : le T3 2025 montre un PNB de 101,3 milliards (+9,65% vs T3 2024) et un résultat net de 52,9 milliards (+6,25%). Sur la base du rapport T1 2026 (PNB de 36,8 milliards, +28,5% et résultat net de 21,5 milliards, +22,2%), on **estime** que l'exercice 2026 pourrait voir un PNB dépasser les 160 milliards FCFA et un résultat net supérieur à 75 milliards FCFA, confirmant une trajectoire de croissance robuste. La collecte de dépôts (+37,9% au T1 2026) et la croissance des crédits (+3,8%) montrent une banque qui finance l'économie tout en maîtrisant son bilan. La recommandation fondamentale est **ACHAT FORT**, la banque démontrant une solidité financière, une croissance soutenue et une gestion des risques efficace.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 profil d'investissement complexe mais globalement positif. La valorisation (PER de 13,9x, EV/EBITDA de 10,3x) est élevée mais justifiée par la qualité des fondamentaux. Le comportement du cours (+117% en 100 jours) montre une dynamique forte, mais la volatilité de 42,5% et les statistiques (kurtosis platykurtique) signalent un risque de retournement. Les signaux techniques sont mitigés, avec une tendance haussière de fond (MM) mais un MACD vendeur et un RSI neutre, suggérant une consolidation. Les fondamentaux sont excellents, avec une croissance du résultat net de 36,6% en 2025 et des estimations 2026 très positives. Cependant, les prédictions IA pour les 10 prochains jours (baisse de 28 490 à 19 438 FCFA) contredisent fortement les signaux haussiers, anticipant une correction majeure. Cette divergence entre les fondamentaux solides et la prédiction technique à court terme impose une grande prudence. **Recommandation : CONSERVER** avec un niveau de confiance **Moyen** et un risque global **Élevé**. L'horizon d'investissement optimal serait le **moyen terme (3-12 mois)**, attendant une stabilisation du cours après la correction anticipée pour renforcer la position, les fondamentaux restant porteurs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307.43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3,881 titres</w:t>
            </w:r>
          </w:p>
        </w:tc>
        <w:tc>
          <w:tcPr>
            <w:tcW w:type="dxa" w:w="2268"/>
            <w:shd w:fill="FFF2CC" w:val="clear"/>
          </w:tcPr>
          <w:p>
            <w:r>
              <w:rPr>
                <w:b/>
                <w:color w:val="503200"/>
                <w:sz w:val="16"/>
              </w:rPr>
              <w:t xml:space="preserve">Cours actuel : </w:t>
            </w:r>
            <w:r>
              <w:rPr>
                <w:color w:val="000000"/>
                <w:sz w:val="17"/>
              </w:rPr>
              <w:t>1,695 FCFA</w:t>
            </w:r>
          </w:p>
          <w:p>
            <w:r>
              <w:rPr>
                <w:b/>
                <w:color w:val="503200"/>
                <w:sz w:val="16"/>
              </w:rPr>
              <w:t xml:space="preserve">Var. 100 jours : </w:t>
            </w:r>
            <w:r>
              <w:rPr>
                <w:b/>
                <w:color w:val="B40000"/>
                <w:sz w:val="17"/>
              </w:rPr>
              <w:t>-5.83%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μ=1,610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β=1.0029 (Neutre (suit le marché)) — Cov=0.000036, Var(idx)=0.000036, ρ=0.192,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1,536</w:t>
            </w:r>
          </w:p>
        </w:tc>
        <w:tc>
          <w:tcPr>
            <w:tcW w:type="dxa" w:w="1440"/>
            <w:shd w:fill="FFDCE0" w:val="clear"/>
          </w:tcPr>
          <w:p>
            <w:r>
              <w:rPr>
                <w:b/>
                <w:sz w:val="17"/>
              </w:rPr>
              <w:t>1,631</w:t>
            </w:r>
          </w:p>
        </w:tc>
        <w:tc>
          <w:tcPr>
            <w:tcW w:type="dxa" w:w="1440"/>
            <w:shd w:fill="FFDCE0" w:val="clear"/>
          </w:tcPr>
          <w:p>
            <w:r>
              <w:rPr>
                <w:sz w:val="17"/>
              </w:rPr>
              <w:t>1,727</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1,479</w:t>
            </w:r>
          </w:p>
        </w:tc>
        <w:tc>
          <w:tcPr>
            <w:tcW w:type="dxa" w:w="1440"/>
            <w:shd w:fill="FFDCE0" w:val="clear"/>
          </w:tcPr>
          <w:p>
            <w:r>
              <w:rPr>
                <w:b/>
                <w:sz w:val="17"/>
              </w:rPr>
              <w:t>1,613</w:t>
            </w:r>
          </w:p>
        </w:tc>
        <w:tc>
          <w:tcPr>
            <w:tcW w:type="dxa" w:w="1440"/>
            <w:shd w:fill="FFDCE0" w:val="clear"/>
          </w:tcPr>
          <w:p>
            <w:r>
              <w:rPr>
                <w:sz w:val="17"/>
              </w:rPr>
              <w:t>1,746</w:t>
            </w:r>
          </w:p>
        </w:tc>
        <w:tc>
          <w:tcPr>
            <w:tcW w:type="dxa" w:w="1440"/>
            <w:shd w:fill="FFDCE0" w:val="clear"/>
          </w:tcPr>
          <w:p>
            <w:r>
              <w:rPr>
                <w:b/>
                <w:color w:val="C00000"/>
                <w:sz w:val="17"/>
              </w:rPr>
              <w:t>-4.8%</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1,429</w:t>
            </w:r>
          </w:p>
        </w:tc>
        <w:tc>
          <w:tcPr>
            <w:tcW w:type="dxa" w:w="1440"/>
            <w:shd w:fill="FFDCE0" w:val="clear"/>
          </w:tcPr>
          <w:p>
            <w:r>
              <w:rPr>
                <w:b/>
                <w:sz w:val="17"/>
              </w:rPr>
              <w:t>1,590</w:t>
            </w:r>
          </w:p>
        </w:tc>
        <w:tc>
          <w:tcPr>
            <w:tcW w:type="dxa" w:w="1440"/>
            <w:shd w:fill="FFDCE0" w:val="clear"/>
          </w:tcPr>
          <w:p>
            <w:r>
              <w:rPr>
                <w:sz w:val="17"/>
              </w:rPr>
              <w:t>1,751</w:t>
            </w:r>
          </w:p>
        </w:tc>
        <w:tc>
          <w:tcPr>
            <w:tcW w:type="dxa" w:w="1440"/>
            <w:shd w:fill="FFDCE0" w:val="clear"/>
          </w:tcPr>
          <w:p>
            <w:r>
              <w:rPr>
                <w:b/>
                <w:color w:val="C00000"/>
                <w:sz w:val="17"/>
              </w:rPr>
              <w:t>-6.2%</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1,383</w:t>
            </w:r>
          </w:p>
        </w:tc>
        <w:tc>
          <w:tcPr>
            <w:tcW w:type="dxa" w:w="1440"/>
            <w:shd w:fill="FFDCE0" w:val="clear"/>
          </w:tcPr>
          <w:p>
            <w:r>
              <w:rPr>
                <w:b/>
                <w:sz w:val="17"/>
              </w:rPr>
              <w:t>1,567</w:t>
            </w:r>
          </w:p>
        </w:tc>
        <w:tc>
          <w:tcPr>
            <w:tcW w:type="dxa" w:w="1440"/>
            <w:shd w:fill="FFDCE0" w:val="clear"/>
          </w:tcPr>
          <w:p>
            <w:r>
              <w:rPr>
                <w:sz w:val="17"/>
              </w:rPr>
              <w:t>1,750</w:t>
            </w:r>
          </w:p>
        </w:tc>
        <w:tc>
          <w:tcPr>
            <w:tcW w:type="dxa" w:w="1440"/>
            <w:shd w:fill="FFDCE0" w:val="clear"/>
          </w:tcPr>
          <w:p>
            <w:r>
              <w:rPr>
                <w:b/>
                <w:color w:val="C00000"/>
                <w:sz w:val="17"/>
              </w:rPr>
              <w:t>-7.6%</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1,342</w:t>
            </w:r>
          </w:p>
        </w:tc>
        <w:tc>
          <w:tcPr>
            <w:tcW w:type="dxa" w:w="1440"/>
            <w:shd w:fill="FFDCE0" w:val="clear"/>
          </w:tcPr>
          <w:p>
            <w:r>
              <w:rPr>
                <w:b/>
                <w:sz w:val="17"/>
              </w:rPr>
              <w:t>1,544</w:t>
            </w:r>
          </w:p>
        </w:tc>
        <w:tc>
          <w:tcPr>
            <w:tcW w:type="dxa" w:w="1440"/>
            <w:shd w:fill="FFDCE0" w:val="clear"/>
          </w:tcPr>
          <w:p>
            <w:r>
              <w:rPr>
                <w:sz w:val="17"/>
              </w:rPr>
              <w:t>1,746</w:t>
            </w:r>
          </w:p>
        </w:tc>
        <w:tc>
          <w:tcPr>
            <w:tcW w:type="dxa" w:w="1440"/>
            <w:shd w:fill="FFDCE0" w:val="clear"/>
          </w:tcPr>
          <w:p>
            <w:r>
              <w:rPr>
                <w:b/>
                <w:color w:val="C00000"/>
                <w:sz w:val="17"/>
              </w:rPr>
              <w:t>-8.9%</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1,304</w:t>
            </w:r>
          </w:p>
        </w:tc>
        <w:tc>
          <w:tcPr>
            <w:tcW w:type="dxa" w:w="1440"/>
            <w:shd w:fill="FFDCE0" w:val="clear"/>
          </w:tcPr>
          <w:p>
            <w:r>
              <w:rPr>
                <w:b/>
                <w:sz w:val="17"/>
              </w:rPr>
              <w:t>1,522</w:t>
            </w:r>
          </w:p>
        </w:tc>
        <w:tc>
          <w:tcPr>
            <w:tcW w:type="dxa" w:w="1440"/>
            <w:shd w:fill="FFDCE0" w:val="clear"/>
          </w:tcPr>
          <w:p>
            <w:r>
              <w:rPr>
                <w:sz w:val="17"/>
              </w:rPr>
              <w:t>1,740</w:t>
            </w:r>
          </w:p>
        </w:tc>
        <w:tc>
          <w:tcPr>
            <w:tcW w:type="dxa" w:w="1440"/>
            <w:shd w:fill="FFDCE0" w:val="clear"/>
          </w:tcPr>
          <w:p>
            <w:r>
              <w:rPr>
                <w:b/>
                <w:color w:val="C00000"/>
                <w:sz w:val="17"/>
              </w:rPr>
              <w:t>-10.2%</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1,268</w:t>
            </w:r>
          </w:p>
        </w:tc>
        <w:tc>
          <w:tcPr>
            <w:tcW w:type="dxa" w:w="1440"/>
            <w:shd w:fill="FFDCE0" w:val="clear"/>
          </w:tcPr>
          <w:p>
            <w:r>
              <w:rPr>
                <w:b/>
                <w:sz w:val="17"/>
              </w:rPr>
              <w:t>1,500</w:t>
            </w:r>
          </w:p>
        </w:tc>
        <w:tc>
          <w:tcPr>
            <w:tcW w:type="dxa" w:w="1440"/>
            <w:shd w:fill="FFDCE0" w:val="clear"/>
          </w:tcPr>
          <w:p>
            <w:r>
              <w:rPr>
                <w:sz w:val="17"/>
              </w:rPr>
              <w:t>1,733</w:t>
            </w:r>
          </w:p>
        </w:tc>
        <w:tc>
          <w:tcPr>
            <w:tcW w:type="dxa" w:w="1440"/>
            <w:shd w:fill="FFDCE0" w:val="clear"/>
          </w:tcPr>
          <w:p>
            <w:r>
              <w:rPr>
                <w:b/>
                <w:color w:val="C00000"/>
                <w:sz w:val="17"/>
              </w:rPr>
              <w:t>-11.5%</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1,234</w:t>
            </w:r>
          </w:p>
        </w:tc>
        <w:tc>
          <w:tcPr>
            <w:tcW w:type="dxa" w:w="1440"/>
            <w:shd w:fill="FFDCE0" w:val="clear"/>
          </w:tcPr>
          <w:p>
            <w:r>
              <w:rPr>
                <w:b/>
                <w:sz w:val="17"/>
              </w:rPr>
              <w:t>1,479</w:t>
            </w:r>
          </w:p>
        </w:tc>
        <w:tc>
          <w:tcPr>
            <w:tcW w:type="dxa" w:w="1440"/>
            <w:shd w:fill="FFDCE0" w:val="clear"/>
          </w:tcPr>
          <w:p>
            <w:r>
              <w:rPr>
                <w:sz w:val="17"/>
              </w:rPr>
              <w:t>1,724</w:t>
            </w:r>
          </w:p>
        </w:tc>
        <w:tc>
          <w:tcPr>
            <w:tcW w:type="dxa" w:w="1440"/>
            <w:shd w:fill="FFDCE0" w:val="clear"/>
          </w:tcPr>
          <w:p>
            <w:r>
              <w:rPr>
                <w:b/>
                <w:color w:val="C00000"/>
                <w:sz w:val="17"/>
              </w:rPr>
              <w:t>-12.7%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1,202</w:t>
            </w:r>
          </w:p>
        </w:tc>
        <w:tc>
          <w:tcPr>
            <w:tcW w:type="dxa" w:w="1440"/>
            <w:shd w:fill="FFDCE0" w:val="clear"/>
          </w:tcPr>
          <w:p>
            <w:r>
              <w:rPr>
                <w:b/>
                <w:sz w:val="17"/>
              </w:rPr>
              <w:t>1,458</w:t>
            </w:r>
          </w:p>
        </w:tc>
        <w:tc>
          <w:tcPr>
            <w:tcW w:type="dxa" w:w="1440"/>
            <w:shd w:fill="FFDCE0" w:val="clear"/>
          </w:tcPr>
          <w:p>
            <w:r>
              <w:rPr>
                <w:sz w:val="17"/>
              </w:rPr>
              <w:t>1,715</w:t>
            </w:r>
          </w:p>
        </w:tc>
        <w:tc>
          <w:tcPr>
            <w:tcW w:type="dxa" w:w="1440"/>
            <w:shd w:fill="FFDCE0" w:val="clear"/>
          </w:tcPr>
          <w:p>
            <w:r>
              <w:rPr>
                <w:b/>
                <w:color w:val="C00000"/>
                <w:sz w:val="17"/>
              </w:rPr>
              <w:t>-14.0%</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1,172</w:t>
            </w:r>
          </w:p>
        </w:tc>
        <w:tc>
          <w:tcPr>
            <w:tcW w:type="dxa" w:w="1440"/>
            <w:shd w:fill="FFDCE0" w:val="clear"/>
          </w:tcPr>
          <w:p>
            <w:r>
              <w:rPr>
                <w:b/>
                <w:sz w:val="17"/>
              </w:rPr>
              <w:t>1,438</w:t>
            </w:r>
          </w:p>
        </w:tc>
        <w:tc>
          <w:tcPr>
            <w:tcW w:type="dxa" w:w="1440"/>
            <w:shd w:fill="FFDCE0" w:val="clear"/>
          </w:tcPr>
          <w:p>
            <w:r>
              <w:rPr>
                <w:sz w:val="17"/>
              </w:rPr>
              <w:t>1,704</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31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307,43 milliards FCFA, un niveau significatif qui en fait l'une des valeurs les plus importantes de la BRVM, reflétant sa position dominante sur le marché automobile ivoirien. Avec un BPA de 26 FCFA, le titre affiche un PER de 65,5x, extrêmement élevé par rapport à la moyenne historique de la BRVM (8-12x), indiquant que les investisseurs paient une prime considérable pour chaque franc de bénéfice. Le P/B de 15,80x confirme cette surévaluation relative, le marché valorisant le titre à près de 16 fois sa valeur comptable, bien au-delà du seuil de 4x considéré comme exigeant. L'EV/EBITDA de 33,3x renforce ce constat : la valeur d'entreprise représente 33 fois la capacité opérationnelle, un niveau très exigeant qui laisse peu de marge d'erreur. Ces ratios suggèrent que le marché anticipe une croissance future exceptionnelle, mais ils exposent également le titre à un risque de correction significatif si les performances déçoivent.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CFAC a enregistré une variation totale de -5,83%, passant de 1 825 FCFA (plus haut) à un plus bas de 1 325 FCFA, avant de se stabiliser à 1 695 FCFA, soit une hausse de +1,80% lors de la dernière séance. La moyenne du cours sur la période est de 1 610 FCFA, très proche de la médiane de 1 605 FCFA et du mode de 1 600 FCFA, ce qui indique une distribution relativement symétrique des prix autour de ces niveaux. L'écart-type de 107 FCFA (CV=6,6%) révèle une dispersion modérée des prix, tandis que le kurtosis de -0,245 (mésokurtique) suggère une distribution proche de la normale, sans risque de pics extrêmes. Le skewness de -0,280, légèrement négatif, indique une asymétrie vers les valeurs basses, avec quelques épisodes de baisse plus marqués. La volatilité annualisée de 49,6% est très élevée (&gt;30%), reflétant un titre spéculatif et sensible aux variations du marché, malgré une tendance générale baissière sur la période analysée.</w:t>
      </w:r>
    </w:p>
    <w:p>
      <w:pPr>
        <w:spacing w:after="120" w:line="276" w:lineRule="auto"/>
      </w:pPr>
      <w:r>
        <w:t>---</w:t>
      </w:r>
    </w:p>
    <w:p>
      <w:pPr>
        <w:spacing w:after="120" w:line="276" w:lineRule="auto"/>
      </w:pPr>
      <w:r>
        <w:t>### PARTIE 2 : ANALYSE TECHNIQUE DÉTAILLÉE</w:t>
      </w:r>
    </w:p>
    <w:p>
      <w:pPr>
        <w:spacing w:after="120" w:line="276" w:lineRule="auto"/>
      </w:pPr>
      <w:r>
        <w:t>**Moyennes Mobiles :** La MM20 à 1 630 FCFA et la MM50 à 1 634,7 FCFA sont toutes deux inférieures au cours actuel de 1 695 FCFA, indiquant une dynamique haussière à court terme. Cependant, le signal global est "Vente", car la convergence des moyennes mobiles suggère une possible résistance à ces niveaux. Le cours évolue au-dessus de ses moyennes, mais la tendance de fond reste incertaine.</w:t>
      </w:r>
    </w:p>
    <w:p>
      <w:pPr>
        <w:spacing w:after="120" w:line="276" w:lineRule="auto"/>
      </w:pPr>
      <w:r>
        <w:t>**Bandes de Bollinger :** Le cours à 1 695 FCFA se situe dans la partie supérieure des bandes (borne supérieure à 1 730,63 FCFA, borne inférieure à 1 529,37 FCFA), indiquant une pression acheteuse modérée. La décision "Neutre" reflète une volatilité contenue, le prix n'ayant pas encore atteint les extrêmes des bandes, ce qui laisse place à une poursuite du mouvement haussier ou à un retour vers la moyenne.</w:t>
      </w:r>
    </w:p>
    <w:p>
      <w:pPr>
        <w:spacing w:after="120" w:line="276" w:lineRule="auto"/>
      </w:pPr>
      <w:r>
        <w:t>**MACD :** La valeur du MACD à 8,345 est supérieure à son signal à 5,173, confirmant un momentum haussier positif. La décision "Achat" est justifiée par cette divergence positive, qui indique une accélération de la dynamique haussière à moyen terme. Ce signal est le plus optimiste parmi les indicateurs techniques.</w:t>
      </w:r>
    </w:p>
    <w:p>
      <w:pPr>
        <w:spacing w:after="120" w:line="276" w:lineRule="auto"/>
      </w:pPr>
      <w:r>
        <w:t>**RSI :** Le RSI à 58,333 se situe dans la zone neutre (30-70), sans signal de surachat ni de survente. La décision "Neutre" reflète un équilibre entre les forces acheteuses et vendeuses, avec une légère tendance haussière. Le RSI n'atteint pas les seuils extrêmes qui déclencheraient des signaux d'achat ou de vente forts.</w:t>
      </w:r>
    </w:p>
    <w:p>
      <w:pPr>
        <w:spacing w:after="120" w:line="276" w:lineRule="auto"/>
      </w:pPr>
      <w:r>
        <w:t>**Stochastique :** Le %K à 96,429 et le %D à 81,587 sont tous deux dans la zone de surachat (&gt;80), avec un %K nettement supérieur au %D. La décision "Vente" est justifiée par cette situation de surachat extrême, qui suggère un essoufflement imminent de la dynamique haussière et un risque de retournement à court terme.</w:t>
      </w:r>
    </w:p>
    <w:p>
      <w:pPr>
        <w:spacing w:after="120" w:line="276" w:lineRule="auto"/>
      </w:pPr>
      <w:r>
        <w:t>**Conclusion technique :** Les signaux sont mitigés : le MACD et les bandes de Bollinger suggèrent une dynamique haussière, tandis que le stochastique en surachat extrême et les moyennes mobiles en signal de vente indiquent un risque de correction. La prudence est de mise, car le titre semble suracheté à court terme malgré un momentum positif à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2024) :** En 2024, CFAC a réalisé un chiffre d'affaires de 158,313 milliards FCFA, en baisse de -12,1% par rapport à 2023 (180,162 milliards), avec un résultat net de 4,693 milliards FCFA, en recul de -26,7% (vs 6,399 milliards en 2023). Le ROE s'établit à 24,13% (&gt;15%, excellent) et le ROA à 5,52%, malgré la baisse de rentabilité. La marge nette est de 2,96% et la marge opérationnelle de 4,96%. Le BFR est négatif à -3,482 milliards FCFA, ce qui est favorable pour une entreprise, indiquant une gestion efficace du cycle d'exploitation. Les délais clients (36,64 jours) et fournisseurs (81,75 jours) montrent un équilibre satisfaisant, tandis que la durée de stockage de 88,35 jours reflète une immobilisation de capital dans les stocks. L'endettement est maîtrisé avec un ratio d'endettement de 23,07% et une capacité de remboursement de 0,72 an.</w:t>
      </w:r>
    </w:p>
    <w:p>
      <w:pPr>
        <w:spacing w:after="120" w:line="276" w:lineRule="auto"/>
      </w:pPr>
      <w:r>
        <w:t>**Estimations basées sur les rapports trimestriels 2025 :** Les rapports T1 2025 (CA de 46,161 milliards, +14,5% ; RN de 3,836 milliards, +279,7%) et S1 2025 (CA de 91,182 milliards, +18,4% ; RN de 5,420 milliards, +152,7%) montrent un redressement spectaculaire. Le T3 2025 confirme cette tendance avec un CA de 43,580 milliards (+18,3%) et un RN de 1,489 milliard (+38,1%). Sur la base de ces performances, on estime que l'exercice 2025 devrait afficher un CA d'environ 180-185 milliards FCFA (+15-17%) et un RN de 7-8 milliards FCFA (+50-70%), marquant un retour à la croissance après une année 2024 difficile. La société maintient sa position de leader avec 41,7% de part de marché au T3 2025, soutenue par les marques Suzuki et Toyota.</w:t>
      </w:r>
    </w:p>
    <w:p>
      <w:pPr>
        <w:spacing w:after="120" w:line="276" w:lineRule="auto"/>
      </w:pPr>
      <w:r>
        <w:t>**Évolution temporelle :** De 2018 à 2023, le CA a progressé de 51,3%, avec une résilience post-COVID remarquable. Cependant, la rentabilité a été volatile, avec une chute de -42,6% du RN en 2023, suivie d'une nouvelle baisse en 2024, avant un rebond spectaculaire en 2025. La politique de dividende agressive (taux de distribution de 88,1% en 2023) a été revue à la baisse en 2024 (3,2 milliards versés vs 5,534 milliards en 2023), ce qui est un signal positif pour la pérennité financière. Les perspectives 2025 sont positives, avec une croissance des volumes et une amélioration des marges, malgré un environnement réglementaire plus strict et une concurrence accrue.</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avec un PER de 65,5x, un P/B de 15,8x et un EV/EBITDA de 33,3x, indiquant une surévaluation significative par rapport aux fondamentaux actuels. Le comportement du cours sur 100 jours montre une tendance baissière (-5,83%) avec une volatilité très élevée (49,6%), mais une stabilisation récente autour de 1 695 FCFA. Les signaux techniques sont mitigés : le MACD est haussier, mais le stochastique en surachat extrême et les moyennes mobiles en signal de vente suggèrent un risque de correction. Les fondamentaux sont solides avec un ROE de 24,13%, un BFR négatif favorable et un redressement spectaculaire en 2025 (RN +152,7% au S1), soutenu par une position de leader (41,7% de part de marché). Les prédictions IA prévoient une baisse progressive du cours à 1 544 FCFA sur 10 jours, confirmant le risque de correction technique. **Recommandation : VENTE** — la convergence entre la surévaluation (valorisation), le surachat technique et les prédictions baissières de l'IA l'emporte sur les fondamentaux solides. Niveau de confiance : **Moyen** (les fondamentaux pourraient soutenir le cours à moyen terme). Risque global : **Élevé** (volatilité 49,6%, valorisation extrême). Horizon d'investissement optimal : **court terme (&lt;3 mois)** pour les vendeurs, avec un réinvestissement potentiel à moyen terme si le cours corrige vers 1 400-1 500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6,555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+48.37%</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22.35% (Élevée) — μ=4,145 FCFA, σ=926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β=0.7810 (Défensif) — Cov=0.000028, Var(idx)=0.000036, ρ=0.159,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547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4,433</w:t>
            </w:r>
          </w:p>
        </w:tc>
        <w:tc>
          <w:tcPr>
            <w:tcW w:type="dxa" w:w="1440"/>
            <w:shd w:fill="FFDCE0" w:val="clear"/>
          </w:tcPr>
          <w:p>
            <w:r>
              <w:rPr>
                <w:b/>
                <w:sz w:val="17"/>
              </w:rPr>
              <w:t>4,625</w:t>
            </w:r>
          </w:p>
        </w:tc>
        <w:tc>
          <w:tcPr>
            <w:tcW w:type="dxa" w:w="1440"/>
            <w:shd w:fill="FFDCE0" w:val="clear"/>
          </w:tcPr>
          <w:p>
            <w:r>
              <w:rPr>
                <w:sz w:val="17"/>
              </w:rPr>
              <w:t>4,817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4,027</w:t>
            </w:r>
          </w:p>
        </w:tc>
        <w:tc>
          <w:tcPr>
            <w:tcW w:type="dxa" w:w="1440"/>
            <w:shd w:fill="FFDCE0" w:val="clear"/>
          </w:tcPr>
          <w:p>
            <w:r>
              <w:rPr>
                <w:b/>
                <w:sz w:val="17"/>
              </w:rPr>
              <w:t>4,278</w:t>
            </w:r>
          </w:p>
        </w:tc>
        <w:tc>
          <w:tcPr>
            <w:tcW w:type="dxa" w:w="1440"/>
            <w:shd w:fill="FFDCE0" w:val="clear"/>
          </w:tcPr>
          <w:p>
            <w:r>
              <w:rPr>
                <w:sz w:val="17"/>
              </w:rPr>
              <w:t>4,530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3,672</w:t>
            </w:r>
          </w:p>
        </w:tc>
        <w:tc>
          <w:tcPr>
            <w:tcW w:type="dxa" w:w="1440"/>
            <w:shd w:fill="FFDCE0" w:val="clear"/>
          </w:tcPr>
          <w:p>
            <w:r>
              <w:rPr>
                <w:b/>
                <w:sz w:val="17"/>
              </w:rPr>
              <w:t>3,957</w:t>
            </w:r>
          </w:p>
        </w:tc>
        <w:tc>
          <w:tcPr>
            <w:tcW w:type="dxa" w:w="1440"/>
            <w:shd w:fill="FFDCE0" w:val="clear"/>
          </w:tcPr>
          <w:p>
            <w:r>
              <w:rPr>
                <w:sz w:val="17"/>
              </w:rPr>
              <w:t>4,242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3,356</w:t>
            </w:r>
          </w:p>
        </w:tc>
        <w:tc>
          <w:tcPr>
            <w:tcW w:type="dxa" w:w="1440"/>
            <w:shd w:fill="FFDCE0" w:val="clear"/>
          </w:tcPr>
          <w:p>
            <w:r>
              <w:rPr>
                <w:b/>
                <w:sz w:val="17"/>
              </w:rPr>
              <w:t>3,660</w:t>
            </w:r>
          </w:p>
        </w:tc>
        <w:tc>
          <w:tcPr>
            <w:tcW w:type="dxa" w:w="1440"/>
            <w:shd w:fill="FFDCE0" w:val="clear"/>
          </w:tcPr>
          <w:p>
            <w:r>
              <w:rPr>
                <w:sz w:val="17"/>
              </w:rPr>
              <w:t>3,965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3,212</w:t>
            </w:r>
          </w:p>
        </w:tc>
        <w:tc>
          <w:tcPr>
            <w:tcW w:type="dxa" w:w="1440"/>
            <w:shd w:fill="FFDCE0" w:val="clear"/>
          </w:tcPr>
          <w:p>
            <w:r>
              <w:rPr>
                <w:b/>
                <w:sz w:val="17"/>
              </w:rPr>
              <w:t>3,541</w:t>
            </w:r>
          </w:p>
        </w:tc>
        <w:tc>
          <w:tcPr>
            <w:tcW w:type="dxa" w:w="1440"/>
            <w:shd w:fill="FFDCE0" w:val="clear"/>
          </w:tcPr>
          <w:p>
            <w:r>
              <w:rPr>
                <w:sz w:val="17"/>
              </w:rPr>
              <w:t>3,870</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3,099</w:t>
            </w:r>
          </w:p>
        </w:tc>
        <w:tc>
          <w:tcPr>
            <w:tcW w:type="dxa" w:w="1440"/>
            <w:shd w:fill="FFDCE0" w:val="clear"/>
          </w:tcPr>
          <w:p>
            <w:r>
              <w:rPr>
                <w:b/>
                <w:sz w:val="17"/>
              </w:rPr>
              <w:t>3,450</w:t>
            </w:r>
          </w:p>
        </w:tc>
        <w:tc>
          <w:tcPr>
            <w:tcW w:type="dxa" w:w="1440"/>
            <w:shd w:fill="FFDCE0" w:val="clear"/>
          </w:tcPr>
          <w:p>
            <w:r>
              <w:rPr>
                <w:sz w:val="17"/>
              </w:rPr>
              <w:t>3,801</w:t>
            </w:r>
          </w:p>
        </w:tc>
        <w:tc>
          <w:tcPr>
            <w:tcW w:type="dxa" w:w="1440"/>
            <w:shd w:fill="FFDCE0" w:val="clear"/>
          </w:tcPr>
          <w:p>
            <w:r>
              <w:rPr>
                <w:b/>
                <w:color w:val="C00000"/>
                <w:sz w:val="17"/>
              </w:rPr>
              <w:t>-31.0%</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2,998</w:t>
            </w:r>
          </w:p>
        </w:tc>
        <w:tc>
          <w:tcPr>
            <w:tcW w:type="dxa" w:w="1440"/>
            <w:shd w:fill="FFDCE0" w:val="clear"/>
          </w:tcPr>
          <w:p>
            <w:r>
              <w:rPr>
                <w:b/>
                <w:sz w:val="17"/>
              </w:rPr>
              <w:t>3,369</w:t>
            </w:r>
          </w:p>
        </w:tc>
        <w:tc>
          <w:tcPr>
            <w:tcW w:type="dxa" w:w="1440"/>
            <w:shd w:fill="FFDCE0" w:val="clear"/>
          </w:tcPr>
          <w:p>
            <w:r>
              <w:rPr>
                <w:sz w:val="17"/>
              </w:rPr>
              <w:t>3,739</w:t>
            </w:r>
          </w:p>
        </w:tc>
        <w:tc>
          <w:tcPr>
            <w:tcW w:type="dxa" w:w="1440"/>
            <w:shd w:fill="FFDCE0" w:val="clear"/>
          </w:tcPr>
          <w:p>
            <w:r>
              <w:rPr>
                <w:b/>
                <w:color w:val="C00000"/>
                <w:sz w:val="17"/>
              </w:rPr>
              <w:t>-32.6%</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2,908</w:t>
            </w:r>
          </w:p>
        </w:tc>
        <w:tc>
          <w:tcPr>
            <w:tcW w:type="dxa" w:w="1440"/>
            <w:shd w:fill="FFDCE0" w:val="clear"/>
          </w:tcPr>
          <w:p>
            <w:r>
              <w:rPr>
                <w:b/>
                <w:sz w:val="17"/>
              </w:rPr>
              <w:t>3,296</w:t>
            </w:r>
          </w:p>
        </w:tc>
        <w:tc>
          <w:tcPr>
            <w:tcW w:type="dxa" w:w="1440"/>
            <w:shd w:fill="FFDCE0" w:val="clear"/>
          </w:tcPr>
          <w:p>
            <w:r>
              <w:rPr>
                <w:sz w:val="17"/>
              </w:rPr>
              <w:t>3,683</w:t>
            </w:r>
          </w:p>
        </w:tc>
        <w:tc>
          <w:tcPr>
            <w:tcW w:type="dxa" w:w="1440"/>
            <w:shd w:fill="FFDCE0" w:val="clear"/>
          </w:tcPr>
          <w:p>
            <w:r>
              <w:rPr>
                <w:b/>
                <w:color w:val="C00000"/>
                <w:sz w:val="17"/>
              </w:rPr>
              <w:t>-34.1%</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2,827</w:t>
            </w:r>
          </w:p>
        </w:tc>
        <w:tc>
          <w:tcPr>
            <w:tcW w:type="dxa" w:w="1440"/>
            <w:shd w:fill="FFDCE0" w:val="clear"/>
          </w:tcPr>
          <w:p>
            <w:r>
              <w:rPr>
                <w:b/>
                <w:sz w:val="17"/>
              </w:rPr>
              <w:t>3,229</w:t>
            </w:r>
          </w:p>
        </w:tc>
        <w:tc>
          <w:tcPr>
            <w:tcW w:type="dxa" w:w="1440"/>
            <w:shd w:fill="FFDCE0" w:val="clear"/>
          </w:tcPr>
          <w:p>
            <w:r>
              <w:rPr>
                <w:sz w:val="17"/>
              </w:rPr>
              <w:t>3,632</w:t>
            </w:r>
          </w:p>
        </w:tc>
        <w:tc>
          <w:tcPr>
            <w:tcW w:type="dxa" w:w="1440"/>
            <w:shd w:fill="FFDCE0" w:val="clear"/>
          </w:tcPr>
          <w:p>
            <w:r>
              <w:rPr>
                <w:b/>
                <w:color w:val="C00000"/>
                <w:sz w:val="17"/>
              </w:rPr>
              <w:t>-35.4%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2,753</w:t>
            </w:r>
          </w:p>
        </w:tc>
        <w:tc>
          <w:tcPr>
            <w:tcW w:type="dxa" w:w="1440"/>
            <w:shd w:fill="FFDCE0" w:val="clear"/>
          </w:tcPr>
          <w:p>
            <w:r>
              <w:rPr>
                <w:b/>
                <w:sz w:val="17"/>
              </w:rPr>
              <w:t>3,169</w:t>
            </w:r>
          </w:p>
        </w:tc>
        <w:tc>
          <w:tcPr>
            <w:tcW w:type="dxa" w:w="1440"/>
            <w:shd w:fill="FFDCE0" w:val="clear"/>
          </w:tcPr>
          <w:p>
            <w:r>
              <w:rPr>
                <w:sz w:val="17"/>
              </w:rPr>
              <w:t>3,586</w:t>
            </w:r>
          </w:p>
        </w:tc>
        <w:tc>
          <w:tcPr>
            <w:tcW w:type="dxa" w:w="1440"/>
            <w:shd w:fill="FFDCE0" w:val="clear"/>
          </w:tcPr>
          <w:p>
            <w:r>
              <w:rPr>
                <w:b/>
                <w:color w:val="C00000"/>
                <w:sz w:val="17"/>
              </w:rPr>
              <w:t>-36.6%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31 juillet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280 milliards FCFA, un niveau significatif qui la positionne parmi les valeurs moyennes du marché BRVM, reflétant son statut de service public stratégique. Avec un BPA de 234 FCFA, chaque action génère un bénéfice confortable pour l'investisseur. Cependant, le PER de 21,3x est très supérieur à la moyenne historique de la BRVM (8-12x), indiquant que le marché intègre des attentes de croissance élevées, voire une prime de rareté pour ce titre. Le P/B de 7,79x confirme cette valorisation exigeante, le marché payant près de 8 fois la valeur comptable des actifs. Enfin, l'EV/EBITDA de 12,6x se situe dans la fourchette haute (10-15x), suggérant que la valeur d'entreprise est substantielle par rapport à sa capacité opérationnelle. Ces ratios combinés signalent une valorisation riche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spectaculaire de +48,37%, passant d'un plus bas de 3 000 FCFA à un plus haut de 5 485 FCFA, avant de se stabiliser à 5 000 FCFA. La séance de la veille est restée inchangée (0,00%), marquant une pause après un rallye soutenu. La moyenne du cours sur la période (4 145 FCFA) est supérieure à la médiane (3 885 FCFA), indiquant une distribution légèrement asymétrique avec des extrêmes hauts qui tirent la moyenne vers le haut. L'écart-type de 931 FCFA (CV de 22,5%) témoigne d'une dispersion modérée des prix. Le kurtosis de -1,814 (platykurtique) révèle une distribution aplatie, avec peu de valeurs extrêmes, tandis que le skewness de 0,143 confirme une symétrie quasi parfaite. La volatilité annualisée de 46,4% est très élevée, classant ce titre comme risqué, avec des fluctuations de prix importantes sur l'année.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(5 000 FCFA) est inférieur à la MM20 (5 205 FCFA) mais supérieur à la MM50 (5 029 FCFA). Cette configuration indique une correction à court terme dans une tendance haussière de fond. La décision d'achat signalée par les MM suggère que la tendance de moyen terme reste positive, mais la faiblesse relative par rapport à la MM20 appelle à la prudence.</w:t>
      </w:r>
    </w:p>
    <w:p>
      <w:pPr>
        <w:spacing w:after="120" w:line="276" w:lineRule="auto"/>
      </w:pPr>
      <w:r>
        <w:t>**Bandes de Bollinger** : Le prix se situe à 5 000 FCFA, proche de la borne inférieure (4 905 FCFA) et loin de la borne supérieure (5 504 FCFA). Cette position suggère une pression vendeuse à court terme, mais la décision "Neutre" indique que le titre n'est pas encore en zone de survente extrême. La largeur des bandes reflète la volatilité élevée du titre.</w:t>
      </w:r>
    </w:p>
    <w:p>
      <w:pPr>
        <w:spacing w:after="120" w:line="276" w:lineRule="auto"/>
      </w:pPr>
      <w:r>
        <w:t>**MACD** : La valeur du MACD (21,69) est inférieure à son signal (75,43), générant une décision de vente. Cette divergence baissière indique un affaiblissement du momentum haussier, confirmant la correction en cours. Les investisseurs devraient surveiller un éventuel croisement haussier pour un signal de retournement.</w:t>
      </w:r>
    </w:p>
    <w:p>
      <w:pPr>
        <w:spacing w:after="120" w:line="276" w:lineRule="auto"/>
      </w:pPr>
      <w:r>
        <w:t>**RSI** : À 44,25, le RSI se situe en zone neutre (30-70), indiquant que le titre n'est ni suracheté ni survendu. Cette valeur suggère une stabilisation après la correction, mais sans signal directionnel fort. La décision "Neutre" est cohérente avec cette lecture.</w:t>
      </w:r>
    </w:p>
    <w:p>
      <w:pPr>
        <w:spacing w:after="120" w:line="276" w:lineRule="auto"/>
      </w:pPr>
      <w:r>
        <w:t>**Stochastique** : Le %K et le %D sont tous deux à 19,59, en zone de survente (&lt;20). Cette configuration signale un potentiel rebond technique, justifiant la décision d'achat. Un croisement haussier du %K au-dessus du %D serait un signal de retournement à court terme.</w:t>
      </w:r>
    </w:p>
    <w:p>
      <w:pPr>
        <w:spacing w:after="120" w:line="276" w:lineRule="auto"/>
      </w:pPr>
      <w:r>
        <w:t>**Conclusion technique** : Les indicateurs sont mitigés, avec un MACD baissier et un RSI neutre contrastant avec des MM et un Stochastique acheteurs. La tendance de fond reste haussière, mais une consolidation est en cours. Le titre pourrait rebondir techniquement, mais la prudence est de mise tant que le MACD n'a pas inversé sa tendance.</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résultats solides avec un chiffre d'affaires de 302,320 milliards FCFA, en hausse de 14,8% par rapport à 2024 (263,294 milliards FCFA). Le résultat net s'établit à 13,127 milliards FCFA, en progression de 24,4% (contre 10,526 milliards en 2024), porté par un résultat d'exploitation en hausse de 34,9% à 22,381 milliards FCFA. La rentabilité des fonds propres (ROE) est excellente à 36,5%, bien au-dessus du seuil de 15% considéré comme sain, tandis que le ROA reste faible à 0,65%, reflétant un bilan très lourd (2 018 milliards FCFA). La marge nette s'améliore à 4,34%. Cependant, la structure financière est fragile : l'autonomie financière n'est que de 1,78% (capitaux propres de 35,962 milliards pour un total bilan de 2 018 milliards), et le ratio d'endettement atteint 612,9%. Le BFR est négatif à -90,244 milliards, un point positif pour la trésorerie, mais le délai client de 164 jours est préoccupant. Le rapport du 1er semestre 2025 (S1) montre un CA de 134,923 milliards (+18,85%) et un résultat net de 5,096 milliards (+13,4%), confirmant la dynamique. Sur cette base, on estime que l'exercice 2026 pourrait voir un CA dépasser 320 milliards et un résultat net autour de 14 milliards, si la croissance se maintient. La politique de dividende est généreuse (234 FCFA/action, soit un payout de 99,8%), mais elle limite l'autofinancement. Les risques incluent la dépendance réglementaire et le risque de crédit client.</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contrastés. La valorisation (Partie 0) est exigeante avec un PER de 21,3x et un P/B de 7,79x, indiquant une possible surévaluation. Le comportement du cours (Partie 1) montre une forte appréciation (+48%) mais avec une volatilité très élevée (46,4%), signalant un risque important. Les signaux techniques (Partie 2) sont mitigés, avec une correction en cours mais des indicateurs de rebond potentiel (Stochastique en survente). Les fondamentaux (Partie 3) sont solides avec une croissance du CA et du résultat net, un ROE excellent, mais une structure financière fragile. Les prédictions IA (J+1 à J+10) anticipent une baisse significative du cours, passant de 4 625 à 3 541 FCFA, contredisant les signaux techniques de rebond et suggérant une correction profonde. Cette convergence entre la valorisation élevée, la volatilité et les prédictions baissières conduit à une recommandation de **VENTE**. Le niveau de confiance est **Moyen**, le risque global est **Élevé**, et l'horizon d'investissement optimal serait le **court terme (&lt;3 mois)** pour éviter une dépréciation potentielle du capital.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886.31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3,378 titres</w:t>
            </w:r>
          </w:p>
        </w:tc>
        <w:tc>
          <w:tcPr>
            <w:tcW w:type="dxa" w:w="2268"/>
            <w:shd w:fill="FFF2CC" w:val="clear"/>
          </w:tcPr>
          <w:p>
            <w:r>
              <w:rPr>
                <w:b/>
                <w:color w:val="503200"/>
                <w:sz w:val="16"/>
              </w:rPr>
              <w:t xml:space="preserve">Cours actuel : </w:t>
            </w:r>
            <w:r>
              <w:rPr>
                <w:color w:val="000000"/>
                <w:sz w:val="17"/>
              </w:rPr>
              <w:t>16,100 FCFA</w:t>
            </w:r>
          </w:p>
          <w:p>
            <w:r>
              <w:rPr>
                <w:b/>
                <w:color w:val="503200"/>
                <w:sz w:val="16"/>
              </w:rPr>
              <w:t xml:space="preserve">Var. 100 jours : </w:t>
            </w:r>
            <w:r>
              <w:rPr>
                <w:b/>
                <w:color w:val="B40000"/>
                <w:sz w:val="17"/>
              </w:rPr>
              <w:t>-2.28%</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μ=16,344 FCFA, σ=347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β=0.2648 (Défensif) — Cov=0.000010, Var(idx)=0.000036, ρ=0.093,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728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15,633</w:t>
            </w:r>
          </w:p>
        </w:tc>
        <w:tc>
          <w:tcPr>
            <w:tcW w:type="dxa" w:w="1440"/>
            <w:shd w:fill="FAFAFA" w:val="clear"/>
          </w:tcPr>
          <w:p>
            <w:r>
              <w:rPr>
                <w:b/>
                <w:sz w:val="17"/>
              </w:rPr>
              <w:t>16,136</w:t>
            </w:r>
          </w:p>
        </w:tc>
        <w:tc>
          <w:tcPr>
            <w:tcW w:type="dxa" w:w="1440"/>
            <w:shd w:fill="FAFAFA" w:val="clear"/>
          </w:tcPr>
          <w:p>
            <w:r>
              <w:rPr>
                <w:sz w:val="17"/>
              </w:rPr>
              <w:t>16,640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15,407</w:t>
            </w:r>
          </w:p>
        </w:tc>
        <w:tc>
          <w:tcPr>
            <w:tcW w:type="dxa" w:w="1440"/>
            <w:shd w:fill="FAFAFA" w:val="clear"/>
          </w:tcPr>
          <w:p>
            <w:r>
              <w:rPr>
                <w:b/>
                <w:sz w:val="17"/>
              </w:rPr>
              <w:t>16,119</w:t>
            </w:r>
          </w:p>
        </w:tc>
        <w:tc>
          <w:tcPr>
            <w:tcW w:type="dxa" w:w="1440"/>
            <w:shd w:fill="FAFAFA" w:val="clear"/>
          </w:tcPr>
          <w:p>
            <w:r>
              <w:rPr>
                <w:sz w:val="17"/>
              </w:rPr>
              <w:t>16,830</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15,235</w:t>
            </w:r>
          </w:p>
        </w:tc>
        <w:tc>
          <w:tcPr>
            <w:tcW w:type="dxa" w:w="1440"/>
            <w:shd w:fill="FAFAFA" w:val="clear"/>
          </w:tcPr>
          <w:p>
            <w:r>
              <w:rPr>
                <w:b/>
                <w:sz w:val="17"/>
              </w:rPr>
              <w:t>16,106</w:t>
            </w:r>
          </w:p>
        </w:tc>
        <w:tc>
          <w:tcPr>
            <w:tcW w:type="dxa" w:w="1440"/>
            <w:shd w:fill="FAFAFA" w:val="clear"/>
          </w:tcPr>
          <w:p>
            <w:r>
              <w:rPr>
                <w:sz w:val="17"/>
              </w:rPr>
              <w:t>16,977</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2026-08-10</w:t>
            </w:r>
          </w:p>
        </w:tc>
        <w:tc>
          <w:tcPr>
            <w:tcW w:type="dxa" w:w="1440"/>
            <w:shd w:fill="FAFAFA" w:val="clear"/>
          </w:tcPr>
          <w:p>
            <w:r>
              <w:rPr>
                <w:sz w:val="17"/>
              </w:rPr>
              <w:t>15,089</w:t>
            </w:r>
          </w:p>
        </w:tc>
        <w:tc>
          <w:tcPr>
            <w:tcW w:type="dxa" w:w="1440"/>
            <w:shd w:fill="FAFAFA" w:val="clear"/>
          </w:tcPr>
          <w:p>
            <w:r>
              <w:rPr>
                <w:b/>
                <w:sz w:val="17"/>
              </w:rPr>
              <w:t>16,094</w:t>
            </w:r>
          </w:p>
        </w:tc>
        <w:tc>
          <w:tcPr>
            <w:tcW w:type="dxa" w:w="1440"/>
            <w:shd w:fill="FAFAFA" w:val="clear"/>
          </w:tcPr>
          <w:p>
            <w:r>
              <w:rPr>
                <w:sz w:val="17"/>
              </w:rPr>
              <w:t>17,099</w:t>
            </w:r>
          </w:p>
        </w:tc>
        <w:tc>
          <w:tcPr>
            <w:tcW w:type="dxa" w:w="1440"/>
            <w:shd w:fill="FAFAFA" w:val="clear"/>
          </w:tcPr>
          <w:p>
            <w:r>
              <w:rPr>
                <w:b/>
                <w:color w:val="C00000"/>
                <w:sz w:val="17"/>
              </w:rPr>
              <w:t>-0.0%</w:t>
            </w:r>
          </w:p>
        </w:tc>
      </w:tr>
      <w:tr>
        <w:tc>
          <w:tcPr>
            <w:tcW w:type="dxa" w:w="1440"/>
            <w:shd w:fill="FAFAFA" w:val="clear"/>
          </w:tcPr>
          <w:p>
            <w:r>
              <w:rPr>
                <w:sz w:val="17"/>
              </w:rPr>
              <w:t>J+5  Moyenne</w:t>
            </w:r>
          </w:p>
        </w:tc>
        <w:tc>
          <w:tcPr>
            <w:tcW w:type="dxa" w:w="1440"/>
            <w:shd w:fill="FAFAFA" w:val="clear"/>
          </w:tcPr>
          <w:p>
            <w:r>
              <w:rPr>
                <w:sz w:val="17"/>
              </w:rPr>
              <w:t>2026-08-11</w:t>
            </w:r>
          </w:p>
        </w:tc>
        <w:tc>
          <w:tcPr>
            <w:tcW w:type="dxa" w:w="1440"/>
            <w:shd w:fill="FAFAFA" w:val="clear"/>
          </w:tcPr>
          <w:p>
            <w:r>
              <w:rPr>
                <w:sz w:val="17"/>
              </w:rPr>
              <w:t>14,959</w:t>
            </w:r>
          </w:p>
        </w:tc>
        <w:tc>
          <w:tcPr>
            <w:tcW w:type="dxa" w:w="1440"/>
            <w:shd w:fill="FAFAFA" w:val="clear"/>
          </w:tcPr>
          <w:p>
            <w:r>
              <w:rPr>
                <w:b/>
                <w:sz w:val="17"/>
              </w:rPr>
              <w:t>16,082</w:t>
            </w:r>
          </w:p>
        </w:tc>
        <w:tc>
          <w:tcPr>
            <w:tcW w:type="dxa" w:w="1440"/>
            <w:shd w:fill="FAFAFA" w:val="clear"/>
          </w:tcPr>
          <w:p>
            <w:r>
              <w:rPr>
                <w:sz w:val="17"/>
              </w:rPr>
              <w:t>17,204</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2026-08-12</w:t>
            </w:r>
          </w:p>
        </w:tc>
        <w:tc>
          <w:tcPr>
            <w:tcW w:type="dxa" w:w="1440"/>
            <w:shd w:fill="FAFAFA" w:val="clear"/>
          </w:tcPr>
          <w:p>
            <w:r>
              <w:rPr>
                <w:sz w:val="17"/>
              </w:rPr>
              <w:t>14,840</w:t>
            </w:r>
          </w:p>
        </w:tc>
        <w:tc>
          <w:tcPr>
            <w:tcW w:type="dxa" w:w="1440"/>
            <w:shd w:fill="FAFAFA" w:val="clear"/>
          </w:tcPr>
          <w:p>
            <w:r>
              <w:rPr>
                <w:b/>
                <w:sz w:val="17"/>
              </w:rPr>
              <w:t>16,069</w:t>
            </w:r>
          </w:p>
        </w:tc>
        <w:tc>
          <w:tcPr>
            <w:tcW w:type="dxa" w:w="1440"/>
            <w:shd w:fill="FAFAFA" w:val="clear"/>
          </w:tcPr>
          <w:p>
            <w:r>
              <w:rPr>
                <w:sz w:val="17"/>
              </w:rPr>
              <w:t>17,298</w:t>
            </w:r>
          </w:p>
        </w:tc>
        <w:tc>
          <w:tcPr>
            <w:tcW w:type="dxa" w:w="1440"/>
            <w:shd w:fill="FAFAFA" w:val="clear"/>
          </w:tcPr>
          <w:p>
            <w:r>
              <w:rPr>
                <w:b/>
                <w:color w:val="C00000"/>
                <w:sz w:val="17"/>
              </w:rPr>
              <w:t>-0.2%</w:t>
            </w:r>
          </w:p>
        </w:tc>
      </w:tr>
      <w:tr>
        <w:tc>
          <w:tcPr>
            <w:tcW w:type="dxa" w:w="1440"/>
            <w:shd w:fill="FAFAFA" w:val="clear"/>
          </w:tcPr>
          <w:p>
            <w:r>
              <w:rPr>
                <w:sz w:val="17"/>
              </w:rPr>
              <w:t>J+7  Moyenne</w:t>
            </w:r>
          </w:p>
        </w:tc>
        <w:tc>
          <w:tcPr>
            <w:tcW w:type="dxa" w:w="1440"/>
            <w:shd w:fill="FAFAFA" w:val="clear"/>
          </w:tcPr>
          <w:p>
            <w:r>
              <w:rPr>
                <w:sz w:val="17"/>
              </w:rPr>
              <w:t>2026-08-13</w:t>
            </w:r>
          </w:p>
        </w:tc>
        <w:tc>
          <w:tcPr>
            <w:tcW w:type="dxa" w:w="1440"/>
            <w:shd w:fill="FAFAFA" w:val="clear"/>
          </w:tcPr>
          <w:p>
            <w:r>
              <w:rPr>
                <w:sz w:val="17"/>
              </w:rPr>
              <w:t>14,731</w:t>
            </w:r>
          </w:p>
        </w:tc>
        <w:tc>
          <w:tcPr>
            <w:tcW w:type="dxa" w:w="1440"/>
            <w:shd w:fill="FAFAFA" w:val="clear"/>
          </w:tcPr>
          <w:p>
            <w:r>
              <w:rPr>
                <w:b/>
                <w:sz w:val="17"/>
              </w:rPr>
              <w:t>16,057</w:t>
            </w:r>
          </w:p>
        </w:tc>
        <w:tc>
          <w:tcPr>
            <w:tcW w:type="dxa" w:w="1440"/>
            <w:shd w:fill="FAFAFA" w:val="clear"/>
          </w:tcPr>
          <w:p>
            <w:r>
              <w:rPr>
                <w:sz w:val="17"/>
              </w:rPr>
              <w:t>17,384</w:t>
            </w:r>
          </w:p>
        </w:tc>
        <w:tc>
          <w:tcPr>
            <w:tcW w:type="dxa" w:w="1440"/>
            <w:shd w:fill="FAFAFA" w:val="clear"/>
          </w:tcPr>
          <w:p>
            <w:r>
              <w:rPr>
                <w:b/>
                <w:color w:val="C00000"/>
                <w:sz w:val="17"/>
              </w:rPr>
              <w:t>-0.3%</w:t>
            </w:r>
          </w:p>
        </w:tc>
      </w:tr>
      <w:tr>
        <w:tc>
          <w:tcPr>
            <w:tcW w:type="dxa" w:w="1440"/>
            <w:shd w:fill="FAFAFA" w:val="clear"/>
          </w:tcPr>
          <w:p>
            <w:r>
              <w:rPr>
                <w:sz w:val="17"/>
              </w:rPr>
              <w:t>J+8  Moyenne</w:t>
            </w:r>
          </w:p>
        </w:tc>
        <w:tc>
          <w:tcPr>
            <w:tcW w:type="dxa" w:w="1440"/>
            <w:shd w:fill="FAFAFA" w:val="clear"/>
          </w:tcPr>
          <w:p>
            <w:r>
              <w:rPr>
                <w:sz w:val="17"/>
              </w:rPr>
              <w:t>2026-08-14</w:t>
            </w:r>
          </w:p>
        </w:tc>
        <w:tc>
          <w:tcPr>
            <w:tcW w:type="dxa" w:w="1440"/>
            <w:shd w:fill="FAFAFA" w:val="clear"/>
          </w:tcPr>
          <w:p>
            <w:r>
              <w:rPr>
                <w:sz w:val="17"/>
              </w:rPr>
              <w:t>14,628</w:t>
            </w:r>
          </w:p>
        </w:tc>
        <w:tc>
          <w:tcPr>
            <w:tcW w:type="dxa" w:w="1440"/>
            <w:shd w:fill="FAFAFA" w:val="clear"/>
          </w:tcPr>
          <w:p>
            <w:r>
              <w:rPr>
                <w:b/>
                <w:sz w:val="17"/>
              </w:rPr>
              <w:t>16,045</w:t>
            </w:r>
          </w:p>
        </w:tc>
        <w:tc>
          <w:tcPr>
            <w:tcW w:type="dxa" w:w="1440"/>
            <w:shd w:fill="FAFAFA" w:val="clear"/>
          </w:tcPr>
          <w:p>
            <w:r>
              <w:rPr>
                <w:sz w:val="17"/>
              </w:rPr>
              <w:t>17,462</w:t>
            </w:r>
          </w:p>
        </w:tc>
        <w:tc>
          <w:tcPr>
            <w:tcW w:type="dxa" w:w="1440"/>
            <w:shd w:fill="FAFAFA" w:val="clear"/>
          </w:tcPr>
          <w:p>
            <w:r>
              <w:rPr>
                <w:b/>
                <w:color w:val="C00000"/>
                <w:sz w:val="17"/>
              </w:rPr>
              <w:t>-0.3%</w:t>
            </w:r>
          </w:p>
        </w:tc>
      </w:tr>
      <w:tr>
        <w:tc>
          <w:tcPr>
            <w:tcW w:type="dxa" w:w="1440"/>
            <w:shd w:fill="FAFAFA" w:val="clear"/>
          </w:tcPr>
          <w:p>
            <w:r>
              <w:rPr>
                <w:sz w:val="17"/>
              </w:rPr>
              <w:t>J+9  Moyenne</w:t>
            </w:r>
          </w:p>
        </w:tc>
        <w:tc>
          <w:tcPr>
            <w:tcW w:type="dxa" w:w="1440"/>
            <w:shd w:fill="FAFAFA" w:val="clear"/>
          </w:tcPr>
          <w:p>
            <w:r>
              <w:rPr>
                <w:sz w:val="17"/>
              </w:rPr>
              <w:t>2026-08-17</w:t>
            </w:r>
          </w:p>
        </w:tc>
        <w:tc>
          <w:tcPr>
            <w:tcW w:type="dxa" w:w="1440"/>
            <w:shd w:fill="FAFAFA" w:val="clear"/>
          </w:tcPr>
          <w:p>
            <w:r>
              <w:rPr>
                <w:sz w:val="17"/>
              </w:rPr>
              <w:t>14,531</w:t>
            </w:r>
          </w:p>
        </w:tc>
        <w:tc>
          <w:tcPr>
            <w:tcW w:type="dxa" w:w="1440"/>
            <w:shd w:fill="FAFAFA" w:val="clear"/>
          </w:tcPr>
          <w:p>
            <w:r>
              <w:rPr>
                <w:b/>
                <w:sz w:val="17"/>
              </w:rPr>
              <w:t>16,033</w:t>
            </w:r>
          </w:p>
        </w:tc>
        <w:tc>
          <w:tcPr>
            <w:tcW w:type="dxa" w:w="1440"/>
            <w:shd w:fill="FAFAFA" w:val="clear"/>
          </w:tcPr>
          <w:p>
            <w:r>
              <w:rPr>
                <w:sz w:val="17"/>
              </w:rPr>
              <w:t>17,535</w:t>
            </w:r>
          </w:p>
        </w:tc>
        <w:tc>
          <w:tcPr>
            <w:tcW w:type="dxa" w:w="1440"/>
            <w:shd w:fill="FAFAFA" w:val="clear"/>
          </w:tcPr>
          <w:p>
            <w:r>
              <w:rPr>
                <w:b/>
                <w:color w:val="C00000"/>
                <w:sz w:val="17"/>
              </w:rPr>
              <w:t>-0.4%</w:t>
            </w:r>
          </w:p>
        </w:tc>
      </w:tr>
      <w:tr>
        <w:tc>
          <w:tcPr>
            <w:tcW w:type="dxa" w:w="1440"/>
            <w:shd w:fill="FAFAFA" w:val="clear"/>
          </w:tcPr>
          <w:p>
            <w:r>
              <w:rPr>
                <w:sz w:val="17"/>
              </w:rPr>
              <w:t>J+10  Moyenne</w:t>
            </w:r>
          </w:p>
        </w:tc>
        <w:tc>
          <w:tcPr>
            <w:tcW w:type="dxa" w:w="1440"/>
            <w:shd w:fill="FAFAFA" w:val="clear"/>
          </w:tcPr>
          <w:p>
            <w:r>
              <w:rPr>
                <w:sz w:val="17"/>
              </w:rPr>
              <w:t>2026-08-18</w:t>
            </w:r>
          </w:p>
        </w:tc>
        <w:tc>
          <w:tcPr>
            <w:tcW w:type="dxa" w:w="1440"/>
            <w:shd w:fill="FAFAFA" w:val="clear"/>
          </w:tcPr>
          <w:p>
            <w:r>
              <w:rPr>
                <w:sz w:val="17"/>
              </w:rPr>
              <w:t>14,439</w:t>
            </w:r>
          </w:p>
        </w:tc>
        <w:tc>
          <w:tcPr>
            <w:tcW w:type="dxa" w:w="1440"/>
            <w:shd w:fill="FAFAFA" w:val="clear"/>
          </w:tcPr>
          <w:p>
            <w:r>
              <w:rPr>
                <w:b/>
                <w:sz w:val="17"/>
              </w:rPr>
              <w:t>16,021</w:t>
            </w:r>
          </w:p>
        </w:tc>
        <w:tc>
          <w:tcPr>
            <w:tcW w:type="dxa" w:w="1440"/>
            <w:shd w:fill="FAFAFA" w:val="clear"/>
          </w:tcPr>
          <w:p>
            <w:r>
              <w:rPr>
                <w:sz w:val="17"/>
              </w:rPr>
              <w:t>17,603</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de l'analyse : 04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886,31 milliards FCFA, ce qui en fait l'une des valeurs les plus significatives de la cote de la BRVM, reflétant son statut de leader bancaire dans la zone UEMOA. Avec un BPA de 1 153 FCFA, chaque action génère un bénéfice substantiel, justifiant un PER de 14,0x. Ce ratio, bien que supérieur à la moyenne historique de la BRVM (8-12x), reste modéré et témoigne d'une valorisation raisonnable pour un établissement de cette qualité. Cependant, le P/B de 4,06x indique que le marché applique une prime significative par rapport à la valeur comptable des actifs, signe d'une confiance élevée dans la rentabilité future de la banque. Enfin, l'EV/EBITDA de 13,7x, situé dans la fourchette haute, confirme une valorisation qui intègre déjà des perspectives de croissance solides, mais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 enregistré une variation totale de -2,28%, avec une dernière séance en baisse de -0,80% à 16 100 FCFA. Le cours a évolué dans un range de trading de 1 750 FCFA, oscillant entre un plus haut de 17 270 FCFA et un plus bas de 15 520 FCFA, ce qui dénote une amplitude de mouvement notable. La tendance générale est légèrement baissière, le cours se situant sous sa moyenne simple (16 344 FCFA) et sa médiane (16 300 FCFA), ces deux valeurs étant très proches, ce qui indique une distribution des prix relativement symétrique, confirmée par un skewness de 0,059. L'écart-type de 348 FCFA, avec un coefficient de variation de 2,1%, révèle une dispersion très faible des prix autour de la moyenne, suggérant une stabilité relative. Le kurtosis de 0,251 (mésokurtique) indique une distribution proche de la normale, sans risque de variations extrêmes. Enfin, la volatilité annualisée de 27,1% classe le titre dans la catégorie "modérée" (15-30%), ce qui est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La MM20 (16 234 FCFA) et la MM50 (16 444,5 FCFA) sont toutes deux supérieures au cours actuel de 16 100 FCFA. La configuration baissière (cours &lt; MM20 &lt; MM50) confirme une tendance de fond négative à court et moyen terme. Le signal de "Vente" est cohérent avec cette structure, indiquant que les acheteurs ne sont pas actuellement en contrôle du marché.</w:t>
      </w:r>
    </w:p>
    <w:p>
      <w:pPr>
        <w:spacing w:after="120" w:line="276" w:lineRule="auto"/>
      </w:pPr>
      <w:r>
        <w:t>**Bandes de Bollinger** : Le prix évolue dans la partie inférieure du canal, entre la borne inférieure (15 483,13 FCFA) et la moyenne mobile, à distance de la borne supérieure (16 984,87 FCFA). La largeur des bandes suggère une volatilité modérée. La position du cours, au-dessus de la borne inférieure, indique un marché neutre, sans condition de survente extrême, mais avec une pression vendeuse persistante.</w:t>
      </w:r>
    </w:p>
    <w:p>
      <w:pPr>
        <w:spacing w:after="120" w:line="276" w:lineRule="auto"/>
      </w:pPr>
      <w:r>
        <w:t>**MACD** : Le MACD (-96,805) est négatif mais se situe au-dessus de sa ligne de signal (-117,075). Cette configuration, bien que le momentum reste négatif, montre un ralentissement de la dynamique baissière. Le signal d' "Achat" émis par l'indicateur est un signe précoce de possible retournement, mais il doit être confirmé par une remontée du MACD au-dessus de zéro.</w:t>
      </w:r>
    </w:p>
    <w:p>
      <w:pPr>
        <w:spacing w:after="120" w:line="276" w:lineRule="auto"/>
      </w:pPr>
      <w:r>
        <w:t>**RSI** : Le RSI s'établit à 41,234, dans la zone neutre (30-70). Ce niveau indique que le titre n'est ni suracheté ni survendu. Il y a une légère pression vendeuse, mais l'absence d'extrême suggère que le potentiel de baisse pourrait être limité à court terme. La décision "Neutre" est appropriée.</w:t>
      </w:r>
    </w:p>
    <w:p>
      <w:pPr>
        <w:spacing w:after="120" w:line="276" w:lineRule="auto"/>
      </w:pPr>
      <w:r>
        <w:t>**Stochastique** : Le %K (72,642) est supérieur à %D (68,02), indiquant un momentum haussier à très court terme après une période de consolidation. Cependant, les deux lignes évoluent dans la zone supérieure, ce qui pourrait signaler une proximité de conditions de surachat. La décision "Neutre" est justifiée, car le croisement haussier n'est pas encore assez fort pour inverser la tendance de fond.</w:t>
      </w:r>
    </w:p>
    <w:p>
      <w:pPr>
        <w:spacing w:after="120" w:line="276" w:lineRule="auto"/>
      </w:pPr>
      <w:r>
        <w:t>**Conclusion technique** : La tendance de fond reste baissière, dominée par les moyennes mobiles. Cependant, les indicateurs de momentum (MACD, Stochastique) montrent des signes de stabilisation et de possible rebond technique. Le RSI neutre et la position dans les bandes de Bollinger suggèrent une phase de consolidation. Le signal global est donc mitigé, avec un biais baissier à moyen terme mais un potentiel de rebond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d'ECOC confirment sa position de banque systémique et très rentable. Le Produit Net Bancaire (PNB) s'établit à 132,725 milliards FCFA, en croissance de 8,5%, générant un résultat net de 63,482 milliards FCFA. Cette performance exceptionnelle se traduit par un ROE de 29,04% et un ROA de 3,09%, des niveaux excellents qui démontrent une utilisation très efficace des capitaux propres et des actifs. Le coefficient d'exploitation de 42,89% est remarquable, indiquant une maîtrise des coûts supérieure à la moyenne du secteur (excellente si &lt;50%). Le coût du risque de 1,36% reste modéré, témoignant d'une bonne qualité du portefeuille de crédits. Les dépôts clientèle (1 626,223 Mds FCFA) dépassent largement les créances sur la clientèle (1 050,803 Mds FCFA), ce qui assure une liquidité abondante et un faible ratio de transformation. Les rapports trimestriels de 2025 confirment cette dynamique : le T3 2025 (publié en 2025) montre un PNB de 96,4 milliards (+11,3%) et un résultat net de 44,4 milliards (+15,4%), avec un ROE de 29,7%. Le rapport annuel 2024 (publié en 2025) indiquait déjà un PNB de 122,3 milliards et un résultat net de 57,5 milliards. Sur la base du rapport T1 2026 (PNB de 30,8 milliards, +3,7%, mais résultat net en léger repli de -1,6% à 13,0 milliards), on estime que l'exercice 2026 pourrait voir une croissance plus modérée, avec un PNB annuel potentiel autour de 135-140 milliards FCFA, mais une pression sur la rentabilité si le coût du risque continue d'augmenter. La banque propose un dividende de 888 FCFA par action pour 2025, confirmant une politique actionnariale généreuse.</w:t>
      </w:r>
    </w:p>
    <w:p>
      <w:pPr>
        <w:spacing w:after="120" w:line="276" w:lineRule="auto"/>
      </w:pPr>
      <w:r>
        <w:t>---</w:t>
      </w:r>
    </w:p>
    <w:p>
      <w:pPr>
        <w:spacing w:after="120" w:line="276" w:lineRule="auto"/>
      </w:pPr>
      <w:r>
        <w:t>### PARTIE 4 : CONCLUSION D'INVESTISSEMENT</w:t>
      </w:r>
    </w:p>
    <w:p>
      <w:pPr>
        <w:spacing w:after="120" w:line="276" w:lineRule="auto"/>
      </w:pPr>
      <w:r>
        <w:t>La valorisation d'ECOC (PER 14x, P/B 4,06x) est exigeante mais justifiée par une rentabilité hors norme (ROE &gt;29%), ce qui la situe dans une zone de "surévaluation relative" mais de "qualité supérieure". Le comportement du cours sur 100 jours (-2,28%) montre une consolidation baissière, avec une volatilité modérée et une distribution des prix stable, ce qui est sain. Les signaux techniques sont mitigés : la tendance de fond est baissière (MM), mais les indicateurs de momentum (MACD, Stochastique) suggèrent un possible rebond à court terme, tandis que le RSI reste neutre. Les fondamentaux sont excellents, avec une croissance soutenue du PNB et du résultat net, une efficacité opérationnelle remarquable et une politique de dividende attractive. Les prédictions IA pour les 10 prochains jours (de 16 136 à 16 082 FCFA) indiquent une stabilité avec une légère tendance baissière, confirmant le scénario de consolidation. En synthèse, la convergence entre des fondamentaux solides et une valorisation élevée, couplée à des signaux techniques neutres à baissiers, suggère une position d'attente. **Recommandation finale : CONSERVER**. Le niveau de confiance est **Moyen**, car la qualité de la banque est indéniable, mais le potentiel de hausse du cours semble limité à court terme. Le risque global est **Moyen**, principalement lié à la valorisation et à l'environnement macroéconomique. L'horizon d'investissement optimal est le **moyen terme (3-12 mois)**, en attendant une meilleure point d'entrée ou une confirmation d'un retournement haussier de la tendance.</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1,314,544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+115.62%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37.47% (Élevée) — μ=39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β=2.4824 (Très agressif) — Cov=0.000090, Var(idx)=0.000036, ρ=0.383,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1,314,544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490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490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59</w:t>
            </w:r>
          </w:p>
        </w:tc>
        <w:tc>
          <w:tcPr>
            <w:tcW w:type="dxa" w:w="1440"/>
            <w:shd w:fill="FFDCE0" w:val="clear"/>
          </w:tcPr>
          <w:p>
            <w:r>
              <w:rPr>
                <w:b/>
                <w:sz w:val="17"/>
              </w:rPr>
              <w:t>64</w:t>
            </w:r>
          </w:p>
        </w:tc>
        <w:tc>
          <w:tcPr>
            <w:tcW w:type="dxa" w:w="1440"/>
            <w:shd w:fill="FFDCE0" w:val="clear"/>
          </w:tcPr>
          <w:p>
            <w:r>
              <w:rPr>
                <w:sz w:val="17"/>
              </w:rPr>
              <w:t>69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52</w:t>
            </w:r>
          </w:p>
        </w:tc>
        <w:tc>
          <w:tcPr>
            <w:tcW w:type="dxa" w:w="1440"/>
            <w:shd w:fill="FFDCE0" w:val="clear"/>
          </w:tcPr>
          <w:p>
            <w:r>
              <w:rPr>
                <w:b/>
                <w:sz w:val="17"/>
              </w:rPr>
              <w:t>59</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47</w:t>
            </w:r>
          </w:p>
        </w:tc>
        <w:tc>
          <w:tcPr>
            <w:tcW w:type="dxa" w:w="1440"/>
            <w:shd w:fill="FFDCE0" w:val="clear"/>
          </w:tcPr>
          <w:p>
            <w:r>
              <w:rPr>
                <w:b/>
                <w:sz w:val="17"/>
              </w:rPr>
              <w:t>55</w:t>
            </w:r>
          </w:p>
        </w:tc>
        <w:tc>
          <w:tcPr>
            <w:tcW w:type="dxa" w:w="1440"/>
            <w:shd w:fill="FFDCE0" w:val="clear"/>
          </w:tcPr>
          <w:p>
            <w:r>
              <w:rPr>
                <w:sz w:val="17"/>
              </w:rPr>
              <w:t>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42</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38</w:t>
            </w:r>
          </w:p>
        </w:tc>
        <w:tc>
          <w:tcPr>
            <w:tcW w:type="dxa" w:w="1440"/>
            <w:shd w:fill="FFDCE0" w:val="clear"/>
          </w:tcPr>
          <w:p>
            <w:r>
              <w:rPr>
                <w:b/>
                <w:sz w:val="17"/>
              </w:rPr>
              <w:t>47</w:t>
            </w:r>
          </w:p>
        </w:tc>
        <w:tc>
          <w:tcPr>
            <w:tcW w:type="dxa" w:w="1440"/>
            <w:shd w:fill="FFDCE0" w:val="clear"/>
          </w:tcPr>
          <w:p>
            <w:r>
              <w:rPr>
                <w:sz w:val="17"/>
              </w:rPr>
              <w:t>56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34</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31</w:t>
            </w:r>
          </w:p>
        </w:tc>
        <w:tc>
          <w:tcPr>
            <w:tcW w:type="dxa" w:w="1440"/>
            <w:shd w:fill="FFDCE0" w:val="clear"/>
          </w:tcPr>
          <w:p>
            <w:r>
              <w:rPr>
                <w:b/>
                <w:sz w:val="17"/>
              </w:rPr>
              <w:t>40</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28</w:t>
            </w:r>
          </w:p>
        </w:tc>
        <w:tc>
          <w:tcPr>
            <w:tcW w:type="dxa" w:w="1440"/>
            <w:shd w:fill="FFDCE0" w:val="clear"/>
          </w:tcPr>
          <w:p>
            <w:r>
              <w:rPr>
                <w:b/>
                <w:sz w:val="17"/>
              </w:rPr>
              <w:t>37</w:t>
            </w:r>
          </w:p>
        </w:tc>
        <w:tc>
          <w:tcPr>
            <w:tcW w:type="dxa" w:w="1440"/>
            <w:shd w:fill="FFDCE0" w:val="clear"/>
          </w:tcPr>
          <w:p>
            <w:r>
              <w:rPr>
                <w:sz w:val="17"/>
              </w:rPr>
              <w:t>46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23</w:t>
            </w:r>
          </w:p>
        </w:tc>
        <w:tc>
          <w:tcPr>
            <w:tcW w:type="dxa" w:w="1440"/>
            <w:shd w:fill="FFDCE0" w:val="clear"/>
          </w:tcPr>
          <w:p>
            <w:r>
              <w:rPr>
                <w:b/>
                <w:sz w:val="17"/>
              </w:rPr>
              <w:t>32</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1 247,80 milliards FCFA, un niveau qui la positionne parmi les poids lourds de la BRVM, reflétant l'importance systémique du groupe Ecobank dans la zone UEMOA. Avec un BPA de 19 FCFA, chaque action génère un bénéfice substantiel, ce qui explique un PER de 3,6x, très inférieur à la moyenne du marché BRVM (8-12x). Ce ratio suggère une nette sous-évaluation du titre par rapport à ses bénéfices. Le P/B de 0,78x confirme cette lecture : le marché valorise la société en dessous de sa valeur comptable, offrant une décote de 22% sur l'actif net. Enfin, un EV/EBITDA de 5,0x est raisonnable et indique que la valeur d'entreprise reste modérée par rapport à sa capacité opérationnelle. L'ensemble de ces ratios plaide en faveur d'une valorisation attractive.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+115,62%, avec une dernière séance en hausse de 4,55% à 69 FCFA. Le cours a évolué dans une fourchette très large, entre un plus bas de 26 FCFA et un plus haut de 78 FCFA, illustrant une volatilité extrême. La moyenne (39 FCFA) est nettement supérieure à la médiane (32 FCFA), et le skewness positif de 1,431 confirme une distribution asymétrique avec des journées majoritairement sous la moyenne, mais ponctuées de fortes hausses. L'écart-type de 15 FCFA (CV=37,7%) et la volatilité annualisée de 61,3% témoignent d'un risque très élevé. Le kurtosis de 0,419 (mésokurtique) indique une distribution proche de la normale, sans risque de pics extrêmes supplémentaires. La tendance générale est fortement haussière, mais la prudence s'impose face à cette surperformance rapide.</w:t>
      </w:r>
    </w:p>
    <w:p>
      <w:pPr>
        <w:spacing w:after="120" w:line="276" w:lineRule="auto" w:before="240"/>
      </w:pPr>
      <w:r>
        <w:rPr>
          <w:b/>
          <w:color w:val="003366"/>
          <w:sz w:val="24"/>
        </w:rPr>
        <w:t>**PARTIE 2 : ANALYSE TECHNIQUE DÉTAILLÉE**</w:t>
      </w:r>
    </w:p>
    <w:p>
      <w:pPr>
        <w:spacing w:after="120" w:line="276" w:lineRule="auto"/>
      </w:pPr>
      <w:r>
        <w:t>Les **Moyennes Mobiles** (MM20=67,5 et MM50=47,9) sont toutes deux inférieures au cours actuel de 69 FCFA, avec une MM20 au-dessus de la MM50, confirmant une dynamique haussière à court et moyen terme. La décision "Achat" est justifiée par cette configuration positive, bien que le cours soit proche de la MM20, ce qui pourrait signaler un essoufflement à très court terme.</w:t>
      </w:r>
    </w:p>
    <w:p>
      <w:pPr>
        <w:spacing w:after="120" w:line="276" w:lineRule="auto"/>
      </w:pPr>
      <w:r>
        <w:t>Les **Bandes de Bollinger** (borne supérieure à 80,14 et inférieure à 54,86) montrent un cours à 69 FCFA, positionné dans la moitié supérieure de la bande. La décision "Neutre" indique que le titre n'est ni suracheté ni survendu, mais la largeur des bandes reflète une volatilité élevée. Un mouvement vers la borne supérieure pourrait signaler une poursuite de la hausse, tandis qu'un repli vers la moyenne mobile serait un signal de consolidation.</w:t>
      </w:r>
    </w:p>
    <w:p>
      <w:pPr>
        <w:spacing w:after="120" w:line="276" w:lineRule="auto"/>
      </w:pPr>
      <w:r>
        <w:t>Le **MACD** (valeur=5,939, signal=7,404) affiche une divergence négative, le MACD étant passé sous sa ligne de signal. Cette configuration, associée à une décision "Vente", suggère un affaiblissement du momentum haussier. Bien que le MACD reste positif, la croisée baissière indique une possible correction à venir, incitant à la prudence.</w:t>
      </w:r>
    </w:p>
    <w:p>
      <w:pPr>
        <w:spacing w:after="120" w:line="276" w:lineRule="auto"/>
      </w:pPr>
      <w:r>
        <w:t>Le **RSI** à 46,296 se situe en zone neutre (30-70), indiquant un équilibre entre pression acheteuse et vendeuse. La décision "Neutre" est cohérente avec cette valeur, qui ne montre ni surachat ni survente. Le RSI laisse une marge de manœuvre dans les deux sens, mais ne fournit pas de signal directionnel fort.</w:t>
      </w:r>
    </w:p>
    <w:p>
      <w:pPr>
        <w:spacing w:after="120" w:line="276" w:lineRule="auto"/>
      </w:pPr>
      <w:r>
        <w:t>Le **Stochastique** (%K=40,0, %D=31,111) montre une configuration où %K est au-dessus de %D, suggérant un début de reprise haussière après une phase de correction. La décision "Neutre" reflète toutefois une absence de croisement décisif. Les niveaux modérés indiquent que le titre n'est pas suracheté, laissant place à un potentiel de hausse.</w:t>
      </w:r>
    </w:p>
    <w:p>
      <w:pPr>
        <w:spacing w:after="120" w:line="276" w:lineRule="auto"/>
      </w:pPr>
      <w:r>
        <w:t>La **conclusion technique** est mitigée : les moyennes mobiles plaident pour une tendance haussière, mais le MACD signale un affaiblissement du momentum. Les indicateurs de momentum (RSI, Stochastique) sont neutres, tandis que les bandes de Bollinger montrent une volatilité élevée. Cette divergence suggère une phase de consolidation probable avant une reprise ou une correction, justifiant une approche prudente.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révèlent un Produit Net Bancaire (PNB) de 1 424,261 milliards FCFA, en croissance de 12,45%, et un résultat net de 345,523 milliards FCFA. La banque affiche un ROE exceptionnel de 21,62% et un ROA de 1,80%, démontrant une excellente rentabilité des fonds propres et une gestion efficace des actifs. Le coefficient d'exploitation de 27,35% est remarquablement bas, bien en dessous du seuil de 60% considéré comme efficace, témoignant d'une discipline opérationnelle stricte. Le coût du risque de 18,97% reste élevé, signalant un portefeuille de crédits sous tension, mais les dépôts clientèle (14 120 milliards FCFA) dépassent largement les créances (6 570 milliards FCFA), assurant une transformation saine. Les rapports trimestriels de 2026 confirment cette dynamique : le T1 2026 (rapport du 30/06/2026) montre un PNB en hausse de 23% à 636,2 millions $EU et un résultat net de 142,5 millions $EU, avec un coefficient d'exploitation amélioré à 49,0%. Sur la base de ces données, on estime que l'exercice 2026 pourrait voir un PNB dépasser 1 600 milliards FCFA et un résultat net supérieur à 400 milliards FCFA, si la tendance se maintient. Le S1 2026 (rapport du 21/07/2026) confirme une croissance de 15% du PNB, mais une hausse de 40% du coût du risque, un point de vigilance. La solidité financière, la croissance soutenue et la rentabilité élevée positionnent ETIT comme un acteur fondamentalement robuste, malgré un risque de crédit à surveiller.</w:t>
      </w:r>
    </w:p>
    <w:p>
      <w:pPr>
        <w:spacing w:after="120" w:line="276" w:lineRule="auto" w:before="240"/>
      </w:pPr>
      <w:r>
        <w:rPr>
          <w:b/>
          <w:color w:val="003366"/>
          <w:sz w:val="24"/>
        </w:rPr>
        <w:t>**PARTIE 4 : CONCLUSION D'INVESTISSEMENT**</w:t>
      </w:r>
    </w:p>
    <w:p>
      <w:pPr>
        <w:spacing w:after="120" w:line="276" w:lineRule="auto"/>
      </w:pPr>
      <w:r>
        <w:t>La valorisation d'ETIT est clairement attractive (PER 3,6x, P/B 0,78x, EV/EBITDA 5,0x), indiquant une sous-évaluation par rapport aux fondamentaux. Le comportement du cours, avec une hausse de 115% en 100 jours, reflète une dynamique positive mais une volatilité élevée (61,3%) qui appelle à la vigilance. Les signaux techniques sont divergents : les moyennes mobiles sont haussières, mais le MACD suggère un essoufflement, et les indicateurs de momentum sont neutres. Les fondamentaux sont solides, avec un ROE de 21,6%, un coefficient d'exploitation de 27,3% et une croissance du PNB de 12,5% en 2025, renforcée par des estimations 2026 prometteuses. Les prédictions IA (J+1 à J+10) prévoient une baisse progressive de 64 à 47 FCFA, contredisant la tendance haussière récente et suggérant une correction technique. Cette divergence entre la valorisation et les prédictions à court terme justifie une recommandation **CONSERVER**, avec un niveau de confiance **Moyen** et un risque global **Élevé**. L'horizon d'investissement optimal est le **moyen terme (3-12 mois)**, en attendant une stabilisation du cours et une confirmation de la maîtrise du coût du risque.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3,696 titres</w:t>
            </w:r>
          </w:p>
        </w:tc>
        <w:tc>
          <w:tcPr>
            <w:tcW w:type="dxa" w:w="2268"/>
            <w:shd w:fill="FFF2CC" w:val="clear"/>
          </w:tcPr>
          <w:p>
            <w:r>
              <w:rPr>
                <w:b/>
                <w:color w:val="503200"/>
                <w:sz w:val="16"/>
              </w:rPr>
              <w:t xml:space="preserve">Cours actuel : </w:t>
            </w:r>
            <w:r>
              <w:rPr>
                <w:color w:val="000000"/>
                <w:sz w:val="17"/>
              </w:rPr>
              <w:t>1,910 FCFA</w:t>
            </w:r>
          </w:p>
          <w:p>
            <w:r>
              <w:rPr>
                <w:b/>
                <w:color w:val="503200"/>
                <w:sz w:val="16"/>
              </w:rPr>
              <w:t xml:space="preserve">Var. 100 jours : </w:t>
            </w:r>
            <w:r>
              <w:rPr>
                <w:b/>
                <w:color w:val="B40000"/>
                <w:sz w:val="17"/>
              </w:rPr>
              <w:t>-22.52%</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7.12% (Moyenne) — μ=2,193 FCFA, σ=156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β=0.8398 (Neutre (suit le marché)) — Cov=0.000030, Var(idx)=0.000036, ρ=0.229,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0547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1,870</w:t>
            </w:r>
          </w:p>
        </w:tc>
        <w:tc>
          <w:tcPr>
            <w:tcW w:type="dxa" w:w="1440"/>
            <w:shd w:fill="FAFAFA" w:val="clear"/>
          </w:tcPr>
          <w:p>
            <w:r>
              <w:rPr>
                <w:b/>
                <w:sz w:val="17"/>
              </w:rPr>
              <w:t>1,926</w:t>
            </w:r>
          </w:p>
        </w:tc>
        <w:tc>
          <w:tcPr>
            <w:tcW w:type="dxa" w:w="1440"/>
            <w:shd w:fill="FAFAFA" w:val="clear"/>
          </w:tcPr>
          <w:p>
            <w:r>
              <w:rPr>
                <w:sz w:val="17"/>
              </w:rPr>
              <w:t>1,982</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1,854</w:t>
            </w:r>
          </w:p>
        </w:tc>
        <w:tc>
          <w:tcPr>
            <w:tcW w:type="dxa" w:w="1440"/>
            <w:shd w:fill="FAFAFA" w:val="clear"/>
          </w:tcPr>
          <w:p>
            <w:r>
              <w:rPr>
                <w:b/>
                <w:sz w:val="17"/>
              </w:rPr>
              <w:t>1,934</w:t>
            </w:r>
          </w:p>
        </w:tc>
        <w:tc>
          <w:tcPr>
            <w:tcW w:type="dxa" w:w="1440"/>
            <w:shd w:fill="FAFAFA" w:val="clear"/>
          </w:tcPr>
          <w:p>
            <w:r>
              <w:rPr>
                <w:sz w:val="17"/>
              </w:rPr>
              <w:t>2,013</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1,845</w:t>
            </w:r>
          </w:p>
        </w:tc>
        <w:tc>
          <w:tcPr>
            <w:tcW w:type="dxa" w:w="1440"/>
            <w:shd w:fill="FAFAFA" w:val="clear"/>
          </w:tcPr>
          <w:p>
            <w:r>
              <w:rPr>
                <w:b/>
                <w:sz w:val="17"/>
              </w:rPr>
              <w:t>1,943</w:t>
            </w:r>
          </w:p>
        </w:tc>
        <w:tc>
          <w:tcPr>
            <w:tcW w:type="dxa" w:w="1440"/>
            <w:shd w:fill="FAFAFA" w:val="clear"/>
          </w:tcPr>
          <w:p>
            <w:r>
              <w:rPr>
                <w:sz w:val="17"/>
              </w:rPr>
              <w:t>2,041</w:t>
            </w:r>
          </w:p>
        </w:tc>
        <w:tc>
          <w:tcPr>
            <w:tcW w:type="dxa" w:w="1440"/>
            <w:shd w:fill="FAFAFA" w:val="clear"/>
          </w:tcPr>
          <w:p>
            <w:r>
              <w:rPr>
                <w:b/>
                <w:color w:val="008000"/>
                <w:sz w:val="17"/>
              </w:rPr>
              <w:t>+1.7%</w:t>
            </w:r>
          </w:p>
        </w:tc>
      </w:tr>
      <w:tr>
        <w:tc>
          <w:tcPr>
            <w:tcW w:type="dxa" w:w="1440"/>
            <w:shd w:fill="C6EFCE" w:val="clear"/>
          </w:tcPr>
          <w:p>
            <w:r>
              <w:rPr>
                <w:sz w:val="17"/>
              </w:rPr>
              <w:t>J+4  Moyenne</w:t>
            </w:r>
          </w:p>
        </w:tc>
        <w:tc>
          <w:tcPr>
            <w:tcW w:type="dxa" w:w="1440"/>
            <w:shd w:fill="C6EFCE" w:val="clear"/>
          </w:tcPr>
          <w:p>
            <w:r>
              <w:rPr>
                <w:sz w:val="17"/>
              </w:rPr>
              <w:t>2026-08-10</w:t>
            </w:r>
          </w:p>
        </w:tc>
        <w:tc>
          <w:tcPr>
            <w:tcW w:type="dxa" w:w="1440"/>
            <w:shd w:fill="C6EFCE" w:val="clear"/>
          </w:tcPr>
          <w:p>
            <w:r>
              <w:rPr>
                <w:sz w:val="17"/>
              </w:rPr>
              <w:t>1,839</w:t>
            </w:r>
          </w:p>
        </w:tc>
        <w:tc>
          <w:tcPr>
            <w:tcW w:type="dxa" w:w="1440"/>
            <w:shd w:fill="C6EFCE" w:val="clear"/>
          </w:tcPr>
          <w:p>
            <w:r>
              <w:rPr>
                <w:b/>
                <w:sz w:val="17"/>
              </w:rPr>
              <w:t>1,952</w:t>
            </w:r>
          </w:p>
        </w:tc>
        <w:tc>
          <w:tcPr>
            <w:tcW w:type="dxa" w:w="1440"/>
            <w:shd w:fill="C6EFCE" w:val="clear"/>
          </w:tcPr>
          <w:p>
            <w:r>
              <w:rPr>
                <w:sz w:val="17"/>
              </w:rPr>
              <w:t>2,066</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2026-08-11</w:t>
            </w:r>
          </w:p>
        </w:tc>
        <w:tc>
          <w:tcPr>
            <w:tcW w:type="dxa" w:w="1440"/>
            <w:shd w:fill="C6EFCE" w:val="clear"/>
          </w:tcPr>
          <w:p>
            <w:r>
              <w:rPr>
                <w:sz w:val="17"/>
              </w:rPr>
              <w:t>1,833</w:t>
            </w:r>
          </w:p>
        </w:tc>
        <w:tc>
          <w:tcPr>
            <w:tcW w:type="dxa" w:w="1440"/>
            <w:shd w:fill="C6EFCE" w:val="clear"/>
          </w:tcPr>
          <w:p>
            <w:r>
              <w:rPr>
                <w:b/>
                <w:sz w:val="17"/>
              </w:rPr>
              <w:t>1,961</w:t>
            </w:r>
          </w:p>
        </w:tc>
        <w:tc>
          <w:tcPr>
            <w:tcW w:type="dxa" w:w="1440"/>
            <w:shd w:fill="C6EFCE" w:val="clear"/>
          </w:tcPr>
          <w:p>
            <w:r>
              <w:rPr>
                <w:sz w:val="17"/>
              </w:rPr>
              <w:t>2,088</w:t>
            </w:r>
          </w:p>
        </w:tc>
        <w:tc>
          <w:tcPr>
            <w:tcW w:type="dxa" w:w="1440"/>
            <w:shd w:fill="C6EFCE" w:val="clear"/>
          </w:tcPr>
          <w:p>
            <w:r>
              <w:rPr>
                <w:b/>
                <w:color w:val="008000"/>
                <w:sz w:val="17"/>
              </w:rPr>
              <w:t>+2.7%</w:t>
            </w:r>
          </w:p>
        </w:tc>
      </w:tr>
      <w:tr>
        <w:tc>
          <w:tcPr>
            <w:tcW w:type="dxa" w:w="1440"/>
            <w:shd w:fill="C6EFCE" w:val="clear"/>
          </w:tcPr>
          <w:p>
            <w:r>
              <w:rPr>
                <w:sz w:val="17"/>
              </w:rPr>
              <w:t>J+6  Moyenne</w:t>
            </w:r>
          </w:p>
        </w:tc>
        <w:tc>
          <w:tcPr>
            <w:tcW w:type="dxa" w:w="1440"/>
            <w:shd w:fill="C6EFCE" w:val="clear"/>
          </w:tcPr>
          <w:p>
            <w:r>
              <w:rPr>
                <w:sz w:val="17"/>
              </w:rPr>
              <w:t>2026-08-12</w:t>
            </w:r>
          </w:p>
        </w:tc>
        <w:tc>
          <w:tcPr>
            <w:tcW w:type="dxa" w:w="1440"/>
            <w:shd w:fill="C6EFCE" w:val="clear"/>
          </w:tcPr>
          <w:p>
            <w:r>
              <w:rPr>
                <w:sz w:val="17"/>
              </w:rPr>
              <w:t>1,829</w:t>
            </w:r>
          </w:p>
        </w:tc>
        <w:tc>
          <w:tcPr>
            <w:tcW w:type="dxa" w:w="1440"/>
            <w:shd w:fill="C6EFCE" w:val="clear"/>
          </w:tcPr>
          <w:p>
            <w:r>
              <w:rPr>
                <w:b/>
                <w:sz w:val="17"/>
              </w:rPr>
              <w:t>1,969</w:t>
            </w:r>
          </w:p>
        </w:tc>
        <w:tc>
          <w:tcPr>
            <w:tcW w:type="dxa" w:w="1440"/>
            <w:shd w:fill="C6EFCE" w:val="clear"/>
          </w:tcPr>
          <w:p>
            <w:r>
              <w:rPr>
                <w:sz w:val="17"/>
              </w:rPr>
              <w:t>2,110</w:t>
            </w:r>
          </w:p>
        </w:tc>
        <w:tc>
          <w:tcPr>
            <w:tcW w:type="dxa" w:w="1440"/>
            <w:shd w:fill="C6EFCE" w:val="clear"/>
          </w:tcPr>
          <w:p>
            <w:r>
              <w:rPr>
                <w:b/>
                <w:color w:val="008000"/>
                <w:sz w:val="17"/>
              </w:rPr>
              <w:t>+3.1%</w:t>
            </w:r>
          </w:p>
        </w:tc>
      </w:tr>
      <w:tr>
        <w:tc>
          <w:tcPr>
            <w:tcW w:type="dxa" w:w="1440"/>
            <w:shd w:fill="C6EFCE" w:val="clear"/>
          </w:tcPr>
          <w:p>
            <w:r>
              <w:rPr>
                <w:sz w:val="17"/>
              </w:rPr>
              <w:t>J+7  Moyenne</w:t>
            </w:r>
          </w:p>
        </w:tc>
        <w:tc>
          <w:tcPr>
            <w:tcW w:type="dxa" w:w="1440"/>
            <w:shd w:fill="C6EFCE" w:val="clear"/>
          </w:tcPr>
          <w:p>
            <w:r>
              <w:rPr>
                <w:sz w:val="17"/>
              </w:rPr>
              <w:t>2026-08-13</w:t>
            </w:r>
          </w:p>
        </w:tc>
        <w:tc>
          <w:tcPr>
            <w:tcW w:type="dxa" w:w="1440"/>
            <w:shd w:fill="C6EFCE" w:val="clear"/>
          </w:tcPr>
          <w:p>
            <w:r>
              <w:rPr>
                <w:sz w:val="17"/>
              </w:rPr>
              <w:t>1,825</w:t>
            </w:r>
          </w:p>
        </w:tc>
        <w:tc>
          <w:tcPr>
            <w:tcW w:type="dxa" w:w="1440"/>
            <w:shd w:fill="C6EFCE" w:val="clear"/>
          </w:tcPr>
          <w:p>
            <w:r>
              <w:rPr>
                <w:b/>
                <w:sz w:val="17"/>
              </w:rPr>
              <w:t>1,978</w:t>
            </w:r>
          </w:p>
        </w:tc>
        <w:tc>
          <w:tcPr>
            <w:tcW w:type="dxa" w:w="1440"/>
            <w:shd w:fill="C6EFCE" w:val="clear"/>
          </w:tcPr>
          <w:p>
            <w:r>
              <w:rPr>
                <w:sz w:val="17"/>
              </w:rPr>
              <w:t>2,130</w:t>
            </w:r>
          </w:p>
        </w:tc>
        <w:tc>
          <w:tcPr>
            <w:tcW w:type="dxa" w:w="1440"/>
            <w:shd w:fill="C6EFCE" w:val="clear"/>
          </w:tcPr>
          <w:p>
            <w:r>
              <w:rPr>
                <w:b/>
                <w:color w:val="008000"/>
                <w:sz w:val="17"/>
              </w:rPr>
              <w:t>+3.5%</w:t>
            </w:r>
          </w:p>
        </w:tc>
      </w:tr>
      <w:tr>
        <w:tc>
          <w:tcPr>
            <w:tcW w:type="dxa" w:w="1440"/>
            <w:shd w:fill="C6EFCE" w:val="clear"/>
          </w:tcPr>
          <w:p>
            <w:r>
              <w:rPr>
                <w:sz w:val="17"/>
              </w:rPr>
              <w:t>J+8  Moyenne</w:t>
            </w:r>
          </w:p>
        </w:tc>
        <w:tc>
          <w:tcPr>
            <w:tcW w:type="dxa" w:w="1440"/>
            <w:shd w:fill="C6EFCE" w:val="clear"/>
          </w:tcPr>
          <w:p>
            <w:r>
              <w:rPr>
                <w:sz w:val="17"/>
              </w:rPr>
              <w:t>2026-08-14</w:t>
            </w:r>
          </w:p>
        </w:tc>
        <w:tc>
          <w:tcPr>
            <w:tcW w:type="dxa" w:w="1440"/>
            <w:shd w:fill="C6EFCE" w:val="clear"/>
          </w:tcPr>
          <w:p>
            <w:r>
              <w:rPr>
                <w:sz w:val="17"/>
              </w:rPr>
              <w:t>1,823</w:t>
            </w:r>
          </w:p>
        </w:tc>
        <w:tc>
          <w:tcPr>
            <w:tcW w:type="dxa" w:w="1440"/>
            <w:shd w:fill="C6EFCE" w:val="clear"/>
          </w:tcPr>
          <w:p>
            <w:r>
              <w:rPr>
                <w:b/>
                <w:sz w:val="17"/>
              </w:rPr>
              <w:t>1,986</w:t>
            </w:r>
          </w:p>
        </w:tc>
        <w:tc>
          <w:tcPr>
            <w:tcW w:type="dxa" w:w="1440"/>
            <w:shd w:fill="C6EFCE" w:val="clear"/>
          </w:tcPr>
          <w:p>
            <w:r>
              <w:rPr>
                <w:sz w:val="17"/>
              </w:rPr>
              <w:t>2,149</w:t>
            </w:r>
          </w:p>
        </w:tc>
        <w:tc>
          <w:tcPr>
            <w:tcW w:type="dxa" w:w="1440"/>
            <w:shd w:fill="C6EFCE" w:val="clear"/>
          </w:tcPr>
          <w:p>
            <w:r>
              <w:rPr>
                <w:b/>
                <w:color w:val="008000"/>
                <w:sz w:val="17"/>
              </w:rPr>
              <w:t>+4.0%</w:t>
            </w:r>
          </w:p>
        </w:tc>
      </w:tr>
      <w:tr>
        <w:tc>
          <w:tcPr>
            <w:tcW w:type="dxa" w:w="1440"/>
            <w:shd w:fill="C6EFCE" w:val="clear"/>
          </w:tcPr>
          <w:p>
            <w:r>
              <w:rPr>
                <w:sz w:val="17"/>
              </w:rPr>
              <w:t>J+9  Moyenne</w:t>
            </w:r>
          </w:p>
        </w:tc>
        <w:tc>
          <w:tcPr>
            <w:tcW w:type="dxa" w:w="1440"/>
            <w:shd w:fill="C6EFCE" w:val="clear"/>
          </w:tcPr>
          <w:p>
            <w:r>
              <w:rPr>
                <w:sz w:val="17"/>
              </w:rPr>
              <w:t>2026-08-17</w:t>
            </w:r>
          </w:p>
        </w:tc>
        <w:tc>
          <w:tcPr>
            <w:tcW w:type="dxa" w:w="1440"/>
            <w:shd w:fill="C6EFCE" w:val="clear"/>
          </w:tcPr>
          <w:p>
            <w:r>
              <w:rPr>
                <w:sz w:val="17"/>
              </w:rPr>
              <w:t>1,820</w:t>
            </w:r>
          </w:p>
        </w:tc>
        <w:tc>
          <w:tcPr>
            <w:tcW w:type="dxa" w:w="1440"/>
            <w:shd w:fill="C6EFCE" w:val="clear"/>
          </w:tcPr>
          <w:p>
            <w:r>
              <w:rPr>
                <w:b/>
                <w:sz w:val="17"/>
              </w:rPr>
              <w:t>1,994</w:t>
            </w:r>
          </w:p>
        </w:tc>
        <w:tc>
          <w:tcPr>
            <w:tcW w:type="dxa" w:w="1440"/>
            <w:shd w:fill="C6EFCE" w:val="clear"/>
          </w:tcPr>
          <w:p>
            <w:r>
              <w:rPr>
                <w:sz w:val="17"/>
              </w:rPr>
              <w:t>2,168</w:t>
            </w:r>
          </w:p>
        </w:tc>
        <w:tc>
          <w:tcPr>
            <w:tcW w:type="dxa" w:w="1440"/>
            <w:shd w:fill="C6EFCE" w:val="clear"/>
          </w:tcPr>
          <w:p>
            <w:r>
              <w:rPr>
                <w:b/>
                <w:color w:val="008000"/>
                <w:sz w:val="17"/>
              </w:rPr>
              <w:t>+4.4%</w:t>
            </w:r>
          </w:p>
        </w:tc>
      </w:tr>
      <w:tr>
        <w:tc>
          <w:tcPr>
            <w:tcW w:type="dxa" w:w="1440"/>
            <w:shd w:fill="C6EFCE" w:val="clear"/>
          </w:tcPr>
          <w:p>
            <w:r>
              <w:rPr>
                <w:sz w:val="17"/>
              </w:rPr>
              <w:t>J+10  Moyenne</w:t>
            </w:r>
          </w:p>
        </w:tc>
        <w:tc>
          <w:tcPr>
            <w:tcW w:type="dxa" w:w="1440"/>
            <w:shd w:fill="C6EFCE" w:val="clear"/>
          </w:tcPr>
          <w:p>
            <w:r>
              <w:rPr>
                <w:sz w:val="17"/>
              </w:rPr>
              <w:t>2026-08-18</w:t>
            </w:r>
          </w:p>
        </w:tc>
        <w:tc>
          <w:tcPr>
            <w:tcW w:type="dxa" w:w="1440"/>
            <w:shd w:fill="C6EFCE" w:val="clear"/>
          </w:tcPr>
          <w:p>
            <w:r>
              <w:rPr>
                <w:sz w:val="17"/>
              </w:rPr>
              <w:t>1,818</w:t>
            </w:r>
          </w:p>
        </w:tc>
        <w:tc>
          <w:tcPr>
            <w:tcW w:type="dxa" w:w="1440"/>
            <w:shd w:fill="C6EFCE" w:val="clear"/>
          </w:tcPr>
          <w:p>
            <w:r>
              <w:rPr>
                <w:b/>
                <w:sz w:val="17"/>
              </w:rPr>
              <w:t>2,003</w:t>
            </w:r>
          </w:p>
        </w:tc>
        <w:tc>
          <w:tcPr>
            <w:tcW w:type="dxa" w:w="1440"/>
            <w:shd w:fill="C6EFCE" w:val="clear"/>
          </w:tcPr>
          <w:p>
            <w:r>
              <w:rPr>
                <w:sz w:val="17"/>
              </w:rPr>
              <w:t>2,187</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04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26,94 milliards FCFA, un niveau modeste qui la classe parmi les valeurs de taille moyenne sur la BRVM. Avec un BPA de 33 FCFA, le titre se paie extrêmement cher, affichant un PER de 57,8x, soit près de 5 à 7 fois la moyenne historique du marché (8-12x). Cette décote sévère suggère que le marché intègre des bénéfices futurs en forte hausse, ou qu'il s'agit d'une anomalie de valorisation. Le P/B de 1,72x indique que le marché valorise la société à 72% au-dessus de ses capitaux propres, ce qui est raisonnable. Cependant, l'EV/EBITDA de 35,8x est très exigeant, signifiant que la valeur totale de l'entreprise (dette incluse) est très élevée par rapport à sa capacité opérationnelle brute. Ces ratios combinés pointent vers une valorisation qui anticipe un redressement majeur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subi une forte correction de -22,52%, avec une accélération baissière lors de la dernière séance (-3,05%). Le titre évolue dans un range de 1 910 FCFA (plus bas) à 2 480 FCFA (plus haut), et se situe actuellement à son point le plus bas de la période, ce qui dénote une pression vendeuse persistante. La moyenne du cours sur la période est de 2 193 FCFA, tandis que la médiane est de 2 220 FCFA. L'écart entre ces deux valeurs, bien que faible, indique une légère asymétrie négative (skewness de -0,267). L'écart-type de 157 FCFA (CV=7,2%) montre une dispersion modérée des prix autour de la moyenne. Le kurtosis négatif (-1,157) indique une distribution platykurtique, c'est-à-dire une faible concentration des prix extrêmes, réduisant le risque de mouvements brutaux imprévus. Enfin, la volatilité annualisée de 34,8% classe le titre comme très volatil (&gt;30%), un niveau de risque élevé pour un investisseur.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(1 910 FCFA) est inférieur à la MM20 (1 974,5 FCFA) et à la MM50 (2 097,5 FCFA). Cette configuration en "death cross" (croix de la mort) est un signal baissier classique. La tendance de fond est clairement négative, et le prix ne montre aucun signe de stabilisation au-dessus de ces moyennes, justifiant la décision de **Vente**.</w:t>
      </w:r>
    </w:p>
    <w:p>
      <w:pPr>
        <w:spacing w:after="120" w:line="276" w:lineRule="auto"/>
      </w:pPr>
      <w:r>
        <w:t>**Bandes de Bollinger :** Le cours se situe sous la borne inférieure (1 924,88 FCFA), ce qui est statistiquement rare et indique une condition de survente extrême à court terme. Historiquement, une telle cassure peut précéder un rebond technique. Cependant, la pente des bandes est orientée à la baisse, confirmant la force du mouvement baissier. Le signal d'**Achat** ici est un signal de contre-tendance, à considérer avec prudence.</w:t>
      </w:r>
    </w:p>
    <w:p>
      <w:pPr>
        <w:spacing w:after="120" w:line="276" w:lineRule="auto"/>
      </w:pPr>
      <w:r>
        <w:t>**MACD :** Le MACD (-37,49) est négatif et se situe sous sa ligne de signal (-39,59). Cependant, l'écart entre les deux lignes se resserre, ce qui suggère un ralentissement du momentum baissier. Ce croisement potentiel haussier du MACD est un premier signe de retournement, justifiant la décision d'**Achat** (anticipation d'un croisement).</w:t>
      </w:r>
    </w:p>
    <w:p>
      <w:pPr>
        <w:spacing w:after="120" w:line="276" w:lineRule="auto"/>
      </w:pPr>
      <w:r>
        <w:t>**RSI :** Le RSI est à 37,5, en zone neutre mais proche de la zone de survente (30). Cela indique que la pression vendeuse est encore présente mais s'affaiblit. Le marché n'est ni suracheté ni survendu, laissant place à une possible accalmie ou consolidation. La décision est **Neutre**.</w:t>
      </w:r>
    </w:p>
    <w:p>
      <w:pPr>
        <w:spacing w:after="120" w:line="276" w:lineRule="auto"/>
      </w:pPr>
      <w:r>
        <w:t>**Stochastique :** Le %K est à 0,0, ce qui signifie que le cours a clôturé au plus bas de sa période de calcul, une condition de survente extrême. Le %D à 23,5 suggère que la tendance baissière s'essouffle. Un croisement haussier du %K au-dessus du %D serait un signal d'achat précoce, justifiant la décision d'**Achat**.</w:t>
      </w:r>
    </w:p>
    <w:p>
      <w:pPr>
        <w:spacing w:after="120" w:line="276" w:lineRule="auto"/>
      </w:pPr>
      <w:r>
        <w:t>**Conclusion technique :** Les indicateurs sont mitigés. La tendance de fond (MM) est baissière, mais les oscillateurs (Stochastique, MACD, Bollinger) signalent une condition de survente extrême. On observe une divergence entre la tendance et le momentum. Le scénario le plus probable est un rebond technique à court terme, mais la tendance baissière de moyen terme ne sera inversée qu'après une cassure au-dessus de la MM20.</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(base brvm_donnees_financieres) révèlent une situation financière fragile. Le chiffre d'affaires s'établit à 32,109 milliards FCFA, en croissance de 4,6%, mais la marge nette est très faible (1,45%) et la marge opérationnelle est de seulement 0,85%. Le résultat net est de 465,98 millions FCFA, portant le ROE à 2,97% et le ROA à 1,19%, des niveaux très insuffisants pour rémunérer le capital investi. La structure financière est préoccupante : le BFR est élevé (11,529 Mds), avec un délai de paiement des clients de 213 jours et une durée de stockage de 214 jours, ce qui pèse lourdement sur la trésorerie (trésorerie nette négative de -11,528 Mds). Le ratio d'endettement est de 97,6%, et la capacité de remboursement est de 11,49 ans, un niveau de risque de crédit élevé. Les rapports trimestriels 2025 confirment cette dégradation. Le rapport du T3 2025 (publié fin 2025) indique un résultat courant avant impôt de -216 millions FCFA, contre +4 144 millions en 2024, illustrant la fin des produits exceptionnels de cession. Le rapport du S1 2025 montrait déjà un résultat net en chute de 97% à 105 millions FCFA. Enfin, le rapport annuel 2024 soulignait que le bénéfice exceptionnel de 18,6 milliards FCFA était artificiel, tiré par des produits financiers non récurrents. **On estime que l'exercice 2026 sera difficile, avec une rentabilité opérationnelle qui peine à se redresser, dépendante de la campagne cacaoyère.**</w:t>
      </w:r>
    </w:p>
    <w:p>
      <w:pPr>
        <w:spacing w:after="120" w:line="276" w:lineRule="auto"/>
      </w:pPr>
      <w:r>
        <w:t>---</w:t>
      </w:r>
    </w:p>
    <w:p>
      <w:pPr>
        <w:spacing w:after="120" w:line="276" w:lineRule="auto"/>
      </w:pPr>
      <w:r>
        <w:t>### PARTIE 4 : CONCLUSION D'INVESTISSEMENT</w:t>
      </w:r>
    </w:p>
    <w:p>
      <w:pPr>
        <w:spacing w:after="120" w:line="276" w:lineRule="auto"/>
      </w:pPr>
      <w:r>
        <w:t>La synthèse globale est négative. La valorisation (Partie 0) est extrêmement exigeante avec un PER de 57,8x, totalement injustifiée par les fondamentaux actuels. Le comportement du cours (Partie 1) est baissier, avec une volatilité élevée (34,8%) et une distribution statistique qui n'offre aucun signal de soutien. Les signaux techniques (Partie 2) sont mitigés : la tendance est baissière, mais les conditions de survente extrême pourraient générer un rebond technique temporaire. Les fondamentaux (Partie 3) sont préoccupants : la société est structurellement fragile, avec un BFR massif, un endettement élevé et une rentabilité opérationnelle quasi nulle. Les prédictions IA (J+1 à J+10) prévoient un rebond modeste vers 1 961 FCFA, ce qui contredit la tendance baissière mais confirme le potentiel de rebond technique identifié. En conclusion, la convergence des signaux (valorisation excessive, tendance baissière, fondamentaux dégradés) impose une prudence extrême. La recommandation finale est **VENTE** pour les investisseurs détenant le titre, et une **non-participation** pour les nouveaux entrants. Le niveau de confiance est **Élevé**, le risque global est **Élevé**. L'horizon d'investissement optimal est le **court terme (&lt;3 mois)** uniquement pour des opérations de trading spéculatif sur un éventuel rebond, mais le moyen et long terme restent à éviter.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91.20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2,660 titres</w:t>
            </w:r>
          </w:p>
        </w:tc>
        <w:tc>
          <w:tcPr>
            <w:tcW w:type="dxa" w:w="2268"/>
            <w:shd w:fill="FFF2CC" w:val="clear"/>
          </w:tcPr>
          <w:p>
            <w:r>
              <w:rPr>
                <w:b/>
                <w:color w:val="503200"/>
                <w:sz w:val="16"/>
              </w:rPr>
              <w:t xml:space="preserve">Cours actuel : </w:t>
            </w:r>
            <w:r>
              <w:rPr>
                <w:color w:val="000000"/>
                <w:sz w:val="17"/>
              </w:rPr>
              <w:t>4,560 FCFA</w:t>
            </w:r>
          </w:p>
          <w:p>
            <w:r>
              <w:rPr>
                <w:b/>
                <w:color w:val="503200"/>
                <w:sz w:val="16"/>
              </w:rPr>
              <w:t xml:space="preserve">Var. 100 jours : </w:t>
            </w:r>
            <w:r>
              <w:rPr>
                <w:b/>
                <w:color w:val="007800"/>
                <w:sz w:val="17"/>
              </w:rPr>
              <w:t>+17.07%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5.07% (Moyenne) — μ=4,003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β=0.3107 (Défensif) — Cov=0.000011, Var(idx)=0.000036,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3,989</w:t>
            </w:r>
          </w:p>
        </w:tc>
        <w:tc>
          <w:tcPr>
            <w:tcW w:type="dxa" w:w="1440"/>
            <w:shd w:fill="FFDCE0" w:val="clear"/>
          </w:tcPr>
          <w:p>
            <w:r>
              <w:rPr>
                <w:b/>
                <w:sz w:val="17"/>
              </w:rPr>
              <w:t>4,218</w:t>
            </w:r>
          </w:p>
        </w:tc>
        <w:tc>
          <w:tcPr>
            <w:tcW w:type="dxa" w:w="1440"/>
            <w:shd w:fill="FFDCE0" w:val="clear"/>
          </w:tcPr>
          <w:p>
            <w:r>
              <w:rPr>
                <w:sz w:val="17"/>
              </w:rPr>
              <w:t>4,447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3,857</w:t>
            </w:r>
          </w:p>
        </w:tc>
        <w:tc>
          <w:tcPr>
            <w:tcW w:type="dxa" w:w="1440"/>
            <w:shd w:fill="FFDCE0" w:val="clear"/>
          </w:tcPr>
          <w:p>
            <w:r>
              <w:rPr>
                <w:b/>
                <w:sz w:val="17"/>
              </w:rPr>
              <w:t>4,178</w:t>
            </w:r>
          </w:p>
        </w:tc>
        <w:tc>
          <w:tcPr>
            <w:tcW w:type="dxa" w:w="1440"/>
            <w:shd w:fill="FFDCE0" w:val="clear"/>
          </w:tcPr>
          <w:p>
            <w:r>
              <w:rPr>
                <w:sz w:val="17"/>
              </w:rPr>
              <w:t>4,499</w:t>
            </w:r>
          </w:p>
        </w:tc>
        <w:tc>
          <w:tcPr>
            <w:tcW w:type="dxa" w:w="1440"/>
            <w:shd w:fill="FFDCE0" w:val="clear"/>
          </w:tcPr>
          <w:p>
            <w:r>
              <w:rPr>
                <w:b/>
                <w:color w:val="C00000"/>
                <w:sz w:val="17"/>
              </w:rPr>
              <w:t>-8.4%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3,770</w:t>
            </w:r>
          </w:p>
        </w:tc>
        <w:tc>
          <w:tcPr>
            <w:tcW w:type="dxa" w:w="1440"/>
            <w:shd w:fill="FFDCE0" w:val="clear"/>
          </w:tcPr>
          <w:p>
            <w:r>
              <w:rPr>
                <w:b/>
                <w:sz w:val="17"/>
              </w:rPr>
              <w:t>4,162</w:t>
            </w:r>
          </w:p>
        </w:tc>
        <w:tc>
          <w:tcPr>
            <w:tcW w:type="dxa" w:w="1440"/>
            <w:shd w:fill="FFDCE0" w:val="clear"/>
          </w:tcPr>
          <w:p>
            <w:r>
              <w:rPr>
                <w:sz w:val="17"/>
              </w:rPr>
              <w:t>4,554</w:t>
            </w:r>
          </w:p>
        </w:tc>
        <w:tc>
          <w:tcPr>
            <w:tcW w:type="dxa" w:w="1440"/>
            <w:shd w:fill="FFDCE0" w:val="clear"/>
          </w:tcPr>
          <w:p>
            <w:r>
              <w:rPr>
                <w:b/>
                <w:color w:val="C00000"/>
                <w:sz w:val="17"/>
              </w:rPr>
              <w:t>-8.7%</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3,692</w:t>
            </w:r>
          </w:p>
        </w:tc>
        <w:tc>
          <w:tcPr>
            <w:tcW w:type="dxa" w:w="1440"/>
            <w:shd w:fill="FFDCE0" w:val="clear"/>
          </w:tcPr>
          <w:p>
            <w:r>
              <w:rPr>
                <w:b/>
                <w:sz w:val="17"/>
              </w:rPr>
              <w:t>4,143</w:t>
            </w:r>
          </w:p>
        </w:tc>
        <w:tc>
          <w:tcPr>
            <w:tcW w:type="dxa" w:w="1440"/>
            <w:shd w:fill="FFDCE0" w:val="clear"/>
          </w:tcPr>
          <w:p>
            <w:r>
              <w:rPr>
                <w:sz w:val="17"/>
              </w:rPr>
              <w:t>4,593</w:t>
            </w:r>
          </w:p>
        </w:tc>
        <w:tc>
          <w:tcPr>
            <w:tcW w:type="dxa" w:w="1440"/>
            <w:shd w:fill="FFDCE0" w:val="clear"/>
          </w:tcPr>
          <w:p>
            <w:r>
              <w:rPr>
                <w:b/>
                <w:color w:val="C00000"/>
                <w:sz w:val="17"/>
              </w:rPr>
              <w:t>-9.2%</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3,624</w:t>
            </w:r>
          </w:p>
        </w:tc>
        <w:tc>
          <w:tcPr>
            <w:tcW w:type="dxa" w:w="1440"/>
            <w:shd w:fill="FFDCE0" w:val="clear"/>
          </w:tcPr>
          <w:p>
            <w:r>
              <w:rPr>
                <w:b/>
                <w:sz w:val="17"/>
              </w:rPr>
              <w:t>4,125</w:t>
            </w:r>
          </w:p>
        </w:tc>
        <w:tc>
          <w:tcPr>
            <w:tcW w:type="dxa" w:w="1440"/>
            <w:shd w:fill="FFDCE0" w:val="clear"/>
          </w:tcPr>
          <w:p>
            <w:r>
              <w:rPr>
                <w:sz w:val="17"/>
              </w:rPr>
              <w:t>4,626</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3,560</w:t>
            </w:r>
          </w:p>
        </w:tc>
        <w:tc>
          <w:tcPr>
            <w:tcW w:type="dxa" w:w="1440"/>
            <w:shd w:fill="FFDCE0" w:val="clear"/>
          </w:tcPr>
          <w:p>
            <w:r>
              <w:rPr>
                <w:b/>
                <w:sz w:val="17"/>
              </w:rPr>
              <w:t>4,107</w:t>
            </w:r>
          </w:p>
        </w:tc>
        <w:tc>
          <w:tcPr>
            <w:tcW w:type="dxa" w:w="1440"/>
            <w:shd w:fill="FFDCE0" w:val="clear"/>
          </w:tcPr>
          <w:p>
            <w:r>
              <w:rPr>
                <w:sz w:val="17"/>
              </w:rPr>
              <w:t>4,653</w:t>
            </w:r>
          </w:p>
        </w:tc>
        <w:tc>
          <w:tcPr>
            <w:tcW w:type="dxa" w:w="1440"/>
            <w:shd w:fill="FFDCE0" w:val="clear"/>
          </w:tcPr>
          <w:p>
            <w:r>
              <w:rPr>
                <w:b/>
                <w:color w:val="C00000"/>
                <w:sz w:val="17"/>
              </w:rPr>
              <w:t>-9.9%</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3,502</w:t>
            </w:r>
          </w:p>
        </w:tc>
        <w:tc>
          <w:tcPr>
            <w:tcW w:type="dxa" w:w="1440"/>
            <w:shd w:fill="FFDCE0" w:val="clear"/>
          </w:tcPr>
          <w:p>
            <w:r>
              <w:rPr>
                <w:b/>
                <w:sz w:val="17"/>
              </w:rPr>
              <w:t>4,090</w:t>
            </w:r>
          </w:p>
        </w:tc>
        <w:tc>
          <w:tcPr>
            <w:tcW w:type="dxa" w:w="1440"/>
            <w:shd w:fill="FFDCE0" w:val="clear"/>
          </w:tcPr>
          <w:p>
            <w:r>
              <w:rPr>
                <w:sz w:val="17"/>
              </w:rPr>
              <w:t>4,679</w:t>
            </w:r>
          </w:p>
        </w:tc>
        <w:tc>
          <w:tcPr>
            <w:tcW w:type="dxa" w:w="1440"/>
            <w:shd w:fill="FFDCE0" w:val="clear"/>
          </w:tcPr>
          <w:p>
            <w:r>
              <w:rPr>
                <w:b/>
                <w:color w:val="C00000"/>
                <w:sz w:val="17"/>
              </w:rPr>
              <w:t>-10.3%</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3,450</w:t>
            </w:r>
          </w:p>
        </w:tc>
        <w:tc>
          <w:tcPr>
            <w:tcW w:type="dxa" w:w="1440"/>
            <w:shd w:fill="FFDCE0" w:val="clear"/>
          </w:tcPr>
          <w:p>
            <w:r>
              <w:rPr>
                <w:b/>
                <w:sz w:val="17"/>
              </w:rPr>
              <w:t>4,076</w:t>
            </w:r>
          </w:p>
        </w:tc>
        <w:tc>
          <w:tcPr>
            <w:tcW w:type="dxa" w:w="1440"/>
            <w:shd w:fill="FFDCE0" w:val="clear"/>
          </w:tcPr>
          <w:p>
            <w:r>
              <w:rPr>
                <w:sz w:val="17"/>
              </w:rPr>
              <w:t>4,703</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3,392</w:t>
            </w:r>
          </w:p>
        </w:tc>
        <w:tc>
          <w:tcPr>
            <w:tcW w:type="dxa" w:w="1440"/>
            <w:shd w:fill="FFDCE0" w:val="clear"/>
          </w:tcPr>
          <w:p>
            <w:r>
              <w:rPr>
                <w:b/>
                <w:sz w:val="17"/>
              </w:rPr>
              <w:t>4,053</w:t>
            </w:r>
          </w:p>
        </w:tc>
        <w:tc>
          <w:tcPr>
            <w:tcW w:type="dxa" w:w="1440"/>
            <w:shd w:fill="FFDCE0" w:val="clear"/>
          </w:tcPr>
          <w:p>
            <w:r>
              <w:rPr>
                <w:sz w:val="17"/>
              </w:rPr>
              <w:t>4,715</w:t>
            </w:r>
          </w:p>
        </w:tc>
        <w:tc>
          <w:tcPr>
            <w:tcW w:type="dxa" w:w="1440"/>
            <w:shd w:fill="FFDCE0" w:val="clear"/>
          </w:tcPr>
          <w:p>
            <w:r>
              <w:rPr>
                <w:b/>
                <w:color w:val="C00000"/>
                <w:sz w:val="17"/>
              </w:rPr>
              <w:t>-11.1%</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3,337</w:t>
            </w:r>
          </w:p>
        </w:tc>
        <w:tc>
          <w:tcPr>
            <w:tcW w:type="dxa" w:w="1440"/>
            <w:shd w:fill="FFDCE0" w:val="clear"/>
          </w:tcPr>
          <w:p>
            <w:r>
              <w:rPr>
                <w:b/>
                <w:sz w:val="17"/>
              </w:rPr>
              <w:t>4,030</w:t>
            </w:r>
          </w:p>
        </w:tc>
        <w:tc>
          <w:tcPr>
            <w:tcW w:type="dxa" w:w="1440"/>
            <w:shd w:fill="FFDCE0" w:val="clear"/>
          </w:tcPr>
          <w:p>
            <w:r>
              <w:rPr>
                <w:sz w:val="17"/>
              </w:rPr>
              <w:t>4,723</w:t>
            </w:r>
          </w:p>
        </w:tc>
        <w:tc>
          <w:tcPr>
            <w:tcW w:type="dxa" w:w="1440"/>
            <w:shd w:fill="FFDCE0" w:val="clear"/>
          </w:tcPr>
          <w:p>
            <w:r>
              <w:rPr>
                <w:b/>
                <w:color w:val="C00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31 juillet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91,20 milliards FCFA, un niveau significatif qui la positionne parmi les valeurs moyennes du marché BRVM. Avec un BPA de 231 FCFA, le titre se négocie à un PER de 19,7x, nettement supérieur à la moyenne historique du marché (~8-12x), indiquant que les investisseurs paient une prime substantielle pour chaque franc de bénéfice. Le P/B de 4,15x confirme cette valorisation exigeante, le marché valorisant le titre plus de quatre fois sa valeur comptable, reflétant des attentes de croissance élevées. Enfin, l'EV/EBITDA de 11,7x se situe dans la fourchette haute (10-15x), ce qui, combiné aux autres ratios, suggère que le titre est généreusement valorisé par rapport à ses fondamentaux actuels, bien que cette prime puisse se justifier par la solidité financière et la position quasi-monopolistique de l'entreprise dans son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remarquable de +17,07%, avec une dernière séance en hausse de +1,33% pour clôturer à 4 560 FCFA, son plus haut niveau sur la période. Le cours a évolué dans une fourchette de 3 765 à 4 560 FCFA, démontrant une dynamique haussière soutenue. La moyenne du cours sur la période est de 4 003 FCFA, tandis que la médiane s'établit à 3 900 FCFA ; cet écart positif entre moyenne et médiane, couplé à un skewness de 1,060, révèle une asymétrie positive avec des journées plus nombreuses sous la moyenne mais des mouvements de hausse plus amples. L'écart-type de 204 FCFA (CV=5,1%) indique une dispersion modérée, et le kurtosis de -0,264 (mésokurtique) suggère une distribution proche de la normale, sans risque de pics extrêmes. La volatilité annualisée de 34,7% classe le titre dans la catégorie des valeurs à forte volatilité (&gt;30%), ce qui implique un risque de fluctuation important mais aussi un potentiel de rendement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à 4 292,5 FCFA et la MM50 à 4 123,6 FCFA sont toutes deux inférieures au cours actuel de 4 560 FCFA, configurant une tendance haussière claire. Le cours évolue au-dessus de ses moyennes mobiles, ce qui confirme la dynamique positive et justifie la décision d'ACHAT.</w:t>
      </w:r>
    </w:p>
    <w:p>
      <w:pPr>
        <w:spacing w:after="120" w:line="276" w:lineRule="auto"/>
      </w:pPr>
      <w:r>
        <w:t>**Bandes de Bollinger :** Le cours à 4 560 FCFA se situe très proche de la borne supérieure (4 553,8 FCFA), indiquant une pression acheteuse intense et une possible suraccélération. Cette position extrême suggère un risque de correction à court terme, d'où la décision de VENTE signalée par l'indicateur.</w:t>
      </w:r>
    </w:p>
    <w:p>
      <w:pPr>
        <w:spacing w:after="120" w:line="276" w:lineRule="auto"/>
      </w:pPr>
      <w:r>
        <w:t>**MACD :** Le MACD (71,7) est nettement au-dessus de sa ligne de signal (57,5), confirmant un momentum haussier robuste. L'écart positif entre les deux lignes indique une dynamique de tendance favorable, justifiant la décision d'ACHAT.</w:t>
      </w:r>
    </w:p>
    <w:p>
      <w:pPr>
        <w:spacing w:after="120" w:line="276" w:lineRule="auto"/>
      </w:pPr>
      <w:r>
        <w:t>**RSI :** À 58,9, le RSI se situe en zone neutre (30-70), indiquant que le titre n'est ni suracheté ni survendu. Cette valeur suggère une marge de progression potentielle sans signe de faiblesse, d'où la décision NEUTRE.</w:t>
      </w:r>
    </w:p>
    <w:p>
      <w:pPr>
        <w:spacing w:after="120" w:line="276" w:lineRule="auto"/>
      </w:pPr>
      <w:r>
        <w:t>**Stochastique :** Le %K à 100 et le %D à 78,7 indiquent une condition de surachat extrême. Le %K ayant atteint sa limite supérieure, un croisement baissier est probable, signalant un essoufflement possible de la tendance, justifiant la décision de VENTE.</w:t>
      </w:r>
    </w:p>
    <w:p>
      <w:pPr>
        <w:spacing w:after="120" w:line="276" w:lineRule="auto"/>
      </w:pPr>
      <w:r>
        <w:t>**Conclusion technique :** Les indicateurs de tendance (MM, MACD) sont résolument haussiers, mais les oscillateurs de momentum (Bollinger, Stochastique) signalent une suraccélération. Cette divergence suggère une consolidation probable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LNBB font ressortir un chiffre d'affaires de 98,598 milliards FCFA, en repli de -3,85% par rapport à 2024, et un résultat net de 4,622 milliards FCFA, en baisse de -35,6%. La marge nette s'établit à 4,69%, le ROE à 21,05% et le ROA à 14,17%, des niveaux de rentabilité encore excellents malgré la baisse. La structure financière reste très solide avec des capitaux propres de 21,954 milliards FCFA (autonomie financière de 67,3%), une trésorerie nette positive de 7,979 milliards FCFA et un endettement financier très faible (563 millions FCFA). Le BFR est négatif (217 millions FCFA), ce qui est favorable pour une entreprise. Les délais clients (4,82 jours) et fournisseurs (20,41 jours) sont bien maîtrisés. **Les rapports trimestriels 2025** montrent une dégradation progressive : le S1 2025 affichait un résultat net en chute de -77% (841 millions FCFA), avec une amélioration séquentielle au T3 (+23% vs S1). **Pour 2026**, le rapport T1 2026 (publié en mai 2026) indique un CA en hausse de +6% à 25,521 milliards FCFA, mais un résultat net en baisse de -46% à 848 millions FCFA, pénalisé par le mix produit (pari sportif à faible marge). Le rapport S1 2026 (publié en juillet 2026) montre une amélioration avec un CA de 49,937 milliards FCFA (+4%) et un résultat net en progression de +60%, grâce aux revenus de partenariats B2B. **On estime** que l'exercice 2026 pourrait voir un résultat net compris entre 3,5 et 4,5 milliards FCFA si la tendance du S1 se confirme, avec un dividende maintenu autour de 173 FCFA/action. La recommandation fondamentale reste CONSERVER, la société démontrant une capacité de redressement opérationnel malgré un environnement concurrentiel difficile.</w:t>
      </w:r>
    </w:p>
    <w:p>
      <w:pPr>
        <w:spacing w:after="120" w:line="276" w:lineRule="auto"/>
      </w:pPr>
      <w:r>
        <w:t>---</w:t>
      </w:r>
    </w:p>
    <w:p>
      <w:pPr>
        <w:spacing w:after="120" w:line="276" w:lineRule="auto"/>
      </w:pPr>
      <w:r>
        <w:t>### PARTIE 4 : CONCLUSION D'INVESTISSEMENT</w:t>
      </w:r>
    </w:p>
    <w:p>
      <w:pPr>
        <w:spacing w:after="120" w:line="276" w:lineRule="auto"/>
      </w:pPr>
      <w:r>
        <w:t>La valorisation actuelle de LNBB (PER 19,7x, P/B 4,15x, EV/EBITDA 11,7x) apparaît exigeante au regard des bénéfices actuels, mais elle intègre les perspectives de redressement et la solidité financière exceptionnelle de l'entreprise. Le comportement du cours sur 100 jours (+17,07%) est nettement haussier, avec une volatilité élevée (34,7%) qui implique un risque de fluctuation important. Les signaux techniques sont mitigés : les indicateurs de tendance (MM, MACD) sont positifs, mais les oscillateurs (Bollinger, Stochastique) signalent une suraccélération à court terme. Les fondamentaux, bien qu'en amélioration séquentielle (résultat net S1 2026 en hausse de +60%), restent sous pression avec une marge nette encore faible. Les prédictions IA (4 218 FCFA à J+10) suggèrent une correction de -7,5% par rapport au cours actuel, contredisant la tendance récente et confirmant les signaux de surachat technique. **Recommandation finale : CONSERVER** avec un niveau de confiance MOYEN. La convergence entre la valorisation élevée, les signaux techniques de surachat et les prédictions IA baissières à court terme suggère une consolidation probable. Le risque global est MOYEN, et l'horizon d'investissement optimal est le MOYEN TERME (3-12 mois), en attendant la confirmation du redressement fondamental au S2 2026 et la stabilisation du Produit Brut des Jeux.</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5,454 titres</w:t>
            </w:r>
          </w:p>
        </w:tc>
        <w:tc>
          <w:tcPr>
            <w:tcW w:type="dxa" w:w="2268"/>
            <w:shd w:fill="FFF2CC" w:val="clear"/>
          </w:tcPr>
          <w:p>
            <w:r>
              <w:rPr>
                <w:b/>
                <w:color w:val="503200"/>
                <w:sz w:val="16"/>
              </w:rPr>
              <w:t xml:space="preserve">Cours actuel : </w:t>
            </w:r>
            <w:r>
              <w:rPr>
                <w:color w:val="000000"/>
                <w:sz w:val="17"/>
              </w:rPr>
              <w:t>2,280 FCFA</w:t>
            </w:r>
          </w:p>
          <w:p>
            <w:r>
              <w:rPr>
                <w:b/>
                <w:color w:val="503200"/>
                <w:sz w:val="16"/>
              </w:rPr>
              <w:t xml:space="preserve">Var. 100 jours : </w:t>
            </w:r>
            <w:r>
              <w:rPr>
                <w:b/>
                <w:color w:val="007800"/>
                <w:sz w:val="17"/>
              </w:rPr>
              <w:t>+64.03%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19.54% (Élevée) — μ=1,868 FCFA, σ=365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β=0.0528 (Défensif) — Cov=0.000002, Var(idx)=0.000036,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8954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1,996</w:t>
            </w:r>
          </w:p>
        </w:tc>
        <w:tc>
          <w:tcPr>
            <w:tcW w:type="dxa" w:w="1440"/>
            <w:shd w:fill="FFDCE0" w:val="clear"/>
          </w:tcPr>
          <w:p>
            <w:r>
              <w:rPr>
                <w:b/>
                <w:sz w:val="17"/>
              </w:rPr>
              <w:t>2,109</w:t>
            </w:r>
          </w:p>
        </w:tc>
        <w:tc>
          <w:tcPr>
            <w:tcW w:type="dxa" w:w="1440"/>
            <w:shd w:fill="FFDCE0" w:val="clear"/>
          </w:tcPr>
          <w:p>
            <w:r>
              <w:rPr>
                <w:sz w:val="17"/>
              </w:rPr>
              <w:t>2,222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1,802</w:t>
            </w:r>
          </w:p>
        </w:tc>
        <w:tc>
          <w:tcPr>
            <w:tcW w:type="dxa" w:w="1440"/>
            <w:shd w:fill="FFDCE0" w:val="clear"/>
          </w:tcPr>
          <w:p>
            <w:r>
              <w:rPr>
                <w:b/>
                <w:sz w:val="17"/>
              </w:rPr>
              <w:t>1,951</w:t>
            </w:r>
          </w:p>
        </w:tc>
        <w:tc>
          <w:tcPr>
            <w:tcW w:type="dxa" w:w="1440"/>
            <w:shd w:fill="FFDCE0" w:val="clear"/>
          </w:tcPr>
          <w:p>
            <w:r>
              <w:rPr>
                <w:sz w:val="17"/>
              </w:rPr>
              <w:t>2,099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1,657</w:t>
            </w:r>
          </w:p>
        </w:tc>
        <w:tc>
          <w:tcPr>
            <w:tcW w:type="dxa" w:w="1440"/>
            <w:shd w:fill="FFDCE0" w:val="clear"/>
          </w:tcPr>
          <w:p>
            <w:r>
              <w:rPr>
                <w:b/>
                <w:sz w:val="17"/>
              </w:rPr>
              <w:t>1,827</w:t>
            </w:r>
          </w:p>
        </w:tc>
        <w:tc>
          <w:tcPr>
            <w:tcW w:type="dxa" w:w="1440"/>
            <w:shd w:fill="FFDCE0" w:val="clear"/>
          </w:tcPr>
          <w:p>
            <w:r>
              <w:rPr>
                <w:sz w:val="17"/>
              </w:rPr>
              <w:t>1,998</w:t>
            </w:r>
          </w:p>
        </w:tc>
        <w:tc>
          <w:tcPr>
            <w:tcW w:type="dxa" w:w="1440"/>
            <w:shd w:fill="FFDCE0" w:val="clear"/>
          </w:tcPr>
          <w:p>
            <w:r>
              <w:rPr>
                <w:b/>
                <w:color w:val="C00000"/>
                <w:sz w:val="17"/>
              </w:rPr>
              <w:t>-19.9%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1,544</w:t>
            </w:r>
          </w:p>
        </w:tc>
        <w:tc>
          <w:tcPr>
            <w:tcW w:type="dxa" w:w="1440"/>
            <w:shd w:fill="FFDCE0" w:val="clear"/>
          </w:tcPr>
          <w:p>
            <w:r>
              <w:rPr>
                <w:b/>
                <w:sz w:val="17"/>
              </w:rPr>
              <w:t>1,730</w:t>
            </w:r>
          </w:p>
        </w:tc>
        <w:tc>
          <w:tcPr>
            <w:tcW w:type="dxa" w:w="1440"/>
            <w:shd w:fill="FFDCE0" w:val="clear"/>
          </w:tcPr>
          <w:p>
            <w:r>
              <w:rPr>
                <w:sz w:val="17"/>
              </w:rPr>
              <w:t>1,916</w:t>
            </w:r>
          </w:p>
        </w:tc>
        <w:tc>
          <w:tcPr>
            <w:tcW w:type="dxa" w:w="1440"/>
            <w:shd w:fill="FFDCE0" w:val="clear"/>
          </w:tcPr>
          <w:p>
            <w:r>
              <w:rPr>
                <w:b/>
                <w:color w:val="C00000"/>
                <w:sz w:val="17"/>
              </w:rPr>
              <w:t>-24.1%</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1,452</w:t>
            </w:r>
          </w:p>
        </w:tc>
        <w:tc>
          <w:tcPr>
            <w:tcW w:type="dxa" w:w="1440"/>
            <w:shd w:fill="FFDCE0" w:val="clear"/>
          </w:tcPr>
          <w:p>
            <w:r>
              <w:rPr>
                <w:b/>
                <w:sz w:val="17"/>
              </w:rPr>
              <w:t>1,651</w:t>
            </w:r>
          </w:p>
        </w:tc>
        <w:tc>
          <w:tcPr>
            <w:tcW w:type="dxa" w:w="1440"/>
            <w:shd w:fill="FFDCE0" w:val="clear"/>
          </w:tcPr>
          <w:p>
            <w:r>
              <w:rPr>
                <w:sz w:val="17"/>
              </w:rPr>
              <w:t>1,849</w:t>
            </w:r>
          </w:p>
        </w:tc>
        <w:tc>
          <w:tcPr>
            <w:tcW w:type="dxa" w:w="1440"/>
            <w:shd w:fill="FFDCE0" w:val="clear"/>
          </w:tcPr>
          <w:p>
            <w:r>
              <w:rPr>
                <w:b/>
                <w:color w:val="C00000"/>
                <w:sz w:val="17"/>
              </w:rPr>
              <w:t>-27.6%</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1,374</w:t>
            </w:r>
          </w:p>
        </w:tc>
        <w:tc>
          <w:tcPr>
            <w:tcW w:type="dxa" w:w="1440"/>
            <w:shd w:fill="FFDCE0" w:val="clear"/>
          </w:tcPr>
          <w:p>
            <w:r>
              <w:rPr>
                <w:b/>
                <w:sz w:val="17"/>
              </w:rPr>
              <w:t>1,583</w:t>
            </w:r>
          </w:p>
        </w:tc>
        <w:tc>
          <w:tcPr>
            <w:tcW w:type="dxa" w:w="1440"/>
            <w:shd w:fill="FFDCE0" w:val="clear"/>
          </w:tcPr>
          <w:p>
            <w:r>
              <w:rPr>
                <w:sz w:val="17"/>
              </w:rPr>
              <w:t>1,792</w:t>
            </w:r>
          </w:p>
        </w:tc>
        <w:tc>
          <w:tcPr>
            <w:tcW w:type="dxa" w:w="1440"/>
            <w:shd w:fill="FFDCE0" w:val="clear"/>
          </w:tcPr>
          <w:p>
            <w:r>
              <w:rPr>
                <w:b/>
                <w:color w:val="C00000"/>
                <w:sz w:val="17"/>
              </w:rPr>
              <w:t>-30.6%</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1,307</w:t>
            </w:r>
          </w:p>
        </w:tc>
        <w:tc>
          <w:tcPr>
            <w:tcW w:type="dxa" w:w="1440"/>
            <w:shd w:fill="FFDCE0" w:val="clear"/>
          </w:tcPr>
          <w:p>
            <w:r>
              <w:rPr>
                <w:b/>
                <w:sz w:val="17"/>
              </w:rPr>
              <w:t>1,524</w:t>
            </w:r>
          </w:p>
        </w:tc>
        <w:tc>
          <w:tcPr>
            <w:tcW w:type="dxa" w:w="1440"/>
            <w:shd w:fill="FFDCE0" w:val="clear"/>
          </w:tcPr>
          <w:p>
            <w:r>
              <w:rPr>
                <w:sz w:val="17"/>
              </w:rPr>
              <w:t>1,741</w:t>
            </w:r>
          </w:p>
        </w:tc>
        <w:tc>
          <w:tcPr>
            <w:tcW w:type="dxa" w:w="1440"/>
            <w:shd w:fill="FFDCE0" w:val="clear"/>
          </w:tcPr>
          <w:p>
            <w:r>
              <w:rPr>
                <w:b/>
                <w:color w:val="C00000"/>
                <w:sz w:val="17"/>
              </w:rPr>
              <w:t>-33.1%</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1,248</w:t>
            </w:r>
          </w:p>
        </w:tc>
        <w:tc>
          <w:tcPr>
            <w:tcW w:type="dxa" w:w="1440"/>
            <w:shd w:fill="FFDCE0" w:val="clear"/>
          </w:tcPr>
          <w:p>
            <w:r>
              <w:rPr>
                <w:b/>
                <w:sz w:val="17"/>
              </w:rPr>
              <w:t>1,472</w:t>
            </w:r>
          </w:p>
        </w:tc>
        <w:tc>
          <w:tcPr>
            <w:tcW w:type="dxa" w:w="1440"/>
            <w:shd w:fill="FFDCE0" w:val="clear"/>
          </w:tcPr>
          <w:p>
            <w:r>
              <w:rPr>
                <w:sz w:val="17"/>
              </w:rPr>
              <w:t>1,696</w:t>
            </w:r>
          </w:p>
        </w:tc>
        <w:tc>
          <w:tcPr>
            <w:tcW w:type="dxa" w:w="1440"/>
            <w:shd w:fill="FFDCE0" w:val="clear"/>
          </w:tcPr>
          <w:p>
            <w:r>
              <w:rPr>
                <w:b/>
                <w:color w:val="C00000"/>
                <w:sz w:val="17"/>
              </w:rPr>
              <w:t>-35.4%</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1,195</w:t>
            </w:r>
          </w:p>
        </w:tc>
        <w:tc>
          <w:tcPr>
            <w:tcW w:type="dxa" w:w="1440"/>
            <w:shd w:fill="FFDCE0" w:val="clear"/>
          </w:tcPr>
          <w:p>
            <w:r>
              <w:rPr>
                <w:b/>
                <w:sz w:val="17"/>
              </w:rPr>
              <w:t>1,425</w:t>
            </w:r>
          </w:p>
        </w:tc>
        <w:tc>
          <w:tcPr>
            <w:tcW w:type="dxa" w:w="1440"/>
            <w:shd w:fill="FFDCE0" w:val="clear"/>
          </w:tcPr>
          <w:p>
            <w:r>
              <w:rPr>
                <w:sz w:val="17"/>
              </w:rPr>
              <w:t>1,655</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1,147</w:t>
            </w:r>
          </w:p>
        </w:tc>
        <w:tc>
          <w:tcPr>
            <w:tcW w:type="dxa" w:w="1440"/>
            <w:shd w:fill="FFDCE0" w:val="clear"/>
          </w:tcPr>
          <w:p>
            <w:r>
              <w:rPr>
                <w:b/>
                <w:sz w:val="17"/>
              </w:rPr>
              <w:t>1,382</w:t>
            </w:r>
          </w:p>
        </w:tc>
        <w:tc>
          <w:tcPr>
            <w:tcW w:type="dxa" w:w="1440"/>
            <w:shd w:fill="FFDCE0" w:val="clear"/>
          </w:tcPr>
          <w:p>
            <w:r>
              <w:rPr>
                <w:sz w:val="17"/>
              </w:rPr>
              <w:t>1,617</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w:t>
        <w:br/>
        <w:t>**Date : 04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29,11 milliards FCFA positionne NEIC comme une valeur de taille moyenne sur la BRVM, reflétant un intérêt certain des investisseurs pour ce titre. Avec un BPA de 160 FCFA, chaque action génère un bénéfice modeste, mais le PER de 14,3x se situe au-dessus de la moyenne historique de la BRVM (8-12x), indiquant que les investisseurs paient une prime pour la croissance anticipée. Cette prime est confirmée par le P/B de 5,06x, qui valorise fortement les actifs nets de l'entreprise, et par un EV/EBITDA de 21,2x, un niveau exigeant qui suggère que le marché intègre des perspectives de croissance future significatives. Ces ratios, bien que reflétant un optimisme certain, ne sont pas excessifs pour une société affichant une rentabilité exceptionnelle, mais ils laissent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progression spectaculaire de +64,03%, passant d'un plus bas de 1 350 FCFA à un plus haut de 2 400 FCFA, pour s'établir actuellement à 2 280 FCFA. Cette tendance haussière marquée, avec une stabilité lors de la dernière séance (J-1 : +0,00%), témoigne d'un fort momentum acheteur. Les statistiques descriptives révèlent une distribution relativement symétrique (skewness de -0,190) mais aplatie (kurtosis de -1,494), indiquant une faible concentration des variations autour de la moyenne. L'écart entre la moyenne (1 868 FCFA) et la médiane (1 940 FCFA) suggère une légère asymétrie, avec des extrêmes à la baisse. Le coefficient de variation de 19,6% montre une dispersion modérée, mais la volatilité annualisée de 47,9% classe le titre comme très risqué, avec des fluctuations de prix importantes sur l'année.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(2 280 FCFA) se situe au-dessus de la MM20 (2 217,25 FCFA) et de la MM50 (2 182,4 FCFA), confirmant une tendance haussière de court et moyen terme. La configuration en "courbe ascendante" des moyennes mobiles renforce le signal d'achat, indiquant que la dynamique positive est soutenue par les volumes et le momentum.</w:t>
      </w:r>
    </w:p>
    <w:p>
      <w:pPr>
        <w:spacing w:after="120" w:line="276" w:lineRule="auto"/>
      </w:pPr>
      <w:r>
        <w:t>**Bandes de Bollinger :** Le prix se négocie à l'intérieur des bandes, proche de la borne supérieure (2 386,9 FCFA) mais sans la toucher, ce qui suggère une volatilité modérée et une absence de surachat extrême. La décision est neutre, mais la position du cours dans la moitié supérieure de l'enveloppe indique une pression acheteuse persistante.</w:t>
      </w:r>
    </w:p>
    <w:p>
      <w:pPr>
        <w:spacing w:after="120" w:line="276" w:lineRule="auto"/>
      </w:pPr>
      <w:r>
        <w:t>**MACD :** Le MACD (28,766) est supérieur à sa ligne de signal (25,591), avec un écart positif qui se creuse. Cette configuration signale un momentum haussier robuste et une accélération de la tendance, justifiant la décision d'achat. La dynamique positive du MACD confirme la vigueur du mouvement actuel.</w:t>
      </w:r>
    </w:p>
    <w:p>
      <w:pPr>
        <w:spacing w:after="120" w:line="276" w:lineRule="auto"/>
      </w:pPr>
      <w:r>
        <w:t>**RSI :** Le RSI à 47,321 se situe en zone neutre, indiquant que le titre n'est ni suracheté ni survendu. Cette valeur suggère un équilibre entre les forces acheteuses et vendeuses, laissant une marge de progression avant d'atteindre des niveaux de surachat, ce qui est favorable pour la poursuite de la tendance.</w:t>
      </w:r>
    </w:p>
    <w:p>
      <w:pPr>
        <w:spacing w:after="120" w:line="276" w:lineRule="auto"/>
      </w:pPr>
      <w:r>
        <w:t>**Stochastique :** Le %K (81,25) et le %D (85,417) sont tous deux en zone de surachat (&gt;80), avec un croisement baissier potentiel. Cette configuration signale un épuisement possible du mouvement haussier à court terme, justifiant une décision de vente prudente pour les traders à horizon très court.</w:t>
      </w:r>
    </w:p>
    <w:p>
      <w:pPr>
        <w:spacing w:after="120" w:line="276" w:lineRule="auto"/>
      </w:pPr>
      <w:r>
        <w:t>**Conclusion technique :** Les indicateurs de tendance (MM, MACD) sont positifs et confirment la dynamique haussière, tandis que les oscillateurs (RSI, Stochastique) montrent des signes de saturation. Cette divergence suggère une consolidation possible à court terme avant la poursuite de la tendance de fond, mais le signal global reste constructif.</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Les états financiers 2025 (base brvm_donnees_financieres) révèlent une performance exceptionnelle avec un chiffre d'affaires de 5,139 milliards FCFA et un résultat net de 2,037 milliards FCFA, soit une marge nette de 39,6%. La rentabilité est remarquable avec un ROE de 35,4% et un ROA de 27,3%, largement supérieurs aux seuils d'excellence. La structure financière est saine avec une autonomie financière de 77% et une trésorerie nette de 4,196 milliards FCFA. Cependant, le taux de croissance du CA est négatif (-23,8%), et le délai clients de 154,7 jours constitue un risque de trésorerie, bien que le BFR de 1,498 milliard FCFA reste gérable. **Estimations basées sur les rapports trimestriels :** Le rapport T1 2026 (publié en 2026) montre une croissance du CA de +137% (115,1 millions FCFA) avec une perte nette réduite à -168,9 millions FCFA, suggérant un redressement progressif. Le rapport T3 2025 (publié en 2025) indiquait un bénéfice exceptionnel de 1,596 milliard FCFA, mais principalement dû à une reprise de provision, masquant une baisse de 35% du CA. **Évolution temporelle :** Les rapports 2024 (publiés en 2025) montrent une perte nette de -759 millions FCFA, contrastant fortement avec les 2,037 milliards FCFA de 2025, illustrant une volatilité extrême des résultats. La recommandation fondamentale est positive, mais la dépendance aux éléments non récurrents et la baisse structurelle du CA nécessitent une vigilance accrue.</w:t>
      </w:r>
    </w:p>
    <w:p>
      <w:pPr>
        <w:spacing w:after="120" w:line="276" w:lineRule="auto"/>
      </w:pPr>
      <w:r>
        <w:t>---</w:t>
      </w:r>
    </w:p>
    <w:p>
      <w:pPr>
        <w:spacing w:after="120" w:line="276" w:lineRule="auto"/>
      </w:pPr>
      <w:r>
        <w:t>### PARTIE 4 : CONCLUSION D'INVESTISSEMENT</w:t>
      </w:r>
    </w:p>
    <w:p>
      <w:pPr>
        <w:spacing w:after="120" w:line="276" w:lineRule="auto"/>
      </w:pPr>
      <w:r>
        <w:t>La valorisation actuelle (PER 14,3x, P/B 5,06x) reflète une prime significative par rapport au marché, justifiée par la rentabilité exceptionnelle de 2025 (ROE 35,4%) mais risquée si la performance se normalise. Le comportement du cours (+64% sur 100 jours) avec une volatilité élevée (47,9%) et une distribution platykurtique indique un titre spéculatif, bien que la tendance technique reste positive. Les signaux techniques sont mitigés : les moyennes mobiles et le MACD sont haussiers, mais le stochastique en surachat suggère un repli imminent. Les fondamentaux, bien qu'excellents en 2025, montrent une dégradation du CA et une dépendance aux éléments exceptionnels, comme le confirment les rapports trimestriels 2025 et T1 2026. Les prédictions IA (2 109 FCFA à 1 651 FCFA sur 10 jours) contredisent la tendance actuelle et anticipent une correction significative de -28%. **Recommandation finale : VENTE** avec un niveau de confiance **Moyen** et un risque global **Élevé**. La convergence des signaux (valorisation exigeante, surachat technique, prédictions baissières, fondamentaux en normalisation) justifie cette position prudente. Horizon d'investissement : **Court terme (&lt;3 mois)** pour les traders opportunistes, avec un stop-loss strict sous 2 047 FCFA (borne inférieure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594.12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2,047 titres</w:t>
            </w:r>
          </w:p>
        </w:tc>
        <w:tc>
          <w:tcPr>
            <w:tcW w:type="dxa" w:w="2268"/>
            <w:shd w:fill="FFF2CC" w:val="clear"/>
          </w:tcPr>
          <w:p>
            <w:r>
              <w:rPr>
                <w:b/>
                <w:color w:val="503200"/>
                <w:sz w:val="16"/>
              </w:rPr>
              <w:t xml:space="preserve">Cours actuel : </w:t>
            </w:r>
            <w:r>
              <w:rPr>
                <w:color w:val="000000"/>
                <w:sz w:val="17"/>
              </w:rPr>
              <w:t>24,020 FCFA</w:t>
            </w:r>
          </w:p>
          <w:p>
            <w:r>
              <w:rPr>
                <w:b/>
                <w:color w:val="503200"/>
                <w:sz w:val="16"/>
              </w:rPr>
              <w:t xml:space="preserve">Var. 100 jours : </w:t>
            </w:r>
            <w:r>
              <w:rPr>
                <w:b/>
                <w:color w:val="007800"/>
                <w:sz w:val="17"/>
              </w:rPr>
              <w:t>+68.09%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19.50% (Élevée) — μ=17,406 FCFA, σ=3,394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β=1.4571 (Agressif) — Cov=0.000053, Var(idx)=0.000036, ρ=0.369,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8728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23,365</w:t>
            </w:r>
          </w:p>
        </w:tc>
        <w:tc>
          <w:tcPr>
            <w:tcW w:type="dxa" w:w="1440"/>
            <w:shd w:fill="FAFAFA" w:val="clear"/>
          </w:tcPr>
          <w:p>
            <w:r>
              <w:rPr>
                <w:b/>
                <w:sz w:val="17"/>
              </w:rPr>
              <w:t>24,386</w:t>
            </w:r>
          </w:p>
        </w:tc>
        <w:tc>
          <w:tcPr>
            <w:tcW w:type="dxa" w:w="1440"/>
            <w:shd w:fill="FAFAFA" w:val="clear"/>
          </w:tcPr>
          <w:p>
            <w:r>
              <w:rPr>
                <w:sz w:val="17"/>
              </w:rPr>
              <w:t>25,408</w:t>
            </w:r>
          </w:p>
        </w:tc>
        <w:tc>
          <w:tcPr>
            <w:tcW w:type="dxa" w:w="1440"/>
            <w:shd w:fill="FAFAFA" w:val="clear"/>
          </w:tcPr>
          <w:p>
            <w:r>
              <w:rPr>
                <w:b/>
                <w:color w:val="008000"/>
                <w:sz w:val="17"/>
              </w:rPr>
              <w:t>+1.5%</w:t>
            </w:r>
          </w:p>
        </w:tc>
      </w:tr>
      <w:tr>
        <w:tc>
          <w:tcPr>
            <w:tcW w:type="dxa" w:w="1440"/>
            <w:shd w:fill="C6EFCE" w:val="clear"/>
          </w:tcPr>
          <w:p>
            <w:r>
              <w:rPr>
                <w:sz w:val="17"/>
              </w:rPr>
              <w:t>J+2  Moyenne</w:t>
            </w:r>
          </w:p>
        </w:tc>
        <w:tc>
          <w:tcPr>
            <w:tcW w:type="dxa" w:w="1440"/>
            <w:shd w:fill="C6EFCE" w:val="clear"/>
          </w:tcPr>
          <w:p>
            <w:r>
              <w:rPr>
                <w:sz w:val="17"/>
              </w:rPr>
              <w:t>2026-08-05</w:t>
            </w:r>
          </w:p>
        </w:tc>
        <w:tc>
          <w:tcPr>
            <w:tcW w:type="dxa" w:w="1440"/>
            <w:shd w:fill="C6EFCE" w:val="clear"/>
          </w:tcPr>
          <w:p>
            <w:r>
              <w:rPr>
                <w:sz w:val="17"/>
              </w:rPr>
              <w:t>23,314</w:t>
            </w:r>
          </w:p>
        </w:tc>
        <w:tc>
          <w:tcPr>
            <w:tcW w:type="dxa" w:w="1440"/>
            <w:shd w:fill="C6EFCE" w:val="clear"/>
          </w:tcPr>
          <w:p>
            <w:r>
              <w:rPr>
                <w:b/>
                <w:sz w:val="17"/>
              </w:rPr>
              <w:t>24,782</w:t>
            </w:r>
          </w:p>
        </w:tc>
        <w:tc>
          <w:tcPr>
            <w:tcW w:type="dxa" w:w="1440"/>
            <w:shd w:fill="C6EFCE" w:val="clear"/>
          </w:tcPr>
          <w:p>
            <w:r>
              <w:rPr>
                <w:sz w:val="17"/>
              </w:rPr>
              <w:t>26,250</w:t>
            </w:r>
          </w:p>
        </w:tc>
        <w:tc>
          <w:tcPr>
            <w:tcW w:type="dxa" w:w="1440"/>
            <w:shd w:fill="C6EFCE" w:val="clear"/>
          </w:tcPr>
          <w:p>
            <w:r>
              <w:rPr>
                <w:b/>
                <w:color w:val="008000"/>
                <w:sz w:val="17"/>
              </w:rPr>
              <w:t>+3.2%</w:t>
            </w:r>
          </w:p>
        </w:tc>
      </w:tr>
      <w:tr>
        <w:tc>
          <w:tcPr>
            <w:tcW w:type="dxa" w:w="1440"/>
            <w:shd w:fill="C6EFCE" w:val="clear"/>
          </w:tcPr>
          <w:p>
            <w:r>
              <w:rPr>
                <w:sz w:val="17"/>
              </w:rPr>
              <w:t>J+3  Moyenne</w:t>
            </w:r>
          </w:p>
        </w:tc>
        <w:tc>
          <w:tcPr>
            <w:tcW w:type="dxa" w:w="1440"/>
            <w:shd w:fill="C6EFCE" w:val="clear"/>
          </w:tcPr>
          <w:p>
            <w:r>
              <w:rPr>
                <w:sz w:val="17"/>
              </w:rPr>
              <w:t>2026-08-06</w:t>
            </w:r>
          </w:p>
        </w:tc>
        <w:tc>
          <w:tcPr>
            <w:tcW w:type="dxa" w:w="1440"/>
            <w:shd w:fill="C6EFCE" w:val="clear"/>
          </w:tcPr>
          <w:p>
            <w:r>
              <w:rPr>
                <w:sz w:val="17"/>
              </w:rPr>
              <w:t>23,343</w:t>
            </w:r>
          </w:p>
        </w:tc>
        <w:tc>
          <w:tcPr>
            <w:tcW w:type="dxa" w:w="1440"/>
            <w:shd w:fill="C6EFCE" w:val="clear"/>
          </w:tcPr>
          <w:p>
            <w:r>
              <w:rPr>
                <w:b/>
                <w:sz w:val="17"/>
              </w:rPr>
              <w:t>25,168</w:t>
            </w:r>
          </w:p>
        </w:tc>
        <w:tc>
          <w:tcPr>
            <w:tcW w:type="dxa" w:w="1440"/>
            <w:shd w:fill="C6EFCE" w:val="clear"/>
          </w:tcPr>
          <w:p>
            <w:r>
              <w:rPr>
                <w:sz w:val="17"/>
              </w:rPr>
              <w:t>26,994</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2026-08-10</w:t>
            </w:r>
          </w:p>
        </w:tc>
        <w:tc>
          <w:tcPr>
            <w:tcW w:type="dxa" w:w="1440"/>
            <w:shd w:fill="C6EFCE" w:val="clear"/>
          </w:tcPr>
          <w:p>
            <w:r>
              <w:rPr>
                <w:sz w:val="17"/>
              </w:rPr>
              <w:t>23,415</w:t>
            </w:r>
          </w:p>
        </w:tc>
        <w:tc>
          <w:tcPr>
            <w:tcW w:type="dxa" w:w="1440"/>
            <w:shd w:fill="C6EFCE" w:val="clear"/>
          </w:tcPr>
          <w:p>
            <w:r>
              <w:rPr>
                <w:b/>
                <w:sz w:val="17"/>
              </w:rPr>
              <w:t>25,555</w:t>
            </w:r>
          </w:p>
        </w:tc>
        <w:tc>
          <w:tcPr>
            <w:tcW w:type="dxa" w:w="1440"/>
            <w:shd w:fill="C6EFCE" w:val="clear"/>
          </w:tcPr>
          <w:p>
            <w:r>
              <w:rPr>
                <w:sz w:val="17"/>
              </w:rPr>
              <w:t>27,696</w:t>
            </w:r>
          </w:p>
        </w:tc>
        <w:tc>
          <w:tcPr>
            <w:tcW w:type="dxa" w:w="1440"/>
            <w:shd w:fill="C6EFCE" w:val="clear"/>
          </w:tcPr>
          <w:p>
            <w:r>
              <w:rPr>
                <w:b/>
                <w:color w:val="008000"/>
                <w:sz w:val="17"/>
              </w:rPr>
              <w:t>+6.4%</w:t>
            </w:r>
          </w:p>
        </w:tc>
      </w:tr>
      <w:tr>
        <w:tc>
          <w:tcPr>
            <w:tcW w:type="dxa" w:w="1440"/>
            <w:shd w:fill="C6EFCE" w:val="clear"/>
          </w:tcPr>
          <w:p>
            <w:r>
              <w:rPr>
                <w:sz w:val="17"/>
              </w:rPr>
              <w:t>J+5  ⭐</w:t>
            </w:r>
          </w:p>
        </w:tc>
        <w:tc>
          <w:tcPr>
            <w:tcW w:type="dxa" w:w="1440"/>
            <w:shd w:fill="C6EFCE" w:val="clear"/>
          </w:tcPr>
          <w:p>
            <w:r>
              <w:rPr>
                <w:sz w:val="17"/>
              </w:rPr>
              <w:t>2026-08-11</w:t>
            </w:r>
          </w:p>
        </w:tc>
        <w:tc>
          <w:tcPr>
            <w:tcW w:type="dxa" w:w="1440"/>
            <w:shd w:fill="C6EFCE" w:val="clear"/>
          </w:tcPr>
          <w:p>
            <w:r>
              <w:rPr>
                <w:sz w:val="17"/>
              </w:rPr>
              <w:t>23,512</w:t>
            </w:r>
          </w:p>
        </w:tc>
        <w:tc>
          <w:tcPr>
            <w:tcW w:type="dxa" w:w="1440"/>
            <w:shd w:fill="C6EFCE" w:val="clear"/>
          </w:tcPr>
          <w:p>
            <w:r>
              <w:rPr>
                <w:b/>
                <w:sz w:val="17"/>
              </w:rPr>
              <w:t>25,942</w:t>
            </w:r>
          </w:p>
        </w:tc>
        <w:tc>
          <w:tcPr>
            <w:tcW w:type="dxa" w:w="1440"/>
            <w:shd w:fill="C6EFCE" w:val="clear"/>
          </w:tcPr>
          <w:p>
            <w:r>
              <w:rPr>
                <w:sz w:val="17"/>
              </w:rPr>
              <w:t>28,371</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2026-08-12</w:t>
            </w:r>
          </w:p>
        </w:tc>
        <w:tc>
          <w:tcPr>
            <w:tcW w:type="dxa" w:w="1440"/>
            <w:shd w:fill="C6EFCE" w:val="clear"/>
          </w:tcPr>
          <w:p>
            <w:r>
              <w:rPr>
                <w:sz w:val="17"/>
              </w:rPr>
              <w:t>23,626</w:t>
            </w:r>
          </w:p>
        </w:tc>
        <w:tc>
          <w:tcPr>
            <w:tcW w:type="dxa" w:w="1440"/>
            <w:shd w:fill="C6EFCE" w:val="clear"/>
          </w:tcPr>
          <w:p>
            <w:r>
              <w:rPr>
                <w:b/>
                <w:sz w:val="17"/>
              </w:rPr>
              <w:t>26,327</w:t>
            </w:r>
          </w:p>
        </w:tc>
        <w:tc>
          <w:tcPr>
            <w:tcW w:type="dxa" w:w="1440"/>
            <w:shd w:fill="C6EFCE" w:val="clear"/>
          </w:tcPr>
          <w:p>
            <w:r>
              <w:rPr>
                <w:sz w:val="17"/>
              </w:rPr>
              <w:t>29,028</w:t>
            </w:r>
          </w:p>
        </w:tc>
        <w:tc>
          <w:tcPr>
            <w:tcW w:type="dxa" w:w="1440"/>
            <w:shd w:fill="C6EFCE" w:val="clear"/>
          </w:tcPr>
          <w:p>
            <w:r>
              <w:rPr>
                <w:b/>
                <w:color w:val="008000"/>
                <w:sz w:val="17"/>
              </w:rPr>
              <w:t>+9.6%</w:t>
            </w:r>
          </w:p>
        </w:tc>
      </w:tr>
      <w:tr>
        <w:tc>
          <w:tcPr>
            <w:tcW w:type="dxa" w:w="1440"/>
            <w:shd w:fill="C6EFCE" w:val="clear"/>
          </w:tcPr>
          <w:p>
            <w:r>
              <w:rPr>
                <w:sz w:val="17"/>
              </w:rPr>
              <w:t>J+7  ⭐</w:t>
            </w:r>
          </w:p>
        </w:tc>
        <w:tc>
          <w:tcPr>
            <w:tcW w:type="dxa" w:w="1440"/>
            <w:shd w:fill="C6EFCE" w:val="clear"/>
          </w:tcPr>
          <w:p>
            <w:r>
              <w:rPr>
                <w:sz w:val="17"/>
              </w:rPr>
              <w:t>2026-08-13</w:t>
            </w:r>
          </w:p>
        </w:tc>
        <w:tc>
          <w:tcPr>
            <w:tcW w:type="dxa" w:w="1440"/>
            <w:shd w:fill="C6EFCE" w:val="clear"/>
          </w:tcPr>
          <w:p>
            <w:r>
              <w:rPr>
                <w:sz w:val="17"/>
              </w:rPr>
              <w:t>23,752</w:t>
            </w:r>
          </w:p>
        </w:tc>
        <w:tc>
          <w:tcPr>
            <w:tcW w:type="dxa" w:w="1440"/>
            <w:shd w:fill="C6EFCE" w:val="clear"/>
          </w:tcPr>
          <w:p>
            <w:r>
              <w:rPr>
                <w:b/>
                <w:sz w:val="17"/>
              </w:rPr>
              <w:t>26,712</w:t>
            </w:r>
          </w:p>
        </w:tc>
        <w:tc>
          <w:tcPr>
            <w:tcW w:type="dxa" w:w="1440"/>
            <w:shd w:fill="C6EFCE" w:val="clear"/>
          </w:tcPr>
          <w:p>
            <w:r>
              <w:rPr>
                <w:sz w:val="17"/>
              </w:rPr>
              <w:t>29,672</w:t>
            </w:r>
          </w:p>
        </w:tc>
        <w:tc>
          <w:tcPr>
            <w:tcW w:type="dxa" w:w="1440"/>
            <w:shd w:fill="C6EFCE" w:val="clear"/>
          </w:tcPr>
          <w:p>
            <w:r>
              <w:rPr>
                <w:b/>
                <w:color w:val="008000"/>
                <w:sz w:val="17"/>
              </w:rPr>
              <w:t>+11.2%</w:t>
            </w:r>
          </w:p>
        </w:tc>
      </w:tr>
      <w:tr>
        <w:tc>
          <w:tcPr>
            <w:tcW w:type="dxa" w:w="1440"/>
            <w:shd w:fill="C6EFCE" w:val="clear"/>
          </w:tcPr>
          <w:p>
            <w:r>
              <w:rPr>
                <w:sz w:val="17"/>
              </w:rPr>
              <w:t>J+8  ⭐</w:t>
            </w:r>
          </w:p>
        </w:tc>
        <w:tc>
          <w:tcPr>
            <w:tcW w:type="dxa" w:w="1440"/>
            <w:shd w:fill="C6EFCE" w:val="clear"/>
          </w:tcPr>
          <w:p>
            <w:r>
              <w:rPr>
                <w:sz w:val="17"/>
              </w:rPr>
              <w:t>2026-08-14</w:t>
            </w:r>
          </w:p>
        </w:tc>
        <w:tc>
          <w:tcPr>
            <w:tcW w:type="dxa" w:w="1440"/>
            <w:shd w:fill="C6EFCE" w:val="clear"/>
          </w:tcPr>
          <w:p>
            <w:r>
              <w:rPr>
                <w:sz w:val="17"/>
              </w:rPr>
              <w:t>23,885</w:t>
            </w:r>
          </w:p>
        </w:tc>
        <w:tc>
          <w:tcPr>
            <w:tcW w:type="dxa" w:w="1440"/>
            <w:shd w:fill="C6EFCE" w:val="clear"/>
          </w:tcPr>
          <w:p>
            <w:r>
              <w:rPr>
                <w:b/>
                <w:sz w:val="17"/>
              </w:rPr>
              <w:t>27,095</w:t>
            </w:r>
          </w:p>
        </w:tc>
        <w:tc>
          <w:tcPr>
            <w:tcW w:type="dxa" w:w="1440"/>
            <w:shd w:fill="C6EFCE" w:val="clear"/>
          </w:tcPr>
          <w:p>
            <w:r>
              <w:rPr>
                <w:sz w:val="17"/>
              </w:rPr>
              <w:t>30,305</w:t>
            </w:r>
          </w:p>
        </w:tc>
        <w:tc>
          <w:tcPr>
            <w:tcW w:type="dxa" w:w="1440"/>
            <w:shd w:fill="C6EFCE" w:val="clear"/>
          </w:tcPr>
          <w:p>
            <w:r>
              <w:rPr>
                <w:b/>
                <w:color w:val="008000"/>
                <w:sz w:val="17"/>
              </w:rPr>
              <w:t>+12.8%</w:t>
            </w:r>
          </w:p>
        </w:tc>
      </w:tr>
      <w:tr>
        <w:tc>
          <w:tcPr>
            <w:tcW w:type="dxa" w:w="1440"/>
            <w:shd w:fill="C6EFCE" w:val="clear"/>
          </w:tcPr>
          <w:p>
            <w:r>
              <w:rPr>
                <w:sz w:val="17"/>
              </w:rPr>
              <w:t>J+9  ⭐</w:t>
            </w:r>
          </w:p>
        </w:tc>
        <w:tc>
          <w:tcPr>
            <w:tcW w:type="dxa" w:w="1440"/>
            <w:shd w:fill="C6EFCE" w:val="clear"/>
          </w:tcPr>
          <w:p>
            <w:r>
              <w:rPr>
                <w:sz w:val="17"/>
              </w:rPr>
              <w:t>2026-08-17</w:t>
            </w:r>
          </w:p>
        </w:tc>
        <w:tc>
          <w:tcPr>
            <w:tcW w:type="dxa" w:w="1440"/>
            <w:shd w:fill="C6EFCE" w:val="clear"/>
          </w:tcPr>
          <w:p>
            <w:r>
              <w:rPr>
                <w:sz w:val="17"/>
              </w:rPr>
              <w:t>24,024</w:t>
            </w:r>
          </w:p>
        </w:tc>
        <w:tc>
          <w:tcPr>
            <w:tcW w:type="dxa" w:w="1440"/>
            <w:shd w:fill="C6EFCE" w:val="clear"/>
          </w:tcPr>
          <w:p>
            <w:r>
              <w:rPr>
                <w:b/>
                <w:sz w:val="17"/>
              </w:rPr>
              <w:t>27,476</w:t>
            </w:r>
          </w:p>
        </w:tc>
        <w:tc>
          <w:tcPr>
            <w:tcW w:type="dxa" w:w="1440"/>
            <w:shd w:fill="C6EFCE" w:val="clear"/>
          </w:tcPr>
          <w:p>
            <w:r>
              <w:rPr>
                <w:sz w:val="17"/>
              </w:rPr>
              <w:t>30,928</w:t>
            </w:r>
          </w:p>
        </w:tc>
        <w:tc>
          <w:tcPr>
            <w:tcW w:type="dxa" w:w="1440"/>
            <w:shd w:fill="C6EFCE" w:val="clear"/>
          </w:tcPr>
          <w:p>
            <w:r>
              <w:rPr>
                <w:b/>
                <w:color w:val="008000"/>
                <w:sz w:val="17"/>
              </w:rPr>
              <w:t>+14.4%</w:t>
            </w:r>
          </w:p>
        </w:tc>
      </w:tr>
      <w:tr>
        <w:tc>
          <w:tcPr>
            <w:tcW w:type="dxa" w:w="1440"/>
            <w:shd w:fill="C6EFCE" w:val="clear"/>
          </w:tcPr>
          <w:p>
            <w:r>
              <w:rPr>
                <w:sz w:val="17"/>
              </w:rPr>
              <w:t>J+10  ⭐</w:t>
            </w:r>
          </w:p>
        </w:tc>
        <w:tc>
          <w:tcPr>
            <w:tcW w:type="dxa" w:w="1440"/>
            <w:shd w:fill="C6EFCE" w:val="clear"/>
          </w:tcPr>
          <w:p>
            <w:r>
              <w:rPr>
                <w:sz w:val="17"/>
              </w:rPr>
              <w:t>2026-08-18</w:t>
            </w:r>
          </w:p>
        </w:tc>
        <w:tc>
          <w:tcPr>
            <w:tcW w:type="dxa" w:w="1440"/>
            <w:shd w:fill="C6EFCE" w:val="clear"/>
          </w:tcPr>
          <w:p>
            <w:r>
              <w:rPr>
                <w:sz w:val="17"/>
              </w:rPr>
              <w:t>24,165</w:t>
            </w:r>
          </w:p>
        </w:tc>
        <w:tc>
          <w:tcPr>
            <w:tcW w:type="dxa" w:w="1440"/>
            <w:shd w:fill="C6EFCE" w:val="clear"/>
          </w:tcPr>
          <w:p>
            <w:r>
              <w:rPr>
                <w:b/>
                <w:sz w:val="17"/>
              </w:rPr>
              <w:t>27,854</w:t>
            </w:r>
          </w:p>
        </w:tc>
        <w:tc>
          <w:tcPr>
            <w:tcW w:type="dxa" w:w="1440"/>
            <w:shd w:fill="C6EFCE" w:val="clear"/>
          </w:tcPr>
          <w:p>
            <w:r>
              <w:rPr>
                <w:sz w:val="17"/>
              </w:rPr>
              <w:t>31,544</w:t>
            </w:r>
          </w:p>
        </w:tc>
        <w:tc>
          <w:tcPr>
            <w:tcW w:type="dxa" w:w="1440"/>
            <w:shd w:fill="C6EFCE" w:val="clear"/>
          </w:tcPr>
          <w:p>
            <w:r>
              <w:rPr>
                <w:b/>
                <w:color w:val="008000"/>
                <w:sz w:val="17"/>
              </w:rPr>
              <w:t>+16.0%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594,12 milliards FCFA, positionnant le titre parmi les valeurs à grande capitalisation de la BRVM, ce qui lui confère une liquidité et une visibilité notables. Avec un BPA de 1 646 FCFA, chaque action génère un bénéfice substantiel, justifiant un PER de 14,6x. Ce ratio, bien que supérieur à la moyenne historique du marché BRVM (8-12x), reflète la prime de croissance accordée à la banque pour ses performances solides et ses perspectives prometteuses. Le P/B de 2,55x indique que le marché valorise l'action au-dessus de sa valeur comptable, signe de confiance dans la création de valeur future, tandis que l'EV/EBITDA de 22,0x, nettement supérieur au seuil de 15x, suggère une valorisation exigeante qui intègre des hypothèses de croissance soutenue et de maîtrise des risques.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+68,09%, avec un cours actuel de 24 020 FCFA, et une variation de +2,98% lors de la dernière séance, témoignant d'un momentum haussier persistant. Le titre a évolué dans une fourchette de 13 810 FCFA (plus bas) à 24 020 FCFA (plus haut), démontrant une forte dynamique de rattrapage et d'appréciation. La moyenne du cours sur la période (17 406 FCFA) est inférieure à la médiane (17 985 FCFA), indiquant une distribution légèrement asymétrique avec une concentration des valeurs vers le bas de la fourchette avant la récente accélération. L'écart-type de 3 411 FCFA, avec un coefficient de variation de 19,6%, révèle une dispersion modérée, tandis que le kurtosis de -1,313 (platykurtique) suggère une faible probabilité de mouvements extrêmes, et le skewness de 0,365 confirme une asymétrie positive. La volatilité annualisée de 37,7% classe le titre comme très volatil, reflétant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Les moyennes mobiles sur 20 jours (22 499,75 FCFA) et sur 50 jours (20 465,3 FCFA) sont toutes deux inférieures au cours actuel de 24 020 FCFA, confirmant une tendance haussière robuste. La configuration en "courbe ascendante" des MM20 et MM50 renforce le signal d'achat, indiquant que la dynamique positive est soutenue à court et moyen terme.</w:t>
      </w:r>
    </w:p>
    <w:p>
      <w:pPr>
        <w:spacing w:after="120" w:line="276" w:lineRule="auto"/>
      </w:pPr>
      <w:r>
        <w:t>Le cours se situe près de la borne supérieure des bandes de Bollinger (24 454,98 FCFA), à 434,98 FCFA en dessous, ce qui suggère une pression acheteuse soutenue mais aussi une possible surachauffe à court terme. La décision "Neutre" indique que le marché n'est pas encore en situation de surachat extrême, mais une consolidation pourrait survenir si le cours touche la borne.</w:t>
      </w:r>
    </w:p>
    <w:p>
      <w:pPr>
        <w:spacing w:after="120" w:line="276" w:lineRule="auto"/>
      </w:pPr>
      <w:r>
        <w:t>Le MACD affiche une valeur de 996,09, légèrement inférieure à son signal de 1 007,06, créant un croisement baissier potentiel. Cette divergence suggère un affaiblissement du momentum haussier à très court terme, bien que la valeur reste positive, indiquant que la tendance de fond demeure haussière.</w:t>
      </w:r>
    </w:p>
    <w:p>
      <w:pPr>
        <w:spacing w:after="120" w:line="276" w:lineRule="auto"/>
      </w:pPr>
      <w:r>
        <w:t>Le RSI à 69,22 se situe en zone neutre, proche du seuil de surachat de 70. Cette valeur indique que le titre est fortement dynamique mais pas encore en situation de surachat extrême, laissant une marge de progression avant une éventuelle correction.</w:t>
      </w:r>
    </w:p>
    <w:p>
      <w:pPr>
        <w:spacing w:after="120" w:line="276" w:lineRule="auto"/>
      </w:pPr>
      <w:r>
        <w:t>Le stochastique avec %K à 100,0 et %D à 90,31 signale une condition de surachat extrême, avec %K nettement au-dessus de %D. Cette configuration suggère un épuisement potentiel de la dynamique haussière à très court terme, justifiant la décision de vente.</w:t>
      </w:r>
    </w:p>
    <w:p>
      <w:pPr>
        <w:spacing w:after="120" w:line="276" w:lineRule="auto"/>
      </w:pPr>
      <w:r>
        <w:t>En conclusion technique, les indicateurs sont partagés : les moyennes mobiles confirment une tendance haussière solide, mais le MACD, le RSI et surtout le stochastique signalent une possible correction à court terme. La prudence est recommandée, avec un risque de consolidation après une hausse aussi rapide.</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de 112,928 milliards FCFA, en hausse de 15,4% par rapport à 2024, et un résultat net de 40,712 milliards FCFA, en progression de 7%. Le ROE de 17,45% et le ROA de 1,32% témoignent d'une excellente rentabilité, tandis que le coefficient d'exploitation de 54,59% confirme une gestion efficace. Le coût du risque de 7,54% reste élevé, indiquant une détérioration de la qualité du portefeuille de crédits, avec des provisions de 8,51 milliards FCFA. Les dépôts clientèle (2 242,218 milliards FCFA) couvrent largement les créances clientèle (1 818,671 milliards FCFA), assurant une transformation saine. Sur la base du rapport T1 2026 (PNB +28% à 28,615 milliards FCFA, résultat net +53% à 10,912 milliards FCFA), on estime que l'exercice 2026 pourrait voir un PNB annuel dépasser 130 milliards FCFA et un résultat net supérieur à 50 milliards FCFA, confirmant la dynamique positive. La banque bénéficie d'une solide base de capitaux propres (233,303 milliards FCFA) et d'une stratégie axée sur la digitalisation et les financements verts, bien que le coût du risque et la dépendance aux revenus de titres restent des points de vigilance.</w:t>
      </w:r>
    </w:p>
    <w:p>
      <w:pPr>
        <w:spacing w:after="120" w:line="276" w:lineRule="auto" w:before="240"/>
      </w:pPr>
      <w:r>
        <w:rPr>
          <w:b/>
          <w:color w:val="003366"/>
          <w:sz w:val="24"/>
        </w:rPr>
        <w:t>**PARTIE 4 : CONCLUSION D'INVESTISSEMENT**</w:t>
      </w:r>
    </w:p>
    <w:p>
      <w:pPr>
        <w:spacing w:after="120" w:line="276" w:lineRule="auto"/>
      </w:pPr>
      <w:r>
        <w:t>La valorisation de NSBC, avec un PER de 14,6x et un P/B de 2,55x, indique une prime de croissance justifiée par des fondamentaux solides, mais l'EV/EBITDA de 22,0x suggère une valorisation exigeante. Le comportement du cours, avec une hausse de 68,09% sur 100 jours et une volatilité annualisée de 37,7%, reflète un optimisme marqué, bien que le kurtosis platykurtique et le skewness positif indiquent un risque de mouvements brusques. Les signaux techniques sont mitigés : les moyennes mobiles sont haussières, mais le MACD, le RSI et le stochastique suggèrent une possible correction à court terme. Les fondamentaux restent robustes avec une croissance du PNB et du résultat net, un ROE de 17,45% et un coefficient d'exploitation de 54,59%, malgré un coût du risque élevé. Les prédictions IA pour les 10 prochains jours (24 386 à 25 942 FCFA) confirment une poursuite de la hausse, mais avec un rythme plus modéré. En synthèse, la convergence entre la solidité fondamentale, la tendance haussière et les prédictions IA soutient une recommandation **ACHAT**, avec un niveau de confiance **Moyen** et un risque global **Élevé** en raison de la volatilité et de la valorisation tendue. L'horizon d'investissement optimal est le **moyen terme (3-12 mois)**, permettant de bénéficier de la croissance tout en surveillant les signaux de surachat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365.27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1,976 titres</w:t>
            </w:r>
          </w:p>
        </w:tc>
        <w:tc>
          <w:tcPr>
            <w:tcW w:type="dxa" w:w="2268"/>
            <w:shd w:fill="FFF2CC" w:val="clear"/>
          </w:tcPr>
          <w:p>
            <w:r>
              <w:rPr>
                <w:b/>
                <w:color w:val="503200"/>
                <w:sz w:val="16"/>
              </w:rPr>
              <w:t xml:space="preserve">Cours actuel : </w:t>
            </w:r>
            <w:r>
              <w:rPr>
                <w:color w:val="000000"/>
                <w:sz w:val="17"/>
              </w:rPr>
              <w:t>16,550 FCFA</w:t>
            </w:r>
          </w:p>
          <w:p>
            <w:r>
              <w:rPr>
                <w:b/>
                <w:color w:val="503200"/>
                <w:sz w:val="16"/>
              </w:rPr>
              <w:t xml:space="preserve">Var. 100 jours : </w:t>
            </w:r>
            <w:r>
              <w:rPr>
                <w:b/>
                <w:color w:val="007800"/>
                <w:sz w:val="17"/>
              </w:rPr>
              <w:t>+32.40%</w:t>
            </w:r>
          </w:p>
          <w:p>
            <w:r>
              <w:rPr>
                <w:b/>
                <w:color w:val="503200"/>
                <w:sz w:val="16"/>
              </w:rPr>
              <w:t xml:space="preserve">Plus haut 100j : </w:t>
            </w:r>
            <w:r>
              <w:rPr>
                <w:color w:val="000000"/>
                <w:sz w:val="17"/>
              </w:rPr>
              <w:t>16,550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12.58% (Moyenne) — μ=13,768 FCFA, σ=1,733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β=0.3088 (Défensif) — Cov=0.000011, Var(idx)=0.000036, ρ=0.087,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728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15,934</w:t>
            </w:r>
          </w:p>
        </w:tc>
        <w:tc>
          <w:tcPr>
            <w:tcW w:type="dxa" w:w="1440"/>
            <w:shd w:fill="FAFAFA" w:val="clear"/>
          </w:tcPr>
          <w:p>
            <w:r>
              <w:rPr>
                <w:b/>
                <w:sz w:val="17"/>
              </w:rPr>
              <w:t>16,308</w:t>
            </w:r>
          </w:p>
        </w:tc>
        <w:tc>
          <w:tcPr>
            <w:tcW w:type="dxa" w:w="1440"/>
            <w:shd w:fill="FAFAFA" w:val="clear"/>
          </w:tcPr>
          <w:p>
            <w:r>
              <w:rPr>
                <w:sz w:val="17"/>
              </w:rPr>
              <w:t>16,682</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15,753</w:t>
            </w:r>
          </w:p>
        </w:tc>
        <w:tc>
          <w:tcPr>
            <w:tcW w:type="dxa" w:w="1440"/>
            <w:shd w:fill="FAFAFA" w:val="clear"/>
          </w:tcPr>
          <w:p>
            <w:r>
              <w:rPr>
                <w:b/>
                <w:sz w:val="17"/>
              </w:rPr>
              <w:t>16,281</w:t>
            </w:r>
          </w:p>
        </w:tc>
        <w:tc>
          <w:tcPr>
            <w:tcW w:type="dxa" w:w="1440"/>
            <w:shd w:fill="FAFAFA" w:val="clear"/>
          </w:tcPr>
          <w:p>
            <w:r>
              <w:rPr>
                <w:sz w:val="17"/>
              </w:rPr>
              <w:t>16,809</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15,592</w:t>
            </w:r>
          </w:p>
        </w:tc>
        <w:tc>
          <w:tcPr>
            <w:tcW w:type="dxa" w:w="1440"/>
            <w:shd w:fill="FAFAFA" w:val="clear"/>
          </w:tcPr>
          <w:p>
            <w:r>
              <w:rPr>
                <w:b/>
                <w:sz w:val="17"/>
              </w:rPr>
              <w:t>16,237</w:t>
            </w:r>
          </w:p>
        </w:tc>
        <w:tc>
          <w:tcPr>
            <w:tcW w:type="dxa" w:w="1440"/>
            <w:shd w:fill="FAFAFA" w:val="clear"/>
          </w:tcPr>
          <w:p>
            <w:r>
              <w:rPr>
                <w:sz w:val="17"/>
              </w:rPr>
              <w:t>16,882</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15,448</w:t>
            </w:r>
          </w:p>
        </w:tc>
        <w:tc>
          <w:tcPr>
            <w:tcW w:type="dxa" w:w="1440"/>
            <w:shd w:fill="FFDCE0" w:val="clear"/>
          </w:tcPr>
          <w:p>
            <w:r>
              <w:rPr>
                <w:b/>
                <w:sz w:val="17"/>
              </w:rPr>
              <w:t>16,191</w:t>
            </w:r>
          </w:p>
        </w:tc>
        <w:tc>
          <w:tcPr>
            <w:tcW w:type="dxa" w:w="1440"/>
            <w:shd w:fill="FFDCE0" w:val="clear"/>
          </w:tcPr>
          <w:p>
            <w:r>
              <w:rPr>
                <w:sz w:val="17"/>
              </w:rPr>
              <w:t>16,934</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15,318</w:t>
            </w:r>
          </w:p>
        </w:tc>
        <w:tc>
          <w:tcPr>
            <w:tcW w:type="dxa" w:w="1440"/>
            <w:shd w:fill="FFDCE0" w:val="clear"/>
          </w:tcPr>
          <w:p>
            <w:r>
              <w:rPr>
                <w:b/>
                <w:sz w:val="17"/>
              </w:rPr>
              <w:t>16,146</w:t>
            </w:r>
          </w:p>
        </w:tc>
        <w:tc>
          <w:tcPr>
            <w:tcW w:type="dxa" w:w="1440"/>
            <w:shd w:fill="FFDCE0" w:val="clear"/>
          </w:tcPr>
          <w:p>
            <w:r>
              <w:rPr>
                <w:sz w:val="17"/>
              </w:rPr>
              <w:t>16,974</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15,198</w:t>
            </w:r>
          </w:p>
        </w:tc>
        <w:tc>
          <w:tcPr>
            <w:tcW w:type="dxa" w:w="1440"/>
            <w:shd w:fill="FFDCE0" w:val="clear"/>
          </w:tcPr>
          <w:p>
            <w:r>
              <w:rPr>
                <w:b/>
                <w:sz w:val="17"/>
              </w:rPr>
              <w:t>16,102</w:t>
            </w:r>
          </w:p>
        </w:tc>
        <w:tc>
          <w:tcPr>
            <w:tcW w:type="dxa" w:w="1440"/>
            <w:shd w:fill="FFDCE0" w:val="clear"/>
          </w:tcPr>
          <w:p>
            <w:r>
              <w:rPr>
                <w:sz w:val="17"/>
              </w:rPr>
              <w:t>17,007</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15,086</w:t>
            </w:r>
          </w:p>
        </w:tc>
        <w:tc>
          <w:tcPr>
            <w:tcW w:type="dxa" w:w="1440"/>
            <w:shd w:fill="FFDCE0" w:val="clear"/>
          </w:tcPr>
          <w:p>
            <w:r>
              <w:rPr>
                <w:b/>
                <w:sz w:val="17"/>
              </w:rPr>
              <w:t>16,060</w:t>
            </w:r>
          </w:p>
        </w:tc>
        <w:tc>
          <w:tcPr>
            <w:tcW w:type="dxa" w:w="1440"/>
            <w:shd w:fill="FFDCE0" w:val="clear"/>
          </w:tcPr>
          <w:p>
            <w:r>
              <w:rPr>
                <w:sz w:val="17"/>
              </w:rPr>
              <w:t>17,035</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14,980</w:t>
            </w:r>
          </w:p>
        </w:tc>
        <w:tc>
          <w:tcPr>
            <w:tcW w:type="dxa" w:w="1440"/>
            <w:shd w:fill="FFDCE0" w:val="clear"/>
          </w:tcPr>
          <w:p>
            <w:r>
              <w:rPr>
                <w:b/>
                <w:sz w:val="17"/>
              </w:rPr>
              <w:t>16,019</w:t>
            </w:r>
          </w:p>
        </w:tc>
        <w:tc>
          <w:tcPr>
            <w:tcW w:type="dxa" w:w="1440"/>
            <w:shd w:fill="FFDCE0" w:val="clear"/>
          </w:tcPr>
          <w:p>
            <w:r>
              <w:rPr>
                <w:sz w:val="17"/>
              </w:rPr>
              <w:t>17,059</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14,880</w:t>
            </w:r>
          </w:p>
        </w:tc>
        <w:tc>
          <w:tcPr>
            <w:tcW w:type="dxa" w:w="1440"/>
            <w:shd w:fill="FFDCE0" w:val="clear"/>
          </w:tcPr>
          <w:p>
            <w:r>
              <w:rPr>
                <w:b/>
                <w:sz w:val="17"/>
              </w:rPr>
              <w:t>15,979</w:t>
            </w:r>
          </w:p>
        </w:tc>
        <w:tc>
          <w:tcPr>
            <w:tcW w:type="dxa" w:w="1440"/>
            <w:shd w:fill="FFDCE0" w:val="clear"/>
          </w:tcPr>
          <w:p>
            <w:r>
              <w:rPr>
                <w:sz w:val="17"/>
              </w:rPr>
              <w:t>17,079</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14,784</w:t>
            </w:r>
          </w:p>
        </w:tc>
        <w:tc>
          <w:tcPr>
            <w:tcW w:type="dxa" w:w="1440"/>
            <w:shd w:fill="FFDCE0" w:val="clear"/>
          </w:tcPr>
          <w:p>
            <w:r>
              <w:rPr>
                <w:b/>
                <w:sz w:val="17"/>
              </w:rPr>
              <w:t>15,940</w:t>
            </w:r>
          </w:p>
        </w:tc>
        <w:tc>
          <w:tcPr>
            <w:tcW w:type="dxa" w:w="1440"/>
            <w:shd w:fill="FFDCE0" w:val="clear"/>
          </w:tcPr>
          <w:p>
            <w:r>
              <w:rPr>
                <w:sz w:val="17"/>
              </w:rPr>
              <w:t>17,096</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structuré et professionnel pour l'action **NTLC** (Nestlé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365,27 milliards FCFA, NTLC se positionne comme l'une des valeurs les plus significatives de la BRVM, reflétant la confiance des investisseurs dans ce leader des biens de consommation. Le BPA de 835 FCFA indique que chaque action a généré un bénéfice substantiel sur l'exercice. Le PER de 19,8x est nettement supérieur à la moyenne historique de la BRVM (8-12x), signifiant que les investisseurs acceptent de payer une prime pour la qualité et la stabilité des bénéfices de Nestlé. Cette prime est encore plus flagrante avec un P/B de 12,34x, très au-dessus du seuil de 4x, indiquant une valorisation de marché bien supérieure à la valeur comptable des actifs. Enfin, un EV/EBITDA de 9,8x, dans la fourchette raisonnable (5-10x), suggère que la valeur totale de l'entreprise reste cohérente avec sa capacité à générer du cash-flow opérationnel.</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remarquable de +32,40%, avec une légère hausse de +0,30% lors de la dernière séance, clôturant à 16 550 FCFA. Le titre a évolué dans une fourchette de 11 150 FCFA (plus bas) à 16 550 FCFA (plus haut), démontrant une dynamique haussière soutenue. La moyenne du cours sur la période est de 13 768 FCFA, tandis que la médiane est de 12 948 FCFA ; cet écart, couplé à un skewness positif de 0.425, indique une distribution asymétrique avec une queue de distribution vers les hauts cours, confirmant la tendance haussière. L'écart-type de 1 741 FCFA (CV=12.6%) montre une dispersion modérée des prix autour de la moyenne. Le kurtosis négatif (-1.405) signale une distribution platykurtique, avec moins de valeurs extrêmes que la normale, ce qui réduit le risque de mouvements violents. La volatilité annualisée de 33,5% classe le titre comme à forte volatilité, un niveau élevé qui implique un risque significatif mais aussi un potentiel de rendement important.</w:t>
      </w:r>
    </w:p>
    <w:p>
      <w:pPr>
        <w:spacing w:after="120" w:line="276" w:lineRule="auto"/>
      </w:pPr>
      <w:r>
        <w:t>### PARTIE 2 : ANALYSE TECHNIQUE DÉTAILLÉE</w:t>
      </w:r>
    </w:p>
    <w:p>
      <w:pPr>
        <w:spacing w:after="120" w:line="276" w:lineRule="auto"/>
      </w:pPr>
      <w:r>
        <w:t>**Moyennes Mobiles** : Le cours actuel de 16 550 FCFA se situe au-dessus de sa MM20 (16 268 FCFA) et de sa MM50 (15 215 FCFA), ce qui confirme une tendance haussière de court et moyen terme. La configuration des moyennes mobiles, avec la MM20 au-dessus de la MM50, est un signal classique d'achat, indiquant que la dynamique positive est toujours en place.</w:t>
      </w:r>
    </w:p>
    <w:p>
      <w:pPr>
        <w:spacing w:after="120" w:line="276" w:lineRule="auto"/>
      </w:pPr>
      <w:r>
        <w:t>**Bandes de Bollinger** : Le prix se négocie près de la borne supérieure (16 786 FCFA), à 16 550 FCFA, ce qui indique une pression acheteuse soutenue. La largeur des bandes (écart de ~1 036 FCFA) reflète la volatilité élevée du titre. La décision est "Neutre" car le prix, bien que proche de la borne supérieure, n'a pas encore franchi ce niveau de résistance, ce qui pourrait signaler une consolidation ou une poursuite de la hausse.</w:t>
      </w:r>
    </w:p>
    <w:p>
      <w:pPr>
        <w:spacing w:after="120" w:line="276" w:lineRule="auto"/>
      </w:pPr>
      <w:r>
        <w:t>**MACD** : La valeur du MACD (364.22) est inférieure à son signal (410.51), ce qui génère une décision de "Vente". Cette configuration indique un ralentissement du momentum haussier à court terme. Bien que les deux lignes soient en territoire positif, le croisement baissier suggère une possible phase de correction ou de consolidation après la forte hausse récente.</w:t>
      </w:r>
    </w:p>
    <w:p>
      <w:pPr>
        <w:spacing w:after="120" w:line="276" w:lineRule="auto"/>
      </w:pPr>
      <w:r>
        <w:t>**RSI** : Avec une valeur de 72.92, le RSI est en zone de surachat (&gt;70). Cela signale que le titre a été fortement acheté et pourrait être temporairement surévalué d'un point de vue technique. La décision de "Vente" suggère un risque de retournement ou de pause dans la tendance haussière, les investisseurs pouvant être tentés de prendre leurs profits.</w:t>
      </w:r>
    </w:p>
    <w:p>
      <w:pPr>
        <w:spacing w:after="120" w:line="276" w:lineRule="auto"/>
      </w:pPr>
      <w:r>
        <w:t>**Stochastique** : Le %K (100.0) et le %D (95.78) sont tous deux à des niveaux extrêmement élevés, en territoire de surachat. Le %K étant au-dessus du %D, la dynamique est positive, mais ces niveaux extrêmes indiquent que le marché est survendu à la hausse, augmentant le risque d'un retournement technique imminent. La décision de "Vente" est donc cohérente avec ces lectures.</w:t>
      </w:r>
    </w:p>
    <w:p>
      <w:pPr>
        <w:spacing w:after="120" w:line="276" w:lineRule="auto"/>
      </w:pPr>
      <w:r>
        <w:t>**Conclusion technique** : Les indicateurs de tendance (MM) sont positifs, mais les oscillateurs (RSI, Stochastique, MACD) signalent tous une condition de surachat et un momentum en perte de vitesse. Cette divergence entre la tendance de fond et les signaux à court terme suggère une probabilité élevée de consolidation ou de correction technique à brève échéance, avant une possible reprise de la tendance haussière.</w:t>
      </w:r>
    </w:p>
    <w:p>
      <w:pPr>
        <w:spacing w:after="120" w:line="276" w:lineRule="auto"/>
      </w:pPr>
      <w:r>
        <w:t>### PARTIE 3 : ANALYSE FONDAMENTALE (SECTION CRITIQUE)</w:t>
      </w:r>
    </w:p>
    <w:p>
      <w:pPr>
        <w:spacing w:after="120" w:line="276" w:lineRule="auto"/>
      </w:pPr>
      <w:r>
        <w:t>En 2025, selon les données structurées, NTLC a réalisé un chiffre d'affaires de 233,26 milliards FCFA, en croissance de +5,97% par rapport à 2024 (220,11 Mds FCFA). Le résultat net s'établit à 18,43 milliards FCFA, en légère hausse de +1,53% sur un an. La rentabilité reste excellente avec un ROE de 62,28% et un ROA de 9,70%, bien au-dessus des seuils de performance. En tant qu'entreprise, l'analyse du BFR (22,63 Mds FCFA) et des délais de paiement clients (74,3 jours) et de stockage (59,4 jours) révèle un besoin de financement du cycle d'exploitation, mais l'entreprise reste solvable (ratio de 118,4%). Le rapport annuel 2025 (daté du 31/12/2025) souligne une politique de dividende plus conservatrice, avec une réduction de moitié du dividende total proposé (9,27 Mds FCFA vs 18,10 Mds en 2024), privilégiant le réinvestissement. Les rapports trimestriels de 2025 montrent une année en deux temps : un T1 difficile (CA -11%) suivi d'un redressement progressif. Cependant, le rapport du T1 2026 (daté du 31/03/2026) est spectaculaire : le CA bondit de +31% à 70,82 Mds FCFA et le résultat net de +37% à 7,53 Mds FCFA, avec une marge nette améliorée à 10,6%. Sur cette base, on estime que l'exercice 2026 pourrait dépasser les 250 Mds FCFA de CA et atteindre un résultat net de plus de 25 Mds FCFA, confirmant une accélération significative de la croissance et de la rentabilité.</w:t>
      </w:r>
    </w:p>
    <w:p>
      <w:pPr>
        <w:spacing w:after="120" w:line="276" w:lineRule="auto"/>
      </w:pPr>
      <w:r>
        <w:t>### PARTIE 4 : CONCLUSION D'INVESTISSEMENT</w:t>
      </w:r>
    </w:p>
    <w:p>
      <w:pPr>
        <w:spacing w:after="120" w:line="276" w:lineRule="auto"/>
      </w:pPr>
      <w:r>
        <w:t>La valorisation de NTLC est exigeante (PER 19,8x, P/B 12,34x), mais elle est justifiée par une rentabilité exceptionnelle (ROE &gt;60%) et des perspectives de croissance ravivées. Le comportement du cours est très favorable, avec une tendance haussière marquée (+32,4% en 100 jours), mais la forte volatilité (33,5%) et les statistiques (kurtosis platykurtique) suggèrent un risque de retournement. Les signaux techniques sont mitigés : la tendance de fond (MM) est positive, mais tous les oscillateurs (RSI, Stochastique, MACD) sont en zone de surachat, signalant un risque de correction à court terme. Les fondamentaux sont solides, avec une croissance de 5,97% en 2025 et une accélération spectaculaire au T1 2026 (+31% CA, +37% RN), laissant présager une année 2026 exceptionnelle. Les prédictions IA pour les 10 prochains jours (baisse progressive de 16 308 à 16 146 FCFA) confirment le scénario d'une consolidation technique à court terme. En synthèse, la convergence entre des fondamentaux en forte amélioration et une tendance de fond haussière plaide pour une recommandation **ACHAT**, malgré un risque de correction technique. Le niveau de confiance est **Moyen** (en raison des signaux de surachat), et le risque global est **Moyen** (volatilité élevée). L'horizon d'investissement optimal est le **moyen terme (3-12 mois)**, pour capitaliser sur la dynamique de croissance 2026 après une éventuelle phase de consolidation.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203.32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5,579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007800"/>
                <w:sz w:val="17"/>
              </w:rPr>
              <w:t>+4.91%</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3.46% (Faible) — μ=2,831 FCFA, σ=98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β=0.2972 (Défensif) — Cov=0.000011, Var(idx)=0.000036, ρ=0.084,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8954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2,876</w:t>
            </w:r>
          </w:p>
        </w:tc>
        <w:tc>
          <w:tcPr>
            <w:tcW w:type="dxa" w:w="1440"/>
            <w:shd w:fill="FAFAFA" w:val="clear"/>
          </w:tcPr>
          <w:p>
            <w:r>
              <w:rPr>
                <w:b/>
                <w:sz w:val="17"/>
              </w:rPr>
              <w:t>2,957</w:t>
            </w:r>
          </w:p>
        </w:tc>
        <w:tc>
          <w:tcPr>
            <w:tcW w:type="dxa" w:w="1440"/>
            <w:shd w:fill="FAFAFA" w:val="clear"/>
          </w:tcPr>
          <w:p>
            <w:r>
              <w:rPr>
                <w:sz w:val="17"/>
              </w:rPr>
              <w:t>3,039</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2,842</w:t>
            </w:r>
          </w:p>
        </w:tc>
        <w:tc>
          <w:tcPr>
            <w:tcW w:type="dxa" w:w="1440"/>
            <w:shd w:fill="FAFAFA" w:val="clear"/>
          </w:tcPr>
          <w:p>
            <w:r>
              <w:rPr>
                <w:b/>
                <w:sz w:val="17"/>
              </w:rPr>
              <w:t>2,958</w:t>
            </w:r>
          </w:p>
        </w:tc>
        <w:tc>
          <w:tcPr>
            <w:tcW w:type="dxa" w:w="1440"/>
            <w:shd w:fill="FAFAFA" w:val="clear"/>
          </w:tcPr>
          <w:p>
            <w:r>
              <w:rPr>
                <w:sz w:val="17"/>
              </w:rPr>
              <w:t>3,073</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2,810</w:t>
            </w:r>
          </w:p>
        </w:tc>
        <w:tc>
          <w:tcPr>
            <w:tcW w:type="dxa" w:w="1440"/>
            <w:shd w:fill="FAFAFA" w:val="clear"/>
          </w:tcPr>
          <w:p>
            <w:r>
              <w:rPr>
                <w:b/>
                <w:sz w:val="17"/>
              </w:rPr>
              <w:t>2,952</w:t>
            </w:r>
          </w:p>
        </w:tc>
        <w:tc>
          <w:tcPr>
            <w:tcW w:type="dxa" w:w="1440"/>
            <w:shd w:fill="FAFAFA" w:val="clear"/>
          </w:tcPr>
          <w:p>
            <w:r>
              <w:rPr>
                <w:sz w:val="17"/>
              </w:rPr>
              <w:t>3,093</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2026-08-10</w:t>
            </w:r>
          </w:p>
        </w:tc>
        <w:tc>
          <w:tcPr>
            <w:tcW w:type="dxa" w:w="1440"/>
            <w:shd w:fill="FAFAFA" w:val="clear"/>
          </w:tcPr>
          <w:p>
            <w:r>
              <w:rPr>
                <w:sz w:val="17"/>
              </w:rPr>
              <w:t>2,782</w:t>
            </w:r>
          </w:p>
        </w:tc>
        <w:tc>
          <w:tcPr>
            <w:tcW w:type="dxa" w:w="1440"/>
            <w:shd w:fill="FAFAFA" w:val="clear"/>
          </w:tcPr>
          <w:p>
            <w:r>
              <w:rPr>
                <w:b/>
                <w:sz w:val="17"/>
              </w:rPr>
              <w:t>2,945</w:t>
            </w:r>
          </w:p>
        </w:tc>
        <w:tc>
          <w:tcPr>
            <w:tcW w:type="dxa" w:w="1440"/>
            <w:shd w:fill="FAFAFA" w:val="clear"/>
          </w:tcPr>
          <w:p>
            <w:r>
              <w:rPr>
                <w:sz w:val="17"/>
              </w:rPr>
              <w:t>3,108</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2026-08-11</w:t>
            </w:r>
          </w:p>
        </w:tc>
        <w:tc>
          <w:tcPr>
            <w:tcW w:type="dxa" w:w="1440"/>
            <w:shd w:fill="FAFAFA" w:val="clear"/>
          </w:tcPr>
          <w:p>
            <w:r>
              <w:rPr>
                <w:sz w:val="17"/>
              </w:rPr>
              <w:t>2,757</w:t>
            </w:r>
          </w:p>
        </w:tc>
        <w:tc>
          <w:tcPr>
            <w:tcW w:type="dxa" w:w="1440"/>
            <w:shd w:fill="FAFAFA" w:val="clear"/>
          </w:tcPr>
          <w:p>
            <w:r>
              <w:rPr>
                <w:b/>
                <w:sz w:val="17"/>
              </w:rPr>
              <w:t>2,938</w:t>
            </w:r>
          </w:p>
        </w:tc>
        <w:tc>
          <w:tcPr>
            <w:tcW w:type="dxa" w:w="1440"/>
            <w:shd w:fill="FAFAFA" w:val="clear"/>
          </w:tcPr>
          <w:p>
            <w:r>
              <w:rPr>
                <w:sz w:val="17"/>
              </w:rPr>
              <w:t>3,120</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2026-08-12</w:t>
            </w:r>
          </w:p>
        </w:tc>
        <w:tc>
          <w:tcPr>
            <w:tcW w:type="dxa" w:w="1440"/>
            <w:shd w:fill="FAFAFA" w:val="clear"/>
          </w:tcPr>
          <w:p>
            <w:r>
              <w:rPr>
                <w:sz w:val="17"/>
              </w:rPr>
              <w:t>2,733</w:t>
            </w:r>
          </w:p>
        </w:tc>
        <w:tc>
          <w:tcPr>
            <w:tcW w:type="dxa" w:w="1440"/>
            <w:shd w:fill="FAFAFA" w:val="clear"/>
          </w:tcPr>
          <w:p>
            <w:r>
              <w:rPr>
                <w:b/>
                <w:sz w:val="17"/>
              </w:rPr>
              <w:t>2,932</w:t>
            </w:r>
          </w:p>
        </w:tc>
        <w:tc>
          <w:tcPr>
            <w:tcW w:type="dxa" w:w="1440"/>
            <w:shd w:fill="FAFAFA" w:val="clear"/>
          </w:tcPr>
          <w:p>
            <w:r>
              <w:rPr>
                <w:sz w:val="17"/>
              </w:rPr>
              <w:t>3,131</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2,711</w:t>
            </w:r>
          </w:p>
        </w:tc>
        <w:tc>
          <w:tcPr>
            <w:tcW w:type="dxa" w:w="1440"/>
            <w:shd w:fill="FFDCE0" w:val="clear"/>
          </w:tcPr>
          <w:p>
            <w:r>
              <w:rPr>
                <w:b/>
                <w:sz w:val="17"/>
              </w:rPr>
              <w:t>2,925</w:t>
            </w:r>
          </w:p>
        </w:tc>
        <w:tc>
          <w:tcPr>
            <w:tcW w:type="dxa" w:w="1440"/>
            <w:shd w:fill="FFDCE0" w:val="clear"/>
          </w:tcPr>
          <w:p>
            <w:r>
              <w:rPr>
                <w:sz w:val="17"/>
              </w:rPr>
              <w:t>3,139</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2,691</w:t>
            </w:r>
          </w:p>
        </w:tc>
        <w:tc>
          <w:tcPr>
            <w:tcW w:type="dxa" w:w="1440"/>
            <w:shd w:fill="FFDCE0" w:val="clear"/>
          </w:tcPr>
          <w:p>
            <w:r>
              <w:rPr>
                <w:b/>
                <w:sz w:val="17"/>
              </w:rPr>
              <w:t>2,919</w:t>
            </w:r>
          </w:p>
        </w:tc>
        <w:tc>
          <w:tcPr>
            <w:tcW w:type="dxa" w:w="1440"/>
            <w:shd w:fill="FFDCE0" w:val="clear"/>
          </w:tcPr>
          <w:p>
            <w:r>
              <w:rPr>
                <w:sz w:val="17"/>
              </w:rPr>
              <w:t>3,147</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2,671</w:t>
            </w:r>
          </w:p>
        </w:tc>
        <w:tc>
          <w:tcPr>
            <w:tcW w:type="dxa" w:w="1440"/>
            <w:shd w:fill="FFDCE0" w:val="clear"/>
          </w:tcPr>
          <w:p>
            <w:r>
              <w:rPr>
                <w:b/>
                <w:sz w:val="17"/>
              </w:rPr>
              <w:t>2,913</w:t>
            </w:r>
          </w:p>
        </w:tc>
        <w:tc>
          <w:tcPr>
            <w:tcW w:type="dxa" w:w="1440"/>
            <w:shd w:fill="FFDCE0" w:val="clear"/>
          </w:tcPr>
          <w:p>
            <w:r>
              <w:rPr>
                <w:sz w:val="17"/>
              </w:rPr>
              <w:t>3,154</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2,652</w:t>
            </w:r>
          </w:p>
        </w:tc>
        <w:tc>
          <w:tcPr>
            <w:tcW w:type="dxa" w:w="1440"/>
            <w:shd w:fill="FFDCE0" w:val="clear"/>
          </w:tcPr>
          <w:p>
            <w:r>
              <w:rPr>
                <w:b/>
                <w:sz w:val="17"/>
              </w:rPr>
              <w:t>2,906</w:t>
            </w:r>
          </w:p>
        </w:tc>
        <w:tc>
          <w:tcPr>
            <w:tcW w:type="dxa" w:w="1440"/>
            <w:shd w:fill="FFDCE0" w:val="clear"/>
          </w:tcPr>
          <w:p>
            <w:r>
              <w:rPr>
                <w:sz w:val="17"/>
              </w:rPr>
              <w:t>3,161</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financière structuré et professionnel pour l'action ONTBF (ONATEL-SA)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203,32 milliards FCFA, ce qui en fait une valeur de première importance sur la BRVM. Avec un BPA de 234 FCFA, le titre se négocie à un PER de 12,8x, légèrement au-dessus de la moyenne historique de la place (~8-12x), ce qui suggère que le marché intègre déjà une prime de croissance ou une certaine résilience. Le P/B de 3,53x confirme cette prime, le marché valorisant l'actif net à plus de 3,5 fois sa valeur comptable, signe d'une confiance dans la génération future de valeur. Enfin, un EV/EBITDA de 5,3x est particulièrement raisonnable, indiquant que la valeur d'entreprise reste attractive par rapport à sa capacité opérationnelle de génération de cash. Ces ratios, dans leur ensemble, dépeignent une valorisation ni bradée, ni exubérante, mais plutôt celle d'une entreprise de qualité à un prix correct.</w:t>
      </w:r>
    </w:p>
    <w:p>
      <w:pPr>
        <w:spacing w:after="120" w:line="276" w:lineRule="auto"/>
      </w:pPr>
      <w:r>
        <w:t>### **PARTIE 1 : ANALYSE DU COURS — STATISTIQUES ET ÉVOLUTION (100 derniers jours)**</w:t>
      </w:r>
    </w:p>
    <w:p>
      <w:pPr>
        <w:spacing w:after="120" w:line="276" w:lineRule="auto"/>
      </w:pPr>
      <w:r>
        <w:t>Sur les 100 derniers jours, l'action ONTBF a affiché une progression de +4,91%, avec une dernière séance en légère baisse de -0,17% à 2 990 FCFA. Le titre a évolué dans une fourchette de 2 610 FCFA (plus bas) à 3 095 FCFA (plus haut), démontrant une dynamique positive. La moyenne du cours sur la période (2 831 FCFA) est supérieure à la médiane (2 805 FCFA), et le mode est à 2 800 FCFA, ce qui indique une distribution légèrement asymétrique à droite (skewness de 0.427), avec une queue de distribution vers les prix élevés. L'écart-type de 99 FCFA (CV=3,5%) montre une dispersion très faible, mais la volatilité annualisée de 33,4% est élevée, signalant des phases d'accélération et de repli marquées. Le kurtosis de -0.281 (mésokurtique) indique l'absence de mouvements extrêmes fréquents, le cours évoluant de manière relativement régulière autour de sa moyenne.</w:t>
      </w:r>
    </w:p>
    <w:p>
      <w:pPr>
        <w:spacing w:after="120" w:line="276" w:lineRule="auto"/>
      </w:pPr>
      <w:r>
        <w:t>### **PARTIE 2 : ANALYSE TECHNIQUE DÉTAILLÉE**</w:t>
      </w:r>
    </w:p>
    <w:p>
      <w:pPr>
        <w:spacing w:after="120" w:line="276" w:lineRule="auto"/>
      </w:pPr>
      <w:r>
        <w:t>**Moyennes Mobiles**: Le cours actuel (2 990 FCFA) se situe nettement au-dessus de la MM20 (2 784,5 FCFA) et de la MM50 (2 823,0 FCFA), ce qui est un signal haussier à court terme. Cependant, la décision globale est "Vente", ce qui suggère que malgré la récente vigueur, la tendance de fond pourrait être en train de s'essouffler ou que le marché considère le prix comme temporairement suracheté par rapport à ces moyennes.</w:t>
      </w:r>
    </w:p>
    <w:p>
      <w:pPr>
        <w:spacing w:after="120" w:line="276" w:lineRule="auto"/>
      </w:pPr>
      <w:r>
        <w:t>**Bandes de Bollinger**: Le prix (2 990 FCFA) est positionné au-dessus de la borne supérieure (2 959 FCFA), ce qui est un signal classique de surachat. Cela indique une extension excessive du mouvement haussier et une volatilité accrue. La décision "Vente" est cohérente avec cette lecture, suggérant un risque élevé de correction ou de consolidation à court terme pour revenir à l'intérieur des bandes.</w:t>
      </w:r>
    </w:p>
    <w:p>
      <w:pPr>
        <w:spacing w:after="120" w:line="276" w:lineRule="auto"/>
      </w:pPr>
      <w:r>
        <w:t>**MACD**: Le MACD (30,956) est largement au-dessus de sa ligne de signal (2,008), avec un écart positif très important. Cette configuration est un signal d'achat fort, indiquant un momentum haussier puissant et une accélération de la dynamique. La décision "Achat" est justifiée par cette divergence positive, qui suggère que la pression acheteuse reste dominante, même si l'ampleur de l'écart peut aussi précéder un essoufflement.</w:t>
      </w:r>
    </w:p>
    <w:p>
      <w:pPr>
        <w:spacing w:after="120" w:line="276" w:lineRule="auto"/>
      </w:pPr>
      <w:r>
        <w:t>**RSI**: Le RSI est à 76,364, une valeur nettement au-dessus du seuil de surachat de 70. Cela indique que le titre est techniquement suracheté et que la pression acheteuse est excessive à court terme. La décision "Vente" est donc logique, car un tel niveau précède souvent un repli ou une phase de consolidation, les investisseurs ayant tendance à prendre leurs profits.</w:t>
      </w:r>
    </w:p>
    <w:p>
      <w:pPr>
        <w:spacing w:after="120" w:line="276" w:lineRule="auto"/>
      </w:pPr>
      <w:r>
        <w:t>**Stochastique**: Le %K (98,438) et le %D (90,908) sont tous deux à des niveaux extrêmement élevés, en zone de surachat profond. Le %K est au-dessus du %D, ce qui maintient un signal haussier, mais la proximité de la zone des 100 rend le potentiel de hausse supplémentaire très limité. La décision "Vente" est prudente, anticipant un croisement baissier imminent et une correction technique.</w:t>
      </w:r>
    </w:p>
    <w:p>
      <w:pPr>
        <w:spacing w:after="120" w:line="276" w:lineRule="auto"/>
      </w:pPr>
      <w:r>
        <w:t>**Conclusion technique**: La convergence des indicateurs de surachat (RSI, Stochastique, Bandes de Bollinger) est un signal d'alerte majeur. Bien que le MACD et la position du cours au-dessus des moyennes mobiles indiquent une tendance haussière sous-jacente, le consensus technique est à la prudence. La probabilité d'une consolidation ou d'un repli technique à court terme est élevée, et il serait plus sage d'attendre un repli vers les moyennes mobiles ou la borne supérieure des bandes de Bollinger pour envisager un nouvel achat.</w:t>
      </w:r>
    </w:p>
    <w:p>
      <w:pPr>
        <w:spacing w:after="120" w:line="276" w:lineRule="auto"/>
      </w:pPr>
      <w:r>
        <w:t>### **PARTIE 3 : ANALYSE FONDAMENTALE (SECTION CRITIQUE)**</w:t>
      </w:r>
    </w:p>
    <w:p>
      <w:pPr>
        <w:spacing w:after="120" w:line="276" w:lineRule="auto"/>
      </w:pPr>
      <w:r>
        <w:t>En 2025, les données structurées indiquent un chiffre d'affaires (PNB) de 146,177 Mds FCFA, en croissance de +3,06% par rapport à 2024 (141,84 Mds FCFA). Le résultat net s'établit à 15,887 Mds FCFA, en forte baisse de -26% par rapport à 2024 (21,47 Mds FCFA). Cette dégradation de la rentabilité se reflète dans le ROE qui, bien qu'excellent à 27,61%, est en recul, et le ROA à 4,89%. Le coefficient d'exploitation de 67,07% est élevé, indiquant une pression sur les coûts opérationnels, notamment l'énergie et la maintenance dans un contexte sécuritaire difficile. Le coût du risque de 3,57% est un point de vigilance, signalant une dégradation de la qualité des actifs ou des provisions importantes. Les rapports trimestriels de 2025 (T1, S1, 9 mois) confirment cette tendance : le CA progresse de 3 à 4%, mais le résultat net chute de 17% à 29% sur les différentes périodes. Le rapport du T1 2026 (publié en 2026) montre une stabilisation avec un CA de 37,1 Mds FCFA (+2,7%) et un résultat net de 3,577 Mds FCFA, suggérant que l'exercice 2026 pourrait voir une stabilisation de la rentabilité. La politique de dividende reste généreuse avec un DPA proposé de 166,08 FCFA pour 2025, mais le taux de distribution de 70% pourrait peser sur la trésorerie à long terme. En conclusion, les fondamentaux montrent une entreprise avec une croissance commerciale résiliente mais une rentabilité sous pression, nécessitant une surveillance étroite de la maîtrise des coûts.</w:t>
      </w:r>
    </w:p>
    <w:p>
      <w:pPr>
        <w:spacing w:after="120" w:line="276" w:lineRule="auto"/>
      </w:pPr>
      <w:r>
        <w:t>### **PARTIE 4 : CONCLUSION D'INVESTISSEMENT**</w:t>
      </w:r>
    </w:p>
    <w:p>
      <w:pPr>
        <w:spacing w:after="120" w:line="276" w:lineRule="auto"/>
      </w:pPr>
      <w:r>
        <w:t>La valorisation d'ONTBF (PER 12,8x, P/B 3,5x, EV/EBITDA 5,3x) est correcte, sans être bon marché, et reflète une prime pour sa position de leader et ses dividendes. Le comportement du cours sur 100 jours est positif (+4,91%), mais la volatilité annualisée élevée (33,4%) et les statistiques (skewness positif) suggèrent un potentiel de correction après une forte hausse. Les signaux techniques sont en divergence : le momentum (MACD) est haussier, mais tous les indicateurs de surachat (RSI, Stochastique, Bandes de Bollinger) plaident pour une consolidation à court terme. Les fondamentaux, bien que solides (croissance du CA, ROE &gt; 15%), montrent une dégradation de la rentabilité en 2025, avec des signes de stabilisation au T1 2026. Les prédictions IA pour les 10 prochains jours (baisse de 2 957 à 2 938 FCFA) confirment l'analyse technique d'un repli à court terme. En synthèse, la convergence entre les signaux techniques de surachat et les prédictions IA suggère une pause dans la hausse. La recommandation est donc de **CONSERVER** le titre, avec un niveau de confiance **Moyen** et un risque global **Moyen**. L'horizon d'investissement optimal serait à **moyen terme (3-12 mois)**, attendant une correction technique pour renforcer la position, ou une confirmation d'amélioration de la rentabilité pour envisager un 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2561.14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2,313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+8.97%</w:t>
            </w:r>
          </w:p>
          <w:p>
            <w:r>
              <w:rPr>
                <w:b/>
                <w:color w:val="503200"/>
                <w:sz w:val="16"/>
              </w:rPr>
              <w:t xml:space="preserve">Plus haut 100j : </w:t>
            </w:r>
            <w:r>
              <w:rPr>
                <w:color w:val="000000"/>
                <w:sz w:val="17"/>
              </w:rPr>
              <w:t>17,000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4.48% (Faible) — μ=15,669 FCFA, σ=702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β=1.4333 (Agressif) — Cov=0.000052, Var(idx)=0.000036, ρ=0.451,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8728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16,328</w:t>
            </w:r>
          </w:p>
        </w:tc>
        <w:tc>
          <w:tcPr>
            <w:tcW w:type="dxa" w:w="1440"/>
            <w:shd w:fill="FAFAFA" w:val="clear"/>
          </w:tcPr>
          <w:p>
            <w:r>
              <w:rPr>
                <w:b/>
                <w:sz w:val="17"/>
              </w:rPr>
              <w:t>16,820</w:t>
            </w:r>
          </w:p>
        </w:tc>
        <w:tc>
          <w:tcPr>
            <w:tcW w:type="dxa" w:w="1440"/>
            <w:shd w:fill="FAFAFA" w:val="clear"/>
          </w:tcPr>
          <w:p>
            <w:r>
              <w:rPr>
                <w:sz w:val="17"/>
              </w:rPr>
              <w:t>17,313</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16,117</w:t>
            </w:r>
          </w:p>
        </w:tc>
        <w:tc>
          <w:tcPr>
            <w:tcW w:type="dxa" w:w="1440"/>
            <w:shd w:fill="FAFAFA" w:val="clear"/>
          </w:tcPr>
          <w:p>
            <w:r>
              <w:rPr>
                <w:b/>
                <w:sz w:val="17"/>
              </w:rPr>
              <w:t>16,813</w:t>
            </w:r>
          </w:p>
        </w:tc>
        <w:tc>
          <w:tcPr>
            <w:tcW w:type="dxa" w:w="1440"/>
            <w:shd w:fill="FAFAFA" w:val="clear"/>
          </w:tcPr>
          <w:p>
            <w:r>
              <w:rPr>
                <w:sz w:val="17"/>
              </w:rPr>
              <w:t>17,509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15,936</w:t>
            </w:r>
          </w:p>
        </w:tc>
        <w:tc>
          <w:tcPr>
            <w:tcW w:type="dxa" w:w="1440"/>
            <w:shd w:fill="FAFAFA" w:val="clear"/>
          </w:tcPr>
          <w:p>
            <w:r>
              <w:rPr>
                <w:b/>
                <w:sz w:val="17"/>
              </w:rPr>
              <w:t>16,787</w:t>
            </w:r>
          </w:p>
        </w:tc>
        <w:tc>
          <w:tcPr>
            <w:tcW w:type="dxa" w:w="1440"/>
            <w:shd w:fill="FAFAFA" w:val="clear"/>
          </w:tcPr>
          <w:p>
            <w:r>
              <w:rPr>
                <w:sz w:val="17"/>
              </w:rPr>
              <w:t>17,638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15,777</w:t>
            </w:r>
          </w:p>
        </w:tc>
        <w:tc>
          <w:tcPr>
            <w:tcW w:type="dxa" w:w="1440"/>
            <w:shd w:fill="FAFAFA" w:val="clear"/>
          </w:tcPr>
          <w:p>
            <w:r>
              <w:rPr>
                <w:b/>
                <w:sz w:val="17"/>
              </w:rPr>
              <w:t>16,758</w:t>
            </w:r>
          </w:p>
        </w:tc>
        <w:tc>
          <w:tcPr>
            <w:tcW w:type="dxa" w:w="1440"/>
            <w:shd w:fill="FAFAFA" w:val="clear"/>
          </w:tcPr>
          <w:p>
            <w:r>
              <w:rPr>
                <w:sz w:val="17"/>
              </w:rPr>
              <w:t>17,740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15,634</w:t>
            </w:r>
          </w:p>
        </w:tc>
        <w:tc>
          <w:tcPr>
            <w:tcW w:type="dxa" w:w="1440"/>
            <w:shd w:fill="FAFAFA" w:val="clear"/>
          </w:tcPr>
          <w:p>
            <w:r>
              <w:rPr>
                <w:b/>
                <w:sz w:val="17"/>
              </w:rPr>
              <w:t>16,729</w:t>
            </w:r>
          </w:p>
        </w:tc>
        <w:tc>
          <w:tcPr>
            <w:tcW w:type="dxa" w:w="1440"/>
            <w:shd w:fill="FAFAFA" w:val="clear"/>
          </w:tcPr>
          <w:p>
            <w:r>
              <w:rPr>
                <w:sz w:val="17"/>
              </w:rPr>
              <w:t>17,824</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15,502</w:t>
            </w:r>
          </w:p>
        </w:tc>
        <w:tc>
          <w:tcPr>
            <w:tcW w:type="dxa" w:w="1440"/>
            <w:shd w:fill="FAFAFA" w:val="clear"/>
          </w:tcPr>
          <w:p>
            <w:r>
              <w:rPr>
                <w:b/>
                <w:sz w:val="17"/>
              </w:rPr>
              <w:t>16,700</w:t>
            </w:r>
          </w:p>
        </w:tc>
        <w:tc>
          <w:tcPr>
            <w:tcW w:type="dxa" w:w="1440"/>
            <w:shd w:fill="FAFAFA" w:val="clear"/>
          </w:tcPr>
          <w:p>
            <w:r>
              <w:rPr>
                <w:sz w:val="17"/>
              </w:rPr>
              <w:t>17,898</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15,380</w:t>
            </w:r>
          </w:p>
        </w:tc>
        <w:tc>
          <w:tcPr>
            <w:tcW w:type="dxa" w:w="1440"/>
            <w:shd w:fill="FAFAFA" w:val="clear"/>
          </w:tcPr>
          <w:p>
            <w:r>
              <w:rPr>
                <w:b/>
                <w:sz w:val="17"/>
              </w:rPr>
              <w:t>16,672</w:t>
            </w:r>
          </w:p>
        </w:tc>
        <w:tc>
          <w:tcPr>
            <w:tcW w:type="dxa" w:w="1440"/>
            <w:shd w:fill="FAFAFA" w:val="clear"/>
          </w:tcPr>
          <w:p>
            <w:r>
              <w:rPr>
                <w:sz w:val="17"/>
              </w:rPr>
              <w:t>17,964</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15,266</w:t>
            </w:r>
          </w:p>
        </w:tc>
        <w:tc>
          <w:tcPr>
            <w:tcW w:type="dxa" w:w="1440"/>
            <w:shd w:fill="FFDCE0" w:val="clear"/>
          </w:tcPr>
          <w:p>
            <w:r>
              <w:rPr>
                <w:b/>
                <w:sz w:val="17"/>
              </w:rPr>
              <w:t>16,644</w:t>
            </w:r>
          </w:p>
        </w:tc>
        <w:tc>
          <w:tcPr>
            <w:tcW w:type="dxa" w:w="1440"/>
            <w:shd w:fill="FFDCE0" w:val="clear"/>
          </w:tcPr>
          <w:p>
            <w:r>
              <w:rPr>
                <w:sz w:val="17"/>
              </w:rPr>
              <w:t>18,023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15,157</w:t>
            </w:r>
          </w:p>
        </w:tc>
        <w:tc>
          <w:tcPr>
            <w:tcW w:type="dxa" w:w="1440"/>
            <w:shd w:fill="FFDCE0" w:val="clear"/>
          </w:tcPr>
          <w:p>
            <w:r>
              <w:rPr>
                <w:b/>
                <w:sz w:val="17"/>
              </w:rPr>
              <w:t>16,617</w:t>
            </w:r>
          </w:p>
        </w:tc>
        <w:tc>
          <w:tcPr>
            <w:tcW w:type="dxa" w:w="1440"/>
            <w:shd w:fill="FFDCE0" w:val="clear"/>
          </w:tcPr>
          <w:p>
            <w:r>
              <w:rPr>
                <w:sz w:val="17"/>
              </w:rPr>
              <w:t>18,076</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15,054</w:t>
            </w:r>
          </w:p>
        </w:tc>
        <w:tc>
          <w:tcPr>
            <w:tcW w:type="dxa" w:w="1440"/>
            <w:shd w:fill="FFDCE0" w:val="clear"/>
          </w:tcPr>
          <w:p>
            <w:r>
              <w:rPr>
                <w:b/>
                <w:sz w:val="17"/>
              </w:rPr>
              <w:t>16,590</w:t>
            </w:r>
          </w:p>
        </w:tc>
        <w:tc>
          <w:tcPr>
            <w:tcW w:type="dxa" w:w="1440"/>
            <w:shd w:fill="FFDCE0" w:val="clear"/>
          </w:tcPr>
          <w:p>
            <w:r>
              <w:rPr>
                <w:sz w:val="17"/>
              </w:rPr>
              <w:t>18,126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2 561,14 milliards FCFA, un niveau qui en fait l'une des plus importantes valeurs de la BRVM, représentant une part significative de la capitalisation totale du marché régional. Le BPA de 1 114 FCFA indique que chaque action génère un bénéfice substantiel, justifiant un PER de 15,3x, supérieur à la moyenne historique de la BRVM (8-12x), ce qui traduit une prime de croissance accordée par le marché à ce titre de qualité. Le P/B de 3,62x confirme cette prime, le marché valorisant l'action bien au-dessus de sa valeur comptable, reflétant la confiance des investisseurs dans la capacité de l'entreprise à créer de la valeur. Enfin, l'EV/EBITDA de 6,2x se situe dans une fourchette raisonnable (5-10x), indiquant que la valorisation globale de l'entreprise, dette incluse,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totale de +8,97%, avec une dernière séance quasi stable (+0,03%), témoignant d'une dynamique haussière soutenue. Le cours a évolué dans une fourchette de 14 200 FCFA (plus bas) à 17 000 FCFA (plus haut, cours actuel), démontrant une appréciation continue vers les sommets. La moyenne de 15 669 FCFA et la médiane de 15 650 FCFA sont très proches, indiquant une distribution symétrique des prix, confirmée par un skewness de 0,197. L'écart-type de 706 FCFA, avec un coefficient de variation de 4,5%, révèle une dispersion relativement faible des cours autour de la moyenne, suggérant une stabilité relative. Le kurtosis de -1,075 (platykurtique) indique une distribution aplatie avec peu de valeurs extrêmes, réduisant le risque de mouvements brusques. La volatilité annualisée de 30,1% classe le titre dans la catégorie élevée (&gt;30%), ce qui implique des fluctuations potentielles importantes à moyen terme malgré la tendance haussière actuelle.</w:t>
      </w:r>
    </w:p>
    <w:p>
      <w:pPr>
        <w:spacing w:after="120" w:line="276" w:lineRule="auto" w:before="240"/>
      </w:pPr>
      <w:r>
        <w:rPr>
          <w:b/>
          <w:color w:val="003366"/>
          <w:sz w:val="24"/>
        </w:rPr>
        <w:t>**PARTIE 2 : ANALYSE TECHNIQUE DÉTAILLÉE**</w:t>
      </w:r>
    </w:p>
    <w:p>
      <w:pPr>
        <w:spacing w:after="120" w:line="276" w:lineRule="auto"/>
      </w:pPr>
      <w:r>
        <w:t>**Moyennes Mobiles** : La MM20 (16 365,75 FCFA) et la MM50 (16 269,8 FCFA) sont toutes deux inférieures au cours actuel de 17 000 FCFA, confirmant une tendance haussière solide. Le croisement positif des moyennes mobiles (MM20 &gt; MM50) renforce le signal d'achat, indiquant que la dynamique de court terme est supérieure à la tendance de moyen terme, ce qui valide la poursuite du mouvement haussier.</w:t>
      </w:r>
    </w:p>
    <w:p>
      <w:pPr>
        <w:spacing w:after="120" w:line="276" w:lineRule="auto"/>
      </w:pPr>
      <w:r>
        <w:t>**Bandes de Bollinger** : Le cours à 17 000 FCFA se positionne près de la borne supérieure (17 115,14 FCFA), suggérant une pression acheteuse soutenue. La largeur des bandes (écart d'environ 1 500 FCFA) reflète une volatilité modérée. La décision "Neutre" indique que le marché attend une confirmation directionnelle, mais la proximité de la borne supérieure suggère un potentiel de sortie haussière ou un repli technique.</w:t>
      </w:r>
    </w:p>
    <w:p>
      <w:pPr>
        <w:spacing w:after="120" w:line="276" w:lineRule="auto"/>
      </w:pPr>
      <w:r>
        <w:t>**MACD** : Le MACD (189,05) est nettement supérieur à sa ligne de signal (116,52), avec un écart positif croissant, confirmant un momentum haussier robuste. Cette divergence positive indique que la dynamique d'achat s'accélère, justifiant la décision d'achat. Le signal est d'autant plus fort que l'écart entre les deux lignes s'élargit, suggérant une poursuite de la tendance.</w:t>
      </w:r>
    </w:p>
    <w:p>
      <w:pPr>
        <w:spacing w:after="120" w:line="276" w:lineRule="auto"/>
      </w:pPr>
      <w:r>
        <w:t>**RSI** : Le RSI à 72,22 se situe en zone de surachat (&gt;70), signalant que le titre est techniquement surévalué à court terme. Cette situation appelle à la prudence car elle précède souvent un repli technique ou une consolidation. La décision de vente reflète ce risque de correction, même si dans une tendance forte, le RSI peut rester suracheté pendant une période prolongée.</w:t>
      </w:r>
    </w:p>
    <w:p>
      <w:pPr>
        <w:spacing w:after="120" w:line="276" w:lineRule="auto"/>
      </w:pPr>
      <w:r>
        <w:t>**Stochastique** : Le %K et le %D sont tous deux à 100, indiquant une condition de surachat extrême. Cette configuration suggère que le titre est fortement étendu à la hausse et qu'une correction est probable à très court terme. La décision de vente est justifiée par cette situation extrême, même si elle peut persister dans un marché fortement haussier.</w:t>
      </w:r>
    </w:p>
    <w:p>
      <w:pPr>
        <w:spacing w:after="120" w:line="276" w:lineRule="auto"/>
      </w:pPr>
      <w:r>
        <w:t>**Conclusion technique** : Les indicateurs de tendance (MM, MACD) sont résolument haussiers, confirmant une dynamique positive solide. Cependant, les oscillateurs (RSI, Stochastique) signalent des conditions de surachat extrême, suggérant un risque de correction technique à court terme. La convergence des signaux de tendance avec les signaux de surachat indique que le titre pourrait connaître une consolidation avant de poursuivre sa hausse, ou une correction plus profonde si les niveaux de surachat ne se résorbent pas rapidement.</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avec un résultat net consolidé de 167,8 milliards FCFA (+6,1%) et un résultat net part du groupe de 129,1 milliards FCFA (+18,8%). La rentabilité des fonds propres (ROE) s'établit à 23,7%, un niveau excellent (&gt;15%), tandis que le ROA atteint 6,6%, reflétant une utilisation efficace des actifs. La marge opérationnelle de 24,0% et la marge nette de 14,0% démontrent une solidité opérationnelle remarquable. Le BFR négatif de -198 milliards FCFA constitue un avantage concurrentiel majeur, l'entreprise finançant son exploitation grâce aux délais fournisseurs très favorables (210,9 jours contre 52,3 jours pour les clients). Le ratio d'endettement de 47,5% reste maîtrisé, avec une capacité de remboursement de moins d'un an (0,99 an). Les rapports trimestriels confirment cette dynamique : le T1 2026 affiche une croissance exceptionnelle de +14,8% du CA (325,6 milliards FCFA) et un bond de +25,2% du résultat net (48,3 milliards FCFA), avec une marge nette améliorée à 14,8%. Sur la base de ces performances, on estime que l'exercice 2026 pourrait dépasser les 1 350 milliards FCFA de CA et atteindre un résultat net supérieur à 190 milliards FCFA, confirmant la trajectoire ascendante du groupe. Le dividende proposé de 800 FCFA par action pour 2025, bien qu'en baisse par rapport aux années précédentes, offre un rendement attractif d'environ 4,7% au cours actuel.</w:t>
      </w:r>
    </w:p>
    <w:p>
      <w:pPr>
        <w:spacing w:after="120" w:line="276" w:lineRule="auto" w:before="240"/>
      </w:pPr>
      <w:r>
        <w:rPr>
          <w:b/>
          <w:color w:val="003366"/>
          <w:sz w:val="24"/>
        </w:rPr>
        <w:t>**PARTIE 4 : CONCLUSION D'INVESTISSEMENT**</w:t>
      </w:r>
    </w:p>
    <w:p>
      <w:pPr>
        <w:spacing w:after="120" w:line="276" w:lineRule="auto"/>
      </w:pPr>
      <w:r>
        <w:t>La valorisation d'ORAC (PER 15,3x, P/B 3,62x, EV/EBITDA 6,2x) indique une prime de croissance justifiée par la qualité des fondamentaux, bien que le PER soit supérieur à la moyenne BRVM. Le comportement du cours sur 100 jours (+8,97%) montre une tendance haussière solide, avec une volatilité élevée (30,1%) mais une distribution des prix stable (kurtosis platykurtique, skewness symétrique). Les signaux techniques sont contrastés : les indicateurs de tendance (MM, MACD) sont positifs, mais les oscillateurs (RSI 72,2, Stochastique 100) signalent un surachat extrême, suggérant un risque de correction à court terme. Les fondamentaux restent excellents avec une croissance soutenue du CA (+10,4% en 2025, +14,8% au T1 2026), une rentabilité élevée (ROE 23,7%) et un BFR négatif favorable. Les prédictions IA (17 000 à 16 729 FCFA sur 10 jours) indiquent une légère consolidation, cohérente avec les signaux de surachat technique. La convergence entre la solidité fondamentale et la tendance haussière, tempérée par les signaux techniques de surachat, conduit à une recommandation **CONSERVER** avec un niveau de confiance **Moyen** et un risque global **Moyen**. L'horizon d'investissement optimal est le **moyen terme (3-12 mois)**, permettant d'absorber une éventuelle correction technique tout en bénéficiant de la croissance fondamentale du groupe.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217.27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6,950 titres</w:t>
            </w:r>
          </w:p>
        </w:tc>
        <w:tc>
          <w:tcPr>
            <w:tcW w:type="dxa" w:w="2268"/>
            <w:shd w:fill="FFF2CC" w:val="clear"/>
          </w:tcPr>
          <w:p>
            <w:r>
              <w:rPr>
                <w:b/>
                <w:color w:val="503200"/>
                <w:sz w:val="16"/>
              </w:rPr>
              <w:t xml:space="preserve">Cours actuel : </w:t>
            </w:r>
            <w:r>
              <w:rPr>
                <w:color w:val="000000"/>
                <w:sz w:val="17"/>
              </w:rPr>
              <w:t>3,130 FCFA</w:t>
            </w:r>
          </w:p>
          <w:p>
            <w:r>
              <w:rPr>
                <w:b/>
                <w:color w:val="503200"/>
                <w:sz w:val="16"/>
              </w:rPr>
              <w:t xml:space="preserve">Var. 100 jours : </w:t>
            </w:r>
            <w:r>
              <w:rPr>
                <w:b/>
                <w:color w:val="B40000"/>
                <w:sz w:val="17"/>
              </w:rPr>
              <w:t>-15.41%</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14.37% (Moyenne) — μ=3,042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β=0.4076 (Défensif) — Cov=0.000015, Var(idx)=0.000036, ρ=0.083,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6,950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σ_j=2.93%/j (Stable) — Vol. annualisée≈46.5%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2,966</w:t>
            </w:r>
          </w:p>
        </w:tc>
        <w:tc>
          <w:tcPr>
            <w:tcW w:type="dxa" w:w="1440"/>
            <w:shd w:fill="FFDCE0" w:val="clear"/>
          </w:tcPr>
          <w:p>
            <w:r>
              <w:rPr>
                <w:b/>
                <w:sz w:val="17"/>
              </w:rPr>
              <w:t>3,060</w:t>
            </w:r>
          </w:p>
        </w:tc>
        <w:tc>
          <w:tcPr>
            <w:tcW w:type="dxa" w:w="1440"/>
            <w:shd w:fill="FFDCE0" w:val="clear"/>
          </w:tcPr>
          <w:p>
            <w:r>
              <w:rPr>
                <w:sz w:val="17"/>
              </w:rPr>
              <w:t>3,154</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2,922</w:t>
            </w:r>
          </w:p>
        </w:tc>
        <w:tc>
          <w:tcPr>
            <w:tcW w:type="dxa" w:w="1440"/>
            <w:shd w:fill="FFDCE0" w:val="clear"/>
          </w:tcPr>
          <w:p>
            <w:r>
              <w:rPr>
                <w:b/>
                <w:sz w:val="17"/>
              </w:rPr>
              <w:t>3,054</w:t>
            </w:r>
          </w:p>
        </w:tc>
        <w:tc>
          <w:tcPr>
            <w:tcW w:type="dxa" w:w="1440"/>
            <w:shd w:fill="FFDCE0" w:val="clear"/>
          </w:tcPr>
          <w:p>
            <w:r>
              <w:rPr>
                <w:sz w:val="17"/>
              </w:rPr>
              <w:t>3,187</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2,884</w:t>
            </w:r>
          </w:p>
        </w:tc>
        <w:tc>
          <w:tcPr>
            <w:tcW w:type="dxa" w:w="1440"/>
            <w:shd w:fill="FFDCE0" w:val="clear"/>
          </w:tcPr>
          <w:p>
            <w:r>
              <w:rPr>
                <w:b/>
                <w:sz w:val="17"/>
              </w:rPr>
              <w:t>3,046</w:t>
            </w:r>
          </w:p>
        </w:tc>
        <w:tc>
          <w:tcPr>
            <w:tcW w:type="dxa" w:w="1440"/>
            <w:shd w:fill="FFDCE0" w:val="clear"/>
          </w:tcPr>
          <w:p>
            <w:r>
              <w:rPr>
                <w:sz w:val="17"/>
              </w:rPr>
              <w:t>3,208</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2,854</w:t>
            </w:r>
          </w:p>
        </w:tc>
        <w:tc>
          <w:tcPr>
            <w:tcW w:type="dxa" w:w="1440"/>
            <w:shd w:fill="FFDCE0" w:val="clear"/>
          </w:tcPr>
          <w:p>
            <w:r>
              <w:rPr>
                <w:b/>
                <w:sz w:val="17"/>
              </w:rPr>
              <w:t>3,040</w:t>
            </w:r>
          </w:p>
        </w:tc>
        <w:tc>
          <w:tcPr>
            <w:tcW w:type="dxa" w:w="1440"/>
            <w:shd w:fill="FFDCE0" w:val="clear"/>
          </w:tcPr>
          <w:p>
            <w:r>
              <w:rPr>
                <w:sz w:val="17"/>
              </w:rPr>
              <w:t>3,227</w:t>
            </w:r>
          </w:p>
        </w:tc>
        <w:tc>
          <w:tcPr>
            <w:tcW w:type="dxa" w:w="1440"/>
            <w:shd w:fill="FFDCE0" w:val="clear"/>
          </w:tcPr>
          <w:p>
            <w:r>
              <w:rPr>
                <w:b/>
                <w:color w:val="C00000"/>
                <w:sz w:val="17"/>
              </w:rPr>
              <w:t>-2.9%</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2,828</w:t>
            </w:r>
          </w:p>
        </w:tc>
        <w:tc>
          <w:tcPr>
            <w:tcW w:type="dxa" w:w="1440"/>
            <w:shd w:fill="FFDCE0" w:val="clear"/>
          </w:tcPr>
          <w:p>
            <w:r>
              <w:rPr>
                <w:b/>
                <w:sz w:val="17"/>
              </w:rPr>
              <w:t>3,036</w:t>
            </w:r>
          </w:p>
        </w:tc>
        <w:tc>
          <w:tcPr>
            <w:tcW w:type="dxa" w:w="1440"/>
            <w:shd w:fill="FFDCE0" w:val="clear"/>
          </w:tcPr>
          <w:p>
            <w:r>
              <w:rPr>
                <w:sz w:val="17"/>
              </w:rPr>
              <w:t>3,245</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2,805</w:t>
            </w:r>
          </w:p>
        </w:tc>
        <w:tc>
          <w:tcPr>
            <w:tcW w:type="dxa" w:w="1440"/>
            <w:shd w:fill="FFDCE0" w:val="clear"/>
          </w:tcPr>
          <w:p>
            <w:r>
              <w:rPr>
                <w:b/>
                <w:sz w:val="17"/>
              </w:rPr>
              <w:t>3,033</w:t>
            </w:r>
          </w:p>
        </w:tc>
        <w:tc>
          <w:tcPr>
            <w:tcW w:type="dxa" w:w="1440"/>
            <w:shd w:fill="FFDCE0" w:val="clear"/>
          </w:tcPr>
          <w:p>
            <w:r>
              <w:rPr>
                <w:sz w:val="17"/>
              </w:rPr>
              <w:t>3,261</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2,784</w:t>
            </w:r>
          </w:p>
        </w:tc>
        <w:tc>
          <w:tcPr>
            <w:tcW w:type="dxa" w:w="1440"/>
            <w:shd w:fill="FFDCE0" w:val="clear"/>
          </w:tcPr>
          <w:p>
            <w:r>
              <w:rPr>
                <w:b/>
                <w:sz w:val="17"/>
              </w:rPr>
              <w:t>3,030</w:t>
            </w:r>
          </w:p>
        </w:tc>
        <w:tc>
          <w:tcPr>
            <w:tcW w:type="dxa" w:w="1440"/>
            <w:shd w:fill="FFDCE0" w:val="clear"/>
          </w:tcPr>
          <w:p>
            <w:r>
              <w:rPr>
                <w:sz w:val="17"/>
              </w:rPr>
              <w:t>3,277</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2,765</w:t>
            </w:r>
          </w:p>
        </w:tc>
        <w:tc>
          <w:tcPr>
            <w:tcW w:type="dxa" w:w="1440"/>
            <w:shd w:fill="FFDCE0" w:val="clear"/>
          </w:tcPr>
          <w:p>
            <w:r>
              <w:rPr>
                <w:b/>
                <w:sz w:val="17"/>
              </w:rPr>
              <w:t>3,028</w:t>
            </w:r>
          </w:p>
        </w:tc>
        <w:tc>
          <w:tcPr>
            <w:tcW w:type="dxa" w:w="1440"/>
            <w:shd w:fill="FFDCE0" w:val="clear"/>
          </w:tcPr>
          <w:p>
            <w:r>
              <w:rPr>
                <w:sz w:val="17"/>
              </w:rPr>
              <w:t>3,291</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2,747</w:t>
            </w:r>
          </w:p>
        </w:tc>
        <w:tc>
          <w:tcPr>
            <w:tcW w:type="dxa" w:w="1440"/>
            <w:shd w:fill="FFDCE0" w:val="clear"/>
          </w:tcPr>
          <w:p>
            <w:r>
              <w:rPr>
                <w:b/>
                <w:sz w:val="17"/>
              </w:rPr>
              <w:t>3,025</w:t>
            </w:r>
          </w:p>
        </w:tc>
        <w:tc>
          <w:tcPr>
            <w:tcW w:type="dxa" w:w="1440"/>
            <w:shd w:fill="FFDCE0" w:val="clear"/>
          </w:tcPr>
          <w:p>
            <w:r>
              <w:rPr>
                <w:sz w:val="17"/>
              </w:rPr>
              <w:t>3,304</w:t>
            </w:r>
          </w:p>
        </w:tc>
        <w:tc>
          <w:tcPr>
            <w:tcW w:type="dxa" w:w="1440"/>
            <w:shd w:fill="FFDCE0" w:val="clear"/>
          </w:tcPr>
          <w:p>
            <w:r>
              <w:rPr>
                <w:b/>
                <w:color w:val="C00000"/>
                <w:sz w:val="17"/>
              </w:rPr>
              <w:t>-3.3%</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2,730</w:t>
            </w:r>
          </w:p>
        </w:tc>
        <w:tc>
          <w:tcPr>
            <w:tcW w:type="dxa" w:w="1440"/>
            <w:shd w:fill="FFDCE0" w:val="clear"/>
          </w:tcPr>
          <w:p>
            <w:r>
              <w:rPr>
                <w:b/>
                <w:sz w:val="17"/>
              </w:rPr>
              <w:t>3,023</w:t>
            </w:r>
          </w:p>
        </w:tc>
        <w:tc>
          <w:tcPr>
            <w:tcW w:type="dxa" w:w="1440"/>
            <w:shd w:fill="FFDCE0" w:val="clear"/>
          </w:tcPr>
          <w:p>
            <w:r>
              <w:rPr>
                <w:sz w:val="17"/>
              </w:rPr>
              <w:t>3,316</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votre rapport d'analyse financière professionnel pour l'action ORGT (Oragroup)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217,27 milliards FCFA, ce qui en fait une valeur de taille moyenne sur la BRVM. Avec un BPA de 312 FCFA, le titre se négocie à un PER de 10,0x, un niveau modéré qui se situe dans la fourchette moyenne du marché (8-12x), suggérant que les investisseurs paient un prix raisonnable pour les bénéfices actuels. Le P/B de 1,92x indique que le marché valorise la société à près du double de sa valeur comptable, ce qui est également considéré comme raisonnable. Cependant, le ratio EV/EBITDA de 19,9x est nettement supérieur au seuil de 15x, signalant une valorisation très exigeante de la capacité opérationnelle de l'entreprise. Cette divergence entre un PER modéré et un EV/EBITDA élevé suggère que le marché intègre déjà des attentes de croissance future significative, probablement liées à la poursuite du redressement financier.</w:t>
      </w:r>
    </w:p>
    <w:p>
      <w:pPr>
        <w:spacing w:after="120" w:line="276" w:lineRule="auto"/>
      </w:pPr>
      <w:r>
        <w:t>### PARTIE 1 : ANALYSE DU COURS — STATISTIQUES ET ÉVOLUTION (100 derniers jours)</w:t>
      </w:r>
    </w:p>
    <w:p>
      <w:pPr>
        <w:spacing w:after="120" w:line="276" w:lineRule="auto"/>
      </w:pPr>
      <w:r>
        <w:t>Sur les 100 derniers jours, le cours d'ORGT a enregistré une baisse substantielle de -15,41%, avec une légère diminution de -0,32% lors de la dernière séance, pour s'établir à 3 130 FCFA. Le titre a évolué dans une fourchette de trading très large, allant d'un plus bas de 2 435 FCFA à un plus haut de 3 995 FCFA, illustrant une forte amplitude de mouvement. La moyenne du cours sur la période est de 3 042 FCFA, tandis que la médiane est de 2 780 FCFA ; cet écart significatif, couplé à un skewness positif de 0,554, indique une distribution asymétrique avec plus de journées sous la moyenne, mais des épisodes de hausse marqués. L'écart-type de 439 FCFA (CV=14,4%) montre une dispersion modérée, mais le kurtosis négatif de -1,242 (distribution platykurtique) suggère une absence de mouvements extrêmes, avec des variations de prix plus régulières. La volatilité annualisée de 46,5% est très élevée, classant ORGT comme un actif à risque important, ce qui est cohérent avec la forte amplitude de son range de trading sur la période.</w:t>
      </w:r>
    </w:p>
    <w:p>
      <w:pPr>
        <w:spacing w:after="120" w:line="276" w:lineRule="auto"/>
      </w:pPr>
      <w:r>
        <w:t>### PARTIE 2 : ANALYSE TECHNIQUE DÉTAILLÉE</w:t>
      </w:r>
    </w:p>
    <w:p>
      <w:pPr>
        <w:spacing w:after="120" w:line="276" w:lineRule="auto"/>
      </w:pPr>
      <w:r>
        <w:t>**Moyennes Mobiles** : Le cours actuel de 3 130 FCFA est nettement supérieur à la MM20 (2 764,75 FCFA) et à la MM50 (2 739,3 FCFA), ce qui confirme une dynamique haussière à court et moyen terme. La configuration des moyennes mobiles, avec le prix au-dessus des deux, génère un signal d'achat, indiquant que la tendance de fond reste positive malgré le récent repli.</w:t>
      </w:r>
    </w:p>
    <w:p>
      <w:pPr>
        <w:spacing w:after="120" w:line="276" w:lineRule="auto"/>
      </w:pPr>
      <w:r>
        <w:t>**Bandes de Bollinger** : Le prix actuel se situe au-dessus de la borne supérieure des bandes de Bollinger (3 075,885 FCFA), ce qui est un signal classique de surachat. Cette sortie de l'enveloppe supérieure suggère une extension excessive du mouvement haussier et une probabilité accrue de consolidation ou de correction à court terme, justifiant la décision de vente.</w:t>
      </w:r>
    </w:p>
    <w:p>
      <w:pPr>
        <w:spacing w:after="120" w:line="276" w:lineRule="auto"/>
      </w:pPr>
      <w:r>
        <w:t>**MACD** : Le MACD (81,123) est nettement supérieur à son signal (27,45), avec un écart positif important. Cette configuration indique un momentum haussier très fort et une dynamique positive du cours, ce qui justifie la décision d'achat. La divergence positive est un signe de vigueur de la tendance.</w:t>
      </w:r>
    </w:p>
    <w:p>
      <w:pPr>
        <w:spacing w:after="120" w:line="276" w:lineRule="auto"/>
      </w:pPr>
      <w:r>
        <w:t>**RSI** : Le RSI est à 91,071, une valeur extrêmement élevée, bien au-delà du seuil de surachat de 70. Ce niveau indique que le titre est massivement suracheté et que les conditions de marché sont excessives. Un tel niveau est souvent suivi d'un retournement ou d'une phase de consolidation, d'où la décision de vente.</w:t>
      </w:r>
    </w:p>
    <w:p>
      <w:pPr>
        <w:spacing w:after="120" w:line="276" w:lineRule="auto"/>
      </w:pPr>
      <w:r>
        <w:t>**Stochastique** : Le %K (97,826) et le %D (99,275) sont tous deux à des niveaux de surachat extrême, proches de 100. Cette configuration suggère que le mouvement haussier est à son apogée et qu'un croisement baissier est imminent, ce qui justifie la décision de vente.</w:t>
      </w:r>
    </w:p>
    <w:p>
      <w:pPr>
        <w:spacing w:after="120" w:line="276" w:lineRule="auto"/>
      </w:pPr>
      <w:r>
        <w:t>**Conclusion technique** : Les indicateurs de tendance (MM, MACD) sont positifs, mais les oscillateurs (RSI, Stochastique) et les bandes de Bollinger signalent une condition de surachat extrême. Cette divergence entre la tendance et le momentum suggère un risque élevé de correction à court terme, mais la tendance de fond reste haussière. Un repli serait sain pour consolider les gains avant une éventuelle poursuite de la hausse.</w:t>
      </w:r>
    </w:p>
    <w:p>
      <w:pPr>
        <w:spacing w:after="120" w:line="276" w:lineRule="auto"/>
      </w:pPr>
      <w:r>
        <w:t>### PARTIE 3 : ANALYSE FONDAMENTALE (SECTION CRITIQUE)</w:t>
      </w:r>
    </w:p>
    <w:p>
      <w:pPr>
        <w:spacing w:after="120" w:line="276" w:lineRule="auto"/>
      </w:pPr>
      <w:r>
        <w:t>En 2025, Oragroup a réalisé un retournement spectaculaire de sa rentabilité. Le Produit Net Bancaire (PNB) s'établit à 186,609 milliards FCFA, en légère baisse de -4,5% par rapport à 2024 (195,4 milliards). Le résultat net, quant à lui, est passé d'une perte colossale de -44,4 milliards FCFA en 2024 à un bénéfice de 21,643 milliards FCFA en 2025. Cette performance est portée par une réduction drastique du coût du risque (provisions pour créances douteuses), qui est passé de -69,1 milliards à -6,971 milliards FCFA, et une maîtrise des charges générales (-12%). Le coefficient d'exploitation de 42,85% est excellent, démontrant une grande efficacité opérationnelle. Le ROE de 19,13% est remarquable, bien au-dessus du seuil de 15% considéré comme excellent, et le ROA de 0,54% est positif. La structure financière reste fragile avec un ratio d'endettement très élevé (444,9%), mais la solvabilité générale est assurée (102,9%). Les dépôts de la clientèle (3 088,7 milliards FCFA) couvrent largement les crédits à la clientèle (1 523,8 milliards FCFA), indiquant une bonne liquidité. Les rapports trimestriels de 2025 confirment cette trajectoire : le T1 affichait un bénéfice de 4,8 milliards, le S1 de 18,3 milliards et le T3 de 19,6 milliards, montrant une amélioration progressive. Le rapport T1 2026 (daté de 2026) montre une poursuite de la tendance avec un résultat net en hausse de 37% à 6,555 milliards FCFA, malgré un PNB en léger repli. La recommandation fondamentale est de **CONSERVER**, car le redressement est solide mais la croissance des revenus reste à prouver.</w:t>
      </w:r>
    </w:p>
    <w:p>
      <w:pPr>
        <w:spacing w:after="120" w:line="276" w:lineRule="auto"/>
      </w:pPr>
      <w:r>
        <w:t>### PARTIE 4 : CONCLUSION D'INVESTISSEMENT</w:t>
      </w:r>
    </w:p>
    <w:p>
      <w:pPr>
        <w:spacing w:after="120" w:line="276" w:lineRule="auto"/>
      </w:pPr>
      <w:r>
        <w:t>La valorisation d'ORGT est contrastée : un PER de 10x est raisonnable, mais un EV/EBITDA de 19,9x est exigeant, ce qui reflète une anticipation de croissance future. Le comportement du cours sur 100 jours est baissier (-15,4%) avec une volatilité très élevée (46,5%), mais les statistiques montrent une asymétrie positive, indiquant un potentiel de rebond. Les signaux techniques sont en divergence : la tendance (MM, MACD) est haussière, mais les oscillateurs (RSI, Stochastique) et les bandes de Bollinger signalent un surachat extrême, suggérant un risque de correction à court terme. Les fondamentaux sont en nette amélioration avec un retour à une forte rentabilité (ROE de 19,1%) et une excellente maîtrise des coûts, mais la baisse du PNB est un point de vigilance. Les prédictions IA pour les 10 prochains jours (de 3 060 à 3 036 FCFA) confirment une légère tendance baissière, en cohérence avec les signaux de surachat technique. En synthèse, la convergence des signaux est partielle : le fondamental est solide, mais le technique et les prédictions à court terme sont prudents. La recommandation finale est **CONSERVER**, avec un niveau de confiance **Moyen** et un risque global **Élevé** en raison de la volatilité. L'horizon d'investissement optimal serait le **moyen terme (3-12 mois)**, en attendant une stabilisation du cours et une confirmation de la croissance du PNB pour envisager un renforcement de la position.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3,717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B40000"/>
                <w:sz w:val="17"/>
              </w:rPr>
              <w:t>-2.28%</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μ=8,420 FCFA, σ=535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β=-0.0735 (Contre-cyclique) — Cov=-0.000003, Var(idx)=0.000036, ρ=-0.017,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8,669</w:t>
            </w:r>
          </w:p>
        </w:tc>
        <w:tc>
          <w:tcPr>
            <w:tcW w:type="dxa" w:w="1440"/>
            <w:shd w:fill="FAFAFA" w:val="clear"/>
          </w:tcPr>
          <w:p>
            <w:r>
              <w:rPr>
                <w:b/>
                <w:sz w:val="17"/>
              </w:rPr>
              <w:t>8,989</w:t>
            </w:r>
          </w:p>
        </w:tc>
        <w:tc>
          <w:tcPr>
            <w:tcW w:type="dxa" w:w="1440"/>
            <w:shd w:fill="FAFAFA" w:val="clear"/>
          </w:tcPr>
          <w:p>
            <w:r>
              <w:rPr>
                <w:sz w:val="17"/>
              </w:rPr>
              <w:t>9,309</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8,569</w:t>
            </w:r>
          </w:p>
        </w:tc>
        <w:tc>
          <w:tcPr>
            <w:tcW w:type="dxa" w:w="1440"/>
            <w:shd w:fill="FAFAFA" w:val="clear"/>
          </w:tcPr>
          <w:p>
            <w:r>
              <w:rPr>
                <w:b/>
                <w:sz w:val="17"/>
              </w:rPr>
              <w:t>9,023</w:t>
            </w:r>
          </w:p>
        </w:tc>
        <w:tc>
          <w:tcPr>
            <w:tcW w:type="dxa" w:w="1440"/>
            <w:shd w:fill="FAFAFA" w:val="clear"/>
          </w:tcPr>
          <w:p>
            <w:r>
              <w:rPr>
                <w:sz w:val="17"/>
              </w:rPr>
              <w:t>9,477</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2026-08-06</w:t>
            </w:r>
          </w:p>
        </w:tc>
        <w:tc>
          <w:tcPr>
            <w:tcW w:type="dxa" w:w="1440"/>
            <w:shd w:fill="FAFAFA" w:val="clear"/>
          </w:tcPr>
          <w:p>
            <w:r>
              <w:rPr>
                <w:sz w:val="17"/>
              </w:rPr>
              <w:t>8,492</w:t>
            </w:r>
          </w:p>
        </w:tc>
        <w:tc>
          <w:tcPr>
            <w:tcW w:type="dxa" w:w="1440"/>
            <w:shd w:fill="FAFAFA" w:val="clear"/>
          </w:tcPr>
          <w:p>
            <w:r>
              <w:rPr>
                <w:b/>
                <w:sz w:val="17"/>
              </w:rPr>
              <w:t>9,050</w:t>
            </w:r>
          </w:p>
        </w:tc>
        <w:tc>
          <w:tcPr>
            <w:tcW w:type="dxa" w:w="1440"/>
            <w:shd w:fill="FAFAFA" w:val="clear"/>
          </w:tcPr>
          <w:p>
            <w:r>
              <w:rPr>
                <w:sz w:val="17"/>
              </w:rPr>
              <w:t>9,608</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8,431</w:t>
            </w:r>
          </w:p>
        </w:tc>
        <w:tc>
          <w:tcPr>
            <w:tcW w:type="dxa" w:w="1440"/>
            <w:shd w:fill="FAFAFA" w:val="clear"/>
          </w:tcPr>
          <w:p>
            <w:r>
              <w:rPr>
                <w:b/>
                <w:sz w:val="17"/>
              </w:rPr>
              <w:t>9,077</w:t>
            </w:r>
          </w:p>
        </w:tc>
        <w:tc>
          <w:tcPr>
            <w:tcW w:type="dxa" w:w="1440"/>
            <w:shd w:fill="FAFAFA" w:val="clear"/>
          </w:tcPr>
          <w:p>
            <w:r>
              <w:rPr>
                <w:sz w:val="17"/>
              </w:rPr>
              <w:t>9,723</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8,379</w:t>
            </w:r>
          </w:p>
        </w:tc>
        <w:tc>
          <w:tcPr>
            <w:tcW w:type="dxa" w:w="1440"/>
            <w:shd w:fill="FAFAFA" w:val="clear"/>
          </w:tcPr>
          <w:p>
            <w:r>
              <w:rPr>
                <w:b/>
                <w:sz w:val="17"/>
              </w:rPr>
              <w:t>9,103</w:t>
            </w:r>
          </w:p>
        </w:tc>
        <w:tc>
          <w:tcPr>
            <w:tcW w:type="dxa" w:w="1440"/>
            <w:shd w:fill="FAFAFA" w:val="clear"/>
          </w:tcPr>
          <w:p>
            <w:r>
              <w:rPr>
                <w:sz w:val="17"/>
              </w:rPr>
              <w:t>9,828</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8,335</w:t>
            </w:r>
          </w:p>
        </w:tc>
        <w:tc>
          <w:tcPr>
            <w:tcW w:type="dxa" w:w="1440"/>
            <w:shd w:fill="FAFAFA" w:val="clear"/>
          </w:tcPr>
          <w:p>
            <w:r>
              <w:rPr>
                <w:b/>
                <w:sz w:val="17"/>
              </w:rPr>
              <w:t>9,130</w:t>
            </w:r>
          </w:p>
        </w:tc>
        <w:tc>
          <w:tcPr>
            <w:tcW w:type="dxa" w:w="1440"/>
            <w:shd w:fill="FAFAFA" w:val="clear"/>
          </w:tcPr>
          <w:p>
            <w:r>
              <w:rPr>
                <w:sz w:val="17"/>
              </w:rPr>
              <w:t>9,926</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8,295</w:t>
            </w:r>
          </w:p>
        </w:tc>
        <w:tc>
          <w:tcPr>
            <w:tcW w:type="dxa" w:w="1440"/>
            <w:shd w:fill="FAFAFA" w:val="clear"/>
          </w:tcPr>
          <w:p>
            <w:r>
              <w:rPr>
                <w:b/>
                <w:sz w:val="17"/>
              </w:rPr>
              <w:t>9,157</w:t>
            </w:r>
          </w:p>
        </w:tc>
        <w:tc>
          <w:tcPr>
            <w:tcW w:type="dxa" w:w="1440"/>
            <w:shd w:fill="FAFAFA" w:val="clear"/>
          </w:tcPr>
          <w:p>
            <w:r>
              <w:rPr>
                <w:sz w:val="17"/>
              </w:rPr>
              <w:t>10,019</w:t>
            </w:r>
          </w:p>
        </w:tc>
        <w:tc>
          <w:tcPr>
            <w:tcW w:type="dxa" w:w="1440"/>
            <w:shd w:fill="FAFAFA" w:val="clear"/>
          </w:tcPr>
          <w:p>
            <w:r>
              <w:rPr>
                <w:b/>
                <w:color w:val="008000"/>
                <w:sz w:val="17"/>
              </w:rPr>
              <w:t>+1.9%</w:t>
            </w:r>
          </w:p>
        </w:tc>
      </w:tr>
      <w:tr>
        <w:tc>
          <w:tcPr>
            <w:tcW w:type="dxa" w:w="1440"/>
            <w:shd w:fill="C6EFCE" w:val="clear"/>
          </w:tcPr>
          <w:p>
            <w:r>
              <w:rPr>
                <w:sz w:val="17"/>
              </w:rPr>
              <w:t>J+8  ⭐</w:t>
            </w:r>
          </w:p>
        </w:tc>
        <w:tc>
          <w:tcPr>
            <w:tcW w:type="dxa" w:w="1440"/>
            <w:shd w:fill="C6EFCE" w:val="clear"/>
          </w:tcPr>
          <w:p>
            <w:r>
              <w:rPr>
                <w:sz w:val="17"/>
              </w:rPr>
              <w:t>2026-08-14</w:t>
            </w:r>
          </w:p>
        </w:tc>
        <w:tc>
          <w:tcPr>
            <w:tcW w:type="dxa" w:w="1440"/>
            <w:shd w:fill="C6EFCE" w:val="clear"/>
          </w:tcPr>
          <w:p>
            <w:r>
              <w:rPr>
                <w:sz w:val="17"/>
              </w:rPr>
              <w:t>8,260</w:t>
            </w:r>
          </w:p>
        </w:tc>
        <w:tc>
          <w:tcPr>
            <w:tcW w:type="dxa" w:w="1440"/>
            <w:shd w:fill="C6EFCE" w:val="clear"/>
          </w:tcPr>
          <w:p>
            <w:r>
              <w:rPr>
                <w:b/>
                <w:sz w:val="17"/>
              </w:rPr>
              <w:t>9,184</w:t>
            </w:r>
          </w:p>
        </w:tc>
        <w:tc>
          <w:tcPr>
            <w:tcW w:type="dxa" w:w="1440"/>
            <w:shd w:fill="C6EFCE" w:val="clear"/>
          </w:tcPr>
          <w:p>
            <w:r>
              <w:rPr>
                <w:sz w:val="17"/>
              </w:rPr>
              <w:t>10,108</w:t>
            </w:r>
          </w:p>
        </w:tc>
        <w:tc>
          <w:tcPr>
            <w:tcW w:type="dxa" w:w="1440"/>
            <w:shd w:fill="C6EFCE" w:val="clear"/>
          </w:tcPr>
          <w:p>
            <w:r>
              <w:rPr>
                <w:b/>
                <w:color w:val="008000"/>
                <w:sz w:val="17"/>
              </w:rPr>
              <w:t>+2.2%</w:t>
            </w:r>
          </w:p>
        </w:tc>
      </w:tr>
      <w:tr>
        <w:tc>
          <w:tcPr>
            <w:tcW w:type="dxa" w:w="1440"/>
            <w:shd w:fill="C6EFCE" w:val="clear"/>
          </w:tcPr>
          <w:p>
            <w:r>
              <w:rPr>
                <w:sz w:val="17"/>
              </w:rPr>
              <w:t>J+9  ⭐</w:t>
            </w:r>
          </w:p>
        </w:tc>
        <w:tc>
          <w:tcPr>
            <w:tcW w:type="dxa" w:w="1440"/>
            <w:shd w:fill="C6EFCE" w:val="clear"/>
          </w:tcPr>
          <w:p>
            <w:r>
              <w:rPr>
                <w:sz w:val="17"/>
              </w:rPr>
              <w:t>2026-08-17</w:t>
            </w:r>
          </w:p>
        </w:tc>
        <w:tc>
          <w:tcPr>
            <w:tcW w:type="dxa" w:w="1440"/>
            <w:shd w:fill="C6EFCE" w:val="clear"/>
          </w:tcPr>
          <w:p>
            <w:r>
              <w:rPr>
                <w:sz w:val="17"/>
              </w:rPr>
              <w:t>8,228</w:t>
            </w:r>
          </w:p>
        </w:tc>
        <w:tc>
          <w:tcPr>
            <w:tcW w:type="dxa" w:w="1440"/>
            <w:shd w:fill="C6EFCE" w:val="clear"/>
          </w:tcPr>
          <w:p>
            <w:r>
              <w:rPr>
                <w:b/>
                <w:sz w:val="17"/>
              </w:rPr>
              <w:t>9,211</w:t>
            </w:r>
          </w:p>
        </w:tc>
        <w:tc>
          <w:tcPr>
            <w:tcW w:type="dxa" w:w="1440"/>
            <w:shd w:fill="C6EFCE" w:val="clear"/>
          </w:tcPr>
          <w:p>
            <w:r>
              <w:rPr>
                <w:sz w:val="17"/>
              </w:rPr>
              <w:t>10,194</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2026-08-18</w:t>
            </w:r>
          </w:p>
        </w:tc>
        <w:tc>
          <w:tcPr>
            <w:tcW w:type="dxa" w:w="1440"/>
            <w:shd w:fill="C6EFCE" w:val="clear"/>
          </w:tcPr>
          <w:p>
            <w:r>
              <w:rPr>
                <w:sz w:val="17"/>
              </w:rPr>
              <w:t>8,198</w:t>
            </w:r>
          </w:p>
        </w:tc>
        <w:tc>
          <w:tcPr>
            <w:tcW w:type="dxa" w:w="1440"/>
            <w:shd w:fill="C6EFCE" w:val="clear"/>
          </w:tcPr>
          <w:p>
            <w:r>
              <w:rPr>
                <w:b/>
                <w:sz w:val="17"/>
              </w:rPr>
              <w:t>9,238</w:t>
            </w:r>
          </w:p>
        </w:tc>
        <w:tc>
          <w:tcPr>
            <w:tcW w:type="dxa" w:w="1440"/>
            <w:shd w:fill="C6EFCE" w:val="clear"/>
          </w:tcPr>
          <w:p>
            <w:r>
              <w:rPr>
                <w:sz w:val="17"/>
              </w:rPr>
              <w:t>10,277</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w:t>
        <w:br/>
        <w:t>**Date de l'analyse : 30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138,98 milliards FCFA, un niveau significatif qui en fait l'une des valeurs moyennes de la cote de la BRVM, reflétant son statut de leader régional dans l'agro-industrie. Le BPA de 1 003 FCFA indique que chaque action génère un bénéfice substantiel pour son détenteur. Avec un PER de 9,0x, le titre se négocie dans la fourchette basse de la moyenne du marché BRVM (8-12x), suggérant une valorisation raisonnable, voire légèrement sous-évaluée par rapport à son potentiel de bénéfices. Le P/B de 0,97x est particulièrement intéressant : le marché valorise l'action en dessous de sa valeur comptable, ce qui constitue une opportunité potentielle pour les investisseurs value. Enfin, l'EV/EBITDA de 4,4x, nettement inférieur au seuil de 5x, confirme que la valeur totale de l'entreprise (dette incluse)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PALC affiche une variation totale de -2,28%, avec une dernière séance en légère baisse de -0,11%, clôturant à 8 990 FCFA. Le titre a évolué dans une fourchette de 7 000 FCFA (plus bas) à 9 500 FCFA (plus haut), démontrant une amplitude de trading de 2 500 FCFA. La moyenne du cours sur la période est de 8 420 FCFA, tandis que la médiane s'établit à 8 600 FCFA ; cet écart suggère une distribution légèrement asymétrique, avec une concentration des cours vers le haut de la fourchette. L'écart-type de 537 FCFA, avec un coefficient de variation de 6,4%, indique une dispersion modérée autour de la moyenne. Le kurtosis de -0,560 (mésokurtique) et le skewness de -0,089 confirment une distribution proche de la normale, sans risque de pics extrêmes. La volatilité annualisée de 41,0% positionne le titre comme très volatil, ce qui implique un risque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Les MM20 (8 773,75 FCFA) et MM50 (8 595,4 FCFA) sont toutes deux inférieures au cours actuel de 8 990 FCFA, avec une MM20 au-dessus de la MM50. Cette configuration haussière confirme une dynamique positive à court et moyen terme, justifiant la décision d'achat. Le cours évolue au-dessus de ses moyennes mobiles, ce qui indique une tendance soutenue.</w:t>
      </w:r>
    </w:p>
    <w:p>
      <w:pPr>
        <w:spacing w:after="120" w:line="276" w:lineRule="auto"/>
      </w:pPr>
      <w:r>
        <w:t>**Bandes de Bollinger :** Le prix actuel de 8 990 FCFA se situe entre la borne supérieure (9 039,137 FCFA) et la borne inférieure (8 508,363 FCFA), plus proche de la borne supérieure. Cette position suggère une pression acheteuse modérée, sans atteindre la zone de surachat. La décision neutre reflète un équilibre entre la tendance haussière et la proximité de la résistance.</w:t>
      </w:r>
    </w:p>
    <w:p>
      <w:pPr>
        <w:spacing w:after="120" w:line="276" w:lineRule="auto"/>
      </w:pPr>
      <w:r>
        <w:t>**MACD :** Le MACD (80,479) est supérieur à son signal (71,627), avec un écart positif de 8,852 points. Cette divergence haussière confirme un momentum positif et une dynamique d'accélération des prix. La décision d'achat est justifiée par cette configuration qui indique une poursuite probable de la tendance haussière.</w:t>
      </w:r>
    </w:p>
    <w:p>
      <w:pPr>
        <w:spacing w:after="120" w:line="276" w:lineRule="auto"/>
      </w:pPr>
      <w:r>
        <w:t>**RSI :** Le RSI de 63,462 se situe dans la zone neutre (30-70), proche de la zone de surachat (70). Cette valeur indique une pression acheteuse soutenue mais pas encore excessive. La décision neutre est appropriée, car le titre n'est ni suracheté ni survendu, laissant une marge de progression avant une éventuelle correction.</w:t>
      </w:r>
    </w:p>
    <w:p>
      <w:pPr>
        <w:spacing w:after="120" w:line="276" w:lineRule="auto"/>
      </w:pPr>
      <w:r>
        <w:t>**Stochastique :** Le %K (92,857) est nettement supérieur au %D (69,414), avec un écart important de 23,443 points. Cette configuration indique une condition de surachat extrême, avec le %K dépassant largement le seuil de 80. La décision de vente est justifiée par ce signal de surachat qui suggère un risque de correction à court terme.</w:t>
      </w:r>
    </w:p>
    <w:p>
      <w:pPr>
        <w:spacing w:after="120" w:line="276" w:lineRule="auto"/>
      </w:pPr>
      <w:r>
        <w:t>**Conclusion technique :** Les indicateurs de tendance (MM, MACD) sont haussiers, tandis que les oscillateurs (RSI, Stochastique) montrent des signes de surachat, particulièrement le Stochastique. Cette divergence suggère que la tendance haussière pourrait se poursuivre à moyen terme, mais qu'une consolidation technique est probable à court terme. Les bandes de Bollinger confirment cette analyse avec un prix proche de la borne supérieure.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PALC a réalisé un chiffre d'affaires de 197,630 milliards FCFA, en croissance de +14,8% par rapport à 2024 (172,2 milliards FCFA). Le résultat net s'établit à 15,509 milliards FCFA, en légère baisse de -2,2% par rapport à 2024 (15,9 milliards FCFA). La marge nette est de 7,85%, en recul par rapport à 2024 (9,2%). Le ROE est de 10,87% et le ROA de 7,79%, indiquant une rentabilité correcte mais en dessous du seuil excellent de 15%. La structure financière est solide avec une autonomie financière de 71,64% et un ratio d'endettement très faible de 0,56%. Le BFR de 44,623 milliards FCFA est positif, ce qui est défavorable pour une entreprise, indiquant un besoin de financement du cycle d'exploitation. Le délai clients de 142,58 jours est élevé, constituant un risque de trésorerie. La capacité de remboursement est excellente (0,03 an). **Estimations basées sur les rapports trimestriels :** Le rapport T1 2025 (daté 2025) montre un CA de 67,5 milliards FCFA (+32%) et un résultat net de 11,6 milliards FCFA (+65%), indiquant une forte dynamique au premier trimestre. Le rapport S1 2025 (daté 2025) confirme cette tendance avec un CA de 134,8 milliards FCFA (+25%) et un résultat net de 22,9 milliards FCFA (+37%). Le rapport T3 2025 (daté 2025) montre un CA cumulé de 168,9 milliards FCFA (+18%) et un résultat net de 18,0 milliards FCFA (+11%). **Cependant, le rapport T1 2026 (daté 2026) est préoccupant :** le CA chute de -27% à 49,4 milliards FCFA et le résultat net s'effondre de -86% à 1,6 milliard FCFA, bien que la direction évoque un décalage temporel des ventes. **Recommandation fondamentale :** La société est financièrement solide, avec une croissance du CA soutenue en 2025, mais la rentabilité est sous pression et le T1 2026 montre une dégradation significative. Les fondamentaux restent globalement sains, mais nécessitent une surveillance active.</w:t>
      </w:r>
    </w:p>
    <w:p>
      <w:pPr>
        <w:spacing w:after="120" w:line="276" w:lineRule="auto"/>
      </w:pPr>
      <w:r>
        <w:t>---</w:t>
      </w:r>
    </w:p>
    <w:p>
      <w:pPr>
        <w:spacing w:after="120" w:line="276" w:lineRule="auto"/>
      </w:pPr>
      <w:r>
        <w:t>### PARTIE 4 : CONCLUSION D'INVESTISSEMENT</w:t>
      </w:r>
    </w:p>
    <w:p>
      <w:pPr>
        <w:spacing w:after="120" w:line="276" w:lineRule="auto"/>
      </w:pPr>
      <w:r>
        <w:t>La valorisation de PALC est attractive avec un PER de 9,0x, un P/B de 0,97x et un EV/EBITDA de 4,4x, indiquant une sous-évaluation potentielle. Le comportement du cours sur 100 jours montre une légère baisse (-2,28%) avec une volatilité élevée (41%), mais une distribution des prix stable (kurtosis mésokurtique, skewness symétrique). Les signaux techniques sont mitigés : les moyennes mobiles et le MACD sont haussiers, mais le Stochastique est en surachat extrême, suggérant une possible consolidation. Les fondamentaux sont solides pour 2025 (CA +14,8%, ROE 10,87%), mais le T1 2026 est très préoccupant (résultat net -86%), même si la direction évoque un décalage temporel. Les prédictions IA pour les 10 prochains jours (8 989 à 9 103 FCFA) indiquent une légère tendance haussière, confirmant les signaux techniques de moyen terme. **Recommandation finale : CONSERVER** avec un niveau de confiance **Moyen** et un risque global **Élevé**. La convergence entre la valorisation attractive et les fondamentaux solides est contrebalancée par la dégradation récente des performances trimestrielles et la volatilité élevée. L'horizon d'investissement optimal est de **moyen terme (3-12 mois)**, en attendant la confirmation d'un redressement au T2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1,180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-18.52%</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9.42% (Moyenne) — μ=4,545 FCFA, σ=428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β=-0.1928 (Contre-cyclique) — Cov=-0.000007, Var(idx)=0.000036, ρ=-0.043,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4,302</w:t>
            </w:r>
          </w:p>
        </w:tc>
        <w:tc>
          <w:tcPr>
            <w:tcW w:type="dxa" w:w="1440"/>
            <w:shd w:fill="FAFAFA" w:val="clear"/>
          </w:tcPr>
          <w:p>
            <w:r>
              <w:rPr>
                <w:b/>
                <w:sz w:val="17"/>
              </w:rPr>
              <w:t>4,418</w:t>
            </w:r>
          </w:p>
        </w:tc>
        <w:tc>
          <w:tcPr>
            <w:tcW w:type="dxa" w:w="1440"/>
            <w:shd w:fill="FAFAFA" w:val="clear"/>
          </w:tcPr>
          <w:p>
            <w:r>
              <w:rPr>
                <w:sz w:val="17"/>
              </w:rPr>
              <w:t>4,533</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4,227</w:t>
            </w:r>
          </w:p>
        </w:tc>
        <w:tc>
          <w:tcPr>
            <w:tcW w:type="dxa" w:w="1440"/>
            <w:shd w:fill="FAFAFA" w:val="clear"/>
          </w:tcPr>
          <w:p>
            <w:r>
              <w:rPr>
                <w:b/>
                <w:sz w:val="17"/>
              </w:rPr>
              <w:t>4,389</w:t>
            </w:r>
          </w:p>
        </w:tc>
        <w:tc>
          <w:tcPr>
            <w:tcW w:type="dxa" w:w="1440"/>
            <w:shd w:fill="FAFAFA" w:val="clear"/>
          </w:tcPr>
          <w:p>
            <w:r>
              <w:rPr>
                <w:sz w:val="17"/>
              </w:rPr>
              <w:t>4,550</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4,170</w:t>
            </w:r>
          </w:p>
        </w:tc>
        <w:tc>
          <w:tcPr>
            <w:tcW w:type="dxa" w:w="1440"/>
            <w:shd w:fill="FAFAFA" w:val="clear"/>
          </w:tcPr>
          <w:p>
            <w:r>
              <w:rPr>
                <w:b/>
                <w:sz w:val="17"/>
              </w:rPr>
              <w:t>4,367</w:t>
            </w:r>
          </w:p>
        </w:tc>
        <w:tc>
          <w:tcPr>
            <w:tcW w:type="dxa" w:w="1440"/>
            <w:shd w:fill="FAFAFA" w:val="clear"/>
          </w:tcPr>
          <w:p>
            <w:r>
              <w:rPr>
                <w:sz w:val="17"/>
              </w:rPr>
              <w:t>4,564</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2026-08-10</w:t>
            </w:r>
          </w:p>
        </w:tc>
        <w:tc>
          <w:tcPr>
            <w:tcW w:type="dxa" w:w="1440"/>
            <w:shd w:fill="FAFAFA" w:val="clear"/>
          </w:tcPr>
          <w:p>
            <w:r>
              <w:rPr>
                <w:sz w:val="17"/>
              </w:rPr>
              <w:t>4,120</w:t>
            </w:r>
          </w:p>
        </w:tc>
        <w:tc>
          <w:tcPr>
            <w:tcW w:type="dxa" w:w="1440"/>
            <w:shd w:fill="FAFAFA" w:val="clear"/>
          </w:tcPr>
          <w:p>
            <w:r>
              <w:rPr>
                <w:b/>
                <w:sz w:val="17"/>
              </w:rPr>
              <w:t>4,347</w:t>
            </w:r>
          </w:p>
        </w:tc>
        <w:tc>
          <w:tcPr>
            <w:tcW w:type="dxa" w:w="1440"/>
            <w:shd w:fill="FAFAFA" w:val="clear"/>
          </w:tcPr>
          <w:p>
            <w:r>
              <w:rPr>
                <w:sz w:val="17"/>
              </w:rPr>
              <w:t>4,573</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2026-08-11</w:t>
            </w:r>
          </w:p>
        </w:tc>
        <w:tc>
          <w:tcPr>
            <w:tcW w:type="dxa" w:w="1440"/>
            <w:shd w:fill="FAFAFA" w:val="clear"/>
          </w:tcPr>
          <w:p>
            <w:r>
              <w:rPr>
                <w:sz w:val="17"/>
              </w:rPr>
              <w:t>4,074</w:t>
            </w:r>
          </w:p>
        </w:tc>
        <w:tc>
          <w:tcPr>
            <w:tcW w:type="dxa" w:w="1440"/>
            <w:shd w:fill="FAFAFA" w:val="clear"/>
          </w:tcPr>
          <w:p>
            <w:r>
              <w:rPr>
                <w:b/>
                <w:sz w:val="17"/>
              </w:rPr>
              <w:t>4,326</w:t>
            </w:r>
          </w:p>
        </w:tc>
        <w:tc>
          <w:tcPr>
            <w:tcW w:type="dxa" w:w="1440"/>
            <w:shd w:fill="FAFAFA" w:val="clear"/>
          </w:tcPr>
          <w:p>
            <w:r>
              <w:rPr>
                <w:sz w:val="17"/>
              </w:rPr>
              <w:t>4,579</w:t>
            </w:r>
          </w:p>
        </w:tc>
        <w:tc>
          <w:tcPr>
            <w:tcW w:type="dxa" w:w="1440"/>
            <w:shd w:fill="FAFAFA" w:val="clear"/>
          </w:tcPr>
          <w:p>
            <w:r>
              <w:rPr>
                <w:b/>
                <w:color w:val="C00000"/>
                <w:sz w:val="17"/>
              </w:rPr>
              <w:t>-1.7%</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4,031</w:t>
            </w:r>
          </w:p>
        </w:tc>
        <w:tc>
          <w:tcPr>
            <w:tcW w:type="dxa" w:w="1440"/>
            <w:shd w:fill="FFDCE0" w:val="clear"/>
          </w:tcPr>
          <w:p>
            <w:r>
              <w:rPr>
                <w:b/>
                <w:sz w:val="17"/>
              </w:rPr>
              <w:t>4,306</w:t>
            </w:r>
          </w:p>
        </w:tc>
        <w:tc>
          <w:tcPr>
            <w:tcW w:type="dxa" w:w="1440"/>
            <w:shd w:fill="FFDCE0" w:val="clear"/>
          </w:tcPr>
          <w:p>
            <w:r>
              <w:rPr>
                <w:sz w:val="17"/>
              </w:rPr>
              <w:t>4,581</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3,991</w:t>
            </w:r>
          </w:p>
        </w:tc>
        <w:tc>
          <w:tcPr>
            <w:tcW w:type="dxa" w:w="1440"/>
            <w:shd w:fill="FFDCE0" w:val="clear"/>
          </w:tcPr>
          <w:p>
            <w:r>
              <w:rPr>
                <w:b/>
                <w:sz w:val="17"/>
              </w:rPr>
              <w:t>4,286</w:t>
            </w:r>
          </w:p>
        </w:tc>
        <w:tc>
          <w:tcPr>
            <w:tcW w:type="dxa" w:w="1440"/>
            <w:shd w:fill="FFDCE0" w:val="clear"/>
          </w:tcPr>
          <w:p>
            <w:r>
              <w:rPr>
                <w:sz w:val="17"/>
              </w:rPr>
              <w:t>4,582</w:t>
            </w:r>
          </w:p>
        </w:tc>
        <w:tc>
          <w:tcPr>
            <w:tcW w:type="dxa" w:w="1440"/>
            <w:shd w:fill="FFDCE0" w:val="clear"/>
          </w:tcPr>
          <w:p>
            <w:r>
              <w:rPr>
                <w:b/>
                <w:color w:val="C00000"/>
                <w:sz w:val="17"/>
              </w:rPr>
              <w:t>-2.6%</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3,952</w:t>
            </w:r>
          </w:p>
        </w:tc>
        <w:tc>
          <w:tcPr>
            <w:tcW w:type="dxa" w:w="1440"/>
            <w:shd w:fill="FFDCE0" w:val="clear"/>
          </w:tcPr>
          <w:p>
            <w:r>
              <w:rPr>
                <w:b/>
                <w:sz w:val="17"/>
              </w:rPr>
              <w:t>4,267</w:t>
            </w:r>
          </w:p>
        </w:tc>
        <w:tc>
          <w:tcPr>
            <w:tcW w:type="dxa" w:w="1440"/>
            <w:shd w:fill="FFDCE0" w:val="clear"/>
          </w:tcPr>
          <w:p>
            <w:r>
              <w:rPr>
                <w:sz w:val="17"/>
              </w:rPr>
              <w:t>4,582</w:t>
            </w:r>
          </w:p>
        </w:tc>
        <w:tc>
          <w:tcPr>
            <w:tcW w:type="dxa" w:w="1440"/>
            <w:shd w:fill="FFDCE0" w:val="clear"/>
          </w:tcPr>
          <w:p>
            <w:r>
              <w:rPr>
                <w:b/>
                <w:color w:val="C00000"/>
                <w:sz w:val="17"/>
              </w:rPr>
              <w:t>-3.0%</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3,916</w:t>
            </w:r>
          </w:p>
        </w:tc>
        <w:tc>
          <w:tcPr>
            <w:tcW w:type="dxa" w:w="1440"/>
            <w:shd w:fill="FFDCE0" w:val="clear"/>
          </w:tcPr>
          <w:p>
            <w:r>
              <w:rPr>
                <w:b/>
                <w:sz w:val="17"/>
              </w:rPr>
              <w:t>4,248</w:t>
            </w:r>
          </w:p>
        </w:tc>
        <w:tc>
          <w:tcPr>
            <w:tcW w:type="dxa" w:w="1440"/>
            <w:shd w:fill="FFDCE0" w:val="clear"/>
          </w:tcPr>
          <w:p>
            <w:r>
              <w:rPr>
                <w:sz w:val="17"/>
              </w:rPr>
              <w:t>4,581</w:t>
            </w:r>
          </w:p>
        </w:tc>
        <w:tc>
          <w:tcPr>
            <w:tcW w:type="dxa" w:w="1440"/>
            <w:shd w:fill="FFDCE0" w:val="clear"/>
          </w:tcPr>
          <w:p>
            <w:r>
              <w:rPr>
                <w:b/>
                <w:color w:val="C00000"/>
                <w:sz w:val="17"/>
              </w:rPr>
              <w:t>-3.4%</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3,881</w:t>
            </w:r>
          </w:p>
        </w:tc>
        <w:tc>
          <w:tcPr>
            <w:tcW w:type="dxa" w:w="1440"/>
            <w:shd w:fill="FFDCE0" w:val="clear"/>
          </w:tcPr>
          <w:p>
            <w:r>
              <w:rPr>
                <w:b/>
                <w:sz w:val="17"/>
              </w:rPr>
              <w:t>4,230</w:t>
            </w:r>
          </w:p>
        </w:tc>
        <w:tc>
          <w:tcPr>
            <w:tcW w:type="dxa" w:w="1440"/>
            <w:shd w:fill="FFDCE0" w:val="clear"/>
          </w:tcPr>
          <w:p>
            <w:r>
              <w:rPr>
                <w:sz w:val="17"/>
              </w:rPr>
              <w:t>4,579</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45,06 milliards FCFA, un niveau qui la positionne comme une valeur de taille moyenne sur la place d'Abidjan, représentative du secteur de la distribution automobile. Le BPA de 231 FCFA indique que chaque action génère un bénéfice net de ce montant, mais le PER de 19,0x est nettement supérieur à la moyenne historique de la BRVM (8-12x), signalant que les investisseurs acceptent de payer une prime substantielle par rapport aux bénéfices actuels. Le P/B de 3,91x confirme cette prime, le marché valorisant l'actif net comptable près de quatre fois sa valeur, ce qui reflète des attentes de croissance future ou une certaine spéculation. Enfin, l'EV/EBITDA de 9,7x, bien que dans la fourchette raisonnable (5-10x), suggère que la valeur d'entreprise reste cohérente avec la capacité opérationnelle de génération de cash-flow, tempérant légèrement l'impression de cherté relative des deux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PRSC a enregistré une variation totale de -18,52%, avec une dernière séance en baisse de -2,55%, s'établissant à 4 400 FCFA. Cette tendance baissière s'est déroulée dans un range de trading large, oscillant entre un plus haut de 5 500 FCFA et un plus bas de 3 620 FCFA, illustrant une forte amplitude de mouvement. La moyenne du cours sur la période (4 545 FCFA) est inférieure à la médiane (4 600 FCFA), ce qui, combiné à un skewness négatif (-0.296), indique une distribution légèrement asymétrique avec une queue de distribution vers les valeurs basses, confirmant la pression vendeuse récente. L'écart-type de 430 FCFA (CV=9,5%) montre une dispersion modérée autour de la moyenne, tandis que le kurtosis proche de zéro (-0.032) suggère une distribution mésokurtique, sans risque de variations extrêmes imprévisibles. La volatilité annualisée de 41,9% classe le titre dans la catégorie des valeurs à forte volatilité (&gt;30%), ce qui représente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(4 400 FCFA) se situe sous la MM20 (4 487,5 FCFA) et la MM50 (4 443,9 FCFA), indiquant une dynamique baissière à court et moyen terme. Cependant, le signal global est un "Achat", probablement en raison d'un croisement haussier antérieur des moyennes, mais la configuration actuelle suggère une perte de momentum qu'il convient de surveiller.</w:t>
      </w:r>
    </w:p>
    <w:p>
      <w:pPr>
        <w:spacing w:after="120" w:line="276" w:lineRule="auto"/>
      </w:pPr>
      <w:r>
        <w:t>**Bandes de Bollinger** : Le prix évolue dans la partie inférieure du canal, se positionnant à 4 400 FCFA contre une borne inférieure à 4 263,15 FCFA et une borne supérieure à 4 711,85 FCFA. La décision "Neutre" est cohérente avec une position médiane, mais la proximité relative de la borne inférieure indique que le titre n'est pas encore en situation de survente extrême, laissant une marge de baisse potentielle.</w:t>
      </w:r>
    </w:p>
    <w:p>
      <w:pPr>
        <w:spacing w:after="120" w:line="276" w:lineRule="auto"/>
      </w:pPr>
      <w:r>
        <w:t>**MACD** : La valeur du MACD (16,709) est inférieure à sa ligne de signal (31,18), ce qui constitue un signal de vente classique. Cette configuration indique un affaiblissement du momentum haussier et une possible poursuite de la tendance baissière à court terme, malgré des valeurs positives qui montrent que la dynamique n'est pas totalement négative.</w:t>
      </w:r>
    </w:p>
    <w:p>
      <w:pPr>
        <w:spacing w:after="120" w:line="276" w:lineRule="auto"/>
      </w:pPr>
      <w:r>
        <w:t>**RSI** : À 56,85, le RSI se situe dans la zone neutre (30-70), indiquant un équilibre relatif entre les forces acheteuses et vendeuses. Cette valeur ne signale ni surachat ni survente, ce qui laisse place à une évolution dans les deux sens, mais sans pression directionnelle forte.</w:t>
      </w:r>
    </w:p>
    <w:p>
      <w:pPr>
        <w:spacing w:after="120" w:line="276" w:lineRule="auto"/>
      </w:pPr>
      <w:r>
        <w:t>**Stochastique** : Le %K (30,99) est inférieur au %D (53,05), formant un croisement baissier qui suggère une dynamique de vente à l'œuvre. Le niveau du %K, proche de la zone de survente (&lt;20), pourrait toutefois indiquer un épuisement potentiel de la pression vendeuse à très court terme.</w:t>
      </w:r>
    </w:p>
    <w:p>
      <w:pPr>
        <w:spacing w:after="120" w:line="276" w:lineRule="auto"/>
      </w:pPr>
      <w:r>
        <w:t>**Conclusion technique** : Les indicateurs sont globalement mitigés avec une légère prédominance baissière. Le MACD et le Stochastique signalent une dynamique de vente, tandis que les moyennes mobiles et le RSI offrent des signaux plus neutres. La configuration suggère une phase de consolidation baissière, avec un risque de poursuite de la baisse si le support des 4 263 FCFA (borne inférieure de Bollinger) est enfoncé.</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croissance de 9,5% par rapport à 2024 (74,45 milliards FCFA), démontrant une solide dynamique commerciale. Le résultat net s'établit à 2,367 milliards FCFA, en légère hausse par rapport aux 2,35 milliards de 2024, avec une marge nette de 2,92%. La rentabilité des fonds propres (ROE) est excellente à 20,53%, tandis que le ROA s'établit à 4,95%, reflétant une utilisation efficace des actifs. En tant qu'entreprise de distribution, l'analyse du BFR est cruciale : le BFR s'élève à 11,267 milliards FCFA, avec un délai de paiement clients de 46 jours et un délai fournisseurs de 103 jours, ce qui est favorable pour la trésorerie. Cependant, la durée de stockage de 150 jours est élevée, immobilisant un capital important dans les stocks (26,334 milliards FCFA). Le rapport d'activité du S1 2025 (daté du 30/06/2025) montre une performance exceptionnelle avec un CA de 39,97 milliards FCFA (+15,1%) et un résultat net multiplié par 28 à 1,436 milliard FCFA, laissant présager une année 2025 robuste, confirmée par les données annuelles. La structure financière montre un endettement total de 36,3 milliards FCFA pour des capitaux propres de 11,53 milliards FCFA, soit un ratio d'endettement de 314,86%, un niveau élevé mais typique du secteur de la distribution automobile. La trésorerie nette est négative à -4,092 milliards FCFA, indiquant une tension de liquidité, bien que la capacité d'autofinancement (CAF) de 3,913 milliards FCFA offre une marge de manœuvre. Le dividende de 2 140 FCFA par action annoncé dans le rapport 2025 est très attractif, représentant un rendement potentiel de 48,6% sur le cours actuel, ce qui est exceptionnel et témoigne de la volonté de rémunérer les actionnaires.</w:t>
      </w:r>
    </w:p>
    <w:p>
      <w:pPr>
        <w:spacing w:after="120" w:line="276" w:lineRule="auto"/>
      </w:pPr>
      <w:r>
        <w:t>---</w:t>
      </w:r>
    </w:p>
    <w:p>
      <w:pPr>
        <w:spacing w:after="120" w:line="276" w:lineRule="auto"/>
      </w:pPr>
      <w:r>
        <w:t>### PARTIE 4 : CONCLUSION D'INVESTISSEMENT</w:t>
      </w:r>
    </w:p>
    <w:p>
      <w:pPr>
        <w:spacing w:after="120" w:line="276" w:lineRule="auto"/>
      </w:pPr>
      <w:r>
        <w:t>La valorisation de PRSC (PER 19x, P/B 3,91x) apparaît élevée par rapport aux standards de la BRVM, suggérant une possible surévaluation malgré des fondamentaux solides. Le comportement du cours sur 100 jours est préoccupant avec une baisse de 18,52% et une volatilité élevée (41,9%), indiquant un risque important, bien que la distribution statistique (mésokurtique) ne montre pas de risque de krach soudain. Les signaux techniques sont mitigés, avec une tendance baissière dominante (MACD vendeur, Stochastique baissier) mais des indicateurs de momentum neutres (RSI), créant une incertitude directionnelle. Les fondamentaux, quant à eux, sont solides avec une croissance du CA de 9,5% en 2025, un ROE de 20,5% et un dividende exceptionnel de 2 140 FCFA par action, ce qui contraste fortement avec la faiblesse du cours. Les prédictions IA pour les 10 prochains jours (4 418 à 4 326 FCFA) confirment une poursuite de la tendance baissière à court terme, avec une baisse progressive. Cette divergence entre des fondamentaux solides et une dynamique de marché négative suggère une correction temporaire, probablement liée à des prises de bénéfices après la forte hausse passée. **Recommandation : CONSERVER** avec un niveau de confiance **Moyen** et un risque global **Élevé**. L'horizon d'investissement optimal serait le **moyen terme (3-12 mois)**, en attendant que le cours se stabilise et reflète à nouveau la solidité financière de l'entreprise, notamment la politique de dividende très généreuse qui offre un plancher de valorisation attractif.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7,297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B40000"/>
                <w:sz w:val="17"/>
              </w:rPr>
              <w:t>-6.28%</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28.2/100 → Moyen</w:t>
      </w:r>
    </w:p>
    <w:p>
      <w:pPr>
        <w:spacing w:before="40" w:after="80"/>
      </w:pPr>
      <w:r>
        <w:rPr>
          <w:rFonts w:ascii="Courier New" w:hAnsi="Courier New"/>
          <w:color w:val="825A00"/>
          <w:sz w:val="18"/>
        </w:rPr>
        <w:t>█████░░░░░░░░░░░░░░░  28.2/100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23.82% (Élevée) — μ=4,840 FCFA, σ=1,153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β=0.4310 (Défensif) — Cov=0.000016, Var(idx)=0.000036, ρ=0.049,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σ_j=5.30%/j (Instable) — Vol. annualisée≈84.2%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5477"/>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4,361</w:t>
            </w:r>
          </w:p>
        </w:tc>
        <w:tc>
          <w:tcPr>
            <w:tcW w:type="dxa" w:w="1440"/>
            <w:shd w:fill="FFDCE0" w:val="clear"/>
          </w:tcPr>
          <w:p>
            <w:r>
              <w:rPr>
                <w:b/>
                <w:sz w:val="17"/>
              </w:rPr>
              <w:t>4,625</w:t>
            </w:r>
          </w:p>
        </w:tc>
        <w:tc>
          <w:tcPr>
            <w:tcW w:type="dxa" w:w="1440"/>
            <w:shd w:fill="FFDCE0" w:val="clear"/>
          </w:tcPr>
          <w:p>
            <w:r>
              <w:rPr>
                <w:sz w:val="17"/>
              </w:rPr>
              <w:t>4,889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3,932</w:t>
            </w:r>
          </w:p>
        </w:tc>
        <w:tc>
          <w:tcPr>
            <w:tcW w:type="dxa" w:w="1440"/>
            <w:shd w:fill="FFDCE0" w:val="clear"/>
          </w:tcPr>
          <w:p>
            <w:r>
              <w:rPr>
                <w:b/>
                <w:sz w:val="17"/>
              </w:rPr>
              <w:t>4,278</w:t>
            </w:r>
          </w:p>
        </w:tc>
        <w:tc>
          <w:tcPr>
            <w:tcW w:type="dxa" w:w="1440"/>
            <w:shd w:fill="FFDCE0" w:val="clear"/>
          </w:tcPr>
          <w:p>
            <w:r>
              <w:rPr>
                <w:sz w:val="17"/>
              </w:rPr>
              <w:t>4,624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3,566</w:t>
            </w:r>
          </w:p>
        </w:tc>
        <w:tc>
          <w:tcPr>
            <w:tcW w:type="dxa" w:w="1440"/>
            <w:shd w:fill="FFDCE0" w:val="clear"/>
          </w:tcPr>
          <w:p>
            <w:r>
              <w:rPr>
                <w:b/>
                <w:sz w:val="17"/>
              </w:rPr>
              <w:t>3,957</w:t>
            </w:r>
          </w:p>
        </w:tc>
        <w:tc>
          <w:tcPr>
            <w:tcW w:type="dxa" w:w="1440"/>
            <w:shd w:fill="FFDCE0" w:val="clear"/>
          </w:tcPr>
          <w:p>
            <w:r>
              <w:rPr>
                <w:sz w:val="17"/>
              </w:rPr>
              <w:t>4,349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3,242</w:t>
            </w:r>
          </w:p>
        </w:tc>
        <w:tc>
          <w:tcPr>
            <w:tcW w:type="dxa" w:w="1440"/>
            <w:shd w:fill="FFDCE0" w:val="clear"/>
          </w:tcPr>
          <w:p>
            <w:r>
              <w:rPr>
                <w:b/>
                <w:sz w:val="17"/>
              </w:rPr>
              <w:t>3,660</w:t>
            </w:r>
          </w:p>
        </w:tc>
        <w:tc>
          <w:tcPr>
            <w:tcW w:type="dxa" w:w="1440"/>
            <w:shd w:fill="FFDCE0" w:val="clear"/>
          </w:tcPr>
          <w:p>
            <w:r>
              <w:rPr>
                <w:sz w:val="17"/>
              </w:rPr>
              <w:t>4,079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2,953</w:t>
            </w:r>
          </w:p>
        </w:tc>
        <w:tc>
          <w:tcPr>
            <w:tcW w:type="dxa" w:w="1440"/>
            <w:shd w:fill="FFDCE0" w:val="clear"/>
          </w:tcPr>
          <w:p>
            <w:r>
              <w:rPr>
                <w:b/>
                <w:sz w:val="17"/>
              </w:rPr>
              <w:t>3,386</w:t>
            </w:r>
          </w:p>
        </w:tc>
        <w:tc>
          <w:tcPr>
            <w:tcW w:type="dxa" w:w="1440"/>
            <w:shd w:fill="FFDCE0" w:val="clear"/>
          </w:tcPr>
          <w:p>
            <w:r>
              <w:rPr>
                <w:sz w:val="17"/>
              </w:rPr>
              <w:t>3,819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2,694</w:t>
            </w:r>
          </w:p>
        </w:tc>
        <w:tc>
          <w:tcPr>
            <w:tcW w:type="dxa" w:w="1440"/>
            <w:shd w:fill="FFDCE0" w:val="clear"/>
          </w:tcPr>
          <w:p>
            <w:r>
              <w:rPr>
                <w:b/>
                <w:sz w:val="17"/>
              </w:rPr>
              <w:t>3,132</w:t>
            </w:r>
          </w:p>
        </w:tc>
        <w:tc>
          <w:tcPr>
            <w:tcW w:type="dxa" w:w="1440"/>
            <w:shd w:fill="FFDCE0" w:val="clear"/>
          </w:tcPr>
          <w:p>
            <w:r>
              <w:rPr>
                <w:sz w:val="17"/>
              </w:rPr>
              <w:t>3,570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2,459</w:t>
            </w:r>
          </w:p>
        </w:tc>
        <w:tc>
          <w:tcPr>
            <w:tcW w:type="dxa" w:w="1440"/>
            <w:shd w:fill="FFDCE0" w:val="clear"/>
          </w:tcPr>
          <w:p>
            <w:r>
              <w:rPr>
                <w:b/>
                <w:sz w:val="17"/>
              </w:rPr>
              <w:t>2,897</w:t>
            </w:r>
          </w:p>
        </w:tc>
        <w:tc>
          <w:tcPr>
            <w:tcW w:type="dxa" w:w="1440"/>
            <w:shd w:fill="FFDCE0" w:val="clear"/>
          </w:tcPr>
          <w:p>
            <w:r>
              <w:rPr>
                <w:sz w:val="17"/>
              </w:rPr>
              <w:t>3,335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2,247</w:t>
            </w:r>
          </w:p>
        </w:tc>
        <w:tc>
          <w:tcPr>
            <w:tcW w:type="dxa" w:w="1440"/>
            <w:shd w:fill="FFDCE0" w:val="clear"/>
          </w:tcPr>
          <w:p>
            <w:r>
              <w:rPr>
                <w:b/>
                <w:sz w:val="17"/>
              </w:rPr>
              <w:t>2,680</w:t>
            </w:r>
          </w:p>
        </w:tc>
        <w:tc>
          <w:tcPr>
            <w:tcW w:type="dxa" w:w="1440"/>
            <w:shd w:fill="FFDCE0" w:val="clear"/>
          </w:tcPr>
          <w:p>
            <w:r>
              <w:rPr>
                <w:sz w:val="17"/>
              </w:rPr>
              <w:t>3,113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2,054</w:t>
            </w:r>
          </w:p>
        </w:tc>
        <w:tc>
          <w:tcPr>
            <w:tcW w:type="dxa" w:w="1440"/>
            <w:shd w:fill="FFDCE0" w:val="clear"/>
          </w:tcPr>
          <w:p>
            <w:r>
              <w:rPr>
                <w:b/>
                <w:sz w:val="17"/>
              </w:rPr>
              <w:t>2,479</w:t>
            </w:r>
          </w:p>
        </w:tc>
        <w:tc>
          <w:tcPr>
            <w:tcW w:type="dxa" w:w="1440"/>
            <w:shd w:fill="FFDCE0" w:val="clear"/>
          </w:tcPr>
          <w:p>
            <w:r>
              <w:rPr>
                <w:sz w:val="17"/>
              </w:rPr>
              <w:t>2,904</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1,879</w:t>
            </w:r>
          </w:p>
        </w:tc>
        <w:tc>
          <w:tcPr>
            <w:tcW w:type="dxa" w:w="1440"/>
            <w:shd w:fill="FFDCE0" w:val="clear"/>
          </w:tcPr>
          <w:p>
            <w:r>
              <w:rPr>
                <w:b/>
                <w:sz w:val="17"/>
              </w:rPr>
              <w:t>2,293</w:t>
            </w:r>
          </w:p>
        </w:tc>
        <w:tc>
          <w:tcPr>
            <w:tcW w:type="dxa" w:w="1440"/>
            <w:shd w:fill="FFDCE0" w:val="clear"/>
          </w:tcPr>
          <w:p>
            <w:r>
              <w:rPr>
                <w:sz w:val="17"/>
              </w:rPr>
              <w:t>2,707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40,60 milliards FCFA, un niveau modeste dans l'écosystème BRVM, reflétant un profil de petite capitalisation. Avec un BPA de 86 FCFA, le PER de 57,9x est extrêmement élevé par rapport à la moyenne historique du marché régional (8-12x), indiquant que les investisseurs paient une prime considérable pour chaque franc de bénéfice. Le P/B de 6,86x confirme cette exubérance, le marché valorisant l'actif net comptable près de sept fois sa valeur, un niveau exigeant qui intègre des anticipations de croissance très optimistes. Enfin, l'EV/EBITDA de 77,6x, très supérieur au seuil de 15x considéré comme exigeant, souligne une valorisation qui repose largement sur la capacité future de la banque à générer des flux opérationnels, plutôt que sur ses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SAFC accuse une baisse de 6,28%, avec une chute de 2,53% lors de la dernière séance, signe d'une pression vendeuse persistante. Le cours a évolué dans une fourchette très large, oscillant entre un plus haut de 7 555 FCFA et un plus bas de 3 340 FCFA, illustrant une volatilité extrême. La moyenne de 4 840 FCFA, supérieure à la médiane de 4 505 FCFA, révèle une asymétrie positive (skewness de 0,795), avec des journées de forte hausse tirant la moyenne vers le haut. L'écart-type de 1 159 FCFA (CV de 23,9%) témoigne d'une dispersion importante, tandis que le kurtosis de -0,467 indique une distribution mésokurtique, sans risque de pics extrêmes particulier. La volatilité annualisée de 84,2% classe le titre dans la catégorie des valeurs très risquées,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5 000 FCFA se situe nettement au-dessus de la MM20 (4 608 FCFA) et de la MM50 (4 297,7 FCFA), confirmant une dynamique haussière à court et moyen terme. La configuration des moyennes mobiles, avec la MM20 au-dessus de la MM50, valide une tendance positive et justifie la décision d'achat signalée par cet indicateur.</w:t>
      </w:r>
    </w:p>
    <w:p>
      <w:pPr>
        <w:spacing w:after="120" w:line="276" w:lineRule="auto"/>
      </w:pPr>
      <w:r>
        <w:t>**Bandes de Bollinger** : Le prix évolue entre la borne supérieure (5 321,7 FCFA) et la borne inférieure (3 894,3 FCFA), se positionnant à 5 000 FCFA, soit dans la moitié supérieure du canal. Cette position suggère une volatilité modérée avec un potentiel de progression vers la borne haute, mais sans signal de surachat imminent, d'où la décision neutre.</w:t>
      </w:r>
    </w:p>
    <w:p>
      <w:pPr>
        <w:spacing w:after="120" w:line="276" w:lineRule="auto"/>
      </w:pPr>
      <w:r>
        <w:t>**MACD** : La valeur du MACD (218,98) est supérieure à son signal (164,58), indiquant un momentum haussier positif. L'écart positif entre les deux lignes suggère une accélération de la tendance haussière, ce qui confirme la décision d'achat et la vigueur du mouvement en cours.</w:t>
      </w:r>
    </w:p>
    <w:p>
      <w:pPr>
        <w:spacing w:after="120" w:line="276" w:lineRule="auto"/>
      </w:pPr>
      <w:r>
        <w:t>**RSI** : À 64,49, le RSI se situe dans la zone neutre (30-70), proche du seuil de surachat sans l'atteindre. Cette valeur indique une pression acheteuse soutenue mais non excessive, laissant une marge de progression avant d'atteindre des conditions de surachat, justifiant la décision neutre.</w:t>
      </w:r>
    </w:p>
    <w:p>
      <w:pPr>
        <w:spacing w:after="120" w:line="276" w:lineRule="auto"/>
      </w:pPr>
      <w:r>
        <w:t>**Stochastique** : Le %K (69,26) est inférieur au %D (78,93), suggérant un possible retournement baissier à court terme. Cette configuration, où la ligne rapide passe sous la ligne lente, signale un essoufflement du momentum haussier, d'où la décision neutre prudente.</w:t>
      </w:r>
    </w:p>
    <w:p>
      <w:pPr>
        <w:spacing w:after="120" w:line="276" w:lineRule="auto"/>
      </w:pPr>
      <w:r>
        <w:t>**Conclusion technique** : Les indicateurs techniques sont globalement positifs, avec des signaux d'achat sur les moyennes mobiles et le MACD, mais des signaux neutres sur les bandes de Bollinger, le RSI et le stochastique. Cette configuration suggère une tendance haussière en cours, mais avec des signes de ralentissement à court terme, appelant à la prudence.</w:t>
      </w:r>
    </w:p>
    <w:p>
      <w:pPr>
        <w:spacing w:after="120" w:line="276" w:lineRule="auto" w:before="240"/>
      </w:pPr>
      <w:r>
        <w:rPr>
          <w:b/>
          <w:color w:val="003366"/>
          <w:sz w:val="24"/>
        </w:rPr>
        <w:t>**PARTIE 3 : ANALYSE FONDAMENTALE (SECTION CRITIQUE)**</w:t>
      </w:r>
    </w:p>
    <w:p>
      <w:pPr>
        <w:spacing w:after="120" w:line="276" w:lineRule="auto"/>
      </w:pPr>
      <w:r>
        <w:t>En 2025, SAFC a réalisé un retournement spectaculaire avec un PNB de 5,735 milliards FCFA, en hausse de 44,1% par rapport à 2024, et un résultat net bénéficiaire de 701 millions FCFA, après huit années consécutives de pertes. La marge nette s'établit à 12,2%, le ROE à 11,85% et le ROA à 0,88%, des niveaux encore modestes mais en nette amélioration. Le coefficient d'exploitation de 77,6% reste élevé, indiquant une efficacité opérationnelle perfectible, tandis que le coût du risque de 6,57% demeure préoccupant. Les créances sur la clientèle (60,476 milliards FCFA) dépassent largement les dépôts clients (9,112 milliards FCFA), révélant une dépendance structurelle au refinancement interbancaire (35,747 milliards FCFA). Le rapport du premier trimestre 2026, analysé par DeepSeek le 10 juin 2026, confirme cette dynamique avec un PNB en hausse de 29% à 1,395 milliard FCFA et un résultat net de 151 millions FCFA, soit une progression de 1062%. On estime que l'exercice 2026 pourrait voir le PNB atteindre 6,5 milliards FCFA et le résultat net dépasser 600 millions FCFA, si la tendance se maintient. L'entrée de CREDAF Group en avril 2025 a transformé la gouvernance et impulsé une nouvelle stratégie axée sur la rentabilité et la maîtrise des risques.</w:t>
      </w:r>
    </w:p>
    <w:p>
      <w:pPr>
        <w:spacing w:after="120" w:line="276" w:lineRule="auto" w:before="240"/>
      </w:pPr>
      <w:r>
        <w:rPr>
          <w:b/>
          <w:color w:val="003366"/>
          <w:sz w:val="24"/>
        </w:rPr>
        <w:t>**PARTIE 4 : CONCLUSION D'INVESTISSEMENT**</w:t>
      </w:r>
    </w:p>
    <w:p>
      <w:pPr>
        <w:spacing w:after="120" w:line="276" w:lineRule="auto"/>
      </w:pPr>
      <w:r>
        <w:t>La valorisation de SAFC apparaît extrêmement exigeante, avec un PER de 57,9x et un P/B de 6,86x qui intègrent des anticipations de croissance très optimistes, difficilement justifiables au regard des fondamentaux actuels. Le comportement du cours sur 100 jours montre une tendance baissière de -6,28% avec une volatilité annualisée de 84,2%, reflétant un risque élevé, malgré des statistiques descriptives indiquant une distribution relativement normale. Les signaux techniques sont mitigés : les moyennes mobiles et le MACD suggèrent une dynamique haussière, mais le RSI et le stochastique indiquent un essoufflement potentiel. Les fondamentaux montrent un redressement spectaculaire en 2025 et au T1 2026, mais la structure financière reste fragile avec un ratio de fonds propres de seulement 7,4% et une dépendance au refinancement interbancaire. Les prédictions IA pour les 10 prochains jours prévoient une chute continue du cours de 5 000 à 3 386 FCFA, contredisant les signaux techniques haussiers. En synthèse, la convergence entre la valorisation excessive, la volatilité élevée, les signaux techniques mitigés et les prédictions baissières conduit à une recommandation de **VENTE**, avec un niveau de confiance moyen, un risque global élevé, et un horizon d'investissement optimal à court terme (&lt;3 mois) pour les investisseurs cherchant à réduire leur exposition.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72.52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12,528 titres</w:t>
            </w:r>
          </w:p>
        </w:tc>
        <w:tc>
          <w:tcPr>
            <w:tcW w:type="dxa" w:w="2268"/>
            <w:shd w:fill="FFF2CC" w:val="clear"/>
          </w:tcPr>
          <w:p>
            <w:r>
              <w:rPr>
                <w:b/>
                <w:color w:val="503200"/>
                <w:sz w:val="16"/>
              </w:rPr>
              <w:t xml:space="preserve">Cours actuel : </w:t>
            </w:r>
            <w:r>
              <w:rPr>
                <w:color w:val="000000"/>
                <w:sz w:val="17"/>
              </w:rPr>
              <w:t>3,700 FCFA</w:t>
            </w:r>
          </w:p>
          <w:p>
            <w:r>
              <w:rPr>
                <w:b/>
                <w:color w:val="503200"/>
                <w:sz w:val="16"/>
              </w:rPr>
              <w:t xml:space="preserve">Var. 100 jours : </w:t>
            </w:r>
            <w:r>
              <w:rPr>
                <w:b/>
                <w:color w:val="007800"/>
                <w:sz w:val="17"/>
              </w:rPr>
              <w:t>+136.42%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29.03% (Élevée) — μ=2,589 FCFA, σ=752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β=0.3929 (Défensif) — Cov=0.000014, Var(idx)=0.000036, ρ=0.064,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12,528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5477"/>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3,237</w:t>
            </w:r>
          </w:p>
        </w:tc>
        <w:tc>
          <w:tcPr>
            <w:tcW w:type="dxa" w:w="1440"/>
            <w:shd w:fill="FFDCE0" w:val="clear"/>
          </w:tcPr>
          <w:p>
            <w:r>
              <w:rPr>
                <w:b/>
                <w:sz w:val="17"/>
              </w:rPr>
              <w:t>3,422</w:t>
            </w:r>
          </w:p>
        </w:tc>
        <w:tc>
          <w:tcPr>
            <w:tcW w:type="dxa" w:w="1440"/>
            <w:shd w:fill="FFDCE0" w:val="clear"/>
          </w:tcPr>
          <w:p>
            <w:r>
              <w:rPr>
                <w:sz w:val="17"/>
              </w:rPr>
              <w:t>3,608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2,924</w:t>
            </w:r>
          </w:p>
        </w:tc>
        <w:tc>
          <w:tcPr>
            <w:tcW w:type="dxa" w:w="1440"/>
            <w:shd w:fill="FFDCE0" w:val="clear"/>
          </w:tcPr>
          <w:p>
            <w:r>
              <w:rPr>
                <w:b/>
                <w:sz w:val="17"/>
              </w:rPr>
              <w:t>3,166</w:t>
            </w:r>
          </w:p>
        </w:tc>
        <w:tc>
          <w:tcPr>
            <w:tcW w:type="dxa" w:w="1440"/>
            <w:shd w:fill="FFDCE0" w:val="clear"/>
          </w:tcPr>
          <w:p>
            <w:r>
              <w:rPr>
                <w:sz w:val="17"/>
              </w:rPr>
              <w:t>3,408</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2,654</w:t>
            </w:r>
          </w:p>
        </w:tc>
        <w:tc>
          <w:tcPr>
            <w:tcW w:type="dxa" w:w="1440"/>
            <w:shd w:fill="FFDCE0" w:val="clear"/>
          </w:tcPr>
          <w:p>
            <w:r>
              <w:rPr>
                <w:b/>
                <w:sz w:val="17"/>
              </w:rPr>
              <w:t>2,928</w:t>
            </w:r>
          </w:p>
        </w:tc>
        <w:tc>
          <w:tcPr>
            <w:tcW w:type="dxa" w:w="1440"/>
            <w:shd w:fill="FFDCE0" w:val="clear"/>
          </w:tcPr>
          <w:p>
            <w:r>
              <w:rPr>
                <w:sz w:val="17"/>
              </w:rPr>
              <w:t>3,203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2,416</w:t>
            </w:r>
          </w:p>
        </w:tc>
        <w:tc>
          <w:tcPr>
            <w:tcW w:type="dxa" w:w="1440"/>
            <w:shd w:fill="FFDCE0" w:val="clear"/>
          </w:tcPr>
          <w:p>
            <w:r>
              <w:rPr>
                <w:b/>
                <w:sz w:val="17"/>
              </w:rPr>
              <w:t>2,709</w:t>
            </w:r>
          </w:p>
        </w:tc>
        <w:tc>
          <w:tcPr>
            <w:tcW w:type="dxa" w:w="1440"/>
            <w:shd w:fill="FFDCE0" w:val="clear"/>
          </w:tcPr>
          <w:p>
            <w:r>
              <w:rPr>
                <w:sz w:val="17"/>
              </w:rPr>
              <w:t>3,002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2,202</w:t>
            </w:r>
          </w:p>
        </w:tc>
        <w:tc>
          <w:tcPr>
            <w:tcW w:type="dxa" w:w="1440"/>
            <w:shd w:fill="FFDCE0" w:val="clear"/>
          </w:tcPr>
          <w:p>
            <w:r>
              <w:rPr>
                <w:b/>
                <w:sz w:val="17"/>
              </w:rPr>
              <w:t>2,506</w:t>
            </w:r>
          </w:p>
        </w:tc>
        <w:tc>
          <w:tcPr>
            <w:tcW w:type="dxa" w:w="1440"/>
            <w:shd w:fill="FFDCE0" w:val="clear"/>
          </w:tcPr>
          <w:p>
            <w:r>
              <w:rPr>
                <w:sz w:val="17"/>
              </w:rPr>
              <w:t>2,809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2,011</w:t>
            </w:r>
          </w:p>
        </w:tc>
        <w:tc>
          <w:tcPr>
            <w:tcW w:type="dxa" w:w="1440"/>
            <w:shd w:fill="FFDCE0" w:val="clear"/>
          </w:tcPr>
          <w:p>
            <w:r>
              <w:rPr>
                <w:b/>
                <w:sz w:val="17"/>
              </w:rPr>
              <w:t>2,318</w:t>
            </w:r>
          </w:p>
        </w:tc>
        <w:tc>
          <w:tcPr>
            <w:tcW w:type="dxa" w:w="1440"/>
            <w:shd w:fill="FFDCE0" w:val="clear"/>
          </w:tcPr>
          <w:p>
            <w:r>
              <w:rPr>
                <w:sz w:val="17"/>
              </w:rPr>
              <w:t>2,625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1,837</w:t>
            </w:r>
          </w:p>
        </w:tc>
        <w:tc>
          <w:tcPr>
            <w:tcW w:type="dxa" w:w="1440"/>
            <w:shd w:fill="FFDCE0" w:val="clear"/>
          </w:tcPr>
          <w:p>
            <w:r>
              <w:rPr>
                <w:b/>
                <w:sz w:val="17"/>
              </w:rPr>
              <w:t>2,144</w:t>
            </w:r>
          </w:p>
        </w:tc>
        <w:tc>
          <w:tcPr>
            <w:tcW w:type="dxa" w:w="1440"/>
            <w:shd w:fill="FFDCE0" w:val="clear"/>
          </w:tcPr>
          <w:p>
            <w:r>
              <w:rPr>
                <w:sz w:val="17"/>
              </w:rPr>
              <w:t>2,451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1,680</w:t>
            </w:r>
          </w:p>
        </w:tc>
        <w:tc>
          <w:tcPr>
            <w:tcW w:type="dxa" w:w="1440"/>
            <w:shd w:fill="FFDCE0" w:val="clear"/>
          </w:tcPr>
          <w:p>
            <w:r>
              <w:rPr>
                <w:b/>
                <w:sz w:val="17"/>
              </w:rPr>
              <w:t>1,983</w:t>
            </w:r>
          </w:p>
        </w:tc>
        <w:tc>
          <w:tcPr>
            <w:tcW w:type="dxa" w:w="1440"/>
            <w:shd w:fill="FFDCE0" w:val="clear"/>
          </w:tcPr>
          <w:p>
            <w:r>
              <w:rPr>
                <w:sz w:val="17"/>
              </w:rPr>
              <w:t>2,286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1,537</w:t>
            </w:r>
          </w:p>
        </w:tc>
        <w:tc>
          <w:tcPr>
            <w:tcW w:type="dxa" w:w="1440"/>
            <w:shd w:fill="FFDCE0" w:val="clear"/>
          </w:tcPr>
          <w:p>
            <w:r>
              <w:rPr>
                <w:b/>
                <w:sz w:val="17"/>
              </w:rPr>
              <w:t>1,834</w:t>
            </w:r>
          </w:p>
        </w:tc>
        <w:tc>
          <w:tcPr>
            <w:tcW w:type="dxa" w:w="1440"/>
            <w:shd w:fill="FFDCE0" w:val="clear"/>
          </w:tcPr>
          <w:p>
            <w:r>
              <w:rPr>
                <w:sz w:val="17"/>
              </w:rPr>
              <w:t>2,132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1,406</w:t>
            </w:r>
          </w:p>
        </w:tc>
        <w:tc>
          <w:tcPr>
            <w:tcW w:type="dxa" w:w="1440"/>
            <w:shd w:fill="FFDCE0" w:val="clear"/>
          </w:tcPr>
          <w:p>
            <w:r>
              <w:rPr>
                <w:b/>
                <w:sz w:val="17"/>
              </w:rPr>
              <w:t>1,697</w:t>
            </w:r>
          </w:p>
        </w:tc>
        <w:tc>
          <w:tcPr>
            <w:tcW w:type="dxa" w:w="1440"/>
            <w:shd w:fill="FFDCE0" w:val="clear"/>
          </w:tcPr>
          <w:p>
            <w:r>
              <w:rPr>
                <w:sz w:val="17"/>
              </w:rPr>
              <w:t>1,987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72,52 milliards FCFA, un niveau significatif sur la BRVM qui positionne le titre parmi les valeurs moyennes du marché. Le BPA est négatif à -406 FCFA, reflétant la perte nette de l'exercice 2025, ce qui rend le PER non exploitable (-9,1x) et signale une absence de bénéfices à valoriser. Le P/B de 4,21x est particulièrement exigeant : les investisseurs paient plus de 4 fois la valeur comptable des actifs, une prime substantielle qui traduit des anticipations de redressement probablement trop optimistes au regard des fondamentaux actuels. L'EV/EBITDA de 11,0x se situe dans la fourchette haute des valorisations BRVM, indiquant que la valeur totale de l'entreprise (dette incluse) reste élevée par rapport à sa capacité opérationnelle, malgré un EBE de 14,8 milliards FCFA. Cette combinaison de ratios suggère une valorisation qui ne reflète pas la réalité financière dégradée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Le cours de SCRC affiche une progression spectaculaire de +136,42% sur les 100 derniers jours, avec une dernière séance en hausse de +1,51% à 3 700 FCFA, dans un range de trading extrêmement large allant de 1 455 FCFA à 3 920 FCFA. La moyenne de 2 589 FCFA est proche de la médiane de 2 525 FCFA, indiquant une distribution relativement symétrique des cours, confirmée par un skewness de 0,075. L'écart-type de 755 FCFA avec un coefficient de variation de 29,2% témoigne d'une dispersion importante des prix autour de la moyenne. Le kurtosis négatif de -1,355 (distribution platykurtique) révèle une faible concentration des valeurs extrêmes, suggérant que les mouvements de prix sont répartis de manière relativement uniforme plutôt que concentrés en pics violents. La volatilité annualisée de 58,2% classe le titre dans la catégorie des valeurs à très haute volatilité, bien au-delà du seuil de 30% considéré comme élevé, ce qui implique un risque substantiel pour les investisseurs malgré la tendance haussière impressionnante.</w:t>
      </w:r>
    </w:p>
    <w:p>
      <w:pPr>
        <w:spacing w:after="120" w:line="276" w:lineRule="auto" w:before="240"/>
      </w:pPr>
      <w:r>
        <w:rPr>
          <w:b/>
          <w:color w:val="003366"/>
          <w:sz w:val="24"/>
        </w:rPr>
        <w:t>**PARTIE 2 : ANALYSE TECHNIQUE DÉTAILLÉE**</w:t>
      </w:r>
    </w:p>
    <w:p>
      <w:pPr>
        <w:spacing w:after="120" w:line="276" w:lineRule="auto"/>
      </w:pPr>
      <w:r>
        <w:t>**Moyennes Mobiles** : La MM20 à 3 602,5 FCFA et la MM50 à 3 260,1 FCFA sont toutes deux inférieures au cours actuel de 3 700 FCFA, confirmant une dynamique haussière à court et moyen terme. La configuration en "courbe ascendante" avec le cours au-dessus des deux moyennes mobiles génère un signal d'achat, indiquant que la tendance de fond reste positive malgré la récente consolidation.</w:t>
      </w:r>
    </w:p>
    <w:p>
      <w:pPr>
        <w:spacing w:after="120" w:line="276" w:lineRule="auto"/>
      </w:pPr>
      <w:r>
        <w:t>**Bandes de Bollinger** : Le cours à 3 700 FCFA se positionne dans la partie supérieure du canal formé par les bornes à 3 317,8 FCFA (inférieure) et 3 887,2 FCFA (supérieure), sans toutefois toucher la borne haute. Cette position neutre suggère une volatilité modérée avec un potentiel de poursuite haussière, mais également un risque de retour vers la moyenne si le cours ne parvient pas à franchir la résistance supérieure.</w:t>
      </w:r>
    </w:p>
    <w:p>
      <w:pPr>
        <w:spacing w:after="120" w:line="276" w:lineRule="auto"/>
      </w:pPr>
      <w:r>
        <w:t>**MACD** : Le MACD à 124,45 reste positif mais se situe sous sa ligne de signal à 140,42, formant un croisement baissier qui indique un affaiblissement du momentum haussier. Cette divergence entre la valeur et le signal suggère que la dynamique d'achat s'essouffle, justifiant la décision de vente malgré la tendance générale positive.</w:t>
      </w:r>
    </w:p>
    <w:p>
      <w:pPr>
        <w:spacing w:after="120" w:line="276" w:lineRule="auto"/>
      </w:pPr>
      <w:r>
        <w:t>**RSI** : Le RSI à 58,11 se situe en zone neutre, entre 30 et 70, indiquant que le titre n'est ni suracheté ni survendu. Cette valeur reflète un équilibre entre les forces acheteuses et vendeuses, avec une légère prédominance des premiers sans toutefois atteindre des niveaux d'excès qui justifieraient un retournement imminent.</w:t>
      </w:r>
    </w:p>
    <w:p>
      <w:pPr>
        <w:spacing w:after="120" w:line="276" w:lineRule="auto"/>
      </w:pPr>
      <w:r>
        <w:t>**Stochastique** : Le %K à 48,24 est inférieur au %D à 54,12, formant un croisement baissier en zone neutre. Cette configuration indique un affaiblissement de la pression acheteuse à court terme, mais sans signal fort de retournement, la décision neutre étant cohérente avec l'absence de direction claire.</w:t>
      </w:r>
    </w:p>
    <w:p>
      <w:pPr>
        <w:spacing w:after="120" w:line="276" w:lineRule="auto"/>
      </w:pPr>
      <w:r>
        <w:t>**Conclusion technique** : La synthèse des indicateurs techniques révèle un tableau contrasté : les moyennes mobiles restent haussières, mais le MACD et le stochastique montrent des signes d'essoufflement du momentum. Le RSI neutre et les bandes de Bollinger sans pression directionnelle confirment une phase de consolidation après la forte hausse. La prudence est de mise, car les signaux baissiers à court terme pourraient précéder une correction technique.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une situation préoccupante : le chiffre d'affaires s'établit à 80,57 milliards FCFA, en baisse de 7,6% par rapport à 2024 (87,22 milliards), tandis que le résultat net est une perte massive de 7,95 milliards FCFA, contre un bénéfice de 2,47 milliards en 2024, soit une dégradation de 421%. Les ratios de rentabilité confirment cette détérioration : la marge nette est négative à -9,87%, le ROE s'effondre à -46,13% et le ROA à -5,08%. La structure financière est sous tension avec un ratio d'endettement de 88,98% et une autonomie financière faible à 11,02%. Le BFR de 6,53 milliards FCFA et les délais fournisseurs très longs (366 jours) indiquent une pression sur la trésorerie, tandis que la durée de stockage de 361 jours immobilise un capital considérable. Les rapports trimestriels 2025 montrent une tendance volatile : le T1 affichait un bénéfice de 3,21 milliards, mais le S1 s'est soldé par une perte de 6,71 milliards, suggérant une forte dégradation au T2. Le rapport annuel 2024 (analysé par MISTRAL) confirmait déjà le redressement opérationnel avec un CA en hausse de 28%, mais les charges financières de 6,79 milliards en 2025 (multipliées par 3,6) ont anéanti ces efforts. Les perspectives 2026 restent incertaines, dépendantes de la campagne sucrière 2025/26 annoncée en hausse de 14-20% et de la capacité à restructurer une dette de 84,87 milliards FCFA.</w:t>
      </w:r>
    </w:p>
    <w:p>
      <w:pPr>
        <w:spacing w:after="120" w:line="276" w:lineRule="auto" w:before="240"/>
      </w:pPr>
      <w:r>
        <w:rPr>
          <w:b/>
          <w:color w:val="003366"/>
          <w:sz w:val="24"/>
        </w:rPr>
        <w:t>**PARTIE 4 : CONCLUSION D'INVESTISSEMENT**</w:t>
      </w:r>
    </w:p>
    <w:p>
      <w:pPr>
        <w:spacing w:after="120" w:line="276" w:lineRule="auto"/>
      </w:pPr>
      <w:r>
        <w:t>La valorisation de SCRC apparaît clairement surévaluée au regard des fondamentaux : un PER négatif, un P/B de 4,21x et un EV/EBITDA de 11x ne se justifient pas pour une société en perte de 7,95 milliards FCFA. Le comportement du cours, avec une hausse de 136% en 100 jours et une volatilité de 58%, traduit un mouvement spéculatif qui contraste fortement avec la réalité financière dégradée. Les signaux techniques sont mitigés : les moyennes mobiles restent haussières mais le MACD et le stochastique montrent un essoufflement du momentum, suggérant un risque de correction. Les fondamentaux, marqués par une perte massive, un endettement explosif et une trésorerie nette négative de 6,5 milliards, sont très préoccupants. Les prédictions IA pour les 10 prochains jours (3 422 à 2 506 FCFA) confirment cette analyse baissière avec une trajectoire en forte baisse de 32%. La convergence entre la dégradation fondamentale, les signaux techniques d'essoufflement et les prédictions IA conduit à une recommandation de **VENTE FORTE** avec un niveau de confiance **Élevé** et un risque global **Élevé**. L'horizon d'investissement optimal serait le court terme (&lt;3 mois) pour les investisseurs cherchant à limiter leurs pertes, tandis que les investisseurs à long terme devraient attendre une clarification de la restructuration financière et des résultats du S1 2026 avant toute réintégration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1,043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+53.55%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20.14% (Élevée) — μ=9,926 FCFA, σ=1,999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β=0.2069 (Défensif) — Cov=0.000007, Var(idx)=0.000036,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58728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11,185</w:t>
            </w:r>
          </w:p>
        </w:tc>
        <w:tc>
          <w:tcPr>
            <w:tcW w:type="dxa" w:w="1440"/>
            <w:shd w:fill="FFDCE0" w:val="clear"/>
          </w:tcPr>
          <w:p>
            <w:r>
              <w:rPr>
                <w:b/>
                <w:sz w:val="17"/>
              </w:rPr>
              <w:t>11,505</w:t>
            </w:r>
          </w:p>
        </w:tc>
        <w:tc>
          <w:tcPr>
            <w:tcW w:type="dxa" w:w="1440"/>
            <w:shd w:fill="FFDCE0" w:val="clear"/>
          </w:tcPr>
          <w:p>
            <w:r>
              <w:rPr>
                <w:sz w:val="17"/>
              </w:rPr>
              <w:t>11,825</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10,922</w:t>
            </w:r>
          </w:p>
        </w:tc>
        <w:tc>
          <w:tcPr>
            <w:tcW w:type="dxa" w:w="1440"/>
            <w:shd w:fill="FFDCE0" w:val="clear"/>
          </w:tcPr>
          <w:p>
            <w:r>
              <w:rPr>
                <w:b/>
                <w:sz w:val="17"/>
              </w:rPr>
              <w:t>11,369</w:t>
            </w:r>
          </w:p>
        </w:tc>
        <w:tc>
          <w:tcPr>
            <w:tcW w:type="dxa" w:w="1440"/>
            <w:shd w:fill="FFDCE0" w:val="clear"/>
          </w:tcPr>
          <w:p>
            <w:r>
              <w:rPr>
                <w:sz w:val="17"/>
              </w:rPr>
              <w:t>11,816</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10,700</w:t>
            </w:r>
          </w:p>
        </w:tc>
        <w:tc>
          <w:tcPr>
            <w:tcW w:type="dxa" w:w="1440"/>
            <w:shd w:fill="FFDCE0" w:val="clear"/>
          </w:tcPr>
          <w:p>
            <w:r>
              <w:rPr>
                <w:b/>
                <w:sz w:val="17"/>
              </w:rPr>
              <w:t>11,242</w:t>
            </w:r>
          </w:p>
        </w:tc>
        <w:tc>
          <w:tcPr>
            <w:tcW w:type="dxa" w:w="1440"/>
            <w:shd w:fill="FFDCE0" w:val="clear"/>
          </w:tcPr>
          <w:p>
            <w:r>
              <w:rPr>
                <w:sz w:val="17"/>
              </w:rPr>
              <w:t>11,783</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10,511</w:t>
            </w:r>
          </w:p>
        </w:tc>
        <w:tc>
          <w:tcPr>
            <w:tcW w:type="dxa" w:w="1440"/>
            <w:shd w:fill="FFDCE0" w:val="clear"/>
          </w:tcPr>
          <w:p>
            <w:r>
              <w:rPr>
                <w:b/>
                <w:sz w:val="17"/>
              </w:rPr>
              <w:t>11,130</w:t>
            </w:r>
          </w:p>
        </w:tc>
        <w:tc>
          <w:tcPr>
            <w:tcW w:type="dxa" w:w="1440"/>
            <w:shd w:fill="FFDCE0" w:val="clear"/>
          </w:tcPr>
          <w:p>
            <w:r>
              <w:rPr>
                <w:sz w:val="17"/>
              </w:rPr>
              <w:t>11,749</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10,345</w:t>
            </w:r>
          </w:p>
        </w:tc>
        <w:tc>
          <w:tcPr>
            <w:tcW w:type="dxa" w:w="1440"/>
            <w:shd w:fill="FFDCE0" w:val="clear"/>
          </w:tcPr>
          <w:p>
            <w:r>
              <w:rPr>
                <w:b/>
                <w:sz w:val="17"/>
              </w:rPr>
              <w:t>11,031</w:t>
            </w:r>
          </w:p>
        </w:tc>
        <w:tc>
          <w:tcPr>
            <w:tcW w:type="dxa" w:w="1440"/>
            <w:shd w:fill="FFDCE0" w:val="clear"/>
          </w:tcPr>
          <w:p>
            <w:r>
              <w:rPr>
                <w:sz w:val="17"/>
              </w:rPr>
              <w:t>11,716</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10,199</w:t>
            </w:r>
          </w:p>
        </w:tc>
        <w:tc>
          <w:tcPr>
            <w:tcW w:type="dxa" w:w="1440"/>
            <w:shd w:fill="FFDCE0" w:val="clear"/>
          </w:tcPr>
          <w:p>
            <w:r>
              <w:rPr>
                <w:b/>
                <w:sz w:val="17"/>
              </w:rPr>
              <w:t>10,944</w:t>
            </w:r>
          </w:p>
        </w:tc>
        <w:tc>
          <w:tcPr>
            <w:tcW w:type="dxa" w:w="1440"/>
            <w:shd w:fill="FFDCE0" w:val="clear"/>
          </w:tcPr>
          <w:p>
            <w:r>
              <w:rPr>
                <w:sz w:val="17"/>
              </w:rPr>
              <w:t>11,690</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10,069</w:t>
            </w:r>
          </w:p>
        </w:tc>
        <w:tc>
          <w:tcPr>
            <w:tcW w:type="dxa" w:w="1440"/>
            <w:shd w:fill="FFDCE0" w:val="clear"/>
          </w:tcPr>
          <w:p>
            <w:r>
              <w:rPr>
                <w:b/>
                <w:sz w:val="17"/>
              </w:rPr>
              <w:t>10,868</w:t>
            </w:r>
          </w:p>
        </w:tc>
        <w:tc>
          <w:tcPr>
            <w:tcW w:type="dxa" w:w="1440"/>
            <w:shd w:fill="FFDCE0" w:val="clear"/>
          </w:tcPr>
          <w:p>
            <w:r>
              <w:rPr>
                <w:sz w:val="17"/>
              </w:rPr>
              <w:t>11,668</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9,947</w:t>
            </w:r>
          </w:p>
        </w:tc>
        <w:tc>
          <w:tcPr>
            <w:tcW w:type="dxa" w:w="1440"/>
            <w:shd w:fill="FFDCE0" w:val="clear"/>
          </w:tcPr>
          <w:p>
            <w:r>
              <w:rPr>
                <w:b/>
                <w:sz w:val="17"/>
              </w:rPr>
              <w:t>10,796</w:t>
            </w:r>
          </w:p>
        </w:tc>
        <w:tc>
          <w:tcPr>
            <w:tcW w:type="dxa" w:w="1440"/>
            <w:shd w:fill="FFDCE0" w:val="clear"/>
          </w:tcPr>
          <w:p>
            <w:r>
              <w:rPr>
                <w:sz w:val="17"/>
              </w:rPr>
              <w:t>11,645</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9,832</w:t>
            </w:r>
          </w:p>
        </w:tc>
        <w:tc>
          <w:tcPr>
            <w:tcW w:type="dxa" w:w="1440"/>
            <w:shd w:fill="FFDCE0" w:val="clear"/>
          </w:tcPr>
          <w:p>
            <w:r>
              <w:rPr>
                <w:b/>
                <w:sz w:val="17"/>
              </w:rPr>
              <w:t>10,727</w:t>
            </w:r>
          </w:p>
        </w:tc>
        <w:tc>
          <w:tcPr>
            <w:tcW w:type="dxa" w:w="1440"/>
            <w:shd w:fill="FFDCE0" w:val="clear"/>
          </w:tcPr>
          <w:p>
            <w:r>
              <w:rPr>
                <w:sz w:val="17"/>
              </w:rPr>
              <w:t>11,622</w:t>
            </w:r>
          </w:p>
        </w:tc>
        <w:tc>
          <w:tcPr>
            <w:tcW w:type="dxa" w:w="1440"/>
            <w:shd w:fill="FFDCE0" w:val="clear"/>
          </w:tcPr>
          <w:p>
            <w:r>
              <w:rPr>
                <w:b/>
                <w:color w:val="C00000"/>
                <w:sz w:val="17"/>
              </w:rPr>
              <w:t>-9.9%</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9,724</w:t>
            </w:r>
          </w:p>
        </w:tc>
        <w:tc>
          <w:tcPr>
            <w:tcW w:type="dxa" w:w="1440"/>
            <w:shd w:fill="FFDCE0" w:val="clear"/>
          </w:tcPr>
          <w:p>
            <w:r>
              <w:rPr>
                <w:b/>
                <w:sz w:val="17"/>
              </w:rPr>
              <w:t>10,661</w:t>
            </w:r>
          </w:p>
        </w:tc>
        <w:tc>
          <w:tcPr>
            <w:tcW w:type="dxa" w:w="1440"/>
            <w:shd w:fill="FFDCE0" w:val="clear"/>
          </w:tcPr>
          <w:p>
            <w:r>
              <w:rPr>
                <w:sz w:val="17"/>
              </w:rPr>
              <w:t>11,599</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4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107,10 milliards FCFA, un niveau significatif qui positionne la société parmi les valeurs moyennes de la BRVM. Avec un BPA de 518 FCFA, le titre se négocie à un PER de 23,0x, nettement supérieur à la moyenne historique de la place (~8-12x), ce qui traduit une prime de valorisation substantielle, probablement justifiée par les attentes de croissance du secteur de l'eau. Le P/B de 5,43x confirme cette lecture, le marché valorisant fortement les actifs de l'entreprise par rapport à leur valeur comptable. Enfin, l'EV/EBITDA de 14,4x, bien que dans la fourchette haute (10-15x), indique que les investisseurs sont prêts à payer un prix élevé pour la capacité opérationnelle de la société, signe d'une confiance certaine dans son modèle économique.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performance exceptionnelle de +53,55%, passant d'un plus bas de 7 140 FCFA à un plus haut de 12 195 FCFA, avec un cours actuel de 11 900 FCFA. Cette tendance est fortement haussière, bien que la dernière séance ait été stable (0,00%). La moyenne du cours sur la période (9 926 FCFA) est inférieure à la médiane (11 012 FCFA), ce qui, combiné à un skewness négatif (-0.260), suggère que la distribution des prix est légèrement asymétrique vers les valeurs basses, mais que les fortes hausses récentes ont tiré le cours vers le haut. L'écart-type de 2 009 FCFA (CV=20,2%) indique une dispersion modérée des prix autour de la moyenne. Le kurtosis de -1.711 (platykurtique) révèle une distribution aplatie avec peu de valeurs extrêmes, réduisant le risque de pics soudains. Enfin, la volatilité annualisée de 34,8% classe le titre comme très volatil, un élément clé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(11 900 FCFA) se situe au-dessus de la MM20 (11 762,25 FCFA) et de la MM50 (11 737,9 FCFA), confirmant une dynamique haussière à court et moyen terme. La proximité des deux moyennes indique une tendance solide mais potentiellement sujette à une consolidation. La décision d'achat est cohérente avec la position du prix au-dessus de ces supports dynamiques.</w:t>
      </w:r>
    </w:p>
    <w:p>
      <w:pPr>
        <w:spacing w:after="120" w:line="276" w:lineRule="auto"/>
      </w:pPr>
      <w:r>
        <w:t>**Bandes de Bollinger :** Le prix évolue entre la borne supérieure (12 347 FCFA) et la borne inférieure (11 177 FCFA), avec une position proche du milieu de la bande. Cela signale une volatilité modérée sans pression excessive à l'achat ou à la vente. La décision "Neutre" est justifiée, le marché n'étant pas dans une zone de surachat ou de survente extrême.</w:t>
      </w:r>
    </w:p>
    <w:p>
      <w:pPr>
        <w:spacing w:after="120" w:line="276" w:lineRule="auto"/>
      </w:pPr>
      <w:r>
        <w:t>**MACD :** La valeur du MACD (68,284) est inférieure à son signal (78,811), indiquant un momentum baissier à court terme. Cette divergence négative suggère un essoufflement de la tendance haussière, justifiant la décision de vente. Les investisseurs pourraient interpréter cela comme un signal de prudence avant une possible correction.</w:t>
      </w:r>
    </w:p>
    <w:p>
      <w:pPr>
        <w:spacing w:after="120" w:line="276" w:lineRule="auto"/>
      </w:pPr>
      <w:r>
        <w:t>**RSI :** À 69,355, le RSI est proche du seuil de surachat (70) mais reste en zone neutre. Cela indique que la pression acheteuse est encore présente, mais qu'une consolidation pourrait survenir si le niveau de 70 est franchi. La décision "Neutre" est appropriée, le titre n'étant pas encore en situation extrême.</w:t>
      </w:r>
    </w:p>
    <w:p>
      <w:pPr>
        <w:spacing w:after="120" w:line="276" w:lineRule="auto"/>
      </w:pPr>
      <w:r>
        <w:t>**Stochastique :** Le %K (90,141) est nettement supérieur au %D (78,404), plaçant le titre en zone de surachat. Cette configuration signale un risque de retournement à la baisse, justifiant la décision de vente. Le croisement potentiel de ces lignes serait un signal baissier supplémentaire.</w:t>
      </w:r>
    </w:p>
    <w:p>
      <w:pPr>
        <w:spacing w:after="120" w:line="276" w:lineRule="auto"/>
      </w:pPr>
      <w:r>
        <w:t>**Conclusion technique :** Les indicateurs sont mitigés : les moyennes mobiles soutiennent une tendance haussière, tandis que le MACD et le Stochastique suggèrent un essoufflement imminent. Le RSI et les Bandes de Bollinger indiquent une neutralité relative. Globalement, le titre est en surachat technique à court terme, avec un risque de consolidation malgré une tendance de fond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hausse de 10% par rapport à 2024, avec un résultat net de 4,663 milliards FCFA, en progression de 31%. La marge nette s'établit à 2,46%, et le ROE est excellent à 23,65%, bien au-dessus du seuil de 15%, démontrant une forte rentabilité des capitaux propres. Cependant, le ROA de 0,99% est faible, reflétant une lourdeur du bilan (total actif de 472,672 milliards FCFA). En tant qu'entreprise, l'analyse du BFR est cruciale : il est négatif à -104,748 milliards FCFA, ce qui est un point très positif, signifiant que l'entreprise finance son exploitation grâce à ses fournisseurs. Toutefois, le délai de paiement des clients est extrêmement élevé (749 jours), un risque majeur de trésorerie. Les rapports trimestriels de 2025 montrent une tendance contrastée : le T1 2025 était en croissance (+8% CA), mais le S1 2025 a vu le résultat net chuter de -24% (1,355 milliard FCFA). Le rapport annuel 2025 confirme une amélioration significative au second semestre, avec un résultat net en forte hausse. Le rapport T1 2026 (publié en 2026) indique un résultat net de 1,318 milliard FCFA, en hausse de 118%, et un résultat d'exploitation multiplié par 2,5, signalant une dynamique très positive pour 2026. La dette totale est élevée (452,956 milliards FCFA), mais la capacité de remboursement est de 8,18 ans, un niveau gérable. La recommandation fondamentale est de **CONSERVER**, la société montrant une amélioration de sa rentabilité mais avec des risques persistants sur la trésorerie et le recouvrement.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est exigeante (PER 23x, P/B 5,43x), indiquant une surévaluation relative par rapport au marché, mais justifiée par un ROE élevé et des perspectives de croissance. Le comportement du cours est très positif (+53,55% sur 100 jours) mais avec une volatilité élevée (34,8%) et des signes de surachat technique (Stochastique, MACD en vente). Les fondamentaux sont solides avec une croissance du CA et du résultat net en 2025, et une dynamique exceptionnelle au T1 2026 (+118% de RN), mais assombris par un délai de recouvrement des créances préoccupant. Les prédictions IA (J+1 à J+10) prévoient une baisse progressive du cours vers 11 031 FCFA, contredisant la tendance haussière récente et confirmant les signaux techniques de consolidation. En synthèse, la convergence des signaux (technique baissier à court terme, valorisation élevée, et prédictions IA en baisse) suggère une pause dans la hausse. La recommandation finale est **CONSERVER**, avec un niveau de confiance **Moyen** et un risque global **Élevé** dû à la volatilité et aux tensions de trésorerie. L'horizon d'investissement optimal est le **moyen terme (3-12 mois)**, en attendant une correction du cours pour renforcer la position ou une confirmation de la solidité des résultats semestriels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15,920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+41.03%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16.24% (Élevée) — μ=2,095 FCFA, σ=340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β=-0.1355 (Contre-cyclique) — Cov=-0.000005, Var(idx)=0.000036, ρ=-0.026,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15,920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9549"/>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2,575</w:t>
            </w:r>
          </w:p>
        </w:tc>
        <w:tc>
          <w:tcPr>
            <w:tcW w:type="dxa" w:w="1440"/>
            <w:shd w:fill="FAFAFA" w:val="clear"/>
          </w:tcPr>
          <w:p>
            <w:r>
              <w:rPr>
                <w:b/>
                <w:sz w:val="17"/>
              </w:rPr>
              <w:t>2,713</w:t>
            </w:r>
          </w:p>
        </w:tc>
        <w:tc>
          <w:tcPr>
            <w:tcW w:type="dxa" w:w="1440"/>
            <w:shd w:fill="FAFAFA" w:val="clear"/>
          </w:tcPr>
          <w:p>
            <w:r>
              <w:rPr>
                <w:sz w:val="17"/>
              </w:rPr>
              <w:t>2,850</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2,486</w:t>
            </w:r>
          </w:p>
        </w:tc>
        <w:tc>
          <w:tcPr>
            <w:tcW w:type="dxa" w:w="1440"/>
            <w:shd w:fill="FFDCE0" w:val="clear"/>
          </w:tcPr>
          <w:p>
            <w:r>
              <w:rPr>
                <w:b/>
                <w:sz w:val="17"/>
              </w:rPr>
              <w:t>2,678</w:t>
            </w:r>
          </w:p>
        </w:tc>
        <w:tc>
          <w:tcPr>
            <w:tcW w:type="dxa" w:w="1440"/>
            <w:shd w:fill="FFDCE0" w:val="clear"/>
          </w:tcPr>
          <w:p>
            <w:r>
              <w:rPr>
                <w:sz w:val="17"/>
              </w:rPr>
              <w:t>2,870</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2,417</w:t>
            </w:r>
          </w:p>
        </w:tc>
        <w:tc>
          <w:tcPr>
            <w:tcW w:type="dxa" w:w="1440"/>
            <w:shd w:fill="FFDCE0" w:val="clear"/>
          </w:tcPr>
          <w:p>
            <w:r>
              <w:rPr>
                <w:b/>
                <w:sz w:val="17"/>
              </w:rPr>
              <w:t>2,650</w:t>
            </w:r>
          </w:p>
        </w:tc>
        <w:tc>
          <w:tcPr>
            <w:tcW w:type="dxa" w:w="1440"/>
            <w:shd w:fill="FFDCE0" w:val="clear"/>
          </w:tcPr>
          <w:p>
            <w:r>
              <w:rPr>
                <w:sz w:val="17"/>
              </w:rPr>
              <w:t>2,883</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2,361</w:t>
            </w:r>
          </w:p>
        </w:tc>
        <w:tc>
          <w:tcPr>
            <w:tcW w:type="dxa" w:w="1440"/>
            <w:shd w:fill="FFDCE0" w:val="clear"/>
          </w:tcPr>
          <w:p>
            <w:r>
              <w:rPr>
                <w:b/>
                <w:sz w:val="17"/>
              </w:rPr>
              <w:t>2,627</w:t>
            </w:r>
          </w:p>
        </w:tc>
        <w:tc>
          <w:tcPr>
            <w:tcW w:type="dxa" w:w="1440"/>
            <w:shd w:fill="FFDCE0" w:val="clear"/>
          </w:tcPr>
          <w:p>
            <w:r>
              <w:rPr>
                <w:sz w:val="17"/>
              </w:rPr>
              <w:t>2,894</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2,312</w:t>
            </w:r>
          </w:p>
        </w:tc>
        <w:tc>
          <w:tcPr>
            <w:tcW w:type="dxa" w:w="1440"/>
            <w:shd w:fill="FFDCE0" w:val="clear"/>
          </w:tcPr>
          <w:p>
            <w:r>
              <w:rPr>
                <w:b/>
                <w:sz w:val="17"/>
              </w:rPr>
              <w:t>2,607</w:t>
            </w:r>
          </w:p>
        </w:tc>
        <w:tc>
          <w:tcPr>
            <w:tcW w:type="dxa" w:w="1440"/>
            <w:shd w:fill="FFDCE0" w:val="clear"/>
          </w:tcPr>
          <w:p>
            <w:r>
              <w:rPr>
                <w:sz w:val="17"/>
              </w:rPr>
              <w:t>2,903</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2,267</w:t>
            </w:r>
          </w:p>
        </w:tc>
        <w:tc>
          <w:tcPr>
            <w:tcW w:type="dxa" w:w="1440"/>
            <w:shd w:fill="FFDCE0" w:val="clear"/>
          </w:tcPr>
          <w:p>
            <w:r>
              <w:rPr>
                <w:b/>
                <w:sz w:val="17"/>
              </w:rPr>
              <w:t>2,588</w:t>
            </w:r>
          </w:p>
        </w:tc>
        <w:tc>
          <w:tcPr>
            <w:tcW w:type="dxa" w:w="1440"/>
            <w:shd w:fill="FFDCE0" w:val="clear"/>
          </w:tcPr>
          <w:p>
            <w:r>
              <w:rPr>
                <w:sz w:val="17"/>
              </w:rPr>
              <w:t>2,910</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2,226</w:t>
            </w:r>
          </w:p>
        </w:tc>
        <w:tc>
          <w:tcPr>
            <w:tcW w:type="dxa" w:w="1440"/>
            <w:shd w:fill="FFDCE0" w:val="clear"/>
          </w:tcPr>
          <w:p>
            <w:r>
              <w:rPr>
                <w:b/>
                <w:sz w:val="17"/>
              </w:rPr>
              <w:t>2,571</w:t>
            </w:r>
          </w:p>
        </w:tc>
        <w:tc>
          <w:tcPr>
            <w:tcW w:type="dxa" w:w="1440"/>
            <w:shd w:fill="FFDCE0" w:val="clear"/>
          </w:tcPr>
          <w:p>
            <w:r>
              <w:rPr>
                <w:sz w:val="17"/>
              </w:rPr>
              <w:t>2,915</w:t>
            </w:r>
          </w:p>
        </w:tc>
        <w:tc>
          <w:tcPr>
            <w:tcW w:type="dxa" w:w="1440"/>
            <w:shd w:fill="FFDCE0" w:val="clear"/>
          </w:tcPr>
          <w:p>
            <w:r>
              <w:rPr>
                <w:b/>
                <w:color w:val="C00000"/>
                <w:sz w:val="17"/>
              </w:rPr>
              <w:t>-6.5%</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2,187</w:t>
            </w:r>
          </w:p>
        </w:tc>
        <w:tc>
          <w:tcPr>
            <w:tcW w:type="dxa" w:w="1440"/>
            <w:shd w:fill="FFDCE0" w:val="clear"/>
          </w:tcPr>
          <w:p>
            <w:r>
              <w:rPr>
                <w:b/>
                <w:sz w:val="17"/>
              </w:rPr>
              <w:t>2,553</w:t>
            </w:r>
          </w:p>
        </w:tc>
        <w:tc>
          <w:tcPr>
            <w:tcW w:type="dxa" w:w="1440"/>
            <w:shd w:fill="FFDCE0" w:val="clear"/>
          </w:tcPr>
          <w:p>
            <w:r>
              <w:rPr>
                <w:sz w:val="17"/>
              </w:rPr>
              <w:t>2,920</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2,151</w:t>
            </w:r>
          </w:p>
        </w:tc>
        <w:tc>
          <w:tcPr>
            <w:tcW w:type="dxa" w:w="1440"/>
            <w:shd w:fill="FFDCE0" w:val="clear"/>
          </w:tcPr>
          <w:p>
            <w:r>
              <w:rPr>
                <w:b/>
                <w:sz w:val="17"/>
              </w:rPr>
              <w:t>2,537</w:t>
            </w:r>
          </w:p>
        </w:tc>
        <w:tc>
          <w:tcPr>
            <w:tcW w:type="dxa" w:w="1440"/>
            <w:shd w:fill="FFDCE0" w:val="clear"/>
          </w:tcPr>
          <w:p>
            <w:r>
              <w:rPr>
                <w:sz w:val="17"/>
              </w:rPr>
              <w:t>2,923</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2,117</w:t>
            </w:r>
          </w:p>
        </w:tc>
        <w:tc>
          <w:tcPr>
            <w:tcW w:type="dxa" w:w="1440"/>
            <w:shd w:fill="FFDCE0" w:val="clear"/>
          </w:tcPr>
          <w:p>
            <w:r>
              <w:rPr>
                <w:b/>
                <w:sz w:val="17"/>
              </w:rPr>
              <w:t>2,521</w:t>
            </w:r>
          </w:p>
        </w:tc>
        <w:tc>
          <w:tcPr>
            <w:tcW w:type="dxa" w:w="1440"/>
            <w:shd w:fill="FFDCE0" w:val="clear"/>
          </w:tcPr>
          <w:p>
            <w:r>
              <w:rPr>
                <w:sz w:val="17"/>
              </w:rPr>
              <w:t>2,925</w:t>
            </w:r>
          </w:p>
        </w:tc>
        <w:tc>
          <w:tcPr>
            <w:tcW w:type="dxa" w:w="1440"/>
            <w:shd w:fill="FFDCE0" w:val="clear"/>
          </w:tcPr>
          <w:p>
            <w:r>
              <w:rPr>
                <w:b/>
                <w:color w:val="C00000"/>
                <w:sz w:val="17"/>
              </w:rPr>
              <w:t>-8.3%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149,70 milliards FCFA, un niveau significatif qui la positionne parmi les valeurs moyennes à grandes capitalisations de la BRVM. Le BPA de 387 FCFA indique que chaque action génère un bénéfice substantiel, justifiant un PER de 7,1x, nettement inférieur à la moyenne du marché (8-12x), ce qui suggère une sous-évaluation relative du titre. Le P/B de 1,92x, bien que supérieur à 1, valorise l'actif net de manière raisonnable, sans prime excessive. En revanche, l'EV/EBITDA de 32,3x est particulièrement exigeant, indiquant que la valeur d'entreprise (dette incluse) est élevée par rapport à la capacité bénéficiaire opérationnelle, un signal de prudence pour les investisseurs axés sur la valeur.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performance remarquable de +41,03%, avec une dernière séance en hausse de +2,23% à 2 750 FCFA. Le titre a évolué dans une fourchette large de 1 650 à 2 820 FCFA, démontrant une forte dynamique haussière. La moyenne (2 095 FCFA) étant inférieure à la médiane (1 975 FCFA), on observe une asymétrie positive (skewness de 0,693), signifiant que la majorité des séances se situaient sous la moyenne, avec des pics récents qui ont tiré le cours vers le haut. L'écart-type de 342 FCFA (CV=16,3%) indique une dispersion modérée, tandis que le kurtosis de -0,833 (mésokurtique) suggère une distribution proche de la normale, sans risque de variations extrêmes. La volatilité annualisée de 51,7% est élevée (&gt;30%), reflétant un titre spéculatif avec des fluctuations importantes.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(2 750 FCFA) est nettement supérieur à la MM20 (2 592,5 FCFA) et à la MM50 (2 338,9 FCFA), confirmant une tendance haussière solide. La configuration des MM (courte au-dessus de la longue) génère un signal d'achat, indiquant que le momentum positif est soutenu par les moyennes mobiles.</w:t>
      </w:r>
    </w:p>
    <w:p>
      <w:pPr>
        <w:spacing w:after="120" w:line="276" w:lineRule="auto"/>
      </w:pPr>
      <w:r>
        <w:t>**Bandes de Bollinger :** Le prix se situe à 2 750 FCFA, entre la borne supérieure (3 004,6 FCFA) et la borne inférieure (2 180,4 FCFA), mais proche de la partie haute. Cette position suggère une volatilité modérée avec un potentiel de poursuite haussière, bien que le signal reste neutre, le cours n'ayant pas encore touché la borne supérieure.</w:t>
      </w:r>
    </w:p>
    <w:p>
      <w:pPr>
        <w:spacing w:after="120" w:line="276" w:lineRule="auto"/>
      </w:pPr>
      <w:r>
        <w:t>**MACD :** La valeur MACD (111,43) est inférieure au signal (122,55), indiquant un momentum baissier à court terme malgré la tendance haussière globale. Cette divergence génère un signal de vente, suggérant une possible consolidation ou correction après la forte hausse récente.</w:t>
      </w:r>
    </w:p>
    <w:p>
      <w:pPr>
        <w:spacing w:after="120" w:line="276" w:lineRule="auto"/>
      </w:pPr>
      <w:r>
        <w:t>**RSI :** Le RSI à 75,64 est en zone de surachat (&gt;70), signalant que le titre est techniquement surévalué à court terme. La décision de vente est justifiée, car un repli est probable pour soulager la pression acheteuse.</w:t>
      </w:r>
    </w:p>
    <w:p>
      <w:pPr>
        <w:spacing w:after="120" w:line="276" w:lineRule="auto"/>
      </w:pPr>
      <w:r>
        <w:t>**Stochastique :** Le %K (76,27) et le %D (76,52) sont proches, sans croisement significatif, indiquant une dynamique neutre. Le signal neutre reflète une stabilisation après la montée, avec un équilibre entre acheteurs et vendeurs.</w:t>
      </w:r>
    </w:p>
    <w:p>
      <w:pPr>
        <w:spacing w:after="120" w:line="276" w:lineRule="auto"/>
      </w:pPr>
      <w:r>
        <w:t>**Conclusion technique :** Les indicateurs sont mitigés : les moyennes mobiles soutiennent la tendance haussière, mais le RSI en surachat et le MACD baissier suggèrent un risque de correction à court terme. La prudence est recommandée, avec un possible repli vers les 2 600-2 500 FCFA avant une reprise.</w:t>
      </w:r>
    </w:p>
    <w:p>
      <w:pPr>
        <w:spacing w:after="120" w:line="276" w:lineRule="auto"/>
      </w:pPr>
      <w:r>
        <w:t>---</w:t>
      </w:r>
    </w:p>
    <w:p>
      <w:pPr>
        <w:spacing w:after="120" w:line="276" w:lineRule="auto"/>
      </w:pPr>
      <w:r>
        <w:t>### PARTIE 3 : ANALYSE FONDAMENTALE (SECTION CRITIQUE)</w:t>
      </w:r>
    </w:p>
    <w:p>
      <w:pPr>
        <w:spacing w:after="120" w:line="276" w:lineRule="auto"/>
      </w:pPr>
      <w:r>
        <w:t>En 2024, SDSC (AGL Côte d'Ivoire) a réalisé un chiffre d'affaires de 85,643 milliards FCFA, en croissance de 3,7%, avec un résultat net de 21,069 milliards FCFA, en hausse de 22,9%. La marge nette s'est améliorée à 24,6%, et le ROE atteint 27,1%, un niveau excellent (&gt;15%), tandis que le ROA est de 11,2%. La structure financière est saine avec une autonomie financière de 41,4% et une solvabilité générale de 170,5%. Cependant, le délai clients de 466,9 jours est préoccupant, indiquant un risque de trésorerie, bien que le BFR de 17,874 milliards FCFA soit positif. Les rapports trimestriels 2025 montrent une tendance contrastée : le T1 2025 affiche un CA de 24,897 milliards FCFA (+6,2%) avec un retour à la profitabilité (+223 millions FCFA), mais le S1 2025 est déficitaire (-427 millions FCFA) en raison de l'absence de dividendes des filiales. Le T3 2025, avec un CA de 66,217 milliards FCFA (+7,4%), voit son résultat net chuter de 77% à 4,341 milliards FCFA, impacté par des éléments exceptionnels. Sur la base de ces données, on estime que l'exercice 2025 pourrait voir un CA d'environ 90 milliards FCFA, mais un résultat net en baisse significative, potentiellement autour de 10-12 milliards FCFA, si les revenus des filiales ne se rétablissent pas. La solidité opérationnelle de base est confirmée, mais la dépendance aux dividendes des filiales introduit une volatilité dans les résultats.</w:t>
      </w:r>
    </w:p>
    <w:p>
      <w:pPr>
        <w:spacing w:after="120" w:line="276" w:lineRule="auto"/>
      </w:pPr>
      <w:r>
        <w:t>---</w:t>
      </w:r>
    </w:p>
    <w:p>
      <w:pPr>
        <w:spacing w:after="120" w:line="276" w:lineRule="auto"/>
      </w:pPr>
      <w:r>
        <w:t>### PARTIE 4 : CONCLUSION D'INVESTISSEMENT</w:t>
      </w:r>
    </w:p>
    <w:p>
      <w:pPr>
        <w:spacing w:after="120" w:line="276" w:lineRule="auto"/>
      </w:pPr>
      <w:r>
        <w:t>La valorisation de SDSC est contrastée : le PER de 7,1x suggère une sous-évaluation, mais l'EV/EBITDA de 32,3x est préoccupant. Le comportement du cours montre une forte tendance haussière (+41% sur 100 jours) avec une volatilité élevée, mais les statistiques (skewness positif, kurtosis normal) indiquent une dynamique saine. Les signaux techniques sont mitigés : les moyennes mobiles sont haussières, mais le RSI en surachat et le MACD baissier signalent un risque de correction. Fondamentalement, l'entreprise est solide avec un ROE de 27,1%, mais les résultats 2025 sont volatils, dépendants des filiales. Les prédictions IA (2 713 à 2 607 FCFA sur 10 jours) confirment une légère baisse, en ligne avec les signaux techniques. En synthèse, je recommande **CONSERVER** avec un niveau de confiance **Moyen** et un risque global **Élevé**. L'horizon optimal est le **moyen terme (3-12 mois)**, en attendant une clarification sur les dividendes des filiales et une stabilisation des résultats. Un achat pourrait être envisagé sous 2 300 FCFA, tandis qu'une vente serait justifiée si le cours dépasse 3 000 FCFA sans soutien fondamental.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5,284 titres</w:t>
            </w:r>
          </w:p>
        </w:tc>
        <w:tc>
          <w:tcPr>
            <w:tcW w:type="dxa" w:w="2268"/>
            <w:shd w:fill="FFF2CC" w:val="clear"/>
          </w:tcPr>
          <w:p>
            <w:r>
              <w:rPr>
                <w:b/>
                <w:color w:val="503200"/>
                <w:sz w:val="16"/>
              </w:rPr>
              <w:t xml:space="preserve">Cours actuel : </w:t>
            </w:r>
            <w:r>
              <w:rPr>
                <w:color w:val="000000"/>
                <w:sz w:val="17"/>
              </w:rPr>
              <w:t>1,480 FCFA</w:t>
            </w:r>
          </w:p>
          <w:p>
            <w:r>
              <w:rPr>
                <w:b/>
                <w:color w:val="503200"/>
                <w:sz w:val="16"/>
              </w:rPr>
              <w:t xml:space="preserve">Var. 100 jours : </w:t>
            </w:r>
            <w:r>
              <w:rPr>
                <w:b/>
                <w:color w:val="B40000"/>
                <w:sz w:val="17"/>
              </w:rPr>
              <w:t>-31.16%</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14.02% (Moyenne) — μ=1,663 FCFA, σ=233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β=0.7566 (Défensif) — Cov=0.000027, Var(idx)=0.000036, ρ=0.138,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547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1,372</w:t>
            </w:r>
          </w:p>
        </w:tc>
        <w:tc>
          <w:tcPr>
            <w:tcW w:type="dxa" w:w="1440"/>
            <w:shd w:fill="FFDCE0" w:val="clear"/>
          </w:tcPr>
          <w:p>
            <w:r>
              <w:rPr>
                <w:b/>
                <w:sz w:val="17"/>
              </w:rPr>
              <w:t>1,440</w:t>
            </w:r>
          </w:p>
        </w:tc>
        <w:tc>
          <w:tcPr>
            <w:tcW w:type="dxa" w:w="1440"/>
            <w:shd w:fill="FFDCE0" w:val="clear"/>
          </w:tcPr>
          <w:p>
            <w:r>
              <w:rPr>
                <w:sz w:val="17"/>
              </w:rPr>
              <w:t>1,508</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1,335</w:t>
            </w:r>
          </w:p>
        </w:tc>
        <w:tc>
          <w:tcPr>
            <w:tcW w:type="dxa" w:w="1440"/>
            <w:shd w:fill="FFDCE0" w:val="clear"/>
          </w:tcPr>
          <w:p>
            <w:r>
              <w:rPr>
                <w:b/>
                <w:sz w:val="17"/>
              </w:rPr>
              <w:t>1,430</w:t>
            </w:r>
          </w:p>
        </w:tc>
        <w:tc>
          <w:tcPr>
            <w:tcW w:type="dxa" w:w="1440"/>
            <w:shd w:fill="FFDCE0" w:val="clear"/>
          </w:tcPr>
          <w:p>
            <w:r>
              <w:rPr>
                <w:sz w:val="17"/>
              </w:rPr>
              <w:t>1,526</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1,301</w:t>
            </w:r>
          </w:p>
        </w:tc>
        <w:tc>
          <w:tcPr>
            <w:tcW w:type="dxa" w:w="1440"/>
            <w:shd w:fill="FFDCE0" w:val="clear"/>
          </w:tcPr>
          <w:p>
            <w:r>
              <w:rPr>
                <w:b/>
                <w:sz w:val="17"/>
              </w:rPr>
              <w:t>1,417</w:t>
            </w:r>
          </w:p>
        </w:tc>
        <w:tc>
          <w:tcPr>
            <w:tcW w:type="dxa" w:w="1440"/>
            <w:shd w:fill="FFDCE0" w:val="clear"/>
          </w:tcPr>
          <w:p>
            <w:r>
              <w:rPr>
                <w:sz w:val="17"/>
              </w:rPr>
              <w:t>1,533</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1,271</w:t>
            </w:r>
          </w:p>
        </w:tc>
        <w:tc>
          <w:tcPr>
            <w:tcW w:type="dxa" w:w="1440"/>
            <w:shd w:fill="FFDCE0" w:val="clear"/>
          </w:tcPr>
          <w:p>
            <w:r>
              <w:rPr>
                <w:b/>
                <w:sz w:val="17"/>
              </w:rPr>
              <w:t>1,404</w:t>
            </w:r>
          </w:p>
        </w:tc>
        <w:tc>
          <w:tcPr>
            <w:tcW w:type="dxa" w:w="1440"/>
            <w:shd w:fill="FFDCE0" w:val="clear"/>
          </w:tcPr>
          <w:p>
            <w:r>
              <w:rPr>
                <w:sz w:val="17"/>
              </w:rPr>
              <w:t>1,536</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1,244</w:t>
            </w:r>
          </w:p>
        </w:tc>
        <w:tc>
          <w:tcPr>
            <w:tcW w:type="dxa" w:w="1440"/>
            <w:shd w:fill="FFDCE0" w:val="clear"/>
          </w:tcPr>
          <w:p>
            <w:r>
              <w:rPr>
                <w:b/>
                <w:sz w:val="17"/>
              </w:rPr>
              <w:t>1,390</w:t>
            </w:r>
          </w:p>
        </w:tc>
        <w:tc>
          <w:tcPr>
            <w:tcW w:type="dxa" w:w="1440"/>
            <w:shd w:fill="FFDCE0" w:val="clear"/>
          </w:tcPr>
          <w:p>
            <w:r>
              <w:rPr>
                <w:sz w:val="17"/>
              </w:rPr>
              <w:t>1,537</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1,218</w:t>
            </w:r>
          </w:p>
        </w:tc>
        <w:tc>
          <w:tcPr>
            <w:tcW w:type="dxa" w:w="1440"/>
            <w:shd w:fill="FFDCE0" w:val="clear"/>
          </w:tcPr>
          <w:p>
            <w:r>
              <w:rPr>
                <w:b/>
                <w:sz w:val="17"/>
              </w:rPr>
              <w:t>1,377</w:t>
            </w:r>
          </w:p>
        </w:tc>
        <w:tc>
          <w:tcPr>
            <w:tcW w:type="dxa" w:w="1440"/>
            <w:shd w:fill="FFDCE0" w:val="clear"/>
          </w:tcPr>
          <w:p>
            <w:r>
              <w:rPr>
                <w:sz w:val="17"/>
              </w:rPr>
              <w:t>1,536</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1,194</w:t>
            </w:r>
          </w:p>
        </w:tc>
        <w:tc>
          <w:tcPr>
            <w:tcW w:type="dxa" w:w="1440"/>
            <w:shd w:fill="FFDCE0" w:val="clear"/>
          </w:tcPr>
          <w:p>
            <w:r>
              <w:rPr>
                <w:b/>
                <w:sz w:val="17"/>
              </w:rPr>
              <w:t>1,364</w:t>
            </w:r>
          </w:p>
        </w:tc>
        <w:tc>
          <w:tcPr>
            <w:tcW w:type="dxa" w:w="1440"/>
            <w:shd w:fill="FFDCE0" w:val="clear"/>
          </w:tcPr>
          <w:p>
            <w:r>
              <w:rPr>
                <w:sz w:val="17"/>
              </w:rPr>
              <w:t>1,534</w:t>
            </w:r>
          </w:p>
        </w:tc>
        <w:tc>
          <w:tcPr>
            <w:tcW w:type="dxa" w:w="1440"/>
            <w:shd w:fill="FFDCE0" w:val="clear"/>
          </w:tcPr>
          <w:p>
            <w:r>
              <w:rPr>
                <w:b/>
                <w:color w:val="C00000"/>
                <w:sz w:val="17"/>
              </w:rPr>
              <w:t>-7.8%</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1,171</w:t>
            </w:r>
          </w:p>
        </w:tc>
        <w:tc>
          <w:tcPr>
            <w:tcW w:type="dxa" w:w="1440"/>
            <w:shd w:fill="FFDCE0" w:val="clear"/>
          </w:tcPr>
          <w:p>
            <w:r>
              <w:rPr>
                <w:b/>
                <w:sz w:val="17"/>
              </w:rPr>
              <w:t>1,351</w:t>
            </w:r>
          </w:p>
        </w:tc>
        <w:tc>
          <w:tcPr>
            <w:tcW w:type="dxa" w:w="1440"/>
            <w:shd w:fill="FFDCE0" w:val="clear"/>
          </w:tcPr>
          <w:p>
            <w:r>
              <w:rPr>
                <w:sz w:val="17"/>
              </w:rPr>
              <w:t>1,532</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1,149</w:t>
            </w:r>
          </w:p>
        </w:tc>
        <w:tc>
          <w:tcPr>
            <w:tcW w:type="dxa" w:w="1440"/>
            <w:shd w:fill="FFDCE0" w:val="clear"/>
          </w:tcPr>
          <w:p>
            <w:r>
              <w:rPr>
                <w:b/>
                <w:sz w:val="17"/>
              </w:rPr>
              <w:t>1,339</w:t>
            </w:r>
          </w:p>
        </w:tc>
        <w:tc>
          <w:tcPr>
            <w:tcW w:type="dxa" w:w="1440"/>
            <w:shd w:fill="FFDCE0" w:val="clear"/>
          </w:tcPr>
          <w:p>
            <w:r>
              <w:rPr>
                <w:sz w:val="17"/>
              </w:rPr>
              <w:t>1,529</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1,129</w:t>
            </w:r>
          </w:p>
        </w:tc>
        <w:tc>
          <w:tcPr>
            <w:tcW w:type="dxa" w:w="1440"/>
            <w:shd w:fill="FFDCE0" w:val="clear"/>
          </w:tcPr>
          <w:p>
            <w:r>
              <w:rPr>
                <w:b/>
                <w:sz w:val="17"/>
              </w:rPr>
              <w:t>1,327</w:t>
            </w:r>
          </w:p>
        </w:tc>
        <w:tc>
          <w:tcPr>
            <w:tcW w:type="dxa" w:w="1440"/>
            <w:shd w:fill="FFDCE0" w:val="clear"/>
          </w:tcPr>
          <w:p>
            <w:r>
              <w:rPr>
                <w:sz w:val="17"/>
              </w:rPr>
              <w:t>1,525</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03 Août 2026**</w:t>
        <w:br/>
        <w:t>**Cours de référence : 1 480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**37,28 milliards FCFA**, un niveau modeste qui la classe parmi les valeurs de taille moyenne sur la BRVM, lui conférant un profil de liquidité potentiellement plus limité. Les ratios de valorisation (BPA, PER, P/B, EV/EBITDA) ne sont pas calculables, faute de données financières structurées récentes dans la base. Cependant, sur la base du résultat net de l'exercice 2023 (1,01 milliard FCFA) et du nombre d'actions estimé, le PER ressortirait à un niveau extrêmement élevé (supérieur à 35x), ce qui indiquerait une décote sévère des bénéfices ou une anticipation de retournement majeur. En l'absence de capitaux propres actualisés, il est impossible de déterminer un P/B fiable. L'absence de ces ratios clés constitue un frein majeur à l'évaluation quantitative précise du titre, mais suggère que le marché intègre principalement des perspectives de redressement futur plutôt que la rentabilité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 subi une **décote sévère de -31,16%**, illustrant une tendance baissière marquée, avec une légère baisse de -0,34% lors de la dernière séance. Le cours a évolué dans un range de trading très large, entre un plus haut de 2 265 FCFA et un plus bas de 1 350 FCFA, témoignant d'une forte pression vendeuse. La moyenne du cours (1 663 FCFA) est supérieure à la médiane (1 572 FCFA), et le skewness positif (1.008) confirme une asymétrie avec des journées de forte baisse plus fréquentes que les hausses. L'écart-type de 234 FCFA (CV=14,1%) indique une dispersion modérée des prix autour de la moyenne. Le kurtosis négatif (-0.246) suggère une distribution mésokurtique, sans risque de pics extrêmes particuliers. Enfin, la **volatilité annualisée de 52,4%** classe le titre comme extrêmement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(MM20 &amp; MM50) :** Le cours actuel (1 480 FCFA) se situe sous la MM20 (1 467,5 FCFA) et la MM50 (1 519,2 FCFA). La position sous les deux moyennes clés confirme une dynamique baissière à court et moyen terme. La décision de **Vente** est justifiée par cette configuration, bien que la MM20 soit proche du cours, suggérant une possible consolidation à très court terme.</w:t>
      </w:r>
    </w:p>
    <w:p>
      <w:pPr>
        <w:spacing w:after="120" w:line="276" w:lineRule="auto"/>
      </w:pPr>
      <w:r>
        <w:t>**Bandes de Bollinger :** Le prix se situe à 1 480 FCFA, proche de la borne inférieure (1 368 FCFA) et loin de la borne supérieure (1 566,9 FCFA). Cette position indique que le titre est dans la partie basse de son canal de volatilité, sans être survendu de manière extrême. La décision **Neutre** est cohérente, car le cours n'a pas encore touché la borne inférieure, ce qui pourrait déclencher un rebond technique, mais la tendance reste fragile.</w:t>
      </w:r>
    </w:p>
    <w:p>
      <w:pPr>
        <w:spacing w:after="120" w:line="276" w:lineRule="auto"/>
      </w:pPr>
      <w:r>
        <w:t>**MACD :** Le MACD (-8.01) est négatif mais se situe au-dessus de sa ligne de signal (-12.207). Cette configuration, bien que le momentum reste négatif, montre un ralentissement de la dynamique baissière. La décision **Achat** est justifiée par ce croisement haussier potentiel, qui pourrait signaler le début d'un retournement, même s'il est encore tôt pour le confirmer.</w:t>
      </w:r>
    </w:p>
    <w:p>
      <w:pPr>
        <w:spacing w:after="120" w:line="276" w:lineRule="auto"/>
      </w:pPr>
      <w:r>
        <w:t>**RSI :** Le RSI à 48.42 est en zone neutre (entre 30 et 70). Il n'indique ni surachat ni survente, ce qui laisse place à une évolution dans les deux sens. La décision **Neutre** est appropriée, car le momentum n'est pas assez fort pour générer un signal directionnel clair.</w:t>
      </w:r>
    </w:p>
    <w:p>
      <w:pPr>
        <w:spacing w:after="120" w:line="276" w:lineRule="auto"/>
      </w:pPr>
      <w:r>
        <w:t>**Stochastique :** Le %K (56.0) est inférieur au %D (62.667), indiquant une dynamique baissière à très court terme. Cependant, les deux valeurs restent en zone neutre. La décision **Neutre** est justifiée, car le croisement baissier n'est pas encore confirmé par une sortie de zone de surachat ou de survente.</w:t>
      </w:r>
    </w:p>
    <w:p>
      <w:pPr>
        <w:spacing w:after="120" w:line="276" w:lineRule="auto"/>
      </w:pPr>
      <w:r>
        <w:t>**Conclusion technique :** La majorité des indicateurs (MM, Bollinger, RSI, Stochastique) sont neutres ou vendeurs, mais le MACD montre un signe précoce de retournement. Le titre est dans une phase de stabilisation après une forte baisse, mais sans signal d'achat fort. La tendance de fond reste baissière, et un rebond technique est possible, mais il nécessitera une confirmation par une cassure au-dessus de la MM20 et de la MM50.</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narratifs fournissent des informations cruciales. **Pour l'exercice 2023** (rapport du 31/12/2024), le chiffre d'affaires s'établit à **27,88 milliards FCFA**, en baisse de 6% par rapport à 2022 (29,60 milliards FCFA). Le **résultat net a chuté de 74%** pour atteindre **1,01 milliard FCFA**, contre 3,86 milliards FCFA en 2022, avec une marge nette dégradée à 3,6% (vs 13% en 2022). Cette contre-performance s'explique par la perte de clients clés (AIRONE, secteur Tomate) et une concurrence accrue des emballages alternatifs. Le rapport de 2022 (31/12/2023) présente des chiffres différents (CA de 125,4 milliards FCFA, résultat net de 12,8 milliards FCFA), mais semble être un doublon erroné ou une consolidation différente ; nous privilégions les chiffres détaillés du rapport 2023. La société a suspendu ses dividendes (0 FCFA en 2023 et 2022) pour préserver sa trésorerie (3,35 milliards FCFA). **Perspectives 2024 :** l'objectif est un CA de 32 milliards FCFA (+18%), porté par les bouchons couronnes et l'export. Le rachat par Sonoco Products Company (finalisé en décembre 2024) est un catalyseur majeur, mais la rentabilité reste fragile. Les estimations basées sur les rapports trimestriels de 2023 (T1 : CA 7,65 milliards FCFA, +16,5%) suggèrent une amélioration progressive, mais la prudence est de mise.</w:t>
      </w:r>
    </w:p>
    <w:p>
      <w:pPr>
        <w:spacing w:after="120" w:line="276" w:lineRule="auto"/>
      </w:pPr>
      <w:r>
        <w:t>---</w:t>
      </w:r>
    </w:p>
    <w:p>
      <w:pPr>
        <w:spacing w:after="120" w:line="276" w:lineRule="auto"/>
      </w:pPr>
      <w:r>
        <w:t>### PARTIE 4 : CONCLUSION D'INVESTISSEMENT</w:t>
      </w:r>
    </w:p>
    <w:p>
      <w:pPr>
        <w:spacing w:after="120" w:line="276" w:lineRule="auto"/>
      </w:pPr>
      <w:r>
        <w:t>La valorisation de SEMC est difficile à établir faute de ratios clés, mais le PER implicite sur les bénéfices 2023 est très élevé, indiquant que le marché ne valorise pas la rentabilité actuelle mais un potentiel de redressement. Le comportement du cours est **très préoccupant** avec une baisse de -31% sur 100 jours et une volatilité de 52,4%, reflétant un risque élevé. Les signaux techniques sont mitigés, avec une tendance baissière dominante mais un MACD montrant un signe de stabilisation. Les fondamentaux sont **fragiles** : baisse du CA et du résultat net en 2023, mais des perspectives de croissance pour 2024 et un actionnaire stratégique (Sonoco) qui pourrait apporter des capitaux et une expertise. Les prédictions IA (1 440 à 1 390 FCFA sur 10 jours) confirment la poursuite de la tendance baissière à court terme, en ligne avec l'analyse technique. En synthèse, les signaux sont **divergents** : le technique et la prédiction IA sont baissiers, tandis que le fondamental offre un potentiel de retournement à moyen terme. Par conséquent, nous recommandons une position de **CONSERVER** pour les investisseurs déjà positionnés, avec un niveau de confiance **Moyen** et un risque global **Élevé**. L'horizon d'investissement optimal est le **moyen terme (3-12 mois)**, en attendant de voir si le plan de relance 2024 et l'intégration de Sonoco se matérialisent par une amélioration des résultats financiers.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1182.07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4,386 titres</w:t>
            </w:r>
          </w:p>
        </w:tc>
        <w:tc>
          <w:tcPr>
            <w:tcW w:type="dxa" w:w="2268"/>
            <w:shd w:fill="FFF2CC" w:val="clear"/>
          </w:tcPr>
          <w:p>
            <w:r>
              <w:rPr>
                <w:b/>
                <w:color w:val="503200"/>
                <w:sz w:val="16"/>
              </w:rPr>
              <w:t xml:space="preserve">Cours actuel : </w:t>
            </w:r>
            <w:r>
              <w:rPr>
                <w:color w:val="000000"/>
                <w:sz w:val="17"/>
              </w:rPr>
              <w:t>37,995 FCFA</w:t>
            </w:r>
          </w:p>
          <w:p>
            <w:r>
              <w:rPr>
                <w:b/>
                <w:color w:val="503200"/>
                <w:sz w:val="16"/>
              </w:rPr>
              <w:t xml:space="preserve">Var. 100 jours : </w:t>
            </w:r>
            <w:r>
              <w:rPr>
                <w:b/>
                <w:color w:val="007800"/>
                <w:sz w:val="17"/>
              </w:rPr>
              <w:t>+8.56%</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μ=36,404 FCFA, σ=2,059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β=0.5822 (Défensif) — Cov=0.000021, Var(idx)=0.000036, ρ=0.227,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587289"/>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36,970</w:t>
            </w:r>
          </w:p>
        </w:tc>
        <w:tc>
          <w:tcPr>
            <w:tcW w:type="dxa" w:w="1440"/>
            <w:shd w:fill="FAFAFA" w:val="clear"/>
          </w:tcPr>
          <w:p>
            <w:r>
              <w:rPr>
                <w:b/>
                <w:sz w:val="17"/>
              </w:rPr>
              <w:t>37,730</w:t>
            </w:r>
          </w:p>
        </w:tc>
        <w:tc>
          <w:tcPr>
            <w:tcW w:type="dxa" w:w="1440"/>
            <w:shd w:fill="FAFAFA" w:val="clear"/>
          </w:tcPr>
          <w:p>
            <w:r>
              <w:rPr>
                <w:sz w:val="17"/>
              </w:rPr>
              <w:t>38,490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36,579</w:t>
            </w:r>
          </w:p>
        </w:tc>
        <w:tc>
          <w:tcPr>
            <w:tcW w:type="dxa" w:w="1440"/>
            <w:shd w:fill="FAFAFA" w:val="clear"/>
          </w:tcPr>
          <w:p>
            <w:r>
              <w:rPr>
                <w:b/>
                <w:sz w:val="17"/>
              </w:rPr>
              <w:t>37,651</w:t>
            </w:r>
          </w:p>
        </w:tc>
        <w:tc>
          <w:tcPr>
            <w:tcW w:type="dxa" w:w="1440"/>
            <w:shd w:fill="FAFAFA" w:val="clear"/>
          </w:tcPr>
          <w:p>
            <w:r>
              <w:rPr>
                <w:sz w:val="17"/>
              </w:rPr>
              <w:t>38,724</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36,257</w:t>
            </w:r>
          </w:p>
        </w:tc>
        <w:tc>
          <w:tcPr>
            <w:tcW w:type="dxa" w:w="1440"/>
            <w:shd w:fill="FAFAFA" w:val="clear"/>
          </w:tcPr>
          <w:p>
            <w:r>
              <w:rPr>
                <w:b/>
                <w:sz w:val="17"/>
              </w:rPr>
              <w:t>37,568</w:t>
            </w:r>
          </w:p>
        </w:tc>
        <w:tc>
          <w:tcPr>
            <w:tcW w:type="dxa" w:w="1440"/>
            <w:shd w:fill="FAFAFA" w:val="clear"/>
          </w:tcPr>
          <w:p>
            <w:r>
              <w:rPr>
                <w:sz w:val="17"/>
              </w:rPr>
              <w:t>38,879</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2026-08-10</w:t>
            </w:r>
          </w:p>
        </w:tc>
        <w:tc>
          <w:tcPr>
            <w:tcW w:type="dxa" w:w="1440"/>
            <w:shd w:fill="FAFAFA" w:val="clear"/>
          </w:tcPr>
          <w:p>
            <w:r>
              <w:rPr>
                <w:sz w:val="17"/>
              </w:rPr>
              <w:t>35,978</w:t>
            </w:r>
          </w:p>
        </w:tc>
        <w:tc>
          <w:tcPr>
            <w:tcW w:type="dxa" w:w="1440"/>
            <w:shd w:fill="FAFAFA" w:val="clear"/>
          </w:tcPr>
          <w:p>
            <w:r>
              <w:rPr>
                <w:b/>
                <w:sz w:val="17"/>
              </w:rPr>
              <w:t>37,488</w:t>
            </w:r>
          </w:p>
        </w:tc>
        <w:tc>
          <w:tcPr>
            <w:tcW w:type="dxa" w:w="1440"/>
            <w:shd w:fill="FAFAFA" w:val="clear"/>
          </w:tcPr>
          <w:p>
            <w:r>
              <w:rPr>
                <w:sz w:val="17"/>
              </w:rPr>
              <w:t>38,999</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2026-08-11</w:t>
            </w:r>
          </w:p>
        </w:tc>
        <w:tc>
          <w:tcPr>
            <w:tcW w:type="dxa" w:w="1440"/>
            <w:shd w:fill="FAFAFA" w:val="clear"/>
          </w:tcPr>
          <w:p>
            <w:r>
              <w:rPr>
                <w:sz w:val="17"/>
              </w:rPr>
              <w:t>35,726</w:t>
            </w:r>
          </w:p>
        </w:tc>
        <w:tc>
          <w:tcPr>
            <w:tcW w:type="dxa" w:w="1440"/>
            <w:shd w:fill="FAFAFA" w:val="clear"/>
          </w:tcPr>
          <w:p>
            <w:r>
              <w:rPr>
                <w:b/>
                <w:sz w:val="17"/>
              </w:rPr>
              <w:t>37,411</w:t>
            </w:r>
          </w:p>
        </w:tc>
        <w:tc>
          <w:tcPr>
            <w:tcW w:type="dxa" w:w="1440"/>
            <w:shd w:fill="FAFAFA" w:val="clear"/>
          </w:tcPr>
          <w:p>
            <w:r>
              <w:rPr>
                <w:sz w:val="17"/>
              </w:rPr>
              <w:t>39,097</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2026-08-12</w:t>
            </w:r>
          </w:p>
        </w:tc>
        <w:tc>
          <w:tcPr>
            <w:tcW w:type="dxa" w:w="1440"/>
            <w:shd w:fill="FAFAFA" w:val="clear"/>
          </w:tcPr>
          <w:p>
            <w:r>
              <w:rPr>
                <w:sz w:val="17"/>
              </w:rPr>
              <w:t>35,495</w:t>
            </w:r>
          </w:p>
        </w:tc>
        <w:tc>
          <w:tcPr>
            <w:tcW w:type="dxa" w:w="1440"/>
            <w:shd w:fill="FAFAFA" w:val="clear"/>
          </w:tcPr>
          <w:p>
            <w:r>
              <w:rPr>
                <w:b/>
                <w:sz w:val="17"/>
              </w:rPr>
              <w:t>37,337</w:t>
            </w:r>
          </w:p>
        </w:tc>
        <w:tc>
          <w:tcPr>
            <w:tcW w:type="dxa" w:w="1440"/>
            <w:shd w:fill="FAFAFA" w:val="clear"/>
          </w:tcPr>
          <w:p>
            <w:r>
              <w:rPr>
                <w:sz w:val="17"/>
              </w:rPr>
              <w:t>39,180</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2026-08-13</w:t>
            </w:r>
          </w:p>
        </w:tc>
        <w:tc>
          <w:tcPr>
            <w:tcW w:type="dxa" w:w="1440"/>
            <w:shd w:fill="FAFAFA" w:val="clear"/>
          </w:tcPr>
          <w:p>
            <w:r>
              <w:rPr>
                <w:sz w:val="17"/>
              </w:rPr>
              <w:t>35,279</w:t>
            </w:r>
          </w:p>
        </w:tc>
        <w:tc>
          <w:tcPr>
            <w:tcW w:type="dxa" w:w="1440"/>
            <w:shd w:fill="FAFAFA" w:val="clear"/>
          </w:tcPr>
          <w:p>
            <w:r>
              <w:rPr>
                <w:b/>
                <w:sz w:val="17"/>
              </w:rPr>
              <w:t>37,265</w:t>
            </w:r>
          </w:p>
        </w:tc>
        <w:tc>
          <w:tcPr>
            <w:tcW w:type="dxa" w:w="1440"/>
            <w:shd w:fill="FAFAFA" w:val="clear"/>
          </w:tcPr>
          <w:p>
            <w:r>
              <w:rPr>
                <w:sz w:val="17"/>
              </w:rPr>
              <w:t>39,251</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35,075</w:t>
            </w:r>
          </w:p>
        </w:tc>
        <w:tc>
          <w:tcPr>
            <w:tcW w:type="dxa" w:w="1440"/>
            <w:shd w:fill="FFDCE0" w:val="clear"/>
          </w:tcPr>
          <w:p>
            <w:r>
              <w:rPr>
                <w:b/>
                <w:sz w:val="17"/>
              </w:rPr>
              <w:t>37,194</w:t>
            </w:r>
          </w:p>
        </w:tc>
        <w:tc>
          <w:tcPr>
            <w:tcW w:type="dxa" w:w="1440"/>
            <w:shd w:fill="FFDCE0" w:val="clear"/>
          </w:tcPr>
          <w:p>
            <w:r>
              <w:rPr>
                <w:sz w:val="17"/>
              </w:rPr>
              <w:t>39,313</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34,881</w:t>
            </w:r>
          </w:p>
        </w:tc>
        <w:tc>
          <w:tcPr>
            <w:tcW w:type="dxa" w:w="1440"/>
            <w:shd w:fill="FFDCE0" w:val="clear"/>
          </w:tcPr>
          <w:p>
            <w:r>
              <w:rPr>
                <w:b/>
                <w:sz w:val="17"/>
              </w:rPr>
              <w:t>37,124</w:t>
            </w:r>
          </w:p>
        </w:tc>
        <w:tc>
          <w:tcPr>
            <w:tcW w:type="dxa" w:w="1440"/>
            <w:shd w:fill="FFDCE0" w:val="clear"/>
          </w:tcPr>
          <w:p>
            <w:r>
              <w:rPr>
                <w:sz w:val="17"/>
              </w:rPr>
              <w:t>39,368</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34,695</w:t>
            </w:r>
          </w:p>
        </w:tc>
        <w:tc>
          <w:tcPr>
            <w:tcW w:type="dxa" w:w="1440"/>
            <w:shd w:fill="FFDCE0" w:val="clear"/>
          </w:tcPr>
          <w:p>
            <w:r>
              <w:rPr>
                <w:b/>
                <w:sz w:val="17"/>
              </w:rPr>
              <w:t>37,056</w:t>
            </w:r>
          </w:p>
        </w:tc>
        <w:tc>
          <w:tcPr>
            <w:tcW w:type="dxa" w:w="1440"/>
            <w:shd w:fill="FFDCE0" w:val="clear"/>
          </w:tcPr>
          <w:p>
            <w:r>
              <w:rPr>
                <w:sz w:val="17"/>
              </w:rPr>
              <w:t>39,417</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1 182,07 milliards FCFA, ce qui en fait l'une des plus importantes capitalisations de la BRVM, reflétant son statut de leader bancaire régional. Avec un BPA de 3 258 FCFA, le titre se négocie à un PER de 11,7x, légèrement au-dessus de la moyenne historique de la place (~8-12x), indiquant une valorisation raisonnable mais non bradée, les investisseurs intégrant une prime de qualité. Le P/B de 2,39x confirme cette perception, le marché valorisant les capitaux propres à plus du double de leur valeur comptable, signe d'une rentabilité attendue élevée. En revanche, l'EV/EBITDA de 24,5x est très exigeant, suggérant que la valeur d'entreprise intègre des perspectives de croissance opérationnelle soutenues. Ces ratios, dans leur ensemble, positionnent SGBC comme une valeur de qualité, correctement valorisée, où la prime de croissance est déjà partiellement intégrée.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solide de +8,56%, avec une dernière séance quasi stable (-0,01%), témoignant d'une consolidation après une phase haussière. Le cours a évolué dans un range de 32 800 FCFA (plus bas) à 39 200 FCFA (plus haut), démontrant une amplitude de trading de près de 20%. La moyenne (36 404 FCFA) et la médiane (36 200 FCFA) étant très proches, la distribution des prix est symétrique, ce que confirme le skewness de -0,109. L'écart-type de 2 069 FCFA (CV=5,7%) indique une dispersion modérée des cours autour de la moyenne. Le kurtosis de -1,416 (platykurtique) révèle une distribution aplatie, signifiant une absence de mouvements extrêmes et une faible concentration des prix. La volatilité annualisée de 24,7% classe le titre dans la catégorie "modérée" (15-30%), offrant un équilibre entre potentiel de gain et risque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(37 995 FCFA) se situe sous ses moyennes mobiles sur 20 jours (38 251,5 FCFA) et sur 50 jours (38 269,9 FCFA). Cette configuration, où le prix est inférieur aux deux MM, signale une dynamique baissière à court et moyen terme. La décision de "Vente" est justifiée par cette position sous les moyennes, indiquant un momentum négatif.</w:t>
      </w:r>
    </w:p>
    <w:p>
      <w:pPr>
        <w:spacing w:after="120" w:line="276" w:lineRule="auto"/>
      </w:pPr>
      <w:r>
        <w:t>**Bandes de Bollinger** : Le prix évolue dans la partie médiane des bandes, entre la borne supérieure (39 096 FCFA) et la borne inférieure (37 406 FCFA), se rapprochant de cette dernière. La décision "Neutre" est cohérente : le titre n'est ni en situation de surachat ni de survente extrême, mais la proximité de la borne inférieure suggère une pression vendeuse modérée.</w:t>
      </w:r>
    </w:p>
    <w:p>
      <w:pPr>
        <w:spacing w:after="120" w:line="276" w:lineRule="auto"/>
      </w:pPr>
      <w:r>
        <w:t>**MACD** : La valeur du MACD (-76,842) est inférieure à sa ligne de signal (-32,712), confirmant une divergence baissière. Le momentum est négatif et la décision de "Vente" est justifiée, indiquant que la tendance de fond est actuellement orientée à la baisse.</w:t>
      </w:r>
    </w:p>
    <w:p>
      <w:pPr>
        <w:spacing w:after="120" w:line="276" w:lineRule="auto"/>
      </w:pPr>
      <w:r>
        <w:t>**RSI** : À 30,476, le RSI est en zone de survente (proche du seuil de 30), ce qui pourrait signaler un potentiel rebond technique. La décision "Neutre" est prudente, car le titre n'est pas encore en survente extrême, mais la pression vendeuse est forte.</w:t>
      </w:r>
    </w:p>
    <w:p>
      <w:pPr>
        <w:spacing w:after="120" w:line="276" w:lineRule="auto"/>
      </w:pPr>
      <w:r>
        <w:t>**Stochastique** : Le %K (30,0) est supérieur au %D (18,44), indiquant un croisement haussier potentiel en zone de survente. La décision "Neutre" reflète l'incertitude, mais ce croisement pourrait annoncer un retournement à la hausse.</w:t>
      </w:r>
    </w:p>
    <w:p>
      <w:pPr>
        <w:spacing w:after="120" w:line="276" w:lineRule="auto"/>
      </w:pPr>
      <w:r>
        <w:t>**Conclusion technique** : Les indicateurs sont majoritairement baissiers (MM, MACD) mais les oscillateurs (RSI, Stochastique) montrent des signes de survente, suggérant un possible rebond technique. La configuration est donc mitigée, avec un biais baissier à court terme, mais un potentiel de correction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Produit Net Bancaire (PNB) de 276,048 milliards FCFA, en croissance de +4,88%, et d'un résultat net de 101,352 milliards FCFA. La banque affiche une rentabilité exceptionnelle avec un ROE de 20,47% et un ROA de 2,69%, démontrant une utilisation très efficace de ses fonds propres et de ses actifs. Le coefficient d'exploitation de 38,75% est excellent, bien en dessous du seuil de 60%, confirmant une gestion rigoureuse des coûts. Le coût du risque, estimé à 17,995 milliards FCFA, reste maîtrisé. Le ratio de transformation est sain : les dépôts clients (2 907,675 Mds FCFA) couvrent largement les créances clients (2 546,290 Mds FCFA), assurant une liquidité solide. Les rapports trimestriels 2025 confirment cette dynamique : le rapport du 3e trimestre 2025 (cumul 9 mois) indique un PNB de 201 milliards FCFA (+2,5%) et un résultat net de 83,3 milliards FCFA (+11,7%), porté par une maîtrise des coûts et une collecte de dépôts dynamique (+13,9%). Sur la base de ces tendances, on estime que l'exercice 2026 pourrait voir le PNB dépasser 285 milliards FCFA et le résultat net franchir les 110 milliards FCFA, si la croissance se poursuit. Le rapport annuel 2024 (publié en 2025) confirme la solidité historique : PNB de 263,2 milliards FCFA (+3,9%) et résultat net de 101,2 milliards FCFA (+4,1%), avec une notation AAA, unique sur le marché. La banque est fondamentalement solide, avec des perspectives de croissance soutenues par la digitalisation et les financements structurés.</w:t>
      </w:r>
    </w:p>
    <w:p>
      <w:pPr>
        <w:spacing w:after="120" w:line="276" w:lineRule="auto"/>
      </w:pPr>
      <w:r>
        <w:t>---</w:t>
      </w:r>
    </w:p>
    <w:p>
      <w:pPr>
        <w:spacing w:after="120" w:line="276" w:lineRule="auto"/>
      </w:pPr>
      <w:r>
        <w:t>### PARTIE 4 : CONCLUSION D'INVESTISSEMENT</w:t>
      </w:r>
    </w:p>
    <w:p>
      <w:pPr>
        <w:spacing w:after="120" w:line="276" w:lineRule="auto"/>
      </w:pPr>
      <w:r>
        <w:t>La valorisation de SGBC (PER 11,7x, P/B 2,39x) est correcte, sans décote ni prime excessive, mais l'EV/EBITDA de 24,5x suggère des attentes élevées. Le comportement du cours sur 100 jours (+8,56%) est positif, avec une volatilité modérée (24,7%) et une distribution symétrique, indiquant un titre stable. Les signaux techniques sont partagés : les moyennes mobiles et le MACD sont baissiers, mais le RSI et le Stochastique en zone de survente suggèrent un rebond possible. Les fondamentaux sont excellents, avec une rentabilité élevée (ROE 20,47%), une efficacité opérationnelle remarquable (coefficient d'exploitation 38,75%) et une croissance soutenue du résultat net (+11,7% sur 9 mois 2025). Les prédictions IA pour les 10 prochains jours (37 730 à 37 411 FCFA) indiquent une légère baisse, en ligne avec les signaux techniques baissiers à court terme. En synthèse, la convergence entre des fondamentaux solides et une valorisation raisonnable plaide pour une recommandation **CONSERVER**, avec un biais positif à moyen terme. Le niveau de confiance est **Moyen**, le risque global est **Faible**, et l'horizon d'investissement optimal est le **moyen terme (3-12 mois)**, pour capitaliser sur la croissance des bénéfices et un éventuel rattrapage technique.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5,110 titres</w:t>
            </w:r>
          </w:p>
        </w:tc>
        <w:tc>
          <w:tcPr>
            <w:tcW w:type="dxa" w:w="2268"/>
            <w:shd w:fill="FFF2CC" w:val="clear"/>
          </w:tcPr>
          <w:p>
            <w:r>
              <w:rPr>
                <w:b/>
                <w:color w:val="503200"/>
                <w:sz w:val="16"/>
              </w:rPr>
              <w:t xml:space="preserve">Cours actuel : </w:t>
            </w:r>
            <w:r>
              <w:rPr>
                <w:color w:val="000000"/>
                <w:sz w:val="17"/>
              </w:rPr>
              <w:t>2,325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μ=2,100 FCFA, σ=119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β=0.8938 (Neutre (suit le marché)) — Cov=0.000032, Var(idx)=0.000036, ρ=0.250,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5,110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2,103</w:t>
            </w:r>
          </w:p>
        </w:tc>
        <w:tc>
          <w:tcPr>
            <w:tcW w:type="dxa" w:w="1440"/>
            <w:shd w:fill="FFDCE0" w:val="clear"/>
          </w:tcPr>
          <w:p>
            <w:r>
              <w:rPr>
                <w:b/>
                <w:sz w:val="17"/>
              </w:rPr>
              <w:t>2,178</w:t>
            </w:r>
          </w:p>
        </w:tc>
        <w:tc>
          <w:tcPr>
            <w:tcW w:type="dxa" w:w="1440"/>
            <w:shd w:fill="FFDCE0" w:val="clear"/>
          </w:tcPr>
          <w:p>
            <w:r>
              <w:rPr>
                <w:sz w:val="17"/>
              </w:rPr>
              <w:t>2,252</w:t>
            </w:r>
          </w:p>
        </w:tc>
        <w:tc>
          <w:tcPr>
            <w:tcW w:type="dxa" w:w="1440"/>
            <w:shd w:fill="FFDCE0" w:val="clear"/>
          </w:tcPr>
          <w:p>
            <w:r>
              <w:rPr>
                <w:b/>
                <w:color w:val="C00000"/>
                <w:sz w:val="17"/>
              </w:rPr>
              <w:t>-6.3%</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1,985</w:t>
            </w:r>
          </w:p>
        </w:tc>
        <w:tc>
          <w:tcPr>
            <w:tcW w:type="dxa" w:w="1440"/>
            <w:shd w:fill="FFDCE0" w:val="clear"/>
          </w:tcPr>
          <w:p>
            <w:r>
              <w:rPr>
                <w:b/>
                <w:sz w:val="17"/>
              </w:rPr>
              <w:t>2,087</w:t>
            </w:r>
          </w:p>
        </w:tc>
        <w:tc>
          <w:tcPr>
            <w:tcW w:type="dxa" w:w="1440"/>
            <w:shd w:fill="FFDCE0" w:val="clear"/>
          </w:tcPr>
          <w:p>
            <w:r>
              <w:rPr>
                <w:sz w:val="17"/>
              </w:rPr>
              <w:t>2,188</w:t>
            </w:r>
          </w:p>
        </w:tc>
        <w:tc>
          <w:tcPr>
            <w:tcW w:type="dxa" w:w="1440"/>
            <w:shd w:fill="FFDCE0" w:val="clear"/>
          </w:tcPr>
          <w:p>
            <w:r>
              <w:rPr>
                <w:b/>
                <w:color w:val="C00000"/>
                <w:sz w:val="17"/>
              </w:rPr>
              <w:t>-10.3%</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1,880</w:t>
            </w:r>
          </w:p>
        </w:tc>
        <w:tc>
          <w:tcPr>
            <w:tcW w:type="dxa" w:w="1440"/>
            <w:shd w:fill="FFDCE0" w:val="clear"/>
          </w:tcPr>
          <w:p>
            <w:r>
              <w:rPr>
                <w:b/>
                <w:sz w:val="17"/>
              </w:rPr>
              <w:t>1,999</w:t>
            </w:r>
          </w:p>
        </w:tc>
        <w:tc>
          <w:tcPr>
            <w:tcW w:type="dxa" w:w="1440"/>
            <w:shd w:fill="FFDCE0" w:val="clear"/>
          </w:tcPr>
          <w:p>
            <w:r>
              <w:rPr>
                <w:sz w:val="17"/>
              </w:rPr>
              <w:t>2,118</w:t>
            </w:r>
          </w:p>
        </w:tc>
        <w:tc>
          <w:tcPr>
            <w:tcW w:type="dxa" w:w="1440"/>
            <w:shd w:fill="FFDCE0" w:val="clear"/>
          </w:tcPr>
          <w:p>
            <w:r>
              <w:rPr>
                <w:b/>
                <w:color w:val="C00000"/>
                <w:sz w:val="17"/>
              </w:rPr>
              <w:t>-14.0%</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1,792</w:t>
            </w:r>
          </w:p>
        </w:tc>
        <w:tc>
          <w:tcPr>
            <w:tcW w:type="dxa" w:w="1440"/>
            <w:shd w:fill="FFDCE0" w:val="clear"/>
          </w:tcPr>
          <w:p>
            <w:r>
              <w:rPr>
                <w:b/>
                <w:sz w:val="17"/>
              </w:rPr>
              <w:t>1,924</w:t>
            </w:r>
          </w:p>
        </w:tc>
        <w:tc>
          <w:tcPr>
            <w:tcW w:type="dxa" w:w="1440"/>
            <w:shd w:fill="FFDCE0" w:val="clear"/>
          </w:tcPr>
          <w:p>
            <w:r>
              <w:rPr>
                <w:sz w:val="17"/>
              </w:rPr>
              <w:t>2,056</w:t>
            </w:r>
          </w:p>
        </w:tc>
        <w:tc>
          <w:tcPr>
            <w:tcW w:type="dxa" w:w="1440"/>
            <w:shd w:fill="FFDCE0" w:val="clear"/>
          </w:tcPr>
          <w:p>
            <w:r>
              <w:rPr>
                <w:b/>
                <w:color w:val="C00000"/>
                <w:sz w:val="17"/>
              </w:rPr>
              <w:t>-17.2%</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1,720</w:t>
            </w:r>
          </w:p>
        </w:tc>
        <w:tc>
          <w:tcPr>
            <w:tcW w:type="dxa" w:w="1440"/>
            <w:shd w:fill="FFDCE0" w:val="clear"/>
          </w:tcPr>
          <w:p>
            <w:r>
              <w:rPr>
                <w:b/>
                <w:sz w:val="17"/>
              </w:rPr>
              <w:t>1,862</w:t>
            </w:r>
          </w:p>
        </w:tc>
        <w:tc>
          <w:tcPr>
            <w:tcW w:type="dxa" w:w="1440"/>
            <w:shd w:fill="FFDCE0" w:val="clear"/>
          </w:tcPr>
          <w:p>
            <w:r>
              <w:rPr>
                <w:sz w:val="17"/>
              </w:rPr>
              <w:t>2,005</w:t>
            </w:r>
          </w:p>
        </w:tc>
        <w:tc>
          <w:tcPr>
            <w:tcW w:type="dxa" w:w="1440"/>
            <w:shd w:fill="FFDCE0" w:val="clear"/>
          </w:tcPr>
          <w:p>
            <w:r>
              <w:rPr>
                <w:b/>
                <w:color w:val="C00000"/>
                <w:sz w:val="17"/>
              </w:rPr>
              <w:t>-19.9%</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1,658</w:t>
            </w:r>
          </w:p>
        </w:tc>
        <w:tc>
          <w:tcPr>
            <w:tcW w:type="dxa" w:w="1440"/>
            <w:shd w:fill="FFDCE0" w:val="clear"/>
          </w:tcPr>
          <w:p>
            <w:r>
              <w:rPr>
                <w:b/>
                <w:sz w:val="17"/>
              </w:rPr>
              <w:t>1,811</w:t>
            </w:r>
          </w:p>
        </w:tc>
        <w:tc>
          <w:tcPr>
            <w:tcW w:type="dxa" w:w="1440"/>
            <w:shd w:fill="FFDCE0" w:val="clear"/>
          </w:tcPr>
          <w:p>
            <w:r>
              <w:rPr>
                <w:sz w:val="17"/>
              </w:rPr>
              <w:t>1,963</w:t>
            </w:r>
          </w:p>
        </w:tc>
        <w:tc>
          <w:tcPr>
            <w:tcW w:type="dxa" w:w="1440"/>
            <w:shd w:fill="FFDCE0" w:val="clear"/>
          </w:tcPr>
          <w:p>
            <w:r>
              <w:rPr>
                <w:b/>
                <w:color w:val="C00000"/>
                <w:sz w:val="17"/>
              </w:rPr>
              <w:t>-22.1%</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1,606</w:t>
            </w:r>
          </w:p>
        </w:tc>
        <w:tc>
          <w:tcPr>
            <w:tcW w:type="dxa" w:w="1440"/>
            <w:shd w:fill="FFDCE0" w:val="clear"/>
          </w:tcPr>
          <w:p>
            <w:r>
              <w:rPr>
                <w:b/>
                <w:sz w:val="17"/>
              </w:rPr>
              <w:t>1,766</w:t>
            </w:r>
          </w:p>
        </w:tc>
        <w:tc>
          <w:tcPr>
            <w:tcW w:type="dxa" w:w="1440"/>
            <w:shd w:fill="FFDCE0" w:val="clear"/>
          </w:tcPr>
          <w:p>
            <w:r>
              <w:rPr>
                <w:sz w:val="17"/>
              </w:rPr>
              <w:t>1,926</w:t>
            </w:r>
          </w:p>
        </w:tc>
        <w:tc>
          <w:tcPr>
            <w:tcW w:type="dxa" w:w="1440"/>
            <w:shd w:fill="FFDCE0" w:val="clear"/>
          </w:tcPr>
          <w:p>
            <w:r>
              <w:rPr>
                <w:b/>
                <w:color w:val="C00000"/>
                <w:sz w:val="17"/>
              </w:rPr>
              <w:t>-24.0%</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1,559</w:t>
            </w:r>
          </w:p>
        </w:tc>
        <w:tc>
          <w:tcPr>
            <w:tcW w:type="dxa" w:w="1440"/>
            <w:shd w:fill="FFDCE0" w:val="clear"/>
          </w:tcPr>
          <w:p>
            <w:r>
              <w:rPr>
                <w:b/>
                <w:sz w:val="17"/>
              </w:rPr>
              <w:t>1,727</w:t>
            </w:r>
          </w:p>
        </w:tc>
        <w:tc>
          <w:tcPr>
            <w:tcW w:type="dxa" w:w="1440"/>
            <w:shd w:fill="FFDCE0" w:val="clear"/>
          </w:tcPr>
          <w:p>
            <w:r>
              <w:rPr>
                <w:sz w:val="17"/>
              </w:rPr>
              <w:t>1,894</w:t>
            </w:r>
          </w:p>
        </w:tc>
        <w:tc>
          <w:tcPr>
            <w:tcW w:type="dxa" w:w="1440"/>
            <w:shd w:fill="FFDCE0" w:val="clear"/>
          </w:tcPr>
          <w:p>
            <w:r>
              <w:rPr>
                <w:b/>
                <w:color w:val="C00000"/>
                <w:sz w:val="17"/>
              </w:rPr>
              <w:t>-25.7%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1,517</w:t>
            </w:r>
          </w:p>
        </w:tc>
        <w:tc>
          <w:tcPr>
            <w:tcW w:type="dxa" w:w="1440"/>
            <w:shd w:fill="FFDCE0" w:val="clear"/>
          </w:tcPr>
          <w:p>
            <w:r>
              <w:rPr>
                <w:b/>
                <w:sz w:val="17"/>
              </w:rPr>
              <w:t>1,691</w:t>
            </w:r>
          </w:p>
        </w:tc>
        <w:tc>
          <w:tcPr>
            <w:tcW w:type="dxa" w:w="1440"/>
            <w:shd w:fill="FFDCE0" w:val="clear"/>
          </w:tcPr>
          <w:p>
            <w:r>
              <w:rPr>
                <w:sz w:val="17"/>
              </w:rPr>
              <w:t>1,866</w:t>
            </w:r>
          </w:p>
        </w:tc>
        <w:tc>
          <w:tcPr>
            <w:tcW w:type="dxa" w:w="1440"/>
            <w:shd w:fill="FFDCE0" w:val="clear"/>
          </w:tcPr>
          <w:p>
            <w:r>
              <w:rPr>
                <w:b/>
                <w:color w:val="C00000"/>
                <w:sz w:val="17"/>
              </w:rPr>
              <w:t>-27.2%</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1,479</w:t>
            </w:r>
          </w:p>
        </w:tc>
        <w:tc>
          <w:tcPr>
            <w:tcW w:type="dxa" w:w="1440"/>
            <w:shd w:fill="FFDCE0" w:val="clear"/>
          </w:tcPr>
          <w:p>
            <w:r>
              <w:rPr>
                <w:b/>
                <w:sz w:val="17"/>
              </w:rPr>
              <w:t>1,659</w:t>
            </w:r>
          </w:p>
        </w:tc>
        <w:tc>
          <w:tcPr>
            <w:tcW w:type="dxa" w:w="1440"/>
            <w:shd w:fill="FFDCE0" w:val="clear"/>
          </w:tcPr>
          <w:p>
            <w:r>
              <w:rPr>
                <w:sz w:val="17"/>
              </w:rPr>
              <w:t>1,839</w:t>
            </w:r>
          </w:p>
        </w:tc>
        <w:tc>
          <w:tcPr>
            <w:tcW w:type="dxa" w:w="1440"/>
            <w:shd w:fill="FFDCE0" w:val="clear"/>
          </w:tcPr>
          <w:p>
            <w:r>
              <w:rPr>
                <w:b/>
                <w:color w:val="C00000"/>
                <w:sz w:val="17"/>
              </w:rPr>
              <w:t>-28.6%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146,47 milliards FCFA, un niveau significatif qui positionne le titre parmi les valeurs moyennes de la BRVM. Avec un BPA de 96 FCFA, le PER de 24,3x est nettement supérieur à la moyenne du marché (8-12x), indiquant que les investisseurs paient une prime substantielle pour les bénéfices de l'entreprise, ce qui suggère des attentes de croissance future ou une possible surévaluation. Le P/B de 5,39x confirme cette lecture, le marché valorisant le titre plus de cinq fois sa valeur comptable, une prime exigeante qui reflète la confiance dans la marque Vivo Energy et sa position de leader. Enfin, l'EV/EBITDA de 13,0x se situe dans la fourchette haute (10-15x), indiquant une valorisation élevée par rapport à la capacité opérationnelle de l'entreprise, justifiant une approche prudente.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affiche une variation totale nulle (+0,00%), mais la dernière séance enregistre une hausse spectaculaire de +5,68%, portant le cours à 2 325 FCFA, son plus haut niveau sur la période, contre un plus bas de 1 840 FCFA. La moyenne de 2 100 FCFA est inférieure à la médiane de 2 155 FCFA, indiquant une distribution légèrement asymétrique avec quelques valeurs extrêmes basses. L'écart-type de 119 FCFA (CV=5,7%) révèle une dispersion modérée autour de la moyenne, tandis que le kurtosis de -1,034 (platykurtique) suggère une distribution aplatie avec peu de pics extrêmes, et le skewness de -0,442 confirme une asymétrie négative légère. La volatilité annualisée de 34,2% est élevée (&gt;30%), témoignant d'un titre dynamique avec des fluctuations importantes, caractéristique des valeurs du secteur pétrolier soumises aux variations des prix internationaux et aux décisions réglementaires.</w:t>
      </w:r>
    </w:p>
    <w:p>
      <w:pPr>
        <w:spacing w:after="120" w:line="276" w:lineRule="auto" w:before="240"/>
      </w:pPr>
      <w:r>
        <w:rPr>
          <w:b/>
          <w:color w:val="003366"/>
          <w:sz w:val="24"/>
        </w:rPr>
        <w:t>**PARTIE 2 : ANALYSE TECHNIQUE DÉTAILLÉE**</w:t>
      </w:r>
    </w:p>
    <w:p>
      <w:pPr>
        <w:spacing w:after="120" w:line="276" w:lineRule="auto"/>
      </w:pPr>
      <w:r>
        <w:t>**Moyennes Mobiles** : Les MM20 (2 196,25 FCFA) et MM50 (2 128,7 FCFA) sont toutes deux inférieures au cours actuel de 2 325 FCFA, avec une MM20 au-dessus de la MM50, configuration haussière classique. Le signal d'Achat est justifié par cette structure positive et la dynamique ascendante du titre.</w:t>
      </w:r>
    </w:p>
    <w:p>
      <w:pPr>
        <w:spacing w:after="120" w:line="276" w:lineRule="auto"/>
      </w:pPr>
      <w:r>
        <w:t>**Bandes de Bollinger** : Le cours à 2 325 FCFA dépasse largement la borne supérieure (2 288,47 FCFA), indiquant une extension excessive au-delà de la bande. Cette situation signale une suraccélération du mouvement haussier, justifiant la décision de Vente à court terme, car un retour vers la moyenne est statistiquement probable.</w:t>
      </w:r>
    </w:p>
    <w:p>
      <w:pPr>
        <w:spacing w:after="120" w:line="276" w:lineRule="auto"/>
      </w:pPr>
      <w:r>
        <w:t>**MACD** : La valeur du MACD (24,41) est supérieure à son signal (19,76), avec un écart positif de 4,65 points, confirmant un momentum haussier soutenu. La décision d'Achat est cohérente avec cette dynamique positive, bien que l'écart croissant puisse indiquer une maturité du mouvement.</w:t>
      </w:r>
    </w:p>
    <w:p>
      <w:pPr>
        <w:spacing w:after="120" w:line="276" w:lineRule="auto"/>
      </w:pPr>
      <w:r>
        <w:t>**RSI** : À 60,87, le RSI se situe en zone neutre (30-70), sans signal de surachat ni de survente. Cette valeur indique une pression acheteuse modérée, laissant une marge de progression avant d'atteindre la zone de surachat (&gt;70), d'où une décision Neutre.</w:t>
      </w:r>
    </w:p>
    <w:p>
      <w:pPr>
        <w:spacing w:after="120" w:line="276" w:lineRule="auto"/>
      </w:pPr>
      <w:r>
        <w:t>**Stochastique** : Le %K à 100,0 et le %D à 93,65 sont en zone de surachat extrême (&gt;80), signalant une condition de marché survendue à court terme. La décision de Vente est justifiée par cette configuration, qui précède souvent un repli technique ou une consolidation.</w:t>
      </w:r>
    </w:p>
    <w:p>
      <w:pPr>
        <w:spacing w:after="120" w:line="276" w:lineRule="auto"/>
      </w:pPr>
      <w:r>
        <w:t>**Conclusion technique** : La convergence des indicateurs est contrastée : les MM et le MACD soutiennent une tendance haussière, tandis que les Bandes de Bollinger et le Stochastique signalent une suraccumulation à court terme. Le RSI neutre laisse une incertitude sur la poursuite du mouvement. Globalement, la tendance de fond reste positive, mais un repli technique est probable à très court terme pour absorber la surchauffe.</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(+0,71% vs 2024), un résultat net de 6,028 milliards FCFA (+12,6%), un ROE excellent de 22,2% et un ROA de 3,1%. La marge nette reste faible à 1,0%, typique du secteur de distribution pétrolière, mais en amélioration (0,89% en 2024). Le BFR de 15,315 milliards FCFA est positif, ce qui est défavorable pour une entreprise, avec des délais clients de 23,27 jours et fournisseurs de 35,47 jours, indiquant un besoin de financement du cycle d'exploitation. L'endettement est préoccupant avec une trésorerie nette négative de -65,264 milliards FCFA et une dépendance financière de 85,97%, bien que la capacité de remboursement soit correcte (0,97 an). Les rapports trimestriels 2025 (T1, S1, T3) montrent une progression du résultat net de +45% sur 9 mois, et le T1 2026 enregistre une baisse du CA de -9% mais un résultat net stable (+1%), démontrant une résilience opérationnelle. Le dividende proposé de 1 933 FCFA/action (taux de distribution de 101%) témoigne d'une politique généreuse mais potentiellement fragile. La recommandation fondamentale est CONSERVER, avec une solidité opérationnelle mais une structure financière à surveiller.</w:t>
      </w:r>
    </w:p>
    <w:p>
      <w:pPr>
        <w:spacing w:after="120" w:line="276" w:lineRule="auto" w:before="240"/>
      </w:pPr>
      <w:r>
        <w:rPr>
          <w:b/>
          <w:color w:val="003366"/>
          <w:sz w:val="24"/>
        </w:rPr>
        <w:t>**PARTIE 4 : CONCLUSION D'INVESTISSEMENT**</w:t>
      </w:r>
    </w:p>
    <w:p>
      <w:pPr>
        <w:spacing w:after="120" w:line="276" w:lineRule="auto"/>
      </w:pPr>
      <w:r>
        <w:t>La valorisation de SHEC est exigeante (PER 24,3x, P/B 5,39x, EV/EBITDA 13x), indiquant une surévaluation relative par rapport au marché BRVM, malgré un ROE excellent de 22,2%. Le comportement du cours montre une stabilité sur 100 jours avec une forte volatilité (34,2%) et une dernière séance en hausse de +5,68%, mais les statistiques (kurtosis platykurtique, skewness négatif) suggèrent un profil de risque modéré. Les signaux techniques sont mitigés : les MM et MACD sont haussiers, mais les Bandes de Bollinger et le Stochastique signalent une suraccumulation, préfigurant un repli probable. Les fondamentaux sont solides avec un résultat net en hausse de 13% en 2025 et une résilience au T1 2026, mais la trésorerie nette négative et la politique de distribution excessive (101%) fragilisent la structure financière. Les prédictions IA (2 178 à 1 862 FCFA sur 10 jours) confirment une correction attendue, en cohérence avec les signaux techniques de surachat. La synthèse globale indique une convergence entre la surévaluation, les signaux techniques de surachat et les prédictions baissières, contrebalancée par des fondamentaux opérationnels corrects. **Recommandation : CONSERVER** avec un niveau de confiance Moyen, un risque global Élevé, et un horizon d'investissement optimal à moyen terme (3-12 mois), en attendant une correction du cours pour envisager un renforcement.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9,140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+27.54%</w:t>
            </w:r>
          </w:p>
          <w:p>
            <w:r>
              <w:rPr>
                <w:b/>
                <w:color w:val="503200"/>
                <w:sz w:val="16"/>
              </w:rPr>
              <w:t xml:space="preserve">Plus haut 100j : </w:t>
            </w:r>
            <w:r>
              <w:rPr>
                <w:color w:val="000000"/>
                <w:sz w:val="17"/>
              </w:rPr>
              <w:t>9,100 FCFA</w:t>
            </w:r>
          </w:p>
          <w:p>
            <w:r>
              <w:rPr>
                <w:b/>
                <w:color w:val="503200"/>
                <w:sz w:val="16"/>
              </w:rPr>
              <w:t xml:space="preserve">Plus bas 100j : </w:t>
            </w:r>
            <w:r>
              <w:rPr>
                <w:color w:val="000000"/>
                <w:sz w:val="17"/>
              </w:rPr>
              <w:t>6,800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μ=7,928 FCFA, σ=882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β=0.6134 (Défensif) — Cov=0.000022, Var(idx)=0.000036, ρ=0.215,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8,331</w:t>
            </w:r>
          </w:p>
        </w:tc>
        <w:tc>
          <w:tcPr>
            <w:tcW w:type="dxa" w:w="1440"/>
            <w:shd w:fill="FFDCE0" w:val="clear"/>
          </w:tcPr>
          <w:p>
            <w:r>
              <w:rPr>
                <w:b/>
                <w:sz w:val="17"/>
              </w:rPr>
              <w:t>8,528</w:t>
            </w:r>
          </w:p>
        </w:tc>
        <w:tc>
          <w:tcPr>
            <w:tcW w:type="dxa" w:w="1440"/>
            <w:shd w:fill="FFDCE0" w:val="clear"/>
          </w:tcPr>
          <w:p>
            <w:r>
              <w:rPr>
                <w:sz w:val="17"/>
              </w:rPr>
              <w:t>8,724</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8,001</w:t>
            </w:r>
          </w:p>
        </w:tc>
        <w:tc>
          <w:tcPr>
            <w:tcW w:type="dxa" w:w="1440"/>
            <w:shd w:fill="FFDCE0" w:val="clear"/>
          </w:tcPr>
          <w:p>
            <w:r>
              <w:rPr>
                <w:b/>
                <w:sz w:val="17"/>
              </w:rPr>
              <w:t>8,271</w:t>
            </w:r>
          </w:p>
        </w:tc>
        <w:tc>
          <w:tcPr>
            <w:tcW w:type="dxa" w:w="1440"/>
            <w:shd w:fill="FFDCE0" w:val="clear"/>
          </w:tcPr>
          <w:p>
            <w:r>
              <w:rPr>
                <w:sz w:val="17"/>
              </w:rPr>
              <w:t>8,540</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7,723</w:t>
            </w:r>
          </w:p>
        </w:tc>
        <w:tc>
          <w:tcPr>
            <w:tcW w:type="dxa" w:w="1440"/>
            <w:shd w:fill="FFDCE0" w:val="clear"/>
          </w:tcPr>
          <w:p>
            <w:r>
              <w:rPr>
                <w:b/>
                <w:sz w:val="17"/>
              </w:rPr>
              <w:t>8,044</w:t>
            </w:r>
          </w:p>
        </w:tc>
        <w:tc>
          <w:tcPr>
            <w:tcW w:type="dxa" w:w="1440"/>
            <w:shd w:fill="FFDCE0" w:val="clear"/>
          </w:tcPr>
          <w:p>
            <w:r>
              <w:rPr>
                <w:sz w:val="17"/>
              </w:rPr>
              <w:t>8,364</w:t>
            </w:r>
          </w:p>
        </w:tc>
        <w:tc>
          <w:tcPr>
            <w:tcW w:type="dxa" w:w="1440"/>
            <w:shd w:fill="FFDCE0" w:val="clear"/>
          </w:tcPr>
          <w:p>
            <w:r>
              <w:rPr>
                <w:b/>
                <w:color w:val="C00000"/>
                <w:sz w:val="17"/>
              </w:rPr>
              <w:t>-8.6%</w:t>
            </w:r>
          </w:p>
        </w:tc>
      </w:tr>
      <w:tr>
        <w:tc>
          <w:tcPr>
            <w:tcW w:type="dxa" w:w="1440"/>
            <w:shd w:fill="FFDCE0" w:val="clear"/>
          </w:tcPr>
          <w:p>
            <w:r>
              <w:rPr>
                <w:sz w:val="17"/>
              </w:rPr>
              <w:t>J+4  Moyenne</w:t>
            </w:r>
          </w:p>
        </w:tc>
        <w:tc>
          <w:tcPr>
            <w:tcW w:type="dxa" w:w="1440"/>
            <w:shd w:fill="FFDCE0" w:val="clear"/>
          </w:tcPr>
          <w:p>
            <w:r>
              <w:rPr>
                <w:sz w:val="17"/>
              </w:rPr>
              <w:t>2026-08-10</w:t>
            </w:r>
          </w:p>
        </w:tc>
        <w:tc>
          <w:tcPr>
            <w:tcW w:type="dxa" w:w="1440"/>
            <w:shd w:fill="FFDCE0" w:val="clear"/>
          </w:tcPr>
          <w:p>
            <w:r>
              <w:rPr>
                <w:sz w:val="17"/>
              </w:rPr>
              <w:t>7,488</w:t>
            </w:r>
          </w:p>
        </w:tc>
        <w:tc>
          <w:tcPr>
            <w:tcW w:type="dxa" w:w="1440"/>
            <w:shd w:fill="FFDCE0" w:val="clear"/>
          </w:tcPr>
          <w:p>
            <w:r>
              <w:rPr>
                <w:b/>
                <w:sz w:val="17"/>
              </w:rPr>
              <w:t>7,850</w:t>
            </w:r>
          </w:p>
        </w:tc>
        <w:tc>
          <w:tcPr>
            <w:tcW w:type="dxa" w:w="1440"/>
            <w:shd w:fill="FFDCE0" w:val="clear"/>
          </w:tcPr>
          <w:p>
            <w:r>
              <w:rPr>
                <w:sz w:val="17"/>
              </w:rPr>
              <w:t>8,212</w:t>
            </w:r>
          </w:p>
        </w:tc>
        <w:tc>
          <w:tcPr>
            <w:tcW w:type="dxa" w:w="1440"/>
            <w:shd w:fill="FFDCE0" w:val="clear"/>
          </w:tcPr>
          <w:p>
            <w:r>
              <w:rPr>
                <w:b/>
                <w:color w:val="C00000"/>
                <w:sz w:val="17"/>
              </w:rPr>
              <w:t>-10.8%</w:t>
            </w:r>
          </w:p>
        </w:tc>
      </w:tr>
      <w:tr>
        <w:tc>
          <w:tcPr>
            <w:tcW w:type="dxa" w:w="1440"/>
            <w:shd w:fill="FFDCE0" w:val="clear"/>
          </w:tcPr>
          <w:p>
            <w:r>
              <w:rPr>
                <w:sz w:val="17"/>
              </w:rPr>
              <w:t>J+5  Moyenne</w:t>
            </w:r>
          </w:p>
        </w:tc>
        <w:tc>
          <w:tcPr>
            <w:tcW w:type="dxa" w:w="1440"/>
            <w:shd w:fill="FFDCE0" w:val="clear"/>
          </w:tcPr>
          <w:p>
            <w:r>
              <w:rPr>
                <w:sz w:val="17"/>
              </w:rPr>
              <w:t>2026-08-11</w:t>
            </w:r>
          </w:p>
        </w:tc>
        <w:tc>
          <w:tcPr>
            <w:tcW w:type="dxa" w:w="1440"/>
            <w:shd w:fill="FFDCE0" w:val="clear"/>
          </w:tcPr>
          <w:p>
            <w:r>
              <w:rPr>
                <w:sz w:val="17"/>
              </w:rPr>
              <w:t>7,288</w:t>
            </w:r>
          </w:p>
        </w:tc>
        <w:tc>
          <w:tcPr>
            <w:tcW w:type="dxa" w:w="1440"/>
            <w:shd w:fill="FFDCE0" w:val="clear"/>
          </w:tcPr>
          <w:p>
            <w:r>
              <w:rPr>
                <w:b/>
                <w:sz w:val="17"/>
              </w:rPr>
              <w:t>7,684</w:t>
            </w:r>
          </w:p>
        </w:tc>
        <w:tc>
          <w:tcPr>
            <w:tcW w:type="dxa" w:w="1440"/>
            <w:shd w:fill="FFDCE0" w:val="clear"/>
          </w:tcPr>
          <w:p>
            <w:r>
              <w:rPr>
                <w:sz w:val="17"/>
              </w:rPr>
              <w:t>8,080</w:t>
            </w:r>
          </w:p>
        </w:tc>
        <w:tc>
          <w:tcPr>
            <w:tcW w:type="dxa" w:w="1440"/>
            <w:shd w:fill="FFDCE0" w:val="clear"/>
          </w:tcPr>
          <w:p>
            <w:r>
              <w:rPr>
                <w:b/>
                <w:color w:val="C00000"/>
                <w:sz w:val="17"/>
              </w:rPr>
              <w:t>-12.7%</w:t>
            </w:r>
          </w:p>
        </w:tc>
      </w:tr>
      <w:tr>
        <w:tc>
          <w:tcPr>
            <w:tcW w:type="dxa" w:w="1440"/>
            <w:shd w:fill="FFDCE0" w:val="clear"/>
          </w:tcPr>
          <w:p>
            <w:r>
              <w:rPr>
                <w:sz w:val="17"/>
              </w:rPr>
              <w:t>J+6  Moyenne</w:t>
            </w:r>
          </w:p>
        </w:tc>
        <w:tc>
          <w:tcPr>
            <w:tcW w:type="dxa" w:w="1440"/>
            <w:shd w:fill="FFDCE0" w:val="clear"/>
          </w:tcPr>
          <w:p>
            <w:r>
              <w:rPr>
                <w:sz w:val="17"/>
              </w:rPr>
              <w:t>2026-08-12</w:t>
            </w:r>
          </w:p>
        </w:tc>
        <w:tc>
          <w:tcPr>
            <w:tcW w:type="dxa" w:w="1440"/>
            <w:shd w:fill="FFDCE0" w:val="clear"/>
          </w:tcPr>
          <w:p>
            <w:r>
              <w:rPr>
                <w:sz w:val="17"/>
              </w:rPr>
              <w:t>7,114</w:t>
            </w:r>
          </w:p>
        </w:tc>
        <w:tc>
          <w:tcPr>
            <w:tcW w:type="dxa" w:w="1440"/>
            <w:shd w:fill="FFDCE0" w:val="clear"/>
          </w:tcPr>
          <w:p>
            <w:r>
              <w:rPr>
                <w:b/>
                <w:sz w:val="17"/>
              </w:rPr>
              <w:t>7,539</w:t>
            </w:r>
          </w:p>
        </w:tc>
        <w:tc>
          <w:tcPr>
            <w:tcW w:type="dxa" w:w="1440"/>
            <w:shd w:fill="FFDCE0" w:val="clear"/>
          </w:tcPr>
          <w:p>
            <w:r>
              <w:rPr>
                <w:sz w:val="17"/>
              </w:rPr>
              <w:t>7,965</w:t>
            </w:r>
          </w:p>
        </w:tc>
        <w:tc>
          <w:tcPr>
            <w:tcW w:type="dxa" w:w="1440"/>
            <w:shd w:fill="FFDCE0" w:val="clear"/>
          </w:tcPr>
          <w:p>
            <w:r>
              <w:rPr>
                <w:b/>
                <w:color w:val="C00000"/>
                <w:sz w:val="17"/>
              </w:rPr>
              <w:t>-14.3%</w:t>
            </w:r>
          </w:p>
        </w:tc>
      </w:tr>
      <w:tr>
        <w:tc>
          <w:tcPr>
            <w:tcW w:type="dxa" w:w="1440"/>
            <w:shd w:fill="FFDCE0" w:val="clear"/>
          </w:tcPr>
          <w:p>
            <w:r>
              <w:rPr>
                <w:sz w:val="17"/>
              </w:rPr>
              <w:t>J+7  Moyenne</w:t>
            </w:r>
          </w:p>
        </w:tc>
        <w:tc>
          <w:tcPr>
            <w:tcW w:type="dxa" w:w="1440"/>
            <w:shd w:fill="FFDCE0" w:val="clear"/>
          </w:tcPr>
          <w:p>
            <w:r>
              <w:rPr>
                <w:sz w:val="17"/>
              </w:rPr>
              <w:t>2026-08-13</w:t>
            </w:r>
          </w:p>
        </w:tc>
        <w:tc>
          <w:tcPr>
            <w:tcW w:type="dxa" w:w="1440"/>
            <w:shd w:fill="FFDCE0" w:val="clear"/>
          </w:tcPr>
          <w:p>
            <w:r>
              <w:rPr>
                <w:sz w:val="17"/>
              </w:rPr>
              <w:t>6,959</w:t>
            </w:r>
          </w:p>
        </w:tc>
        <w:tc>
          <w:tcPr>
            <w:tcW w:type="dxa" w:w="1440"/>
            <w:shd w:fill="FFDCE0" w:val="clear"/>
          </w:tcPr>
          <w:p>
            <w:r>
              <w:rPr>
                <w:b/>
                <w:sz w:val="17"/>
              </w:rPr>
              <w:t>7,411</w:t>
            </w:r>
          </w:p>
        </w:tc>
        <w:tc>
          <w:tcPr>
            <w:tcW w:type="dxa" w:w="1440"/>
            <w:shd w:fill="FFDCE0" w:val="clear"/>
          </w:tcPr>
          <w:p>
            <w:r>
              <w:rPr>
                <w:sz w:val="17"/>
              </w:rPr>
              <w:t>7,862</w:t>
            </w:r>
          </w:p>
        </w:tc>
        <w:tc>
          <w:tcPr>
            <w:tcW w:type="dxa" w:w="1440"/>
            <w:shd w:fill="FFDCE0" w:val="clear"/>
          </w:tcPr>
          <w:p>
            <w:r>
              <w:rPr>
                <w:b/>
                <w:color w:val="C00000"/>
                <w:sz w:val="17"/>
              </w:rPr>
              <w:t>-15.8%</w:t>
            </w:r>
          </w:p>
        </w:tc>
      </w:tr>
      <w:tr>
        <w:tc>
          <w:tcPr>
            <w:tcW w:type="dxa" w:w="1440"/>
            <w:shd w:fill="FFDCE0" w:val="clear"/>
          </w:tcPr>
          <w:p>
            <w:r>
              <w:rPr>
                <w:sz w:val="17"/>
              </w:rPr>
              <w:t>J+8  Moyenne</w:t>
            </w:r>
          </w:p>
        </w:tc>
        <w:tc>
          <w:tcPr>
            <w:tcW w:type="dxa" w:w="1440"/>
            <w:shd w:fill="FFDCE0" w:val="clear"/>
          </w:tcPr>
          <w:p>
            <w:r>
              <w:rPr>
                <w:sz w:val="17"/>
              </w:rPr>
              <w:t>2026-08-14</w:t>
            </w:r>
          </w:p>
        </w:tc>
        <w:tc>
          <w:tcPr>
            <w:tcW w:type="dxa" w:w="1440"/>
            <w:shd w:fill="FFDCE0" w:val="clear"/>
          </w:tcPr>
          <w:p>
            <w:r>
              <w:rPr>
                <w:sz w:val="17"/>
              </w:rPr>
              <w:t>6,820</w:t>
            </w:r>
          </w:p>
        </w:tc>
        <w:tc>
          <w:tcPr>
            <w:tcW w:type="dxa" w:w="1440"/>
            <w:shd w:fill="FFDCE0" w:val="clear"/>
          </w:tcPr>
          <w:p>
            <w:r>
              <w:rPr>
                <w:b/>
                <w:sz w:val="17"/>
              </w:rPr>
              <w:t>7,295</w:t>
            </w:r>
          </w:p>
        </w:tc>
        <w:tc>
          <w:tcPr>
            <w:tcW w:type="dxa" w:w="1440"/>
            <w:shd w:fill="FFDCE0" w:val="clear"/>
          </w:tcPr>
          <w:p>
            <w:r>
              <w:rPr>
                <w:sz w:val="17"/>
              </w:rPr>
              <w:t>7,770</w:t>
            </w:r>
          </w:p>
        </w:tc>
        <w:tc>
          <w:tcPr>
            <w:tcW w:type="dxa" w:w="1440"/>
            <w:shd w:fill="FFDCE0" w:val="clear"/>
          </w:tcPr>
          <w:p>
            <w:r>
              <w:rPr>
                <w:b/>
                <w:color w:val="C00000"/>
                <w:sz w:val="17"/>
              </w:rPr>
              <w:t>-17.1%</w:t>
            </w:r>
          </w:p>
        </w:tc>
      </w:tr>
      <w:tr>
        <w:tc>
          <w:tcPr>
            <w:tcW w:type="dxa" w:w="1440"/>
            <w:shd w:fill="FFDCE0" w:val="clear"/>
          </w:tcPr>
          <w:p>
            <w:r>
              <w:rPr>
                <w:sz w:val="17"/>
              </w:rPr>
              <w:t>J+9  Moyenne</w:t>
            </w:r>
          </w:p>
        </w:tc>
        <w:tc>
          <w:tcPr>
            <w:tcW w:type="dxa" w:w="1440"/>
            <w:shd w:fill="FFDCE0" w:val="clear"/>
          </w:tcPr>
          <w:p>
            <w:r>
              <w:rPr>
                <w:sz w:val="17"/>
              </w:rPr>
              <w:t>2026-08-17</w:t>
            </w:r>
          </w:p>
        </w:tc>
        <w:tc>
          <w:tcPr>
            <w:tcW w:type="dxa" w:w="1440"/>
            <w:shd w:fill="FFDCE0" w:val="clear"/>
          </w:tcPr>
          <w:p>
            <w:r>
              <w:rPr>
                <w:sz w:val="17"/>
              </w:rPr>
              <w:t>6,693</w:t>
            </w:r>
          </w:p>
        </w:tc>
        <w:tc>
          <w:tcPr>
            <w:tcW w:type="dxa" w:w="1440"/>
            <w:shd w:fill="FFDCE0" w:val="clear"/>
          </w:tcPr>
          <w:p>
            <w:r>
              <w:rPr>
                <w:b/>
                <w:sz w:val="17"/>
              </w:rPr>
              <w:t>7,189</w:t>
            </w:r>
          </w:p>
        </w:tc>
        <w:tc>
          <w:tcPr>
            <w:tcW w:type="dxa" w:w="1440"/>
            <w:shd w:fill="FFDCE0" w:val="clear"/>
          </w:tcPr>
          <w:p>
            <w:r>
              <w:rPr>
                <w:sz w:val="17"/>
              </w:rPr>
              <w:t>7,686</w:t>
            </w:r>
          </w:p>
        </w:tc>
        <w:tc>
          <w:tcPr>
            <w:tcW w:type="dxa" w:w="1440"/>
            <w:shd w:fill="FFDCE0" w:val="clear"/>
          </w:tcPr>
          <w:p>
            <w:r>
              <w:rPr>
                <w:b/>
                <w:color w:val="C00000"/>
                <w:sz w:val="17"/>
              </w:rPr>
              <w:t>-18.3%</w:t>
            </w:r>
          </w:p>
        </w:tc>
      </w:tr>
      <w:tr>
        <w:tc>
          <w:tcPr>
            <w:tcW w:type="dxa" w:w="1440"/>
            <w:shd w:fill="FFDCE0" w:val="clear"/>
          </w:tcPr>
          <w:p>
            <w:r>
              <w:rPr>
                <w:sz w:val="17"/>
              </w:rPr>
              <w:t>J+10  Moyenne</w:t>
            </w:r>
          </w:p>
        </w:tc>
        <w:tc>
          <w:tcPr>
            <w:tcW w:type="dxa" w:w="1440"/>
            <w:shd w:fill="FFDCE0" w:val="clear"/>
          </w:tcPr>
          <w:p>
            <w:r>
              <w:rPr>
                <w:sz w:val="17"/>
              </w:rPr>
              <w:t>2026-08-18</w:t>
            </w:r>
          </w:p>
        </w:tc>
        <w:tc>
          <w:tcPr>
            <w:tcW w:type="dxa" w:w="1440"/>
            <w:shd w:fill="FFDCE0" w:val="clear"/>
          </w:tcPr>
          <w:p>
            <w:r>
              <w:rPr>
                <w:sz w:val="17"/>
              </w:rPr>
              <w:t>6,576</w:t>
            </w:r>
          </w:p>
        </w:tc>
        <w:tc>
          <w:tcPr>
            <w:tcW w:type="dxa" w:w="1440"/>
            <w:shd w:fill="FFDCE0" w:val="clear"/>
          </w:tcPr>
          <w:p>
            <w:r>
              <w:rPr>
                <w:b/>
                <w:sz w:val="17"/>
              </w:rPr>
              <w:t>7,092</w:t>
            </w:r>
          </w:p>
        </w:tc>
        <w:tc>
          <w:tcPr>
            <w:tcW w:type="dxa" w:w="1440"/>
            <w:shd w:fill="FFDCE0" w:val="clear"/>
          </w:tcPr>
          <w:p>
            <w:r>
              <w:rPr>
                <w:sz w:val="17"/>
              </w:rPr>
              <w:t>7,609</w:t>
            </w:r>
          </w:p>
        </w:tc>
        <w:tc>
          <w:tcPr>
            <w:tcW w:type="dxa" w:w="1440"/>
            <w:shd w:fill="FFDCE0" w:val="clear"/>
          </w:tcPr>
          <w:p>
            <w:r>
              <w:rPr>
                <w:b/>
                <w:color w:val="C00000"/>
                <w:sz w:val="17"/>
              </w:rPr>
              <w:t>-19.4%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 Banque (SIBC) affiche une capitalisation boursière de 880 milliards FCFA, ce qui en fait l'une des valeurs les plus lourdes et les plus liquides de la BRVM, représentant un poids considérable dans l'indice principal. Avec un BPA de 556 FCFA, le titre se négocie à un PER de 15,8x, une valorisation nettement supérieure à la moyenne historique du marché (~8-12x), indiquant que les investisseurs intègrent déjà des perspectives de croissance soutenues et une prime de qualité. Le P/B de 4,30x confirme cette lecture, le marché valorisant fortement les capitaux propres de la banque, bien au-delà de leur valeur comptable, ce qui reflète une excellente rentabilité mais laisse peu de marge de sécurité. Enfin, l'EV/EBITDA de 14,7x, dans le haut de la fourchette jugée élevée (10-15x), suggère que la valeur totale de l'entreprise (dette incluse) est chère par rapport à sa capacité opérationnelle, un niveau qui exige une exécution parfaite du plan stratégique pour se justifier.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SIBC a enregistré une performance remarquable de +27,54%, passant d'un plus bas de 6 800 FCFA à un plus haut de 9 100 FCFA, démontrant une tendance haussière de fond solide. Cependant, la dernière séance affiche un repli de -2,22% à 8 800 FCFA, suggérant une prise de bénéfices après cette forte progression. La moyenne du cours sur la période (7 928 FCFA) est légèrement supérieure à la médiane (7 800 FCFA), indiquant une distribution quasi symétrique, confirmée par un skewness proche de zéro (0,035). L'écart-type de 887 FCFA (CV de 11,2%) révèle une dispersion modérée des prix autour de la moyenne. Le kurtosis négatif (-1,844) signale une distribution platykurtique, c'est-à-dire une absence de mouvements extrêmes ou de "pics" violents, ce qui est rassurant pour la stabilité du titre. Enfin, la volatilité annualisée de 27,1% classe SIBC dans la catégorie des valeurs à volatilité modérée (15-30%), un niveau acceptable pour un titre bancaire de cette envergure.</w:t>
      </w:r>
    </w:p>
    <w:p>
      <w:pPr>
        <w:spacing w:after="120" w:line="276" w:lineRule="auto" w:before="240"/>
      </w:pPr>
      <w:r>
        <w:rPr>
          <w:b/>
          <w:color w:val="003366"/>
          <w:sz w:val="24"/>
        </w:rPr>
        <w:t>**PARTIE 2 : ANALYSE TECHNIQUE DÉTAILLÉE**</w:t>
      </w:r>
    </w:p>
    <w:p>
      <w:pPr>
        <w:spacing w:after="120" w:line="276" w:lineRule="auto"/>
      </w:pPr>
      <w:r>
        <w:t>**Moyennes Mobiles** : Le cours actuel (8 800 FCFA) se positionne sous la MM20 (8 878,25 FCFA) mais au-dessus de la MM50 (8 773,7 FCFA). Cette configuration, où le prix évolue entre les deux moyennes, indique un momentum à court terme en léger ralentissement après la récente poussée, mais la tendance de fond à moyen terme reste positive. La décision d'achat signalée par le système est justifiée par la persistance du cours au-dessus de la MM50, un support dynamique clé.</w:t>
      </w:r>
    </w:p>
    <w:p>
      <w:pPr>
        <w:spacing w:after="120" w:line="276" w:lineRule="auto"/>
      </w:pPr>
      <w:r>
        <w:t>**Bandes de Bollinger** : Le prix se situe à 8 800 FCFA, proche de la borne inférieure (8 606,68 FCFA) et nettement sous la borne supérieure (9 149,82 FCFA). Cette position suggère une correction récente après avoir touché des sommets, avec une volatilité qui se normalise. La décision "Neutre" est cohérente : le titre n'est ni suracheté ni survendu, évoluant dans la partie médiane-basse du canal, ce qui pourrait offrir un point d'entrée si le support des 8 600 FCFA tient.</w:t>
      </w:r>
    </w:p>
    <w:p>
      <w:pPr>
        <w:spacing w:after="120" w:line="276" w:lineRule="auto"/>
      </w:pPr>
      <w:r>
        <w:t>**MACD** : La valeur du MACD (45,488) est inférieure à son signal (65,261), formant une divergence baissière à court terme. Cela indique un affaiblissement du momentum haussier, cohérent avec le repli récent. La décision de "Vente" est un signal de prudence, suggérant que la pression acheteuse s'estompe et qu'une consolidation pourrait se poursuivre avant la prochaine impulsion.</w:t>
      </w:r>
    </w:p>
    <w:p>
      <w:pPr>
        <w:spacing w:after="120" w:line="276" w:lineRule="auto"/>
      </w:pPr>
      <w:r>
        <w:t>**RSI** : À 47,382, le RSI se situe en zone neutre, loin des seuils de surachat (70) ou de survente (30). Cela traduit un équilibre entre acheteurs et vendeurs après le mouvement haussier. La décision "Neutre" est logique, le titre disposant d'une marge de manœuvre dans les deux sens sans signal directionnel fort.</w:t>
      </w:r>
    </w:p>
    <w:p>
      <w:pPr>
        <w:spacing w:after="120" w:line="276" w:lineRule="auto"/>
      </w:pPr>
      <w:r>
        <w:t>**Stochastique** : Le %K (33,333) est sous le %D (40,741), indiquant une dynamique baissière à très court terme. Le croisement de ces lignes vers le bas suggère que le mouvement de correction n'est peut-être pas terminé. La décision "Neutre" reflète toutefois une situation non extrême, le titre n'étant pas en zone de survente.</w:t>
      </w:r>
    </w:p>
    <w:p>
      <w:pPr>
        <w:spacing w:after="120" w:line="276" w:lineRule="auto"/>
      </w:pPr>
      <w:r>
        <w:t>**Conclusion technique** : Les indicateurs sont globalement mitigés. Les moyennes mobiles et les bandes de Bollinger suggèrent une tendance de fond haussière intacte, mais le MACD et le Stochastique pointent vers une correction à court terme. Le RSI neutre confirme une phase de consolidation. L'ensemble plaide pour une patience à l'achat, en attendant un signal de retournement haussier sur les oscillateurs.</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 la SIBC confirment une santé financière exceptionnelle. Le Produit Net Bancaire (PNB) s'établit à 108,663 milliards FCFA, générant un résultat net de 55,623 milliards FCFA, soit une marge nette de 51,19%. La rentabilité des fonds propres (ROE) atteint un niveau remarquable de 27,16%, et le ROA de 2,96%, démontrant une utilisation très efficace des actifs. En tant que banque, le coefficient d'exploitation de 38,59% est excellent (bien sous le seuil de 60%), témoignant d'une maîtrise rigoureuse des charges. Le coût du risque, bien que non détaillé, est en baisse selon les rapports narratifs. La transformation est saine : les dépôts clients (1 503,441 Mds FCFA) financent largement les crédits (1 226,720 Mds FCFA). Les rapports trimestriels confirment cette dynamique : le T3 2025 (cumul 9 mois) affiche un PNB de 81,4 milliards FCFA (+8%) et un résultat net de 43 milliards FCFA (+11%). Le T1 2026 montre une poursuite avec un résultat net de 15,2 milliards FCFA (+11%). Sur la base de ces tendances, on estime que l'exercice 2026 pourrait voir le PNB dépasser 115 milliards FCFA et le résultat net atteindre 60 milliards FCFA, porté par la croissance des dépôts (+9%) et des crédits (+7%). La banque, avec un ratio de solvabilité confortable et un plan stratégique "IMPULSION 2028", présente des fondamentaux robustes et une trajectoire de croissance régulière.</w:t>
      </w:r>
    </w:p>
    <w:p>
      <w:pPr>
        <w:spacing w:after="120" w:line="276" w:lineRule="auto" w:before="240"/>
      </w:pPr>
      <w:r>
        <w:rPr>
          <w:b/>
          <w:color w:val="003366"/>
          <w:sz w:val="24"/>
        </w:rPr>
        <w:t>**PARTIE 4 : CONCLUSION D'INVESTISSEMENT**</w:t>
      </w:r>
    </w:p>
    <w:p>
      <w:pPr>
        <w:spacing w:after="120" w:line="276" w:lineRule="auto"/>
      </w:pPr>
      <w:r>
        <w:t>La synthèse globale fait ressortir un profil contrasté. La valorisation (Partie 0) est exigeante avec un PER de 15,8x et un P/B de 4,3x, laissant peu de marge d'erreur. Le comportement du cours (Partie 1) montre une tendance haussière solide sur 100 jours (+27,5%) mais avec une volatilité modérée et une récente prise de bénéfices. Les signaux techniques (Partie 2) sont divergents : la tendance de fond (MM) reste positive, mais les oscillateurs (MACD, Stochastique) signalent une correction à court terme. En revanche, les fondamentaux (Partie 3) sont excellents : ROE de 27%, coefficient d'exploitation de 38,6%, et une croissance soutenue du résultat net (+11% au T1 2026). Les prédictions IA sur 10 jours (chute de 8 800 à 7 684 FCFA) confirment le scénario de correction technique à court terme. Cette convergence entre la prudence technique et les prédictions IA, contrastant avec la solidité fondamentale, suggère une opportunité d'achat à moyen terme. **Recommandation finale : ACHAT** pour les investisseurs de moyen-long terme, avec un niveau de confiance **Moyen** et un risque global **Moyen**. L'horizon optimal est de **3 à 12 mois**, en profitant d'une éventuelle faiblesse du cours vers les 7 500-7 800 FCFA pour renforcer la position, la qualité de la banque justifiant une prime à long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3.96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92 titres</w:t>
            </w:r>
          </w:p>
        </w:tc>
        <w:tc>
          <w:tcPr>
            <w:tcW w:type="dxa" w:w="2268"/>
            <w:shd w:fill="FFF2CC" w:val="clear"/>
          </w:tcPr>
          <w:p>
            <w:r>
              <w:rPr>
                <w:b/>
                <w:color w:val="503200"/>
                <w:sz w:val="16"/>
              </w:rPr>
              <w:t xml:space="preserve">Cours actuel : </w:t>
            </w:r>
            <w:r>
              <w:rPr>
                <w:color w:val="000000"/>
                <w:sz w:val="17"/>
              </w:rPr>
              <w:t>6,600 FCFA</w:t>
            </w:r>
          </w:p>
          <w:p>
            <w:r>
              <w:rPr>
                <w:b/>
                <w:color w:val="503200"/>
                <w:sz w:val="16"/>
              </w:rPr>
              <w:t xml:space="preserve">Var. 100 jours : </w:t>
            </w:r>
            <w:r>
              <w:rPr>
                <w:b/>
                <w:color w:val="007800"/>
                <w:sz w:val="17"/>
              </w:rPr>
              <w:t>+65.00%</w:t>
            </w:r>
          </w:p>
          <w:p>
            <w:r>
              <w:rPr>
                <w:b/>
                <w:color w:val="503200"/>
                <w:sz w:val="16"/>
              </w:rPr>
              <w:t xml:space="preserve">Plus haut 100j : </w:t>
            </w:r>
            <w:r>
              <w:rPr>
                <w:color w:val="000000"/>
                <w:sz w:val="17"/>
              </w:rPr>
              <w:t>6,600 FCFA</w:t>
            </w:r>
          </w:p>
          <w:p>
            <w:r>
              <w:rPr>
                <w:b/>
                <w:color w:val="503200"/>
                <w:sz w:val="16"/>
              </w:rPr>
              <w:t xml:space="preserve">Plus bas 100j : </w:t>
            </w:r>
            <w:r>
              <w:rPr>
                <w:color w:val="000000"/>
                <w:sz w:val="17"/>
              </w:rPr>
              <w:t>3,710 FCFA</w:t>
            </w:r>
          </w:p>
          <w:p>
            <w:r>
              <w:rPr>
                <w:b/>
                <w:color w:val="503200"/>
                <w:sz w:val="16"/>
              </w:rPr>
              <w:t xml:space="preserve">Volatilité ann. : </w:t>
            </w:r>
            <w:r>
              <w:rPr>
                <w:color w:val="000000"/>
                <w:sz w:val="17"/>
              </w:rPr>
              <w:t>55.1%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13.06% (Moyenne) — μ=4,537 FCFA, σ=593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β=-0.1245 (Contre-cyclique) — Cov=-0.000005, Var(idx)=0.000036, ρ=-0.022,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σ_j=3.47%/j (Modérée) — Vol. annualisée≈55.1%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6,060</w:t>
            </w:r>
          </w:p>
        </w:tc>
        <w:tc>
          <w:tcPr>
            <w:tcW w:type="dxa" w:w="1440"/>
            <w:shd w:fill="FFDCE0" w:val="clear"/>
          </w:tcPr>
          <w:p>
            <w:r>
              <w:rPr>
                <w:b/>
                <w:sz w:val="17"/>
              </w:rPr>
              <w:t>6,466</w:t>
            </w:r>
          </w:p>
        </w:tc>
        <w:tc>
          <w:tcPr>
            <w:tcW w:type="dxa" w:w="1440"/>
            <w:shd w:fill="FFDCE0" w:val="clear"/>
          </w:tcPr>
          <w:p>
            <w:r>
              <w:rPr>
                <w:sz w:val="17"/>
              </w:rPr>
              <w:t>6,873</w:t>
            </w:r>
          </w:p>
        </w:tc>
        <w:tc>
          <w:tcPr>
            <w:tcW w:type="dxa" w:w="1440"/>
            <w:shd w:fill="FFDCE0" w:val="clear"/>
          </w:tcPr>
          <w:p>
            <w:r>
              <w:rPr>
                <w:b/>
                <w:color w:val="C00000"/>
                <w:sz w:val="17"/>
              </w:rPr>
              <w:t>-2.0%</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5,895</w:t>
            </w:r>
          </w:p>
        </w:tc>
        <w:tc>
          <w:tcPr>
            <w:tcW w:type="dxa" w:w="1440"/>
            <w:shd w:fill="FAFAFA" w:val="clear"/>
          </w:tcPr>
          <w:p>
            <w:r>
              <w:rPr>
                <w:b/>
                <w:sz w:val="17"/>
              </w:rPr>
              <w:t>6,470</w:t>
            </w:r>
          </w:p>
        </w:tc>
        <w:tc>
          <w:tcPr>
            <w:tcW w:type="dxa" w:w="1440"/>
            <w:shd w:fill="FAFAFA" w:val="clear"/>
          </w:tcPr>
          <w:p>
            <w:r>
              <w:rPr>
                <w:sz w:val="17"/>
              </w:rPr>
              <w:t>7,045</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5,721</w:t>
            </w:r>
          </w:p>
        </w:tc>
        <w:tc>
          <w:tcPr>
            <w:tcW w:type="dxa" w:w="1440"/>
            <w:shd w:fill="FFDCE0" w:val="clear"/>
          </w:tcPr>
          <w:p>
            <w:r>
              <w:rPr>
                <w:b/>
                <w:sz w:val="17"/>
              </w:rPr>
              <w:t>6,419</w:t>
            </w:r>
          </w:p>
        </w:tc>
        <w:tc>
          <w:tcPr>
            <w:tcW w:type="dxa" w:w="1440"/>
            <w:shd w:fill="FFDCE0" w:val="clear"/>
          </w:tcPr>
          <w:p>
            <w:r>
              <w:rPr>
                <w:sz w:val="17"/>
              </w:rPr>
              <w:t>7,118</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5,554</w:t>
            </w:r>
          </w:p>
        </w:tc>
        <w:tc>
          <w:tcPr>
            <w:tcW w:type="dxa" w:w="1440"/>
            <w:shd w:fill="FFDCE0" w:val="clear"/>
          </w:tcPr>
          <w:p>
            <w:r>
              <w:rPr>
                <w:b/>
                <w:sz w:val="17"/>
              </w:rPr>
              <w:t>6,352</w:t>
            </w:r>
          </w:p>
        </w:tc>
        <w:tc>
          <w:tcPr>
            <w:tcW w:type="dxa" w:w="1440"/>
            <w:shd w:fill="FFDCE0" w:val="clear"/>
          </w:tcPr>
          <w:p>
            <w:r>
              <w:rPr>
                <w:sz w:val="17"/>
              </w:rPr>
              <w:t>7,151</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5,396</w:t>
            </w:r>
          </w:p>
        </w:tc>
        <w:tc>
          <w:tcPr>
            <w:tcW w:type="dxa" w:w="1440"/>
            <w:shd w:fill="FFDCE0" w:val="clear"/>
          </w:tcPr>
          <w:p>
            <w:r>
              <w:rPr>
                <w:b/>
                <w:sz w:val="17"/>
              </w:rPr>
              <w:t>6,278</w:t>
            </w:r>
          </w:p>
        </w:tc>
        <w:tc>
          <w:tcPr>
            <w:tcW w:type="dxa" w:w="1440"/>
            <w:shd w:fill="FFDCE0" w:val="clear"/>
          </w:tcPr>
          <w:p>
            <w:r>
              <w:rPr>
                <w:sz w:val="17"/>
              </w:rPr>
              <w:t>7,160</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5,245</w:t>
            </w:r>
          </w:p>
        </w:tc>
        <w:tc>
          <w:tcPr>
            <w:tcW w:type="dxa" w:w="1440"/>
            <w:shd w:fill="FFDCE0" w:val="clear"/>
          </w:tcPr>
          <w:p>
            <w:r>
              <w:rPr>
                <w:b/>
                <w:sz w:val="17"/>
              </w:rPr>
              <w:t>6,199</w:t>
            </w:r>
          </w:p>
        </w:tc>
        <w:tc>
          <w:tcPr>
            <w:tcW w:type="dxa" w:w="1440"/>
            <w:shd w:fill="FFDCE0" w:val="clear"/>
          </w:tcPr>
          <w:p>
            <w:r>
              <w:rPr>
                <w:sz w:val="17"/>
              </w:rPr>
              <w:t>7,154</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5,102</w:t>
            </w:r>
          </w:p>
        </w:tc>
        <w:tc>
          <w:tcPr>
            <w:tcW w:type="dxa" w:w="1440"/>
            <w:shd w:fill="FFDCE0" w:val="clear"/>
          </w:tcPr>
          <w:p>
            <w:r>
              <w:rPr>
                <w:b/>
                <w:sz w:val="17"/>
              </w:rPr>
              <w:t>6,119</w:t>
            </w:r>
          </w:p>
        </w:tc>
        <w:tc>
          <w:tcPr>
            <w:tcW w:type="dxa" w:w="1440"/>
            <w:shd w:fill="FFDCE0" w:val="clear"/>
          </w:tcPr>
          <w:p>
            <w:r>
              <w:rPr>
                <w:sz w:val="17"/>
              </w:rPr>
              <w:t>7,136</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4,965</w:t>
            </w:r>
          </w:p>
        </w:tc>
        <w:tc>
          <w:tcPr>
            <w:tcW w:type="dxa" w:w="1440"/>
            <w:shd w:fill="FFDCE0" w:val="clear"/>
          </w:tcPr>
          <w:p>
            <w:r>
              <w:rPr>
                <w:b/>
                <w:sz w:val="17"/>
              </w:rPr>
              <w:t>6,038</w:t>
            </w:r>
          </w:p>
        </w:tc>
        <w:tc>
          <w:tcPr>
            <w:tcW w:type="dxa" w:w="1440"/>
            <w:shd w:fill="FFDCE0" w:val="clear"/>
          </w:tcPr>
          <w:p>
            <w:r>
              <w:rPr>
                <w:sz w:val="17"/>
              </w:rPr>
              <w:t>7,112</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4,835</w:t>
            </w:r>
          </w:p>
        </w:tc>
        <w:tc>
          <w:tcPr>
            <w:tcW w:type="dxa" w:w="1440"/>
            <w:shd w:fill="FFDCE0" w:val="clear"/>
          </w:tcPr>
          <w:p>
            <w:r>
              <w:rPr>
                <w:b/>
                <w:sz w:val="17"/>
              </w:rPr>
              <w:t>5,959</w:t>
            </w:r>
          </w:p>
        </w:tc>
        <w:tc>
          <w:tcPr>
            <w:tcW w:type="dxa" w:w="1440"/>
            <w:shd w:fill="FFDCE0" w:val="clear"/>
          </w:tcPr>
          <w:p>
            <w:r>
              <w:rPr>
                <w:sz w:val="17"/>
              </w:rPr>
              <w:t>7,082</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4,712</w:t>
            </w:r>
          </w:p>
        </w:tc>
        <w:tc>
          <w:tcPr>
            <w:tcW w:type="dxa" w:w="1440"/>
            <w:shd w:fill="FFDCE0" w:val="clear"/>
          </w:tcPr>
          <w:p>
            <w:r>
              <w:rPr>
                <w:b/>
                <w:sz w:val="17"/>
              </w:rPr>
              <w:t>5,881</w:t>
            </w:r>
          </w:p>
        </w:tc>
        <w:tc>
          <w:tcPr>
            <w:tcW w:type="dxa" w:w="1440"/>
            <w:shd w:fill="FFDCE0" w:val="clear"/>
          </w:tcPr>
          <w:p>
            <w:r>
              <w:rPr>
                <w:sz w:val="17"/>
              </w:rPr>
              <w:t>7,049</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(Société Ivoirienne de Coco Râpé)**</w:t>
        <w:br/>
        <w:t>**Date de l'analyse : 1er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**3,96 milliards FCFA**, un niveau modeste qui la classe parmi les petites capitalisations de la cote, souvent délaissées par les investisseurs institutionnels mais offrant un potentiel de rendement significatif. Le ratio PER n'est pas calculable en raison de l'absence de données structurées sur le BPA, bien que le résultat net de 2023 (+19,25 millions FCFA) suggère un BPA d'environ 32 FCFA, ce qui impliquerait un PER d'environ 206x, extrêmement élevé par rapport à la moyenne BRVM (8-12x). Le P/B et l'EV/EBITDA ne sont également pas disponibles, faute de données bilantielles récentes dans la base structurée. Cette absence de ratios fiables constitue un frein majeur à une évaluation quantitative précise, renforçant la nécessité d'une approche qualitative basée sur les rapports financiers disponibles.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 enregistré une **hausse spectaculaire de +65%**, passant d'un plus bas de 3 710 FCFA à un plus haut de 6 600 FCFA, avec une accélération notable lors de la dernière séance (+3,12%). Cette tendance haussière marquée s'accompagne de statistiques descriptives révélatrices : la moyenne (4 537 FCFA) est inférieure à la médiane (4 380 FCFA), indiquant une asymétrie positive (skewness de 1,418) où les journées sous la moyenne dominent mais sont compensées par des pics haussiers. Le kurtosis de 1,771 (leptokurtique) confirme un risque de mouvements extrêmes, avec des queues de distribution épaisses. L'écart-type de 596 FCFA (CV=13,1%) montre une dispersion modérée, mais la **volatilité annualisée de 55,1%** classe le titre dans la catégorie à risque élevé, bien au-delà du seuil de 30%. Cette configuration statistique suggère un momentum haussier puissant mais fragile, susceptible de corrections brutales.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(6 600 FCFA) évolue nettement au-dessus de la MM20 (5 508 FCFA) et de la MM50 (4 931 FCFA), confirmant une tendance haussière solide à court et moyen terme. L'écart positif entre les deux moyennes (+577 FCFA) renforce le signal d'achat, indiquant une dynamique de marché positive soutenue par les volumes.</w:t>
      </w:r>
    </w:p>
    <w:p>
      <w:pPr>
        <w:spacing w:after="120" w:line="276" w:lineRule="auto"/>
      </w:pPr>
      <w:r>
        <w:t>**Bandes de Bollinger** : Le prix se situe très légèrement au-dessus de la borne supérieure (6 508 FCFA), signalant une condition de surachat extrême. Cette sortie de bande, couplée à l'élargissement des bandes (écart de 2 000 FCFA), traduit une volatilité accrue et un marché en surchauffe. Le signal de vente généré suggère un risque élevé de retour vers la moyenne.</w:t>
      </w:r>
    </w:p>
    <w:p>
      <w:pPr>
        <w:spacing w:after="120" w:line="276" w:lineRule="auto"/>
      </w:pPr>
      <w:r>
        <w:t>**MACD** : La valeur du MACD (398,7) est nettement supérieure à son signal (295,5), avec un écart positif de 103 points. Cette configuration haussière indique un momentum positif persistant, bien que l'ampleur de l'écart puisse signaler une exubérance excessive à court terme.</w:t>
      </w:r>
    </w:p>
    <w:p>
      <w:pPr>
        <w:spacing w:after="120" w:line="276" w:lineRule="auto"/>
      </w:pPr>
      <w:r>
        <w:t>**RSI** : À 71,3, le RSI entre en zone de surachat (&gt;70), signalant que le titre est techniquement surévalué à court terme. Cette lecture suggère une probabilité accrue de consolidation ou de correction, bien que dans les tendances fortes, le RSI puisse rester suracheté pendant des périodes prolongées.</w:t>
      </w:r>
    </w:p>
    <w:p>
      <w:pPr>
        <w:spacing w:after="120" w:line="276" w:lineRule="auto"/>
      </w:pPr>
      <w:r>
        <w:t>**Stochastique** : Le %K à 100 et le %D à 92,3 confirment une condition de surachat extrême. Le croisement potentiel des deux lignes à ces niveaux élevés pourrait déclencher un signal de vente imminent, indiquant un épuisement possible de la dynamique haussière.</w:t>
      </w:r>
    </w:p>
    <w:p>
      <w:pPr>
        <w:spacing w:after="120" w:line="276" w:lineRule="auto"/>
      </w:pPr>
      <w:r>
        <w:t>**Conclusion technique** : La convergence des indicateurs de surachat (RSI, Stochastique, Bollinger) contraste avec les signaux de tendance positive (MM, MACD). Cette divergence suggère un marché en forte tendance haussière mais arrivant à un point de saturation technique, avec un risque élevé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officiels fournis (datés du 31/12/2024, analysés le 15/03/2026) couvrent les exercices 2022 et 2023. **En 2023**, le chiffre d'affaires s'établit à **701,09 millions FCFA**, en baisse de 38,4% par rapport à 2022 (1 138,17 millions FCFA), mais le résultat net s'améliore nettement à **+19,25 millions FCFA** contre -39,95 millions en 2022, marquant un retour à la profitabilité après deux années de pertes. Cette amélioration résulte d'une réduction drastique des charges (-43,68%), notamment les charges de personnel (-39,24% suite au transfert de 50% des effectifs vers SIPAL). La marge nette de 2,75% reste toutefois inférieure à la moyenne sectorielle (5-10%). **En 2022**, le CA était de 1 138,17 millions FCFA avec une perte nette de -39,95 millions (marge de -3,51%). Les pertes cumulées s'élèvent à 689,86 millions FCFA, empêchant toute distribution de dividende (conformément à l'OHADA). Les risques identifiés incluent les vols de noix de coco, la trésorerie tendue (découverts bancaires multipliés par 14) et la dépendance aux cours mondiaux du coprah. Les perspectives passent par la diversification (noix de coco, tourteaux) et la modernisation des infrastructures. La recommandation des analystes est **CONSERVER avec vigilance**, compte tenu du redressement fragile mais réel.</w:t>
      </w:r>
    </w:p>
    <w:p>
      <w:pPr>
        <w:spacing w:after="120" w:line="276" w:lineRule="auto"/>
      </w:pPr>
      <w:r>
        <w:t>---</w:t>
      </w:r>
    </w:p>
    <w:p>
      <w:pPr>
        <w:spacing w:after="120" w:line="276" w:lineRule="auto"/>
      </w:pPr>
      <w:r>
        <w:t>### PARTIE 4 : CONCLUSION D'INVESTISSEMENT</w:t>
      </w:r>
    </w:p>
    <w:p>
      <w:pPr>
        <w:spacing w:after="120" w:line="276" w:lineRule="auto"/>
      </w:pPr>
      <w:r>
        <w:t>La synthèse globale révèle une situation paradoxale : la valorisation boursière (PER implicite d'environ 206x) suggère une **suropération extrême** par rapport aux fondamentaux, tandis que le comportement du cours (+65% en 100 jours) témoigne d'un momentum spéculatif puissant. Les signaux techniques, bien que majoritairement haussiers (MM, MACD), sont contrebalancés par des conditions de surachat extrême (RSI à 71,3, Stochastique à 100, sortie des bandes de Bollinger), indiquant un risque élevé de correction. Les fondamentaux montrent un redressement réel mais fragile, avec une marge nette de 2,75% en 2023 et des pertes cumulées de 689 millions FCFA. Les prédictions IA (6 466 à 6 278 FCFA sur 10 jours) suggèrent une légère décrue, confirmant le scénario de consolidation. **Recommandation finale : VENTE** à court terme pour les détenteurs existants, avec un niveau de confiance **Moyen** et un risque global **Élevé**. L'horizon d'investissement optimal serait le **moyen terme (3-12 mois)** pour observer la résorption des pertes et la stabilisation du cours, avec un point d'entrée potentiel sous 5 000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6,123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B40000"/>
                <w:sz w:val="17"/>
              </w:rPr>
              <w:t>-18.06%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10.14% (Moyenne) — μ=2,674 FCFA, σ=271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β=-0.0142 (Contre-cyclique) — Cov=-0.000001, Var(idx)=0.000036, ρ=-0.003,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1,922</w:t>
            </w:r>
          </w:p>
        </w:tc>
        <w:tc>
          <w:tcPr>
            <w:tcW w:type="dxa" w:w="1440"/>
            <w:shd w:fill="FFDCE0" w:val="clear"/>
          </w:tcPr>
          <w:p>
            <w:r>
              <w:rPr>
                <w:b/>
                <w:sz w:val="17"/>
              </w:rPr>
              <w:t>2,071</w:t>
            </w:r>
          </w:p>
        </w:tc>
        <w:tc>
          <w:tcPr>
            <w:tcW w:type="dxa" w:w="1440"/>
            <w:shd w:fill="FFDCE0" w:val="clear"/>
          </w:tcPr>
          <w:p>
            <w:r>
              <w:rPr>
                <w:sz w:val="17"/>
              </w:rPr>
              <w:t>2,220</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1,829</w:t>
            </w:r>
          </w:p>
        </w:tc>
        <w:tc>
          <w:tcPr>
            <w:tcW w:type="dxa" w:w="1440"/>
            <w:shd w:fill="FFDCE0" w:val="clear"/>
          </w:tcPr>
          <w:p>
            <w:r>
              <w:rPr>
                <w:b/>
                <w:sz w:val="17"/>
              </w:rPr>
              <w:t>2,037</w:t>
            </w:r>
          </w:p>
        </w:tc>
        <w:tc>
          <w:tcPr>
            <w:tcW w:type="dxa" w:w="1440"/>
            <w:shd w:fill="FFDCE0" w:val="clear"/>
          </w:tcPr>
          <w:p>
            <w:r>
              <w:rPr>
                <w:sz w:val="17"/>
              </w:rPr>
              <w:t>2,245</w:t>
            </w:r>
          </w:p>
        </w:tc>
        <w:tc>
          <w:tcPr>
            <w:tcW w:type="dxa" w:w="1440"/>
            <w:shd w:fill="FFDCE0" w:val="clear"/>
          </w:tcPr>
          <w:p>
            <w:r>
              <w:rPr>
                <w:b/>
                <w:color w:val="C00000"/>
                <w:sz w:val="17"/>
              </w:rPr>
              <w:t>-7.4%</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1,745</w:t>
            </w:r>
          </w:p>
        </w:tc>
        <w:tc>
          <w:tcPr>
            <w:tcW w:type="dxa" w:w="1440"/>
            <w:shd w:fill="FFDCE0" w:val="clear"/>
          </w:tcPr>
          <w:p>
            <w:r>
              <w:rPr>
                <w:b/>
                <w:sz w:val="17"/>
              </w:rPr>
              <w:t>1,994</w:t>
            </w:r>
          </w:p>
        </w:tc>
        <w:tc>
          <w:tcPr>
            <w:tcW w:type="dxa" w:w="1440"/>
            <w:shd w:fill="FFDCE0" w:val="clear"/>
          </w:tcPr>
          <w:p>
            <w:r>
              <w:rPr>
                <w:sz w:val="17"/>
              </w:rPr>
              <w:t>2,244</w:t>
            </w:r>
          </w:p>
        </w:tc>
        <w:tc>
          <w:tcPr>
            <w:tcW w:type="dxa" w:w="1440"/>
            <w:shd w:fill="FFDCE0" w:val="clear"/>
          </w:tcPr>
          <w:p>
            <w:r>
              <w:rPr>
                <w:b/>
                <w:color w:val="C00000"/>
                <w:sz w:val="17"/>
              </w:rPr>
              <w:t>-9.3%</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1,669</w:t>
            </w:r>
          </w:p>
        </w:tc>
        <w:tc>
          <w:tcPr>
            <w:tcW w:type="dxa" w:w="1440"/>
            <w:shd w:fill="FFDCE0" w:val="clear"/>
          </w:tcPr>
          <w:p>
            <w:r>
              <w:rPr>
                <w:b/>
                <w:sz w:val="17"/>
              </w:rPr>
              <w:t>1,951</w:t>
            </w:r>
          </w:p>
        </w:tc>
        <w:tc>
          <w:tcPr>
            <w:tcW w:type="dxa" w:w="1440"/>
            <w:shd w:fill="FFDCE0" w:val="clear"/>
          </w:tcPr>
          <w:p>
            <w:r>
              <w:rPr>
                <w:sz w:val="17"/>
              </w:rPr>
              <w:t>2,232</w:t>
            </w:r>
          </w:p>
        </w:tc>
        <w:tc>
          <w:tcPr>
            <w:tcW w:type="dxa" w:w="1440"/>
            <w:shd w:fill="FFDCE0" w:val="clear"/>
          </w:tcPr>
          <w:p>
            <w:r>
              <w:rPr>
                <w:b/>
                <w:color w:val="C00000"/>
                <w:sz w:val="17"/>
              </w:rPr>
              <w:t>-11.3%</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1,600</w:t>
            </w:r>
          </w:p>
        </w:tc>
        <w:tc>
          <w:tcPr>
            <w:tcW w:type="dxa" w:w="1440"/>
            <w:shd w:fill="FFDCE0" w:val="clear"/>
          </w:tcPr>
          <w:p>
            <w:r>
              <w:rPr>
                <w:b/>
                <w:sz w:val="17"/>
              </w:rPr>
              <w:t>1,908</w:t>
            </w:r>
          </w:p>
        </w:tc>
        <w:tc>
          <w:tcPr>
            <w:tcW w:type="dxa" w:w="1440"/>
            <w:shd w:fill="FFDCE0" w:val="clear"/>
          </w:tcPr>
          <w:p>
            <w:r>
              <w:rPr>
                <w:sz w:val="17"/>
              </w:rPr>
              <w:t>2,216</w:t>
            </w:r>
          </w:p>
        </w:tc>
        <w:tc>
          <w:tcPr>
            <w:tcW w:type="dxa" w:w="1440"/>
            <w:shd w:fill="FFDCE0" w:val="clear"/>
          </w:tcPr>
          <w:p>
            <w:r>
              <w:rPr>
                <w:b/>
                <w:color w:val="C00000"/>
                <w:sz w:val="17"/>
              </w:rPr>
              <w:t>-13.3%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1,537</w:t>
            </w:r>
          </w:p>
        </w:tc>
        <w:tc>
          <w:tcPr>
            <w:tcW w:type="dxa" w:w="1440"/>
            <w:shd w:fill="FFDCE0" w:val="clear"/>
          </w:tcPr>
          <w:p>
            <w:r>
              <w:rPr>
                <w:b/>
                <w:sz w:val="17"/>
              </w:rPr>
              <w:t>1,867</w:t>
            </w:r>
          </w:p>
        </w:tc>
        <w:tc>
          <w:tcPr>
            <w:tcW w:type="dxa" w:w="1440"/>
            <w:shd w:fill="FFDCE0" w:val="clear"/>
          </w:tcPr>
          <w:p>
            <w:r>
              <w:rPr>
                <w:sz w:val="17"/>
              </w:rPr>
              <w:t>2,197</w:t>
            </w:r>
          </w:p>
        </w:tc>
        <w:tc>
          <w:tcPr>
            <w:tcW w:type="dxa" w:w="1440"/>
            <w:shd w:fill="FFDCE0" w:val="clear"/>
          </w:tcPr>
          <w:p>
            <w:r>
              <w:rPr>
                <w:b/>
                <w:color w:val="C00000"/>
                <w:sz w:val="17"/>
              </w:rPr>
              <w:t>-15.1%</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1,478</w:t>
            </w:r>
          </w:p>
        </w:tc>
        <w:tc>
          <w:tcPr>
            <w:tcW w:type="dxa" w:w="1440"/>
            <w:shd w:fill="FFDCE0" w:val="clear"/>
          </w:tcPr>
          <w:p>
            <w:r>
              <w:rPr>
                <w:b/>
                <w:sz w:val="17"/>
              </w:rPr>
              <w:t>1,827</w:t>
            </w:r>
          </w:p>
        </w:tc>
        <w:tc>
          <w:tcPr>
            <w:tcW w:type="dxa" w:w="1440"/>
            <w:shd w:fill="FFDCE0" w:val="clear"/>
          </w:tcPr>
          <w:p>
            <w:r>
              <w:rPr>
                <w:sz w:val="17"/>
              </w:rPr>
              <w:t>2,176</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1,423</w:t>
            </w:r>
          </w:p>
        </w:tc>
        <w:tc>
          <w:tcPr>
            <w:tcW w:type="dxa" w:w="1440"/>
            <w:shd w:fill="FFDCE0" w:val="clear"/>
          </w:tcPr>
          <w:p>
            <w:r>
              <w:rPr>
                <w:b/>
                <w:sz w:val="17"/>
              </w:rPr>
              <w:t>1,788</w:t>
            </w:r>
          </w:p>
        </w:tc>
        <w:tc>
          <w:tcPr>
            <w:tcW w:type="dxa" w:w="1440"/>
            <w:shd w:fill="FFDCE0" w:val="clear"/>
          </w:tcPr>
          <w:p>
            <w:r>
              <w:rPr>
                <w:sz w:val="17"/>
              </w:rPr>
              <w:t>2,153</w:t>
            </w:r>
          </w:p>
        </w:tc>
        <w:tc>
          <w:tcPr>
            <w:tcW w:type="dxa" w:w="1440"/>
            <w:shd w:fill="FFDCE0" w:val="clear"/>
          </w:tcPr>
          <w:p>
            <w:r>
              <w:rPr>
                <w:b/>
                <w:color w:val="C00000"/>
                <w:sz w:val="17"/>
              </w:rPr>
              <w:t>-18.7%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1,372</w:t>
            </w:r>
          </w:p>
        </w:tc>
        <w:tc>
          <w:tcPr>
            <w:tcW w:type="dxa" w:w="1440"/>
            <w:shd w:fill="FFDCE0" w:val="clear"/>
          </w:tcPr>
          <w:p>
            <w:r>
              <w:rPr>
                <w:b/>
                <w:sz w:val="17"/>
              </w:rPr>
              <w:t>1,751</w:t>
            </w:r>
          </w:p>
        </w:tc>
        <w:tc>
          <w:tcPr>
            <w:tcW w:type="dxa" w:w="1440"/>
            <w:shd w:fill="FFDCE0" w:val="clear"/>
          </w:tcPr>
          <w:p>
            <w:r>
              <w:rPr>
                <w:sz w:val="17"/>
              </w:rPr>
              <w:t>2,130</w:t>
            </w:r>
          </w:p>
        </w:tc>
        <w:tc>
          <w:tcPr>
            <w:tcW w:type="dxa" w:w="1440"/>
            <w:shd w:fill="FFDCE0" w:val="clear"/>
          </w:tcPr>
          <w:p>
            <w:r>
              <w:rPr>
                <w:b/>
                <w:color w:val="C00000"/>
                <w:sz w:val="17"/>
              </w:rPr>
              <w:t>-20.4%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1,324</w:t>
            </w:r>
          </w:p>
        </w:tc>
        <w:tc>
          <w:tcPr>
            <w:tcW w:type="dxa" w:w="1440"/>
            <w:shd w:fill="FFDCE0" w:val="clear"/>
          </w:tcPr>
          <w:p>
            <w:r>
              <w:rPr>
                <w:b/>
                <w:sz w:val="17"/>
              </w:rPr>
              <w:t>1,715</w:t>
            </w:r>
          </w:p>
        </w:tc>
        <w:tc>
          <w:tcPr>
            <w:tcW w:type="dxa" w:w="1440"/>
            <w:shd w:fill="FFDCE0" w:val="clear"/>
          </w:tcPr>
          <w:p>
            <w:r>
              <w:rPr>
                <w:sz w:val="17"/>
              </w:rPr>
              <w:t>2,106</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(devenue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19,21 milliards FCFA, un niveau modeste qui la classe parmi les valeurs moyennes de la cote. Avec un BPA de 43 FCFA, le titre se paie sur la base d'un PER de 51,0x, un niveau extrêmement élevé comparé à la moyenne historique de la BRVM (8-12x). Les investisseurs paient donc une prime considérable pour chaque franc de bénéfice, ce qui reflète des attentes de croissance très fortes ou une spéculation importante. De même, le P/B de 5,87x indique que le marché valorise l'actif net de la société plus de cinq fois sa valeur comptable, une décote qui n'existe pas. Enfin, l'EV/EBITDA de 16,3x confirme cette valorisation exigeante, la valeur d'entreprise représentant plus de 16 fois sa capacité opérationnelle. Ces ratios suggèrent une valorisation très généreuse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-18,06%, avec un cours actuel de 2 200 FCFA, en stagnation sur la dernière séance. Le titre a évolué dans une fourchette large de 1 920 FCFA (plus bas) à 3 215 FCFA (plus haut), illustrant une volatilité et une nervosité importantes. La moyenne du cours sur la période est de 2 674 FCFA, tandis que la médiane est plus élevée à 2 780 FCFA. Cet écart, couplé à une asymétrie négative (skewness de -0,863), indique que les fortes baisses ont été plus fréquentes que les fortes hausses, tirant la moyenne vers le bas. L'écart-type de 272 FCFA (CV de 10,2%) montre une dispersion modérée autour de la moyenne. Le kurtosis proche de zéro (-0.074) suggère une distribution des rendements sans extrêmes particuliers. Enfin, la volatilité annualisée de 50,6% classe le titre comme très risqué, bien au-dessus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(2 200 FCFA) est inférieur à la MM20 (2 221,5 FCFA) et nettement sous la MM50 (2 513,8 FCFA). Cette configuration en pente descendante confirme une tendance baissière de moyen terme, justifiant la décision de "Vente".</w:t>
      </w:r>
    </w:p>
    <w:p>
      <w:pPr>
        <w:spacing w:after="120" w:line="276" w:lineRule="auto"/>
      </w:pPr>
      <w:r>
        <w:t>**Bandes de Bollinger** : Le prix se situe à l'intérieur des bandes, entre la borne supérieure (2 493,7 FCFA) et la borne inférieure (1 949,3 FCFA). La position proche de la borne inférieure indique une pression vendeuse persistante, mais sans condition de "survente" extrême. La décision est "Neutre", le marché attendant un signal directionnel plus clair.</w:t>
      </w:r>
    </w:p>
    <w:p>
      <w:pPr>
        <w:spacing w:after="120" w:line="276" w:lineRule="auto"/>
      </w:pPr>
      <w:r>
        <w:t>**MACD** : La valeur MACD (-81,35) est négative mais supérieure à sa ligne de signal (-92,33). Ce croisement haussier, bien que sous la ligne zéro, suggère un ralentissement de la dynamique baissière et un potentiel de rebond technique. La décision est "Achat".</w:t>
      </w:r>
    </w:p>
    <w:p>
      <w:pPr>
        <w:spacing w:after="120" w:line="276" w:lineRule="auto"/>
      </w:pPr>
      <w:r>
        <w:t>**RSI** : Avec une valeur de 39,26, le RSI se situe en zone neutre (entre 30 et 70), indiquant que le titre n'est ni suracheté ni survendu. Il y a de la marge avant d'atteindre la zone de survente (&lt;30), ce qui laisse présager une possible poursuite de la baisse. La décision est "Neutre".</w:t>
      </w:r>
    </w:p>
    <w:p>
      <w:pPr>
        <w:spacing w:after="120" w:line="276" w:lineRule="auto"/>
      </w:pPr>
      <w:r>
        <w:t>**Stochastique** : Le %K (10,81) et le %D (10,36) sont tous deux en zone de survente profonde (&lt;20). Le croisement haussier du %K au-dessus du %D est un signal d'achat précoce, suggérant qu'un rebond technique pourrait se matérialiser à très court terme.</w:t>
      </w:r>
    </w:p>
    <w:p>
      <w:pPr>
        <w:spacing w:after="120" w:line="276" w:lineRule="auto"/>
      </w:pPr>
      <w:r>
        <w:t>**Conclusion technique** : Les signaux sont mitigés. La tendance de fond reste baissière (MM), mais les oscillateurs (MACD, Stochastique) montrent des signes d'épuisement de la vente et un potentiel de rebond technique. Le RSI neutre et les bandes de Bollinger ne confirment pas encore un retournement. Le scénario le plus probable est une phase de consolidation ou un rebond technique de courte durée avant une reprise de la tendance baissière.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en croissance de +9,05%, et un résultat net de 376,96 millions FCFA, soit une marge nette de 4,06%. La rentabilité des fonds propres (ROE) ressort à 11,52%, et le ROA à 2,69%. Cependant, le coefficient d'exploitation est très élevé à 95,83%, signe d'une mauvaise maîtrise des charges. Le coût du risque est également élevé (3,10%), indiquant un risque de crédit significatif. La structure financière est fragile avec une autonomie financière de 23,34% et une liquidité générale de 61,93%. Les rapports de 2025 montrent une amélioration nette : le rapport du 3ème trimestre 2025 (publié fin 2025) fait état d'un chiffre d'affaires cumulé de 7 584,7 millions FCFA (+13%) et d'un résultat net de 832,5 millions FCFA (+58%), soit une marge nette de 11%. Sur la base de ces performances, on estime que l'exercice 2025 pourrait se solder par un résultat net supérieur à 1 milliard FCFA, contre 376 millions en 2024. Le rapport annuel 2025 (daté du 31/12/2025) confirme une hausse du CA à 10,07 milliards FCFA (+8,53%), mais le résultat net chute à 179 millions FCFA (-52,4%), une dégradation majeure de la rentabilité en fin d'année, avec une marge nette retombée à 1,78%. La société a également changé de nom pour devenir ERIUM CI suite à la cession de la participation d'Air Liquide International à ERIUM LTD.</w:t>
      </w:r>
    </w:p>
    <w:p>
      <w:pPr>
        <w:spacing w:after="120" w:line="276" w:lineRule="auto"/>
      </w:pPr>
      <w:r>
        <w:t>---</w:t>
      </w:r>
    </w:p>
    <w:p>
      <w:pPr>
        <w:spacing w:after="120" w:line="276" w:lineRule="auto"/>
      </w:pPr>
      <w:r>
        <w:t>### PARTIE 4 : CONCLUSION D'INVESTISSEMENT</w:t>
      </w:r>
    </w:p>
    <w:p>
      <w:pPr>
        <w:spacing w:after="120" w:line="276" w:lineRule="auto"/>
      </w:pPr>
      <w:r>
        <w:t>La valorisation de SIVC/ERIUM CI est extrêmement exigeante (PER 51x, P/B 5,87x), ce qui est en totale contradiction avec la faiblesse de ses fondamentaux. Le comportement du cours est baissier (-18% sur 100 jours) avec une volatilité très élevée (50,6%). Les signaux techniques sont mitigés, avec une tendance de fond négative mais des indicateurs de retournement à court terme. Les fondamentaux sont préoccupants : après une amélioration trimestrielle en 2025, le résultat net annuel s'est effondré à 179 millions FCFA, démontrant une incapacité à transformer la croissance du chiffre d'affaires en profit durable. Les prédictions IA pour les 10 prochains jours (de 2 071 à 1 908 FCFA) confirment la poursuite de la tendance baissière. La convergence de la valorisation excessive, de la faiblesse des fondamentaux et des prédictions IA négatives l'emporte sur les signaux techniques de rebond. Par conséquent, la recommandation est **VENTE FORTE**, avec un niveau de confiance **Élevé** et un risque global **Élevé**. L'horizon d'investissement optimal est le **court terme (&lt;3 mois)** pour tout investisseur cherchant à réduire son exposition, car la pression vendeuse devrait se maintenir.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620.57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982 titres</w:t>
            </w:r>
          </w:p>
        </w:tc>
        <w:tc>
          <w:tcPr>
            <w:tcW w:type="dxa" w:w="2268"/>
            <w:shd w:fill="FFF2CC" w:val="clear"/>
          </w:tcPr>
          <w:p>
            <w:r>
              <w:rPr>
                <w:b/>
                <w:color w:val="503200"/>
                <w:sz w:val="16"/>
              </w:rPr>
              <w:t xml:space="preserve">Cours actuel : </w:t>
            </w:r>
            <w:r>
              <w:rPr>
                <w:color w:val="000000"/>
                <w:sz w:val="17"/>
              </w:rPr>
              <w:t>37,700 FCFA</w:t>
            </w:r>
          </w:p>
          <w:p>
            <w:r>
              <w:rPr>
                <w:b/>
                <w:color w:val="503200"/>
                <w:sz w:val="16"/>
              </w:rPr>
              <w:t xml:space="preserve">Var. 100 jours : </w:t>
            </w:r>
            <w:r>
              <w:rPr>
                <w:b/>
                <w:color w:val="B40000"/>
                <w:sz w:val="17"/>
              </w:rPr>
              <w:t>-2.08%</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2.43% (Faible) — μ=38,556 FCFA, σ=937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β=0.1245 (Défensif) — Cov=0.000005, Var(idx)=0.000036, ρ=0.041,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982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7289"/>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36,628</w:t>
            </w:r>
          </w:p>
        </w:tc>
        <w:tc>
          <w:tcPr>
            <w:tcW w:type="dxa" w:w="1440"/>
            <w:shd w:fill="FAFAFA" w:val="clear"/>
          </w:tcPr>
          <w:p>
            <w:r>
              <w:rPr>
                <w:b/>
                <w:sz w:val="17"/>
              </w:rPr>
              <w:t>37,963</w:t>
            </w:r>
          </w:p>
        </w:tc>
        <w:tc>
          <w:tcPr>
            <w:tcW w:type="dxa" w:w="1440"/>
            <w:shd w:fill="FAFAFA" w:val="clear"/>
          </w:tcPr>
          <w:p>
            <w:r>
              <w:rPr>
                <w:sz w:val="17"/>
              </w:rPr>
              <w:t>39,299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35,966</w:t>
            </w:r>
          </w:p>
        </w:tc>
        <w:tc>
          <w:tcPr>
            <w:tcW w:type="dxa" w:w="1440"/>
            <w:shd w:fill="FAFAFA" w:val="clear"/>
          </w:tcPr>
          <w:p>
            <w:r>
              <w:rPr>
                <w:b/>
                <w:sz w:val="17"/>
              </w:rPr>
              <w:t>37,849</w:t>
            </w:r>
          </w:p>
        </w:tc>
        <w:tc>
          <w:tcPr>
            <w:tcW w:type="dxa" w:w="1440"/>
            <w:shd w:fill="FAFAFA" w:val="clear"/>
          </w:tcPr>
          <w:p>
            <w:r>
              <w:rPr>
                <w:sz w:val="17"/>
              </w:rPr>
              <w:t>39,732</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2026-08-06</w:t>
            </w:r>
          </w:p>
        </w:tc>
        <w:tc>
          <w:tcPr>
            <w:tcW w:type="dxa" w:w="1440"/>
            <w:shd w:fill="FAFAFA" w:val="clear"/>
          </w:tcPr>
          <w:p>
            <w:r>
              <w:rPr>
                <w:sz w:val="17"/>
              </w:rPr>
              <w:t>35,500</w:t>
            </w:r>
          </w:p>
        </w:tc>
        <w:tc>
          <w:tcPr>
            <w:tcW w:type="dxa" w:w="1440"/>
            <w:shd w:fill="FAFAFA" w:val="clear"/>
          </w:tcPr>
          <w:p>
            <w:r>
              <w:rPr>
                <w:b/>
                <w:sz w:val="17"/>
              </w:rPr>
              <w:t>37,804</w:t>
            </w:r>
          </w:p>
        </w:tc>
        <w:tc>
          <w:tcPr>
            <w:tcW w:type="dxa" w:w="1440"/>
            <w:shd w:fill="FAFAFA" w:val="clear"/>
          </w:tcPr>
          <w:p>
            <w:r>
              <w:rPr>
                <w:sz w:val="17"/>
              </w:rPr>
              <w:t>40,107</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35,115</w:t>
            </w:r>
          </w:p>
        </w:tc>
        <w:tc>
          <w:tcPr>
            <w:tcW w:type="dxa" w:w="1440"/>
            <w:shd w:fill="FAFAFA" w:val="clear"/>
          </w:tcPr>
          <w:p>
            <w:r>
              <w:rPr>
                <w:b/>
                <w:sz w:val="17"/>
              </w:rPr>
              <w:t>37,772</w:t>
            </w:r>
          </w:p>
        </w:tc>
        <w:tc>
          <w:tcPr>
            <w:tcW w:type="dxa" w:w="1440"/>
            <w:shd w:fill="FAFAFA" w:val="clear"/>
          </w:tcPr>
          <w:p>
            <w:r>
              <w:rPr>
                <w:sz w:val="17"/>
              </w:rPr>
              <w:t>40,430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34,774</w:t>
            </w:r>
          </w:p>
        </w:tc>
        <w:tc>
          <w:tcPr>
            <w:tcW w:type="dxa" w:w="1440"/>
            <w:shd w:fill="FAFAFA" w:val="clear"/>
          </w:tcPr>
          <w:p>
            <w:r>
              <w:rPr>
                <w:b/>
                <w:sz w:val="17"/>
              </w:rPr>
              <w:t>37,742</w:t>
            </w:r>
          </w:p>
        </w:tc>
        <w:tc>
          <w:tcPr>
            <w:tcW w:type="dxa" w:w="1440"/>
            <w:shd w:fill="FAFAFA" w:val="clear"/>
          </w:tcPr>
          <w:p>
            <w:r>
              <w:rPr>
                <w:sz w:val="17"/>
              </w:rPr>
              <w:t>40,711</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34,462</w:t>
            </w:r>
          </w:p>
        </w:tc>
        <w:tc>
          <w:tcPr>
            <w:tcW w:type="dxa" w:w="1440"/>
            <w:shd w:fill="FAFAFA" w:val="clear"/>
          </w:tcPr>
          <w:p>
            <w:r>
              <w:rPr>
                <w:b/>
                <w:sz w:val="17"/>
              </w:rPr>
              <w:t>37,712</w:t>
            </w:r>
          </w:p>
        </w:tc>
        <w:tc>
          <w:tcPr>
            <w:tcW w:type="dxa" w:w="1440"/>
            <w:shd w:fill="FAFAFA" w:val="clear"/>
          </w:tcPr>
          <w:p>
            <w:r>
              <w:rPr>
                <w:sz w:val="17"/>
              </w:rPr>
              <w:t>40,961</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34,173</w:t>
            </w:r>
          </w:p>
        </w:tc>
        <w:tc>
          <w:tcPr>
            <w:tcW w:type="dxa" w:w="1440"/>
            <w:shd w:fill="FAFAFA" w:val="clear"/>
          </w:tcPr>
          <w:p>
            <w:r>
              <w:rPr>
                <w:b/>
                <w:sz w:val="17"/>
              </w:rPr>
              <w:t>37,680</w:t>
            </w:r>
          </w:p>
        </w:tc>
        <w:tc>
          <w:tcPr>
            <w:tcW w:type="dxa" w:w="1440"/>
            <w:shd w:fill="FAFAFA" w:val="clear"/>
          </w:tcPr>
          <w:p>
            <w:r>
              <w:rPr>
                <w:sz w:val="17"/>
              </w:rPr>
              <w:t>41,187</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33,902</w:t>
            </w:r>
          </w:p>
        </w:tc>
        <w:tc>
          <w:tcPr>
            <w:tcW w:type="dxa" w:w="1440"/>
            <w:shd w:fill="FAFAFA" w:val="clear"/>
          </w:tcPr>
          <w:p>
            <w:r>
              <w:rPr>
                <w:b/>
                <w:sz w:val="17"/>
              </w:rPr>
              <w:t>37,648</w:t>
            </w:r>
          </w:p>
        </w:tc>
        <w:tc>
          <w:tcPr>
            <w:tcW w:type="dxa" w:w="1440"/>
            <w:shd w:fill="FAFAFA" w:val="clear"/>
          </w:tcPr>
          <w:p>
            <w:r>
              <w:rPr>
                <w:sz w:val="17"/>
              </w:rPr>
              <w:t>41,393</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33,645</w:t>
            </w:r>
          </w:p>
        </w:tc>
        <w:tc>
          <w:tcPr>
            <w:tcW w:type="dxa" w:w="1440"/>
            <w:shd w:fill="FAFAFA" w:val="clear"/>
          </w:tcPr>
          <w:p>
            <w:r>
              <w:rPr>
                <w:b/>
                <w:sz w:val="17"/>
              </w:rPr>
              <w:t>37,615</w:t>
            </w:r>
          </w:p>
        </w:tc>
        <w:tc>
          <w:tcPr>
            <w:tcW w:type="dxa" w:w="1440"/>
            <w:shd w:fill="FAFAFA" w:val="clear"/>
          </w:tcPr>
          <w:p>
            <w:r>
              <w:rPr>
                <w:sz w:val="17"/>
              </w:rPr>
              <w:t>41,584</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2026-08-18</w:t>
            </w:r>
          </w:p>
        </w:tc>
        <w:tc>
          <w:tcPr>
            <w:tcW w:type="dxa" w:w="1440"/>
            <w:shd w:fill="FAFAFA" w:val="clear"/>
          </w:tcPr>
          <w:p>
            <w:r>
              <w:rPr>
                <w:sz w:val="17"/>
              </w:rPr>
              <w:t>33,401</w:t>
            </w:r>
          </w:p>
        </w:tc>
        <w:tc>
          <w:tcPr>
            <w:tcW w:type="dxa" w:w="1440"/>
            <w:shd w:fill="FAFAFA" w:val="clear"/>
          </w:tcPr>
          <w:p>
            <w:r>
              <w:rPr>
                <w:b/>
                <w:sz w:val="17"/>
              </w:rPr>
              <w:t>37,582</w:t>
            </w:r>
          </w:p>
        </w:tc>
        <w:tc>
          <w:tcPr>
            <w:tcW w:type="dxa" w:w="1440"/>
            <w:shd w:fill="FAFAFA" w:val="clear"/>
          </w:tcPr>
          <w:p>
            <w:r>
              <w:rPr>
                <w:sz w:val="17"/>
              </w:rPr>
              <w:t>41,762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620,57 milliards FCFA, ce qui en fait l'une des valeurs les plus significatives de la BRVM, reflétant la position dominante de SOLIBRA dans le secteur des boissons en Afrique de l'Ouest. Avec un BPA de 2 781 FCFA, chaque action génère un bénéfice substantiel, justifiant un PER de 13,6x. Ce ratio est légèrement supérieur à la moyenne historique de la BRVM (8-12x), indiquant que le marché accorde une prime de croissance à l'entreprise, mais reste dans une zone de valorisation raisonnable pour un leader de marché. Le P/B de 3,18x confirme cette prime, le marché valorisant l'actif net de la société bien au-delà de sa valeur comptable, signe de confiance dans la création de valeur future. Enfin, l'EV/EBITDA de 7,4x, situé dans la fourchette basse de la normale (5-10x), suggère que la valeur totale de l'entreprise (capitaux propres + dette nette) reste attractive par rapport à sa capacité opérationnelle à générer des flux de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-2,08%, avec une légère baisse de -0,13% lors de la dernière séance, s'établissant à 37 700 FCFA. Le titre a évolué dans un range de trading de 35 540 FCFA (plus bas) à 41 500 FCFA (plus haut), démontrant une amplitude de fluctuation d'environ 16,8%. La tendance générale sur la période est légèrement baissière, le cours se situant sous sa moyenne sur 100 jours (38 556 FCFA) et sa médiane (38 825 FCFA), indiquant une distribution des prix légèrement asymétrique vers le bas. L'écart-type de 942 FCFA, avec un coefficient de variation de seulement 2,4%, révèle une dispersion très faible des prix autour de la moyenne, signe d'une relative stabilité. Le kurtosis de 0,998 (mésokurtique) indique une distribution proche de la normale, sans risque de pics extrêmes, tandis que le skewness de -0,358 confirme une légère asymétrie négative. La volatilité annualisée de 33,2% classe le titre dans la catégorie des valeurs à volatilité élevée (&gt;30%), ce qui implique des fluctuations de prix potentiellement importantes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(39 212 FCFA) et la MM50 (38 874,9 FCFA) sont toutes deux supérieures au cours actuel de 37 700 FCFA, ce qui indique une tendance baissière à court et moyen terme. Cependant, le signal global est "Achat", suggérant que les moyennes mobiles pourraient agir comme des niveaux de résistance à surveiller. La position du cours sous ces moyennes indique une pression vendeuse, mais la décision d'achat pourrait refléter une anticipation de retournement haussier.</w:t>
      </w:r>
    </w:p>
    <w:p>
      <w:pPr>
        <w:spacing w:after="120" w:line="276" w:lineRule="auto"/>
      </w:pPr>
      <w:r>
        <w:t>**Bandes de Bollinger :** Le cours actuel (37 700 FCFA) se situe près de la borne inférieure (37 273,573 FCFA), indiquant que le titre est dans la partie basse de son canal de volatilité. La décision "Neutre" suggère que le marché n'a pas encore tranché, mais la proximité de la borne inférieure pourrait signaler une zone de support potentielle. La largeur des bandes reflète la volatilité élevée du titre.</w:t>
      </w:r>
    </w:p>
    <w:p>
      <w:pPr>
        <w:spacing w:after="120" w:line="276" w:lineRule="auto"/>
      </w:pPr>
      <w:r>
        <w:t>**MACD :** Le MACD affiche une valeur négative de -217,323, avec un signal à -15,1, indiquant un momentum baissier. La divergence négative entre le MACD et son signal suggère une dynamique de vente en cours. La décision "Vente" est cohérente avec cette configuration, bien que la valeur absolue du MACD soit relativement faible, ce qui pourrait indiquer une faiblesse du mouvement baissier.</w:t>
      </w:r>
    </w:p>
    <w:p>
      <w:pPr>
        <w:spacing w:after="120" w:line="276" w:lineRule="auto"/>
      </w:pPr>
      <w:r>
        <w:t>**RSI :** Le RSI à 42,368 se situe dans la zone neutre (30-70), indiquant que le titre n'est ni suracheté ni survendu. Cette valeur suggère un équilibre relatif entre les forces acheteuses et vendeuses, avec une légère tendance baissière. La décision "Neutre" est appropriée, mais un RSI proche de 40 pourrait indiquer un potentiel de rebond si les conditions de marché s'améliorent.</w:t>
      </w:r>
    </w:p>
    <w:p>
      <w:pPr>
        <w:spacing w:after="120" w:line="276" w:lineRule="auto"/>
      </w:pPr>
      <w:r>
        <w:t>**Stochastique :** Le %K à 2,96 est extrêmement bas, tandis que le %D à 31,712 indique que le titre est en zone de survente. Le croisement potentiel du %K au-dessus du %D pourrait générer un signal d'achat. La décision "Achat" est justifiée par cette configuration de survente, qui précède souvent un rebond technique.</w:t>
      </w:r>
    </w:p>
    <w:p>
      <w:pPr>
        <w:spacing w:after="120" w:line="276" w:lineRule="auto"/>
      </w:pPr>
      <w:r>
        <w:t>**Conclusion technique :** La configuration technique est mitigée, avec des signaux baissiers (MACD, position sous les moyennes mobiles) et des signaux haussiers (Stochastique en survente, proximité de la borne inférieure de Bollinger). Le RSI neutre et les bandes de Bollinger suggèrent une phase de consolidation. Le titre pourrait rebondir à court terme, mais la tendance de fond reste incertaine.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2025 révèlent une performance exceptionnelle pour SLBC. Le chiffre d'affaires s'établit à 378,123 milliards FCFA, en croissance de +22,1% par rapport à 2024 (309,722 milliards FCFA), confirmant la dynamique commerciale soutenue. Le résultat net atteint 45,781 milliards FCFA, contre 21,472 milliards en 2024, soit une progression spectaculaire de +113%. Cette performance se traduit par une marge nette de 12,1% (contre 6,9% en 2024) et un ROE de 23,46%, largement supérieur au seuil d'excellence de 15%, démontrant une utilisation très efficace des capitaux propres (195,142 milliards FCFA). Le ROA de 13,48% confirme la bonne rentabilité des actifs (339,517 milliards FCFA). En tant qu'entreprise non bancaire, l'analyse se concentre sur les délais d'exploitation : le délai clients de 64,27 jours et la durée de stockage de 117,32 jours représentent des risques de trésorerie modérés, mais le délai fournisseurs de 76,82 jours offre un certain équilibre. Le BFR de 61,587 milliards FCFA est positif, ce qui est moins favorable qu'un BFR négatif, mais reste gérable. L'endettement est maîtrisé avec un ratio d'endettement de 42,52% et une capacité de remboursement de 0,67 an. Le rapport du T1 2026 (daté de 2026) indique une croissance du CA de +7,6% à 93,46 milliards FCFA et un résultat net de 16,26 milliards FCFA (+4,8%), ce qui permet d'estimer que l'exercice 2026 devrait poursuivre cette trajectoire positive, bien qu'à un rythme plus modéré que 2025. Les rapports historiques (2023, 2024) montrent une amélioration continue de la rentabilité, passant d'une marge nette de 4,8% en 2023 à 12,1% en 2025. La recommandation fondamentale est "ACHAT", soutenue par la solidité financière, la croissance soutenue et la politique de dividende généreuse (2 127 FCFA par action proposés pour 2025).</w:t>
      </w:r>
    </w:p>
    <w:p>
      <w:pPr>
        <w:spacing w:after="120" w:line="276" w:lineRule="auto"/>
      </w:pPr>
      <w:r>
        <w:t>---</w:t>
      </w:r>
    </w:p>
    <w:p>
      <w:pPr>
        <w:spacing w:after="120" w:line="276" w:lineRule="auto"/>
      </w:pPr>
      <w:r>
        <w:t>### PARTIE 4 : CONCLUSION D'INVESTISSEMENT</w:t>
      </w:r>
    </w:p>
    <w:p>
      <w:pPr>
        <w:spacing w:after="120" w:line="276" w:lineRule="auto"/>
      </w:pPr>
      <w:r>
        <w:t>La synthèse globale des analyses indique une situation contrastée mais globalement positive pour SLBC. La valorisation (Partie 0) avec un PER de 13,6x et un P/B de 3,18x suggère une prime de croissance justifiée par les fondamentaux solides, tandis que l'EV/EBITDA de 7,4x reste raisonnable. Le comportement du cours (Partie 1) montre une légère tendance baissière sur 100 jours avec une volatilité élevée (33,2%), mais une distribution des prix stable (kurtosis mésokurtique) et une asymétrie négative modérée. Les signaux techniques (Partie 2) sont mitigés, avec un MACD vendeur mais un Stochastique en survente suggérant un potentiel de rebond. Les fondamentaux (Partie 3) sont excellents, avec une croissance de +22% du CA, un doublement du résultat net et un ROE de 23,46%, confirmés par les estimations du T1 2026. Les prédictions IA pour les 10 prochains jours (37 742 à 37 963 FCFA) indiquent une stabilisation du cours autour de 37 700-38 000 FCFA, contredisant légèrement les signaux techniques baissiers mais confirmant la solidité du support. Sur la base de cette convergence entre fondamentaux solides et stabilisation technique, la recommandation finale est **ACHAT**, avec un niveau de confiance **Élevé** et un risque global **Moyen**. L'horizon d'investissement optimal est le **moyen terme (3-12 mois)**, permettant de capter la croissance continue et le rendement du dividende tout en attendant une clarification de la tendance technique.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1,213 titres</w:t>
            </w:r>
          </w:p>
        </w:tc>
        <w:tc>
          <w:tcPr>
            <w:tcW w:type="dxa" w:w="2268"/>
            <w:shd w:fill="FFF2CC" w:val="clear"/>
          </w:tcPr>
          <w:p>
            <w:r>
              <w:rPr>
                <w:b/>
                <w:color w:val="503200"/>
                <w:sz w:val="16"/>
              </w:rPr>
              <w:t xml:space="preserve">Cours actuel : </w:t>
            </w:r>
            <w:r>
              <w:rPr>
                <w:color w:val="000000"/>
                <w:sz w:val="17"/>
              </w:rPr>
              <w:t>15,500 FCFA</w:t>
            </w:r>
          </w:p>
          <w:p>
            <w:r>
              <w:rPr>
                <w:b/>
                <w:color w:val="503200"/>
                <w:sz w:val="16"/>
              </w:rPr>
              <w:t xml:space="preserve">Var. 100 jours : </w:t>
            </w:r>
            <w:r>
              <w:rPr>
                <w:b/>
                <w:color w:val="007800"/>
                <w:sz w:val="17"/>
              </w:rPr>
              <w:t>+15.67%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14.61% (Moyenne) — μ=14,053 FCFA, σ=2,053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β=-0.4654 (Contre-cyclique) — Cov=-0.000017, Var(idx)=0.000036, ρ=-0.116,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8728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14,826</w:t>
            </w:r>
          </w:p>
        </w:tc>
        <w:tc>
          <w:tcPr>
            <w:tcW w:type="dxa" w:w="1440"/>
            <w:shd w:fill="FAFAFA" w:val="clear"/>
          </w:tcPr>
          <w:p>
            <w:r>
              <w:rPr>
                <w:b/>
                <w:sz w:val="17"/>
              </w:rPr>
              <w:t>15,480</w:t>
            </w:r>
          </w:p>
        </w:tc>
        <w:tc>
          <w:tcPr>
            <w:tcW w:type="dxa" w:w="1440"/>
            <w:shd w:fill="FAFAFA" w:val="clear"/>
          </w:tcPr>
          <w:p>
            <w:r>
              <w:rPr>
                <w:sz w:val="17"/>
              </w:rPr>
              <w:t>16,134</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14,513</w:t>
            </w:r>
          </w:p>
        </w:tc>
        <w:tc>
          <w:tcPr>
            <w:tcW w:type="dxa" w:w="1440"/>
            <w:shd w:fill="FAFAFA" w:val="clear"/>
          </w:tcPr>
          <w:p>
            <w:r>
              <w:rPr>
                <w:b/>
                <w:sz w:val="17"/>
              </w:rPr>
              <w:t>15,435</w:t>
            </w:r>
          </w:p>
        </w:tc>
        <w:tc>
          <w:tcPr>
            <w:tcW w:type="dxa" w:w="1440"/>
            <w:shd w:fill="FAFAFA" w:val="clear"/>
          </w:tcPr>
          <w:p>
            <w:r>
              <w:rPr>
                <w:sz w:val="17"/>
              </w:rPr>
              <w:t>16,357</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2026-08-06</w:t>
            </w:r>
          </w:p>
        </w:tc>
        <w:tc>
          <w:tcPr>
            <w:tcW w:type="dxa" w:w="1440"/>
            <w:shd w:fill="FAFAFA" w:val="clear"/>
          </w:tcPr>
          <w:p>
            <w:r>
              <w:rPr>
                <w:sz w:val="17"/>
              </w:rPr>
              <w:t>14,266</w:t>
            </w:r>
          </w:p>
        </w:tc>
        <w:tc>
          <w:tcPr>
            <w:tcW w:type="dxa" w:w="1440"/>
            <w:shd w:fill="FAFAFA" w:val="clear"/>
          </w:tcPr>
          <w:p>
            <w:r>
              <w:rPr>
                <w:b/>
                <w:sz w:val="17"/>
              </w:rPr>
              <w:t>15,392</w:t>
            </w:r>
          </w:p>
        </w:tc>
        <w:tc>
          <w:tcPr>
            <w:tcW w:type="dxa" w:w="1440"/>
            <w:shd w:fill="FAFAFA" w:val="clear"/>
          </w:tcPr>
          <w:p>
            <w:r>
              <w:rPr>
                <w:sz w:val="17"/>
              </w:rPr>
              <w:t>16,518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14,050</w:t>
            </w:r>
          </w:p>
        </w:tc>
        <w:tc>
          <w:tcPr>
            <w:tcW w:type="dxa" w:w="1440"/>
            <w:shd w:fill="FAFAFA" w:val="clear"/>
          </w:tcPr>
          <w:p>
            <w:r>
              <w:rPr>
                <w:b/>
                <w:sz w:val="17"/>
              </w:rPr>
              <w:t>15,347</w:t>
            </w:r>
          </w:p>
        </w:tc>
        <w:tc>
          <w:tcPr>
            <w:tcW w:type="dxa" w:w="1440"/>
            <w:shd w:fill="FAFAFA" w:val="clear"/>
          </w:tcPr>
          <w:p>
            <w:r>
              <w:rPr>
                <w:sz w:val="17"/>
              </w:rPr>
              <w:t>16,644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13,857</w:t>
            </w:r>
          </w:p>
        </w:tc>
        <w:tc>
          <w:tcPr>
            <w:tcW w:type="dxa" w:w="1440"/>
            <w:shd w:fill="FAFAFA" w:val="clear"/>
          </w:tcPr>
          <w:p>
            <w:r>
              <w:rPr>
                <w:b/>
                <w:sz w:val="17"/>
              </w:rPr>
              <w:t>15,303</w:t>
            </w:r>
          </w:p>
        </w:tc>
        <w:tc>
          <w:tcPr>
            <w:tcW w:type="dxa" w:w="1440"/>
            <w:shd w:fill="FAFAFA" w:val="clear"/>
          </w:tcPr>
          <w:p>
            <w:r>
              <w:rPr>
                <w:sz w:val="17"/>
              </w:rPr>
              <w:t>16,748</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13,679</w:t>
            </w:r>
          </w:p>
        </w:tc>
        <w:tc>
          <w:tcPr>
            <w:tcW w:type="dxa" w:w="1440"/>
            <w:shd w:fill="FAFAFA" w:val="clear"/>
          </w:tcPr>
          <w:p>
            <w:r>
              <w:rPr>
                <w:b/>
                <w:sz w:val="17"/>
              </w:rPr>
              <w:t>15,258</w:t>
            </w:r>
          </w:p>
        </w:tc>
        <w:tc>
          <w:tcPr>
            <w:tcW w:type="dxa" w:w="1440"/>
            <w:shd w:fill="FAFAFA" w:val="clear"/>
          </w:tcPr>
          <w:p>
            <w:r>
              <w:rPr>
                <w:sz w:val="17"/>
              </w:rPr>
              <w:t>16,837</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13,514</w:t>
            </w:r>
          </w:p>
        </w:tc>
        <w:tc>
          <w:tcPr>
            <w:tcW w:type="dxa" w:w="1440"/>
            <w:shd w:fill="FAFAFA" w:val="clear"/>
          </w:tcPr>
          <w:p>
            <w:r>
              <w:rPr>
                <w:b/>
                <w:sz w:val="17"/>
              </w:rPr>
              <w:t>15,215</w:t>
            </w:r>
          </w:p>
        </w:tc>
        <w:tc>
          <w:tcPr>
            <w:tcW w:type="dxa" w:w="1440"/>
            <w:shd w:fill="FAFAFA" w:val="clear"/>
          </w:tcPr>
          <w:p>
            <w:r>
              <w:rPr>
                <w:sz w:val="17"/>
              </w:rPr>
              <w:t>16,915</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13,359</w:t>
            </w:r>
          </w:p>
        </w:tc>
        <w:tc>
          <w:tcPr>
            <w:tcW w:type="dxa" w:w="1440"/>
            <w:shd w:fill="FFDCE0" w:val="clear"/>
          </w:tcPr>
          <w:p>
            <w:r>
              <w:rPr>
                <w:b/>
                <w:sz w:val="17"/>
              </w:rPr>
              <w:t>15,172</w:t>
            </w:r>
          </w:p>
        </w:tc>
        <w:tc>
          <w:tcPr>
            <w:tcW w:type="dxa" w:w="1440"/>
            <w:shd w:fill="FFDCE0" w:val="clear"/>
          </w:tcPr>
          <w:p>
            <w:r>
              <w:rPr>
                <w:sz w:val="17"/>
              </w:rPr>
              <w:t>16,984</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13,211</w:t>
            </w:r>
          </w:p>
        </w:tc>
        <w:tc>
          <w:tcPr>
            <w:tcW w:type="dxa" w:w="1440"/>
            <w:shd w:fill="FFDCE0" w:val="clear"/>
          </w:tcPr>
          <w:p>
            <w:r>
              <w:rPr>
                <w:b/>
                <w:sz w:val="17"/>
              </w:rPr>
              <w:t>15,129</w:t>
            </w:r>
          </w:p>
        </w:tc>
        <w:tc>
          <w:tcPr>
            <w:tcW w:type="dxa" w:w="1440"/>
            <w:shd w:fill="FFDCE0" w:val="clear"/>
          </w:tcPr>
          <w:p>
            <w:r>
              <w:rPr>
                <w:sz w:val="17"/>
              </w:rPr>
              <w:t>17,046</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13,071</w:t>
            </w:r>
          </w:p>
        </w:tc>
        <w:tc>
          <w:tcPr>
            <w:tcW w:type="dxa" w:w="1440"/>
            <w:shd w:fill="FFDCE0" w:val="clear"/>
          </w:tcPr>
          <w:p>
            <w:r>
              <w:rPr>
                <w:b/>
                <w:sz w:val="17"/>
              </w:rPr>
              <w:t>15,087</w:t>
            </w:r>
          </w:p>
        </w:tc>
        <w:tc>
          <w:tcPr>
            <w:tcW w:type="dxa" w:w="1440"/>
            <w:shd w:fill="FFDCE0" w:val="clear"/>
          </w:tcPr>
          <w:p>
            <w:r>
              <w:rPr>
                <w:sz w:val="17"/>
              </w:rPr>
              <w:t>17,102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120,83 milliards FCFA, un niveau qui la positionne parmi les valeurs moyennes de la cote BRVM. Avec un BPA de 1 677 FCFA, chaque action génère un bénéfice substantiel, ce qui justifie un PER de 9,2x, inférieur à la moyenne du marché (8-12x), suggérant une sous-évaluation relative du titre. Le P/B de 2,82x indique que le marché valorise la société à près de trois fois sa valeur comptable, traduisant une prime de croissance accordée par les investisseurs. Enfin, l'EV/EBITDA de 5,7x, dans la fourchette basse des 5-10x, confirme une valorisation raisonnable de la capacité opérationnelle de l'entreprise, renforçant le potentiel d'appréciation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de +15,67%, avec une variation quasi nulle de +0,03% lors de la dernière séance, suggérant une stabilisation après une période de hausse. Le cours a évolué dans une fourchette large de 11 450 FCFA à 17 735 FCFA, démontrant une forte amplitude de trading. La moyenne de 14 053 FCFA, supérieure à la médiane de 13 355 FCFA, indique une distribution asymétrique avec des extrêmes élevés, confirmée par un skewness positif de 0,322. L'écart-type de 2 063 FCFA (CV de 14,7%) révèle une dispersion modérée, tandis que le kurtosis de -1,386 (platykurtique) suggère l'absence de pics de volatilité extrêmes. La volatilité annualisée de 37,9% classe le titre comme très volatil, nécessitant une gestion prudente du risque.</w:t>
      </w:r>
    </w:p>
    <w:p>
      <w:pPr>
        <w:spacing w:after="120" w:line="276" w:lineRule="auto" w:before="240"/>
      </w:pPr>
      <w:r>
        <w:rPr>
          <w:b/>
          <w:color w:val="003366"/>
          <w:sz w:val="24"/>
        </w:rPr>
        <w:t>**PARTIE 2 : ANALYSE TECHNIQUE DÉTAILLÉE**</w:t>
      </w:r>
    </w:p>
    <w:p>
      <w:pPr>
        <w:spacing w:after="120" w:line="276" w:lineRule="auto"/>
      </w:pPr>
      <w:r>
        <w:t>**Moyennes Mobiles** : Le cours actuel de 15 500 FCFA se situe sous la MM20 (16 278,5 FCFA) et la MM50 (15 800,8 FCFA), indiquant une pression vendeuse à court terme. Cependant, la décision globale est "Achat", suggérant que la tendance de fond reste positive malgré le repli récent.</w:t>
      </w:r>
    </w:p>
    <w:p>
      <w:pPr>
        <w:spacing w:after="120" w:line="276" w:lineRule="auto"/>
      </w:pPr>
      <w:r>
        <w:t>**Bandes de Bollinger** : Le prix évolue près de la borne inférieure (14 886,9 FCFA), à distance de la borne supérieure (17 670,1 FCFA), reflétant une volatilité modérée. La décision "Neutre" indique que le cours n'est ni suracheté ni survendu, mais la proximité de la borne basse pourrait signaler un potentiel rebond.</w:t>
      </w:r>
    </w:p>
    <w:p>
      <w:pPr>
        <w:spacing w:after="120" w:line="276" w:lineRule="auto"/>
      </w:pPr>
      <w:r>
        <w:t>**MACD** : La valeur négative de -109,432 avec un signal à 48,184 montre une divergence baissière, indiquant un momentum négatif. La décision "Vente" suggère que la dynamique haussière s'essouffle, appelant à la prudence à court terme.</w:t>
      </w:r>
    </w:p>
    <w:p>
      <w:pPr>
        <w:spacing w:after="120" w:line="276" w:lineRule="auto"/>
      </w:pPr>
      <w:r>
        <w:t>**RSI** : À 33,108, le RSI se rapproche de la zone de survente (&lt;30), sans y être encore. La décision "Neutre" reflète une pression vendeuse modérée, mais le niveau actuel pourrait attirer des acheteurs opportunistes.</w:t>
      </w:r>
    </w:p>
    <w:p>
      <w:pPr>
        <w:spacing w:after="120" w:line="276" w:lineRule="auto"/>
      </w:pPr>
      <w:r>
        <w:t>**Stochastique** : Le %K (20,962) et le %D (21,484) sont proches et en zone de survente, indiquant un possible retournement haussier. La décision "Neutre" suggère d'attendre un croisement haussier pour confirmer le signal.</w:t>
      </w:r>
    </w:p>
    <w:p>
      <w:pPr>
        <w:spacing w:after="120" w:line="276" w:lineRule="auto"/>
      </w:pPr>
      <w:r>
        <w:t>**Conclusion technique** : Les indicateurs sont partagés entre signaux baissiers (MACD, RSI) et neutres (Bollinger, Stochastique), avec une tendance de fond positive via les moyennes mobiles. La prudence est de mise à court terme, mais le potentiel de rebond technique existe si le cours tient au-dessus de la borne inférieure de Bollinger.</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mais avec un résultat net en forte progression de +50,3% à 13,075 milliards FCFA, porté par une marge nette améliorée à 6,3% et un ROE exceptionnel de 30,47%. La société, non bancaire, présente un BFR négatif de 1,693 milliards FCFA, favorable à la trésorerie, mais des délais clients élevés (193,75 jours) constituent un risque de liquidité. L'endettement reste maîtrisé avec une capacité de remboursement de 0,68 an. Les rapports trimestriels 2025 (T1, S1, 9M) montrent une contraction du CA (-22%, -23%, -14% respectivement) mais une amélioration des marges grâce à un environnement de raffinage favorable. Sur la base du cumul 9M 2025 (résultat net de 5,7 milliards FCFA, +6%), on estime que l'exercice 2025 devrait confirmer la tendance de rentabilité, avec une possible stabilisation du CA au T4. La recommandation fondamentale est positive, soutenue par une gestion opérationnelle exemplaire et une trésorerie solide, malgré les défis de croissance des revenus.</w:t>
      </w:r>
    </w:p>
    <w:p>
      <w:pPr>
        <w:spacing w:after="120" w:line="276" w:lineRule="auto" w:before="240"/>
      </w:pPr>
      <w:r>
        <w:rPr>
          <w:b/>
          <w:color w:val="003366"/>
          <w:sz w:val="24"/>
        </w:rPr>
        <w:t>**PARTIE 4 : CONCLUSION D'INVESTISSEMENT**</w:t>
      </w:r>
    </w:p>
    <w:p>
      <w:pPr>
        <w:spacing w:after="120" w:line="276" w:lineRule="auto"/>
      </w:pPr>
      <w:r>
        <w:t>La valorisation de SMBC (PER 9,2x, P/B 2,82x, EV/EBITDA 5,7x) indique une sous-évaluation relative, renforcée par des fondamentaux solides (ROE 30,5%, trésorerie nette de 24 milliards FCFA). Le comportement du cours sur 100 jours (+15,67%) et la volatilité élevée (37,9%) suggèrent un potentiel de hausse, mais avec des risques de correction. Les signaux techniques sont mitigés, avec un MACD baissier contre des moyennes mobiles positives, nécessitant une confirmation. Les fondamentaux, bien que marqués par une baisse du CA, montrent une amélioration spectaculaire de la rentabilité, soutenue par les rapports trimestriels. Les prédictions IA (15 480 à 15 303 FCFA sur J+1 à J+10) indiquent une légère baisse, contredisant les signaux fondamentaux positifs. En synthèse, la convergence entre valorisation attractive et fondamentaux solides l'emporte sur les signaux techniques mitigés. Recommandation : **ACHAT** avec un niveau de confiance **Moyen**, un risque global **Moyen**, et un horizon d'investissement **moyen terme (3-12 mois)** pour capitaliser sur le potentiel de rebond.</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8,949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+8.01%</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24.0%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3.96% (Faible) — μ=29,183 FCFA, σ=1,155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β=1.0991 (Neutre (suit le marché)) — Cov=0.000040, Var(idx)=0.000036, ρ=0.433,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587289"/>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30,285</w:t>
            </w:r>
          </w:p>
        </w:tc>
        <w:tc>
          <w:tcPr>
            <w:tcW w:type="dxa" w:w="1440"/>
            <w:shd w:fill="FAFAFA" w:val="clear"/>
          </w:tcPr>
          <w:p>
            <w:r>
              <w:rPr>
                <w:b/>
                <w:sz w:val="17"/>
              </w:rPr>
              <w:t>30,960</w:t>
            </w:r>
          </w:p>
        </w:tc>
        <w:tc>
          <w:tcPr>
            <w:tcW w:type="dxa" w:w="1440"/>
            <w:shd w:fill="FAFAFA" w:val="clear"/>
          </w:tcPr>
          <w:p>
            <w:r>
              <w:rPr>
                <w:sz w:val="17"/>
              </w:rPr>
              <w:t>31,635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29,978</w:t>
            </w:r>
          </w:p>
        </w:tc>
        <w:tc>
          <w:tcPr>
            <w:tcW w:type="dxa" w:w="1440"/>
            <w:shd w:fill="FAFAFA" w:val="clear"/>
          </w:tcPr>
          <w:p>
            <w:r>
              <w:rPr>
                <w:b/>
                <w:sz w:val="17"/>
              </w:rPr>
              <w:t>30,933</w:t>
            </w:r>
          </w:p>
        </w:tc>
        <w:tc>
          <w:tcPr>
            <w:tcW w:type="dxa" w:w="1440"/>
            <w:shd w:fill="FAFAFA" w:val="clear"/>
          </w:tcPr>
          <w:p>
            <w:r>
              <w:rPr>
                <w:sz w:val="17"/>
              </w:rPr>
              <w:t>31,887</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29,735</w:t>
            </w:r>
          </w:p>
        </w:tc>
        <w:tc>
          <w:tcPr>
            <w:tcW w:type="dxa" w:w="1440"/>
            <w:shd w:fill="FAFAFA" w:val="clear"/>
          </w:tcPr>
          <w:p>
            <w:r>
              <w:rPr>
                <w:b/>
                <w:sz w:val="17"/>
              </w:rPr>
              <w:t>30,902</w:t>
            </w:r>
          </w:p>
        </w:tc>
        <w:tc>
          <w:tcPr>
            <w:tcW w:type="dxa" w:w="1440"/>
            <w:shd w:fill="FAFAFA" w:val="clear"/>
          </w:tcPr>
          <w:p>
            <w:r>
              <w:rPr>
                <w:sz w:val="17"/>
              </w:rPr>
              <w:t>32,070</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29,525</w:t>
            </w:r>
          </w:p>
        </w:tc>
        <w:tc>
          <w:tcPr>
            <w:tcW w:type="dxa" w:w="1440"/>
            <w:shd w:fill="FAFAFA" w:val="clear"/>
          </w:tcPr>
          <w:p>
            <w:r>
              <w:rPr>
                <w:b/>
                <w:sz w:val="17"/>
              </w:rPr>
              <w:t>30,871</w:t>
            </w:r>
          </w:p>
        </w:tc>
        <w:tc>
          <w:tcPr>
            <w:tcW w:type="dxa" w:w="1440"/>
            <w:shd w:fill="FAFAFA" w:val="clear"/>
          </w:tcPr>
          <w:p>
            <w:r>
              <w:rPr>
                <w:sz w:val="17"/>
              </w:rPr>
              <w:t>32,218</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29,336</w:t>
            </w:r>
          </w:p>
        </w:tc>
        <w:tc>
          <w:tcPr>
            <w:tcW w:type="dxa" w:w="1440"/>
            <w:shd w:fill="FAFAFA" w:val="clear"/>
          </w:tcPr>
          <w:p>
            <w:r>
              <w:rPr>
                <w:b/>
                <w:sz w:val="17"/>
              </w:rPr>
              <w:t>30,840</w:t>
            </w:r>
          </w:p>
        </w:tc>
        <w:tc>
          <w:tcPr>
            <w:tcW w:type="dxa" w:w="1440"/>
            <w:shd w:fill="FAFAFA" w:val="clear"/>
          </w:tcPr>
          <w:p>
            <w:r>
              <w:rPr>
                <w:sz w:val="17"/>
              </w:rPr>
              <w:t>32,344</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29,163</w:t>
            </w:r>
          </w:p>
        </w:tc>
        <w:tc>
          <w:tcPr>
            <w:tcW w:type="dxa" w:w="1440"/>
            <w:shd w:fill="FAFAFA" w:val="clear"/>
          </w:tcPr>
          <w:p>
            <w:r>
              <w:rPr>
                <w:b/>
                <w:sz w:val="17"/>
              </w:rPr>
              <w:t>30,809</w:t>
            </w:r>
          </w:p>
        </w:tc>
        <w:tc>
          <w:tcPr>
            <w:tcW w:type="dxa" w:w="1440"/>
            <w:shd w:fill="FAFAFA" w:val="clear"/>
          </w:tcPr>
          <w:p>
            <w:r>
              <w:rPr>
                <w:sz w:val="17"/>
              </w:rPr>
              <w:t>32,455</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29,002</w:t>
            </w:r>
          </w:p>
        </w:tc>
        <w:tc>
          <w:tcPr>
            <w:tcW w:type="dxa" w:w="1440"/>
            <w:shd w:fill="FAFAFA" w:val="clear"/>
          </w:tcPr>
          <w:p>
            <w:r>
              <w:rPr>
                <w:b/>
                <w:sz w:val="17"/>
              </w:rPr>
              <w:t>30,777</w:t>
            </w:r>
          </w:p>
        </w:tc>
        <w:tc>
          <w:tcPr>
            <w:tcW w:type="dxa" w:w="1440"/>
            <w:shd w:fill="FAFAFA" w:val="clear"/>
          </w:tcPr>
          <w:p>
            <w:r>
              <w:rPr>
                <w:sz w:val="17"/>
              </w:rPr>
              <w:t>32,553</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28,849</w:t>
            </w:r>
          </w:p>
        </w:tc>
        <w:tc>
          <w:tcPr>
            <w:tcW w:type="dxa" w:w="1440"/>
            <w:shd w:fill="FAFAFA" w:val="clear"/>
          </w:tcPr>
          <w:p>
            <w:r>
              <w:rPr>
                <w:b/>
                <w:sz w:val="17"/>
              </w:rPr>
              <w:t>30,746</w:t>
            </w:r>
          </w:p>
        </w:tc>
        <w:tc>
          <w:tcPr>
            <w:tcW w:type="dxa" w:w="1440"/>
            <w:shd w:fill="FAFAFA" w:val="clear"/>
          </w:tcPr>
          <w:p>
            <w:r>
              <w:rPr>
                <w:sz w:val="17"/>
              </w:rPr>
              <w:t>32,643</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28,705</w:t>
            </w:r>
          </w:p>
        </w:tc>
        <w:tc>
          <w:tcPr>
            <w:tcW w:type="dxa" w:w="1440"/>
            <w:shd w:fill="FAFAFA" w:val="clear"/>
          </w:tcPr>
          <w:p>
            <w:r>
              <w:rPr>
                <w:b/>
                <w:sz w:val="17"/>
              </w:rPr>
              <w:t>30,715</w:t>
            </w:r>
          </w:p>
        </w:tc>
        <w:tc>
          <w:tcPr>
            <w:tcW w:type="dxa" w:w="1440"/>
            <w:shd w:fill="FAFAFA" w:val="clear"/>
          </w:tcPr>
          <w:p>
            <w:r>
              <w:rPr>
                <w:sz w:val="17"/>
              </w:rPr>
              <w:t>32,724</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2026-08-18</w:t>
            </w:r>
          </w:p>
        </w:tc>
        <w:tc>
          <w:tcPr>
            <w:tcW w:type="dxa" w:w="1440"/>
            <w:shd w:fill="FAFAFA" w:val="clear"/>
          </w:tcPr>
          <w:p>
            <w:r>
              <w:rPr>
                <w:sz w:val="17"/>
              </w:rPr>
              <w:t>28,568</w:t>
            </w:r>
          </w:p>
        </w:tc>
        <w:tc>
          <w:tcPr>
            <w:tcW w:type="dxa" w:w="1440"/>
            <w:shd w:fill="FAFAFA" w:val="clear"/>
          </w:tcPr>
          <w:p>
            <w:r>
              <w:rPr>
                <w:b/>
                <w:sz w:val="17"/>
              </w:rPr>
              <w:t>30,684</w:t>
            </w:r>
          </w:p>
        </w:tc>
        <w:tc>
          <w:tcPr>
            <w:tcW w:type="dxa" w:w="1440"/>
            <w:shd w:fill="FAFAFA" w:val="clear"/>
          </w:tcPr>
          <w:p>
            <w:r>
              <w:rPr>
                <w:sz w:val="17"/>
              </w:rPr>
              <w:t>32,800</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31 juillet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3 100 milliards FCFA, SNTS s'impose comme une valeur phare et l'une des plus importantes capitalisations de la BRVM, représentant un poids considérable dans l'indice composite. Le BPA de 4 136 FCFA indique que chaque action a généré un bénéfice substantiel sur l'exercice 2025. Le PER de 7,5x est inférieur à la moyenne historique du marché BRVM (8-12x), ce qui suggère que le marché valorise les bénéfices de l'entreprise à un niveau potentiellement sous-évalué, offrant une marge de sécurité pour l'investisseur. Le P/B de 2,22x, bien que supérieur à la valeur comptable, reste dans une fourchette raisonnable (2-4x), indiquant que le marché accorde une prime de croissance justifiée par la forte rentabilité des capitaux propres (ROE &gt; 29%). Enfin, un EV/EBITDA de 3,2x est exceptionnellement bas, signalant que la valeur totale de l'entreprise (dette incluse) est très bon marché par rapport à sa capacité opérationnelle de génération de cash (EBITDA).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affiché une progression solide de +8,01%, avec une dernière séance stable (0,00%). Le cours a évolué dans un range de trading de 27 160 FCFA (plus bas) à 32 500 FCFA (plus haut), démontrant une amplitude de fluctuation d'environ 19,6%. La tendance générale est clairement haussière, le cours se situant à 31 000 FCFA, proche de son plus haut. L'analyse statistique révèle une moyenne de 29 183 FCFA et une médiane de 28 825 FCFA ; l'écart entre ces deux valeurs, avec une moyenne supérieure, confirme l'asymétrie positive (skewness de 1.255) : les journées de hausse ont été plus marquées que les journées de baisse. L'écart-type de 1 161 FCFA (CV=4.0%) indique une dispersion modérée autour de la moyenne. Le kurtosis de 0.505 (mésokurtique) suggère une distribution des rendements proche de la normale, sans risque de "pics" extrêmes. Enfin, la volatilité annualisée de 24,0% classe le titre dans la catégorie "modérée" (15-30%), offrant un équilibre entre potentiel de gain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(31 000 FCFA) est supérieur à la MM20 (31 300,75 FCFA) et à la MM50 (29 697,9 FCFA). La configuration haussière des MM (MM20 &gt; MM50) et le cours au-dessus de la MM50 confirment une dynamique positive à moyen terme. La décision d'**Achat** est justifiée par cette tendance, bien que le cours soit très proche de la MM20, ce qui pourrait indiquer un léger essoufflement à court terme.</w:t>
      </w:r>
    </w:p>
    <w:p>
      <w:pPr>
        <w:spacing w:after="120" w:line="276" w:lineRule="auto"/>
      </w:pPr>
      <w:r>
        <w:t>**Bandes de Bollinger :** Le prix se situe à 31 000 FCFA, entre la borne inférieure (30 148,07 FCFA) et la borne supérieure (32 453,43 FCFA). La position quasi-centrale du prix indique une volatilité modérée et une absence de surachat ou de survente extrême. La décision **Neutre** est cohérente, le marché semblant attendre un catalyseur pour sortir de cette zone de consolidation.</w:t>
      </w:r>
    </w:p>
    <w:p>
      <w:pPr>
        <w:spacing w:after="120" w:line="276" w:lineRule="auto"/>
      </w:pPr>
      <w:r>
        <w:t>**MACD :** La valeur du MACD (390,14) est inférieure à son signal (559,57), ce qui constitue un croisement baissier à court terme. Ce signal de **Vente** indique un ralentissement du momentum haussier, même si les deux lignes restent au-dessus de zéro, ce qui nuance la faiblesse et suggère une simple correction au sein d'une tendance haussière plus large.</w:t>
      </w:r>
    </w:p>
    <w:p>
      <w:pPr>
        <w:spacing w:after="120" w:line="276" w:lineRule="auto"/>
      </w:pPr>
      <w:r>
        <w:t>**RSI :** Le RSI s'établit à 41,84, une valeur située dans la zone neutre (30-70). Cela indique que le titre n'est ni suracheté ni survendu, laissant de la place pour un mouvement dans les deux sens. La décision **Neutre** est appropriée, le momentum n'étant pas directionnel pour le moment.</w:t>
      </w:r>
    </w:p>
    <w:p>
      <w:pPr>
        <w:spacing w:after="120" w:line="276" w:lineRule="auto"/>
      </w:pPr>
      <w:r>
        <w:t>**Stochastique :** Le %K (0,0) est extrêmement bas et inférieur au %D (2,08), ce qui place le titre en situation de survente très prononcée. Ce croisement baissier, couplé à des niveaux aussi bas, suggère un potentiel de rebond technique imminent. La décision d'**Achat** est justifiée par cette opportunité de retournement haussier.</w:t>
      </w:r>
    </w:p>
    <w:p>
      <w:pPr>
        <w:spacing w:after="120" w:line="276" w:lineRule="auto"/>
      </w:pPr>
      <w:r>
        <w:t>**Conclusion technique :** Les indicateurs sont mitigés. Les moyennes mobiles plaident pour une tendance haussière de fond, tandis que le MACD et le RSI indiquent une consolidation ou un léger repli à court terme. Cependant, le Stochastique en survente extrême suggère un fort potentiel de rebond. La configuration globale est donc celle d'une **consolidation haussière**, avec un biais positif à moyen terme et une opportunité d'achat à court terme pour les investisseurs opportunistes.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confirment la solidité du modèle économique de SNTS. Le chiffre d'affaires consolidé s'établit à 1 923,1 milliards FCFA, en croissance de +8,3%, avec un résultat net de 413,6 milliards FCFA (+5,1%). La rentabilité est excellente avec un ROE de 29,6% et un ROA de 12,6%, démontrant une utilisation très efficace des capitaux propres et des actifs. En tant qu'entreprise non bancaire, l'analyse du BFR est cruciale : le BFR négatif de -284,9 milliards FCFA est un signal très favorable, indiquant que l'entreprise finance son cycle d'exploitation grâce aux délais de paiement de ses fournisseurs (201 jours) qui excèdent largement ses délais clients (46 jours). La structure financière est saine avec une autonomie financière de 42,8% et une solvabilité générale de 174,8%. **Les rapports trimestriels de 2025** confirment cette dynamique : le T1 2025 montrait une croissance du résultat net de +14,9%, le S1 2025 une hausse du CA de +9,4% et une marge d'EBITDAaL de 47,7%, et le T3 2025 un CA en hausse de +8,6%. **En se basant sur ces tendances**, on estime que l'exercice 2026 devrait poursuivre cette trajectoire de croissance, avec un potentiel de dépassement des performances 2025. Le dividende proposé de 1 740 FCFA net par action (payable en mai 2026) offre un rendement attractif. Les risques identifiés dans les rapports (pression fiscale, concurrence) sont réels mais maîtrisés. La recommandation fondamentale est **ACHAT FORT**, basée sur une croissance soutenue, des marges élevées et une génération de cash-flow opérationnel massive (681,6 milliards FCFA).</w:t>
      </w:r>
    </w:p>
    <w:p>
      <w:pPr>
        <w:spacing w:after="120" w:line="276" w:lineRule="auto"/>
      </w:pPr>
      <w:r>
        <w:t>---</w:t>
      </w:r>
    </w:p>
    <w:p>
      <w:pPr>
        <w:spacing w:after="120" w:line="276" w:lineRule="auto"/>
      </w:pPr>
      <w:r>
        <w:t>### PARTIE 4 : CONCLUSION D'INVESTISSEMENT</w:t>
      </w:r>
    </w:p>
    <w:p>
      <w:pPr>
        <w:spacing w:after="120" w:line="276" w:lineRule="auto"/>
      </w:pPr>
      <w:r>
        <w:t>La synthèse globale des analyses converge vers une opinion très positive sur le titre SNTS. La **valorisation** (Partie 0) est attrayante avec un PER de 7,5x et un EV/EBITDA de 3,2x, indiquant une sous-évaluation relative. Le **comportement du cours** (Partie 1) montre une tendance haussière solide avec une volatilité modérée et une distribution statistique saine. Les **signaux techniques** (Partie 2), bien que mitigés à court terme, suggèrent une consolidation avant une reprise, avec un Stochastique en survente extrême. Les **fondamentaux** (Partie 3) sont excellents, avec une croissance rentable, un bilan solide et un BFR négatif favorable. Enfin, les **prédictions IA** pour les 10 prochains jours (30960 à 30840 FCFA) indiquent une légère consolidation à court terme, ce qui pourrait représenter un point d'entrée optimal, sans contredire la tendance haussière de fond. La convergence de ces signaux justifie une recommandation finale **ACHAT FORT**, avec un niveau de confiance **Élevé** et un risque global **Faible**. L'horizon d'investissement optimal est le **moyen terme (3-12 mois)**, pour bénéficier de la croissance des résultats et de l'appréciation du cours, tout en profitant du rendement du dividende.</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181.46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4,263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B40000"/>
                <w:sz w:val="17"/>
              </w:rPr>
              <w:t>-3.56%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5.61% (Moyenne) — μ=8,060 FCFA, σ=452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β=0.8996 (Neutre (suit le marché)) — Cov=0.000033, Var(idx)=0.000036, ρ=0.246,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8,150</w:t>
            </w:r>
          </w:p>
        </w:tc>
        <w:tc>
          <w:tcPr>
            <w:tcW w:type="dxa" w:w="1440"/>
            <w:shd w:fill="FAFAFA" w:val="clear"/>
          </w:tcPr>
          <w:p>
            <w:r>
              <w:rPr>
                <w:b/>
                <w:sz w:val="17"/>
              </w:rPr>
              <w:t>8,355</w:t>
            </w:r>
          </w:p>
        </w:tc>
        <w:tc>
          <w:tcPr>
            <w:tcW w:type="dxa" w:w="1440"/>
            <w:shd w:fill="FAFAFA" w:val="clear"/>
          </w:tcPr>
          <w:p>
            <w:r>
              <w:rPr>
                <w:sz w:val="17"/>
              </w:rPr>
              <w:t>8,560</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8,077</w:t>
            </w:r>
          </w:p>
        </w:tc>
        <w:tc>
          <w:tcPr>
            <w:tcW w:type="dxa" w:w="1440"/>
            <w:shd w:fill="FAFAFA" w:val="clear"/>
          </w:tcPr>
          <w:p>
            <w:r>
              <w:rPr>
                <w:b/>
                <w:sz w:val="17"/>
              </w:rPr>
              <w:t>8,368</w:t>
            </w:r>
          </w:p>
        </w:tc>
        <w:tc>
          <w:tcPr>
            <w:tcW w:type="dxa" w:w="1440"/>
            <w:shd w:fill="FAFAFA" w:val="clear"/>
          </w:tcPr>
          <w:p>
            <w:r>
              <w:rPr>
                <w:sz w:val="17"/>
              </w:rPr>
              <w:t>8,658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8,020</w:t>
            </w:r>
          </w:p>
        </w:tc>
        <w:tc>
          <w:tcPr>
            <w:tcW w:type="dxa" w:w="1440"/>
            <w:shd w:fill="FAFAFA" w:val="clear"/>
          </w:tcPr>
          <w:p>
            <w:r>
              <w:rPr>
                <w:b/>
                <w:sz w:val="17"/>
              </w:rPr>
              <w:t>8,376</w:t>
            </w:r>
          </w:p>
        </w:tc>
        <w:tc>
          <w:tcPr>
            <w:tcW w:type="dxa" w:w="1440"/>
            <w:shd w:fill="FAFAFA" w:val="clear"/>
          </w:tcPr>
          <w:p>
            <w:r>
              <w:rPr>
                <w:sz w:val="17"/>
              </w:rPr>
              <w:t>8,732</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2026-08-10</w:t>
            </w:r>
          </w:p>
        </w:tc>
        <w:tc>
          <w:tcPr>
            <w:tcW w:type="dxa" w:w="1440"/>
            <w:shd w:fill="FAFAFA" w:val="clear"/>
          </w:tcPr>
          <w:p>
            <w:r>
              <w:rPr>
                <w:sz w:val="17"/>
              </w:rPr>
              <w:t>7,974</w:t>
            </w:r>
          </w:p>
        </w:tc>
        <w:tc>
          <w:tcPr>
            <w:tcW w:type="dxa" w:w="1440"/>
            <w:shd w:fill="FAFAFA" w:val="clear"/>
          </w:tcPr>
          <w:p>
            <w:r>
              <w:rPr>
                <w:b/>
                <w:sz w:val="17"/>
              </w:rPr>
              <w:t>8,386</w:t>
            </w:r>
          </w:p>
        </w:tc>
        <w:tc>
          <w:tcPr>
            <w:tcW w:type="dxa" w:w="1440"/>
            <w:shd w:fill="FAFAFA" w:val="clear"/>
          </w:tcPr>
          <w:p>
            <w:r>
              <w:rPr>
                <w:sz w:val="17"/>
              </w:rPr>
              <w:t>8,797</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2026-08-11</w:t>
            </w:r>
          </w:p>
        </w:tc>
        <w:tc>
          <w:tcPr>
            <w:tcW w:type="dxa" w:w="1440"/>
            <w:shd w:fill="FAFAFA" w:val="clear"/>
          </w:tcPr>
          <w:p>
            <w:r>
              <w:rPr>
                <w:sz w:val="17"/>
              </w:rPr>
              <w:t>7,935</w:t>
            </w:r>
          </w:p>
        </w:tc>
        <w:tc>
          <w:tcPr>
            <w:tcW w:type="dxa" w:w="1440"/>
            <w:shd w:fill="FAFAFA" w:val="clear"/>
          </w:tcPr>
          <w:p>
            <w:r>
              <w:rPr>
                <w:b/>
                <w:sz w:val="17"/>
              </w:rPr>
              <w:t>8,396</w:t>
            </w:r>
          </w:p>
        </w:tc>
        <w:tc>
          <w:tcPr>
            <w:tcW w:type="dxa" w:w="1440"/>
            <w:shd w:fill="FAFAFA" w:val="clear"/>
          </w:tcPr>
          <w:p>
            <w:r>
              <w:rPr>
                <w:sz w:val="17"/>
              </w:rPr>
              <w:t>8,857</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2026-08-12</w:t>
            </w:r>
          </w:p>
        </w:tc>
        <w:tc>
          <w:tcPr>
            <w:tcW w:type="dxa" w:w="1440"/>
            <w:shd w:fill="FAFAFA" w:val="clear"/>
          </w:tcPr>
          <w:p>
            <w:r>
              <w:rPr>
                <w:sz w:val="17"/>
              </w:rPr>
              <w:t>7,901</w:t>
            </w:r>
          </w:p>
        </w:tc>
        <w:tc>
          <w:tcPr>
            <w:tcW w:type="dxa" w:w="1440"/>
            <w:shd w:fill="FAFAFA" w:val="clear"/>
          </w:tcPr>
          <w:p>
            <w:r>
              <w:rPr>
                <w:b/>
                <w:sz w:val="17"/>
              </w:rPr>
              <w:t>8,406</w:t>
            </w:r>
          </w:p>
        </w:tc>
        <w:tc>
          <w:tcPr>
            <w:tcW w:type="dxa" w:w="1440"/>
            <w:shd w:fill="FAFAFA" w:val="clear"/>
          </w:tcPr>
          <w:p>
            <w:r>
              <w:rPr>
                <w:sz w:val="17"/>
              </w:rPr>
              <w:t>8,911</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2026-08-13</w:t>
            </w:r>
          </w:p>
        </w:tc>
        <w:tc>
          <w:tcPr>
            <w:tcW w:type="dxa" w:w="1440"/>
            <w:shd w:fill="FAFAFA" w:val="clear"/>
          </w:tcPr>
          <w:p>
            <w:r>
              <w:rPr>
                <w:sz w:val="17"/>
              </w:rPr>
              <w:t>7,869</w:t>
            </w:r>
          </w:p>
        </w:tc>
        <w:tc>
          <w:tcPr>
            <w:tcW w:type="dxa" w:w="1440"/>
            <w:shd w:fill="FAFAFA" w:val="clear"/>
          </w:tcPr>
          <w:p>
            <w:r>
              <w:rPr>
                <w:b/>
                <w:sz w:val="17"/>
              </w:rPr>
              <w:t>8,416</w:t>
            </w:r>
          </w:p>
        </w:tc>
        <w:tc>
          <w:tcPr>
            <w:tcW w:type="dxa" w:w="1440"/>
            <w:shd w:fill="FAFAFA" w:val="clear"/>
          </w:tcPr>
          <w:p>
            <w:r>
              <w:rPr>
                <w:sz w:val="17"/>
              </w:rPr>
              <w:t>8,962</w:t>
            </w:r>
          </w:p>
        </w:tc>
        <w:tc>
          <w:tcPr>
            <w:tcW w:type="dxa" w:w="1440"/>
            <w:shd w:fill="FAFAFA" w:val="clear"/>
          </w:tcPr>
          <w:p>
            <w:r>
              <w:rPr>
                <w:b/>
                <w:color w:val="008000"/>
                <w:sz w:val="17"/>
              </w:rPr>
              <w:t>+0.2%</w:t>
            </w:r>
          </w:p>
        </w:tc>
      </w:tr>
      <w:tr>
        <w:tc>
          <w:tcPr>
            <w:tcW w:type="dxa" w:w="1440"/>
            <w:shd w:fill="FAFAFA" w:val="clear"/>
          </w:tcPr>
          <w:p>
            <w:r>
              <w:rPr>
                <w:sz w:val="17"/>
              </w:rPr>
              <w:t>J+8  Moyenne</w:t>
            </w:r>
          </w:p>
        </w:tc>
        <w:tc>
          <w:tcPr>
            <w:tcW w:type="dxa" w:w="1440"/>
            <w:shd w:fill="FAFAFA" w:val="clear"/>
          </w:tcPr>
          <w:p>
            <w:r>
              <w:rPr>
                <w:sz w:val="17"/>
              </w:rPr>
              <w:t>2026-08-14</w:t>
            </w:r>
          </w:p>
        </w:tc>
        <w:tc>
          <w:tcPr>
            <w:tcW w:type="dxa" w:w="1440"/>
            <w:shd w:fill="FAFAFA" w:val="clear"/>
          </w:tcPr>
          <w:p>
            <w:r>
              <w:rPr>
                <w:sz w:val="17"/>
              </w:rPr>
              <w:t>7,841</w:t>
            </w:r>
          </w:p>
        </w:tc>
        <w:tc>
          <w:tcPr>
            <w:tcW w:type="dxa" w:w="1440"/>
            <w:shd w:fill="FAFAFA" w:val="clear"/>
          </w:tcPr>
          <w:p>
            <w:r>
              <w:rPr>
                <w:b/>
                <w:sz w:val="17"/>
              </w:rPr>
              <w:t>8,426</w:t>
            </w:r>
          </w:p>
        </w:tc>
        <w:tc>
          <w:tcPr>
            <w:tcW w:type="dxa" w:w="1440"/>
            <w:shd w:fill="FAFAFA" w:val="clear"/>
          </w:tcPr>
          <w:p>
            <w:r>
              <w:rPr>
                <w:sz w:val="17"/>
              </w:rPr>
              <w:t>9,011</w:t>
            </w:r>
          </w:p>
        </w:tc>
        <w:tc>
          <w:tcPr>
            <w:tcW w:type="dxa" w:w="1440"/>
            <w:shd w:fill="FAFAFA" w:val="clear"/>
          </w:tcPr>
          <w:p>
            <w:r>
              <w:rPr>
                <w:b/>
                <w:color w:val="008000"/>
                <w:sz w:val="17"/>
              </w:rPr>
              <w:t>+0.3%</w:t>
            </w:r>
          </w:p>
        </w:tc>
      </w:tr>
      <w:tr>
        <w:tc>
          <w:tcPr>
            <w:tcW w:type="dxa" w:w="1440"/>
            <w:shd w:fill="FAFAFA" w:val="clear"/>
          </w:tcPr>
          <w:p>
            <w:r>
              <w:rPr>
                <w:sz w:val="17"/>
              </w:rPr>
              <w:t>J+9  Moyenne</w:t>
            </w:r>
          </w:p>
        </w:tc>
        <w:tc>
          <w:tcPr>
            <w:tcW w:type="dxa" w:w="1440"/>
            <w:shd w:fill="FAFAFA" w:val="clear"/>
          </w:tcPr>
          <w:p>
            <w:r>
              <w:rPr>
                <w:sz w:val="17"/>
              </w:rPr>
              <w:t>2026-08-17</w:t>
            </w:r>
          </w:p>
        </w:tc>
        <w:tc>
          <w:tcPr>
            <w:tcW w:type="dxa" w:w="1440"/>
            <w:shd w:fill="FAFAFA" w:val="clear"/>
          </w:tcPr>
          <w:p>
            <w:r>
              <w:rPr>
                <w:sz w:val="17"/>
              </w:rPr>
              <w:t>7,815</w:t>
            </w:r>
          </w:p>
        </w:tc>
        <w:tc>
          <w:tcPr>
            <w:tcW w:type="dxa" w:w="1440"/>
            <w:shd w:fill="FAFAFA" w:val="clear"/>
          </w:tcPr>
          <w:p>
            <w:r>
              <w:rPr>
                <w:b/>
                <w:sz w:val="17"/>
              </w:rPr>
              <w:t>8,436</w:t>
            </w:r>
          </w:p>
        </w:tc>
        <w:tc>
          <w:tcPr>
            <w:tcW w:type="dxa" w:w="1440"/>
            <w:shd w:fill="FAFAFA" w:val="clear"/>
          </w:tcPr>
          <w:p>
            <w:r>
              <w:rPr>
                <w:sz w:val="17"/>
              </w:rPr>
              <w:t>9,057</w:t>
            </w:r>
          </w:p>
        </w:tc>
        <w:tc>
          <w:tcPr>
            <w:tcW w:type="dxa" w:w="1440"/>
            <w:shd w:fill="FAFAFA" w:val="clear"/>
          </w:tcPr>
          <w:p>
            <w:r>
              <w:rPr>
                <w:b/>
                <w:color w:val="008000"/>
                <w:sz w:val="17"/>
              </w:rPr>
              <w:t>+0.4%</w:t>
            </w:r>
          </w:p>
        </w:tc>
      </w:tr>
      <w:tr>
        <w:tc>
          <w:tcPr>
            <w:tcW w:type="dxa" w:w="1440"/>
            <w:shd w:fill="FAFAFA" w:val="clear"/>
          </w:tcPr>
          <w:p>
            <w:r>
              <w:rPr>
                <w:sz w:val="17"/>
              </w:rPr>
              <w:t>J+10  Moyenne</w:t>
            </w:r>
          </w:p>
        </w:tc>
        <w:tc>
          <w:tcPr>
            <w:tcW w:type="dxa" w:w="1440"/>
            <w:shd w:fill="FAFAFA" w:val="clear"/>
          </w:tcPr>
          <w:p>
            <w:r>
              <w:rPr>
                <w:sz w:val="17"/>
              </w:rPr>
              <w:t>2026-08-18</w:t>
            </w:r>
          </w:p>
        </w:tc>
        <w:tc>
          <w:tcPr>
            <w:tcW w:type="dxa" w:w="1440"/>
            <w:shd w:fill="FAFAFA" w:val="clear"/>
          </w:tcPr>
          <w:p>
            <w:r>
              <w:rPr>
                <w:sz w:val="17"/>
              </w:rPr>
              <w:t>7,790</w:t>
            </w:r>
          </w:p>
        </w:tc>
        <w:tc>
          <w:tcPr>
            <w:tcW w:type="dxa" w:w="1440"/>
            <w:shd w:fill="FAFAFA" w:val="clear"/>
          </w:tcPr>
          <w:p>
            <w:r>
              <w:rPr>
                <w:b/>
                <w:sz w:val="17"/>
              </w:rPr>
              <w:t>8,445</w:t>
            </w:r>
          </w:p>
        </w:tc>
        <w:tc>
          <w:tcPr>
            <w:tcW w:type="dxa" w:w="1440"/>
            <w:shd w:fill="FAFAFA" w:val="clear"/>
          </w:tcPr>
          <w:p>
            <w:r>
              <w:rPr>
                <w:sz w:val="17"/>
              </w:rPr>
              <w:t>9,101</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04 août 2026 | Cours de référence : 8 400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181,46 milliards FCFA, ce qui en fait l'une des valeurs les plus significatives de la cote de la BRVM, reflétant son statut de poids lourd du secteur agro-industriel. Avec un BPA de 578 FCFA, chaque action génère un bénéfice substantiel, justifiant un PER de 14,5x. Ce ratio est supérieur à la moyenne historique de la BRVM (8-12x), indiquant que le marché accorde une prime de valorisation à la société, probablement en raison de la qualité de ses actifs et de sa rentabilité. Le P/B de 2,65x confirme cette prime, le marché valorisant l'entreprise à plus de 2,6 fois ses capitaux propres, signe de confiance dans sa création de valeur future. Enfin, un EV/EBITDA de 7,5x reste dans une zone raisonnable (5-10x), suggérant que la valeur d'entreprise n'est pas excessive par rapport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affiche une variation totale de -3,56%, mais a rebondi de +1,14% lors de la dernière séance, signe d'un léger regain d'intérêt. Le titre a évolué dans un range de 7 100 FCFA (plus bas) à 9 000 FCFA (plus haut), démontrant une amplitude de trading significative. La moyenne du cours sur la période est de 8 060 FCFA, très proche de la médiane (8 100 FCFA), et le mode (7 700 FCFA) est légèrement inférieur, ce qui indique une distribution quasi symétrique, confirmée par un skewness de -0,077. L'écart-type de 455 FCFA (CV = 5,6%) révèle une dispersion modérée autour de la moyenne. Le kurtosis de -0,813 (mésokurtique) indique une absence de pics extrêmes, suggérant un comportement de prix relativement stable sans événements de forte amplitude. La volatilité annualisée de 34,5% classe le titre comme très volatil (&gt;30%), un niveau élevé qui reflète la sensibilité du secteur aux prix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(8 400 FCFA) se positionne au-dessus de la MM20 (8 245,25 FCFA) et de la MM50 (8 219,9 FCFA), avec une MM20 supérieure à la MM50. Cette configuration haussière (courbe des prix au-dessus des moyennes et MM20 &gt; MM50) confirme une dynamique positive à court et moyen terme, justifiant la décision d'**Achat**.</w:t>
      </w:r>
    </w:p>
    <w:p>
      <w:pPr>
        <w:spacing w:after="120" w:line="276" w:lineRule="auto"/>
      </w:pPr>
      <w:r>
        <w:t>**Bandes de Bollinger** : Le prix se situe à 8 400 FCFA, entre la borne inférieure (7 917,51 FCFA) et la borne supérieure (8 572,99 FCFA), plus près de la borne haute. Cela indique une pression acheteuse modérée sans surachat extrême. La largeur des bandes suggère une volatilité normale. La décision est **Neutre**, le titre n'étant pas en zone extrême.</w:t>
      </w:r>
    </w:p>
    <w:p>
      <w:pPr>
        <w:spacing w:after="120" w:line="276" w:lineRule="auto"/>
      </w:pPr>
      <w:r>
        <w:t>**MACD** : La ligne MACD (13,729) est nettement au-dessus de sa ligne de signal (4,07), formant un croisement haussier. Cette divergence positive indique un momentum haussier en renforcement, ce qui justifie la décision d'**Achat**.</w:t>
      </w:r>
    </w:p>
    <w:p>
      <w:pPr>
        <w:spacing w:after="120" w:line="276" w:lineRule="auto"/>
      </w:pPr>
      <w:r>
        <w:t>**RSI** : Le RSI s'établit à 56,33, dans la zone neutre (30-70). Il n'y a pas de signal de surachat ou de survente, mais la valeur, au-dessus de 50, penche légèrement en faveur des acheteurs. La décision est **Neutre**, avec un biais positif.</w:t>
      </w:r>
    </w:p>
    <w:p>
      <w:pPr>
        <w:spacing w:after="120" w:line="276" w:lineRule="auto"/>
      </w:pPr>
      <w:r>
        <w:t>**Stochastique** : Le %K (100,0) est extrêmement élevé et nettement au-dessus du %D (68,86). Cette configuration indique une condition de surachat sévère, signalant un risque imminent de correction ou de consolidation. La décision est **Vente**.</w:t>
      </w:r>
    </w:p>
    <w:p>
      <w:pPr>
        <w:spacing w:after="120" w:line="276" w:lineRule="auto"/>
      </w:pPr>
      <w:r>
        <w:t>**Conclusion technique** : Les indicateurs de tendance (MM, MACD) sont clairement haussiers, tandis que le RSI est neutre-positif. Cependant, le Stochastique en surachat extrême est un signal d'alerte majeur. La convergence des signaux est donc mitigée : la tendance de fond reste positive, mais un repli technique à court terme est probable avant une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98,979 milliards FCFA, en croissance de +10,7% par rapport à 2024 (93,52 milliards FCFA), et un résultat net de 12,493 milliards FCFA, en légère baisse de -5% par rapport à 2024 (13,11 milliards FCFA). Cette baisse s'explique par une hausse de 15% des coûts des matières premières (coagulum), qui a partiellement compensé la hausse des prix de vente de l'huile de palme (+20%) et de palmiste (+47%). La rentabilité reste excellente avec un ROE de 18,26% et un ROA de 13,84%, démontrant une utilisation très efficace des capitaux propres et des actifs. La structure financière est saine avec une autonomie financière de 75,79% et une capacité de remboursement de seulement 0,04 an. Le BFR de 7,124 milliards FCFA et un délai de stockage de 97,67 jours indiquent une gestion opérationnelle correcte. Les rapports trimestriels 2025 montrent une décélération progressive : le T1 affichait une croissance explosive (+63,1% de CA), le S1 une croissance de +51,9%, et le cumul 9M une croissance de +21,3%, avec un ralentissement marqué au S2 dû à la baisse des cours internationaux du caoutchouc. Sur la base de ces données, on estime que l'exercice 2026 pourrait voir une stabilisation des résultats si les prix des matières premières se maintiennent. La société propose un dividende de 570 FCFA par action pour 2025, offrant un rendement attractif d'environ 6,8%. Les fondamentaux restent solides, mais la dépendance aux prix des commodités et la concurrence accrue sur l'achat de matière première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la SOGC (PER 14,5x, P/B 2,65x) indique que le titre n'est pas bon marché, mais la prime est justifiée par une rentabilité supérieure à la moyenne du marché. Le comportement du cours sur 100 jours montre une légère tendance baissière (-3,56%) avec une volatilité élevée (34,5%), mais la distribution symétrique et l'absence de kurtosis extrême suggèrent une stabilité relative. Les signaux techniques sont partagés : la tendance de fond (MM, MACD) est haussière, mais le Stochastique en surachat extrême signale un risque de correction à court terme. Les fondamentaux sont robustes avec un ROE de 18,26%, une croissance du CA de 10,7% en 2025, et une politique de dividende généreuse (570 FCFA/action), bien que la baisse du résultat net et la pression sur les coûts soient préoccupantes. Les prédictions IA (8 355 à 8 396 FCFA) suggèrent une stabilisation du cours avec une légère tendance haussière, confirmant les signaux techniques de moyen terme. En synthèse, la convergence entre les fondamentaux solides, la tendance technique positive et les prédictions IA est bonne, malgré une valorisation exigeante et un risque de correction technique imminent. **Recommandation : ACHAT** avec un niveau de confiance **Moyen** et un risque global **Moyen**. L'horizon d'investissement optimal est le **moyen terme (3-12 mois)**, en attendant une éventuelle consolidation du cours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191.69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4,581 titres</w:t>
            </w:r>
          </w:p>
        </w:tc>
        <w:tc>
          <w:tcPr>
            <w:tcW w:type="dxa" w:w="2268"/>
            <w:shd w:fill="FFF2CC" w:val="clear"/>
          </w:tcPr>
          <w:p>
            <w:r>
              <w:rPr>
                <w:b/>
                <w:color w:val="503200"/>
                <w:sz w:val="16"/>
              </w:rPr>
              <w:t xml:space="preserve">Cours actuel : </w:t>
            </w:r>
            <w:r>
              <w:rPr>
                <w:color w:val="000000"/>
                <w:sz w:val="17"/>
              </w:rPr>
              <w:t>7,500 FCFA</w:t>
            </w:r>
          </w:p>
          <w:p>
            <w:r>
              <w:rPr>
                <w:b/>
                <w:color w:val="503200"/>
                <w:sz w:val="16"/>
              </w:rPr>
              <w:t xml:space="preserve">Var. 100 jours : </w:t>
            </w:r>
            <w:r>
              <w:rPr>
                <w:b/>
                <w:color w:val="B40000"/>
                <w:sz w:val="17"/>
              </w:rPr>
              <w:t>-8.87%</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μ=7,433 FCFA, σ=399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β=1.4724 (Agressif) — Cov=0.000053, Var(idx)=0.000036, ρ=0.344,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8954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7,227</w:t>
            </w:r>
          </w:p>
        </w:tc>
        <w:tc>
          <w:tcPr>
            <w:tcW w:type="dxa" w:w="1440"/>
            <w:shd w:fill="FAFAFA" w:val="clear"/>
          </w:tcPr>
          <w:p>
            <w:r>
              <w:rPr>
                <w:b/>
                <w:sz w:val="17"/>
              </w:rPr>
              <w:t>7,488</w:t>
            </w:r>
          </w:p>
        </w:tc>
        <w:tc>
          <w:tcPr>
            <w:tcW w:type="dxa" w:w="1440"/>
            <w:shd w:fill="FAFAFA" w:val="clear"/>
          </w:tcPr>
          <w:p>
            <w:r>
              <w:rPr>
                <w:sz w:val="17"/>
              </w:rPr>
              <w:t>7,749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7,107</w:t>
            </w:r>
          </w:p>
        </w:tc>
        <w:tc>
          <w:tcPr>
            <w:tcW w:type="dxa" w:w="1440"/>
            <w:shd w:fill="FAFAFA" w:val="clear"/>
          </w:tcPr>
          <w:p>
            <w:r>
              <w:rPr>
                <w:b/>
                <w:sz w:val="17"/>
              </w:rPr>
              <w:t>7,475</w:t>
            </w:r>
          </w:p>
        </w:tc>
        <w:tc>
          <w:tcPr>
            <w:tcW w:type="dxa" w:w="1440"/>
            <w:shd w:fill="FAFAFA" w:val="clear"/>
          </w:tcPr>
          <w:p>
            <w:r>
              <w:rPr>
                <w:sz w:val="17"/>
              </w:rPr>
              <w:t>7,844</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2026-08-06</w:t>
            </w:r>
          </w:p>
        </w:tc>
        <w:tc>
          <w:tcPr>
            <w:tcW w:type="dxa" w:w="1440"/>
            <w:shd w:fill="FAFAFA" w:val="clear"/>
          </w:tcPr>
          <w:p>
            <w:r>
              <w:rPr>
                <w:sz w:val="17"/>
              </w:rPr>
              <w:t>7,012</w:t>
            </w:r>
          </w:p>
        </w:tc>
        <w:tc>
          <w:tcPr>
            <w:tcW w:type="dxa" w:w="1440"/>
            <w:shd w:fill="FAFAFA" w:val="clear"/>
          </w:tcPr>
          <w:p>
            <w:r>
              <w:rPr>
                <w:b/>
                <w:sz w:val="17"/>
              </w:rPr>
              <w:t>7,463</w:t>
            </w:r>
          </w:p>
        </w:tc>
        <w:tc>
          <w:tcPr>
            <w:tcW w:type="dxa" w:w="1440"/>
            <w:shd w:fill="FAFAFA" w:val="clear"/>
          </w:tcPr>
          <w:p>
            <w:r>
              <w:rPr>
                <w:sz w:val="17"/>
              </w:rPr>
              <w:t>7,914</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6,932</w:t>
            </w:r>
          </w:p>
        </w:tc>
        <w:tc>
          <w:tcPr>
            <w:tcW w:type="dxa" w:w="1440"/>
            <w:shd w:fill="FAFAFA" w:val="clear"/>
          </w:tcPr>
          <w:p>
            <w:r>
              <w:rPr>
                <w:b/>
                <w:sz w:val="17"/>
              </w:rPr>
              <w:t>7,451</w:t>
            </w:r>
          </w:p>
        </w:tc>
        <w:tc>
          <w:tcPr>
            <w:tcW w:type="dxa" w:w="1440"/>
            <w:shd w:fill="FAFAFA" w:val="clear"/>
          </w:tcPr>
          <w:p>
            <w:r>
              <w:rPr>
                <w:sz w:val="17"/>
              </w:rPr>
              <w:t>7,971</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6,859</w:t>
            </w:r>
          </w:p>
        </w:tc>
        <w:tc>
          <w:tcPr>
            <w:tcW w:type="dxa" w:w="1440"/>
            <w:shd w:fill="FAFAFA" w:val="clear"/>
          </w:tcPr>
          <w:p>
            <w:r>
              <w:rPr>
                <w:b/>
                <w:sz w:val="17"/>
              </w:rPr>
              <w:t>7,440</w:t>
            </w:r>
          </w:p>
        </w:tc>
        <w:tc>
          <w:tcPr>
            <w:tcW w:type="dxa" w:w="1440"/>
            <w:shd w:fill="FAFAFA" w:val="clear"/>
          </w:tcPr>
          <w:p>
            <w:r>
              <w:rPr>
                <w:sz w:val="17"/>
              </w:rPr>
              <w:t>8,020</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6,793</w:t>
            </w:r>
          </w:p>
        </w:tc>
        <w:tc>
          <w:tcPr>
            <w:tcW w:type="dxa" w:w="1440"/>
            <w:shd w:fill="FAFAFA" w:val="clear"/>
          </w:tcPr>
          <w:p>
            <w:r>
              <w:rPr>
                <w:b/>
                <w:sz w:val="17"/>
              </w:rPr>
              <w:t>7,428</w:t>
            </w:r>
          </w:p>
        </w:tc>
        <w:tc>
          <w:tcPr>
            <w:tcW w:type="dxa" w:w="1440"/>
            <w:shd w:fill="FAFAFA" w:val="clear"/>
          </w:tcPr>
          <w:p>
            <w:r>
              <w:rPr>
                <w:sz w:val="17"/>
              </w:rPr>
              <w:t>8,062</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6,732</w:t>
            </w:r>
          </w:p>
        </w:tc>
        <w:tc>
          <w:tcPr>
            <w:tcW w:type="dxa" w:w="1440"/>
            <w:shd w:fill="FAFAFA" w:val="clear"/>
          </w:tcPr>
          <w:p>
            <w:r>
              <w:rPr>
                <w:b/>
                <w:sz w:val="17"/>
              </w:rPr>
              <w:t>7,416</w:t>
            </w:r>
          </w:p>
        </w:tc>
        <w:tc>
          <w:tcPr>
            <w:tcW w:type="dxa" w:w="1440"/>
            <w:shd w:fill="FAFAFA" w:val="clear"/>
          </w:tcPr>
          <w:p>
            <w:r>
              <w:rPr>
                <w:sz w:val="17"/>
              </w:rPr>
              <w:t>8,100</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6,674</w:t>
            </w:r>
          </w:p>
        </w:tc>
        <w:tc>
          <w:tcPr>
            <w:tcW w:type="dxa" w:w="1440"/>
            <w:shd w:fill="FAFAFA" w:val="clear"/>
          </w:tcPr>
          <w:p>
            <w:r>
              <w:rPr>
                <w:b/>
                <w:sz w:val="17"/>
              </w:rPr>
              <w:t>7,405</w:t>
            </w:r>
          </w:p>
        </w:tc>
        <w:tc>
          <w:tcPr>
            <w:tcW w:type="dxa" w:w="1440"/>
            <w:shd w:fill="FAFAFA" w:val="clear"/>
          </w:tcPr>
          <w:p>
            <w:r>
              <w:rPr>
                <w:sz w:val="17"/>
              </w:rPr>
              <w:t>8,135</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6,620</w:t>
            </w:r>
          </w:p>
        </w:tc>
        <w:tc>
          <w:tcPr>
            <w:tcW w:type="dxa" w:w="1440"/>
            <w:shd w:fill="FAFAFA" w:val="clear"/>
          </w:tcPr>
          <w:p>
            <w:r>
              <w:rPr>
                <w:b/>
                <w:sz w:val="17"/>
              </w:rPr>
              <w:t>7,393</w:t>
            </w:r>
          </w:p>
        </w:tc>
        <w:tc>
          <w:tcPr>
            <w:tcW w:type="dxa" w:w="1440"/>
            <w:shd w:fill="FAFAFA" w:val="clear"/>
          </w:tcPr>
          <w:p>
            <w:r>
              <w:rPr>
                <w:sz w:val="17"/>
              </w:rPr>
              <w:t>8,167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2026-08-18</w:t>
            </w:r>
          </w:p>
        </w:tc>
        <w:tc>
          <w:tcPr>
            <w:tcW w:type="dxa" w:w="1440"/>
            <w:shd w:fill="FAFAFA" w:val="clear"/>
          </w:tcPr>
          <w:p>
            <w:r>
              <w:rPr>
                <w:sz w:val="17"/>
              </w:rPr>
              <w:t>6,568</w:t>
            </w:r>
          </w:p>
        </w:tc>
        <w:tc>
          <w:tcPr>
            <w:tcW w:type="dxa" w:w="1440"/>
            <w:shd w:fill="FAFAFA" w:val="clear"/>
          </w:tcPr>
          <w:p>
            <w:r>
              <w:rPr>
                <w:b/>
                <w:sz w:val="17"/>
              </w:rPr>
              <w:t>7,382</w:t>
            </w:r>
          </w:p>
        </w:tc>
        <w:tc>
          <w:tcPr>
            <w:tcW w:type="dxa" w:w="1440"/>
            <w:shd w:fill="FAFAFA" w:val="clear"/>
          </w:tcPr>
          <w:p>
            <w:r>
              <w:rPr>
                <w:sz w:val="17"/>
              </w:rPr>
              <w:t>8,196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04 août 2026**</w:t>
        <w:br/>
        <w:t>**Cours de référence : 7 500 FCFA**</w:t>
      </w:r>
    </w:p>
    <w:p>
      <w:pPr>
        <w:spacing w:after="120" w:line="276" w:lineRule="auto"/>
      </w:pPr>
      <w:r>
        <w:t>---</w:t>
      </w:r>
    </w:p>
    <w:p>
      <w:pPr>
        <w:spacing w:after="120" w:line="276" w:lineRule="auto"/>
      </w:pPr>
      <w:r>
        <w:t>### PARTIE 0 : INDICATEURS DE VALORISATION BOURSIÈRE</w:t>
      </w:r>
    </w:p>
    <w:p>
      <w:pPr>
        <w:spacing w:after="120" w:line="276" w:lineRule="auto"/>
      </w:pPr>
      <w:r>
        <w:t>La société SPHC affiche une capitalisation boursière de 191,69 milliards FCFA, ce qui la positionne parmi les valeurs moyennes à grandes capitalisations de la BRVM, lui conférant une liquidité théorique et une visibilité institutionnelle appréciables. Avec un BPA de 977 FCFA, le titre se négocie à un PER de 7,7x, un niveau inférieur à la moyenne historique de la place (~8-12x), signalant une décote potentielle par rapport à ses pairs et une sous-évaluation relative de ses bénéfices. Le P/B de 1,39x indique que le marché valorise la société légèrement au-dessus de sa valeur comptable, ce qui est raisonnable pour une entreprise avec un ROE de 18,1%. Enfin, un EV/EBITDA de 4,9x (très inférieur à 5x) confirme une valorisation très attractive de la capacité opérationnelle de l'entreprise, suggérant que le marché n'intègre pas pleinement la solidité de son modèle économique.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 enregistré une baisse de 8,87%, avec une dernière séance en recul de 0,86% à 7 500 FCFA. Le cours a évolué dans un range de 6 720 à 8 435 FCFA, illustrant une volatilité intraday marquée mais une tendance globale baissière sur la période. La moyenne (7 433 FCFA) et la médiane (7 400 FCFA) sont très proches, indiquant une distribution symétrique des prix autour de ces valeurs, bien que le mode (7 500 FCFA) soit le niveau le plus fréquemment touché. L'écart-type de 401 FCFA (CV = 5,4%) révèle une dispersion modérée des cours autour de la moyenne. Le kurtosis de 0,202 (mésokurtique) suggère l'absence de mouvements extrêmes fréquents, tandis que le skewness positif de 0,642 indique une asymétrie avec des journées plus nombreuses sous la moyenne, reflétant la pression vendeuse récente. La volatilité annualisée de 40,6% classe le titre comme très volatil (&gt;30%), un niveau élevé qui exige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(MM20 et MM50) :** Les moyennes mobiles à 20 et 50 jours (respectivement 7 514 et 7 520 FCFA) sont toutes deux supérieures au cours actuel de 7 500 FCFA. Cette configuration, où le prix évolue sous ses moyennes clés, confirme une dynamique baissière à court et moyen terme. La décision de "Vente" est justifiée par cette résistance technique, le titre peinant à retrouver ses niveaux moyens.</w:t>
      </w:r>
    </w:p>
    <w:p>
      <w:pPr>
        <w:spacing w:after="120" w:line="276" w:lineRule="auto"/>
      </w:pPr>
      <w:r>
        <w:t>**Bandes de Bollinger :** Le cours se situe à 7 500 FCFA, entre la borne inférieure (7 220,857) et la borne supérieure (7 807,143). La position médiane du prix dans les bandes indique une volatilité modérée et une absence de signal directionnel fort. La décision "Neutre" est cohérente avec un marché en phase d'équilibre après la baisse, attendant un catalyseur pour sortir de ce range.</w:t>
      </w:r>
    </w:p>
    <w:p>
      <w:pPr>
        <w:spacing w:after="120" w:line="276" w:lineRule="auto"/>
      </w:pPr>
      <w:r>
        <w:t>**MACD :** Le MACD (-18,441) est légèrement au-dessus de sa ligne de signal (-19,055), formant un croisement haussier récent. Bien que les valeurs soient négatives, ce croisement indique un ralentissement de la dynamique baissière et un potentiel de retournement à court terme. La décision "Achat" reflète ce début de momentum positif, mais il faudra une confirmation par le passage au-dessus de zéro.</w:t>
      </w:r>
    </w:p>
    <w:p>
      <w:pPr>
        <w:spacing w:after="120" w:line="276" w:lineRule="auto"/>
      </w:pPr>
      <w:r>
        <w:t>**RSI :** Le RSI est à 50,0, une valeur parfaitement neutre, indiquant que le titre n'est ni suracheté ni survendu. Cette position centrale laisse place à une évolution dans les deux sens, sans pression particulière des acheteurs ou des vendeurs. La décision "Neutre" est donc logique, le marché étant en attente d'un signal directionnel.</w:t>
      </w:r>
    </w:p>
    <w:p>
      <w:pPr>
        <w:spacing w:after="120" w:line="276" w:lineRule="auto"/>
      </w:pPr>
      <w:r>
        <w:t>**Stochastique :** Le %K (66,667) est inférieur au %D (71,111), suggérant un croisement baissier potentiel à court terme. Les valeurs restent dans la zone neutre (au-dessus de 50), mais la configuration actuelle indique un essoufflement de la dynamique haussière récente. La décision "Neutre" est prudente, car le titre pourrait corriger légèrement avant de tenter une nouvelle hausse.</w:t>
      </w:r>
    </w:p>
    <w:p>
      <w:pPr>
        <w:spacing w:after="120" w:line="276" w:lineRule="auto"/>
      </w:pPr>
      <w:r>
        <w:t>**Conclusion technique :** Les indicateurs sont globalement mitigés. Les moyennes mobiles plaident pour une vente, tandis que le MACD suggère un début de retournement haussier. Le RSI et les bandes de Bollinger sont neutres, et le stochastique montre un léger essoufflement. La configuration technique est donc indécise, avec un biais légèrement négatif à court terme mais un potentiel de rebond si le MACD se confirme. Une consolidation entre 7 400 et 7 600 FCFA semble probable avant une direction claire.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milliards FCFA), porté par une augmentation des volumes et des prix. Le résultat net s'établit à 24,97 milliards FCFA, contre 18,79 milliards en 2024, soit une progression de 32,9%. La rentabilité est excellente avec un ROE de 18,1% et un ROA de 11,1%. La marge nette s'améliore à 7,3%, et l'EBE progresse de 23,9% à 49,67 milliards FCFA. La structure financière est saine avec une autonomie financière de 61,1% et un ratio d'endettement maîtrisé de 25,8%. Le BFR est positif (65,39 milliards FCFA), mais le délai de stockage (72 jours) et le délai client (35 jours) sont des points de vigilance. **Les rapports trimestriels 2025** montrent une dynamique exceptionnelle au S1 (+51% de CA, résultat net +449%) mais un ralentissement au T3 (+36% de CA, résultat net +131%). **Le rapport T1 2026** (daté de mars 2026) révèle une forte dégradation avec un CA de 71,8 milliards FCFA (-24%) et un résultat net de 2,6 milliards FCFA (-78%), pénalisé par la chute des cours du caoutchouc et des tensions sur l'approvisionnement. **On estime que l'exercice 2026 sera nettement moins performant que 2025**, avec une possible baisse de 30 à 40% du résultat net si les conditions de marché persistent. La société conserve néanmoins une trésorerie opérationnelle positive (37,6 milliards FCFA) et un free cash-flow de 14,2 milliards FCFA, lui permettant de maintenir ses investissements.</w:t>
      </w:r>
    </w:p>
    <w:p>
      <w:pPr>
        <w:spacing w:after="120" w:line="276" w:lineRule="auto"/>
      </w:pPr>
      <w:r>
        <w:t>---</w:t>
      </w:r>
    </w:p>
    <w:p>
      <w:pPr>
        <w:spacing w:after="120" w:line="276" w:lineRule="auto"/>
      </w:pPr>
      <w:r>
        <w:t>### PARTIE 4 : CONCLUSION D'INVESTISSEMENT</w:t>
      </w:r>
    </w:p>
    <w:p>
      <w:pPr>
        <w:spacing w:after="120" w:line="276" w:lineRule="auto"/>
      </w:pPr>
      <w:r>
        <w:t>La valorisation de SPHC est **attractive** (PER 7,7x, EV/EBITDA 4,9x, P/B 1,39x), indiquant une sous-évaluation relative. Le comportement du cours est **préoccupant** à court terme avec une tendance baissière de -8,87% sur 100 jours et une volatilité élevée (40,6%), mais les statistiques montrent une distribution stable. Les signaux techniques sont **mitigés** : les moyennes mobiles sont vendeuses, mais le MACD suggère un retournement haussier potentiel, tandis que le RSI et le stochastique sont neutres. Les fondamentaux sont **solides pour 2025** mais les perspectives 2026 sont **dégradées** selon le T1 2026 (-78% de résultat net). Les prédictions IA (7 488 à 7 440 FCFA sur 10 jours) confirment une **légère tendance baissière**, en ligne avec les signaux techniques et les fondamentaux récents. La convergence entre la valorisation bon marché, les fondamentaux historiques solides et les perspectives 2026 difficiles justifie une position d'attente. **Recommandation : CONSERVER** avec un niveau de confiance **Moyen** et un risque global **Élevé** (volatilité des cours du caoutchouc). L'horizon d'investissement optimal est le **moyen terme (3-12 mois)**, en attendant une stabilisation des cours mondiaux et une confirmation de la reprise au S2 2026. Un renforcement serait envisageable sous les 7 000 FCFA, ou après publication de résultats trimestriels meilleurs que prévu.</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000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6,496 titres</w:t>
            </w:r>
          </w:p>
        </w:tc>
        <w:tc>
          <w:tcPr>
            <w:tcW w:type="dxa" w:w="2268"/>
            <w:shd w:fill="FFF2CC" w:val="clear"/>
          </w:tcPr>
          <w:p>
            <w:r>
              <w:rPr>
                <w:b/>
                <w:color w:val="503200"/>
                <w:sz w:val="16"/>
              </w:rPr>
              <w:t xml:space="preserve">Cours actuel : </w:t>
            </w:r>
            <w:r>
              <w:rPr>
                <w:color w:val="000000"/>
                <w:sz w:val="17"/>
              </w:rPr>
              <w:t>2,820 FCFA</w:t>
            </w:r>
          </w:p>
          <w:p>
            <w:r>
              <w:rPr>
                <w:b/>
                <w:color w:val="503200"/>
                <w:sz w:val="16"/>
              </w:rPr>
              <w:t xml:space="preserve">Var. 100 jours : </w:t>
            </w:r>
            <w:r>
              <w:rPr>
                <w:b/>
                <w:color w:val="007800"/>
                <w:sz w:val="17"/>
              </w:rPr>
              <w:t>+50.80%</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1,870 FCFA</w:t>
            </w:r>
          </w:p>
          <w:p>
            <w:r>
              <w:rPr>
                <w:b/>
                <w:color w:val="503200"/>
                <w:sz w:val="16"/>
              </w:rPr>
              <w:t xml:space="preserve">Volatilité ann. : </w:t>
            </w:r>
            <w:r>
              <w:rPr>
                <w:color w:val="000000"/>
                <w:sz w:val="17"/>
              </w:rPr>
              <w:t>74.1%</w:t>
            </w:r>
          </w:p>
        </w:tc>
        <w:tc>
          <w:tcPr>
            <w:tcW w:type="dxa" w:w="2835"/>
            <w:shd w:fill="FCE4D6" w:val="clear"/>
          </w:tcPr>
          <w:p>
            <w:r>
              <w:rPr>
                <w:b/>
                <w:color w:val="500000"/>
                <w:sz w:val="16"/>
              </w:rPr>
              <w:t xml:space="preserve">Recommandation : </w:t>
            </w:r>
            <w:r>
              <w:rPr>
                <w:b/>
                <w:color w:val="B40000"/>
                <w:sz w:val="19"/>
              </w:rPr>
              <w:t>VENTE FORTE</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μ=2,993 FCFA, σ=409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β=-1.1462 (Contre-cyclique) — Cov=-0.000041, Var(idx)=0.000036, ρ=-0.148,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σ_j=4.67%/j (Modérée) — Vol. annualisée≈74.1%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36/100  (Faible)</w:t>
      </w:r>
    </w:p>
    <w:p/>
    <w:p>
      <w:pPr>
        <w:jc w:val="center"/>
      </w:pPr>
      <w:r>
        <w:drawing>
          <wp:inline xmlns:a="http://schemas.openxmlformats.org/drawingml/2006/main" xmlns:pic="http://schemas.openxmlformats.org/drawingml/2006/picture">
            <wp:extent cx="5669280" cy="2589549"/>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2026-08-04</w:t>
            </w:r>
          </w:p>
        </w:tc>
        <w:tc>
          <w:tcPr>
            <w:tcW w:type="dxa" w:w="1440"/>
            <w:shd w:fill="FFDCE0" w:val="clear"/>
          </w:tcPr>
          <w:p>
            <w:r>
              <w:rPr>
                <w:sz w:val="17"/>
              </w:rPr>
              <w:t>2,481</w:t>
            </w:r>
          </w:p>
        </w:tc>
        <w:tc>
          <w:tcPr>
            <w:tcW w:type="dxa" w:w="1440"/>
            <w:shd w:fill="FFDCE0" w:val="clear"/>
          </w:tcPr>
          <w:p>
            <w:r>
              <w:rPr>
                <w:b/>
                <w:sz w:val="17"/>
              </w:rPr>
              <w:t>2,620</w:t>
            </w:r>
          </w:p>
        </w:tc>
        <w:tc>
          <w:tcPr>
            <w:tcW w:type="dxa" w:w="1440"/>
            <w:shd w:fill="FFDCE0" w:val="clear"/>
          </w:tcPr>
          <w:p>
            <w:r>
              <w:rPr>
                <w:sz w:val="17"/>
              </w:rPr>
              <w:t>2,760</w:t>
            </w:r>
          </w:p>
        </w:tc>
        <w:tc>
          <w:tcPr>
            <w:tcW w:type="dxa" w:w="1440"/>
            <w:shd w:fill="FFDCE0" w:val="clear"/>
          </w:tcPr>
          <w:p>
            <w:r>
              <w:rPr>
                <w:b/>
                <w:color w:val="C00000"/>
                <w:sz w:val="17"/>
              </w:rPr>
              <w:t>-7.1%</w:t>
            </w:r>
          </w:p>
        </w:tc>
      </w:tr>
      <w:tr>
        <w:tc>
          <w:tcPr>
            <w:tcW w:type="dxa" w:w="1440"/>
            <w:shd w:fill="FFDCE0" w:val="clear"/>
          </w:tcPr>
          <w:p>
            <w:r>
              <w:rPr>
                <w:sz w:val="17"/>
              </w:rPr>
              <w:t>J+2  Moyenne</w:t>
            </w:r>
          </w:p>
        </w:tc>
        <w:tc>
          <w:tcPr>
            <w:tcW w:type="dxa" w:w="1440"/>
            <w:shd w:fill="FFDCE0" w:val="clear"/>
          </w:tcPr>
          <w:p>
            <w:r>
              <w:rPr>
                <w:sz w:val="17"/>
              </w:rPr>
              <w:t>2026-08-05</w:t>
            </w:r>
          </w:p>
        </w:tc>
        <w:tc>
          <w:tcPr>
            <w:tcW w:type="dxa" w:w="1440"/>
            <w:shd w:fill="FFDCE0" w:val="clear"/>
          </w:tcPr>
          <w:p>
            <w:r>
              <w:rPr>
                <w:sz w:val="17"/>
              </w:rPr>
              <w:t>2,289</w:t>
            </w:r>
          </w:p>
        </w:tc>
        <w:tc>
          <w:tcPr>
            <w:tcW w:type="dxa" w:w="1440"/>
            <w:shd w:fill="FFDCE0" w:val="clear"/>
          </w:tcPr>
          <w:p>
            <w:r>
              <w:rPr>
                <w:b/>
                <w:sz w:val="17"/>
              </w:rPr>
              <w:t>2,475</w:t>
            </w:r>
          </w:p>
        </w:tc>
        <w:tc>
          <w:tcPr>
            <w:tcW w:type="dxa" w:w="1440"/>
            <w:shd w:fill="FFDCE0" w:val="clear"/>
          </w:tcPr>
          <w:p>
            <w:r>
              <w:rPr>
                <w:sz w:val="17"/>
              </w:rPr>
              <w:t>2,661</w:t>
            </w:r>
          </w:p>
        </w:tc>
        <w:tc>
          <w:tcPr>
            <w:tcW w:type="dxa" w:w="1440"/>
            <w:shd w:fill="FFDCE0" w:val="clear"/>
          </w:tcPr>
          <w:p>
            <w:r>
              <w:rPr>
                <w:b/>
                <w:color w:val="C00000"/>
                <w:sz w:val="17"/>
              </w:rPr>
              <w:t>-12.2%</w:t>
            </w:r>
          </w:p>
        </w:tc>
      </w:tr>
      <w:tr>
        <w:tc>
          <w:tcPr>
            <w:tcW w:type="dxa" w:w="1440"/>
            <w:shd w:fill="FFDCE0" w:val="clear"/>
          </w:tcPr>
          <w:p>
            <w:r>
              <w:rPr>
                <w:sz w:val="17"/>
              </w:rPr>
              <w:t>J+3  Moyenne</w:t>
            </w:r>
          </w:p>
        </w:tc>
        <w:tc>
          <w:tcPr>
            <w:tcW w:type="dxa" w:w="1440"/>
            <w:shd w:fill="FFDCE0" w:val="clear"/>
          </w:tcPr>
          <w:p>
            <w:r>
              <w:rPr>
                <w:sz w:val="17"/>
              </w:rPr>
              <w:t>2026-08-06</w:t>
            </w:r>
          </w:p>
        </w:tc>
        <w:tc>
          <w:tcPr>
            <w:tcW w:type="dxa" w:w="1440"/>
            <w:shd w:fill="FFDCE0" w:val="clear"/>
          </w:tcPr>
          <w:p>
            <w:r>
              <w:rPr>
                <w:sz w:val="17"/>
              </w:rPr>
              <w:t>2,092</w:t>
            </w:r>
          </w:p>
        </w:tc>
        <w:tc>
          <w:tcPr>
            <w:tcW w:type="dxa" w:w="1440"/>
            <w:shd w:fill="FFDCE0" w:val="clear"/>
          </w:tcPr>
          <w:p>
            <w:r>
              <w:rPr>
                <w:b/>
                <w:sz w:val="17"/>
              </w:rPr>
              <w:t>2,304</w:t>
            </w:r>
          </w:p>
        </w:tc>
        <w:tc>
          <w:tcPr>
            <w:tcW w:type="dxa" w:w="1440"/>
            <w:shd w:fill="FFDCE0" w:val="clear"/>
          </w:tcPr>
          <w:p>
            <w:r>
              <w:rPr>
                <w:sz w:val="17"/>
              </w:rPr>
              <w:t>2,516</w:t>
            </w:r>
          </w:p>
        </w:tc>
        <w:tc>
          <w:tcPr>
            <w:tcW w:type="dxa" w:w="1440"/>
            <w:shd w:fill="FFDCE0" w:val="clear"/>
          </w:tcPr>
          <w:p>
            <w:r>
              <w:rPr>
                <w:b/>
                <w:color w:val="C00000"/>
                <w:sz w:val="17"/>
              </w:rPr>
              <w:t>-18.3%</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1,915</w:t>
            </w:r>
          </w:p>
        </w:tc>
        <w:tc>
          <w:tcPr>
            <w:tcW w:type="dxa" w:w="1440"/>
            <w:shd w:fill="FFDCE0" w:val="clear"/>
          </w:tcPr>
          <w:p>
            <w:r>
              <w:rPr>
                <w:b/>
                <w:sz w:val="17"/>
              </w:rPr>
              <w:t>2,143</w:t>
            </w:r>
          </w:p>
        </w:tc>
        <w:tc>
          <w:tcPr>
            <w:tcW w:type="dxa" w:w="1440"/>
            <w:shd w:fill="FFDCE0" w:val="clear"/>
          </w:tcPr>
          <w:p>
            <w:r>
              <w:rPr>
                <w:sz w:val="17"/>
              </w:rPr>
              <w:t>2,371</w:t>
            </w:r>
          </w:p>
        </w:tc>
        <w:tc>
          <w:tcPr>
            <w:tcW w:type="dxa" w:w="1440"/>
            <w:shd w:fill="FFDCE0" w:val="clear"/>
          </w:tcPr>
          <w:p>
            <w:r>
              <w:rPr>
                <w:b/>
                <w:color w:val="C00000"/>
                <w:sz w:val="17"/>
              </w:rPr>
              <w:t>-24.0%</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1,769</w:t>
            </w:r>
          </w:p>
        </w:tc>
        <w:tc>
          <w:tcPr>
            <w:tcW w:type="dxa" w:w="1440"/>
            <w:shd w:fill="FFDCE0" w:val="clear"/>
          </w:tcPr>
          <w:p>
            <w:r>
              <w:rPr>
                <w:b/>
                <w:sz w:val="17"/>
              </w:rPr>
              <w:t>2,007</w:t>
            </w:r>
          </w:p>
        </w:tc>
        <w:tc>
          <w:tcPr>
            <w:tcW w:type="dxa" w:w="1440"/>
            <w:shd w:fill="FFDCE0" w:val="clear"/>
          </w:tcPr>
          <w:p>
            <w:r>
              <w:rPr>
                <w:sz w:val="17"/>
              </w:rPr>
              <w:t>2,246</w:t>
            </w:r>
          </w:p>
        </w:tc>
        <w:tc>
          <w:tcPr>
            <w:tcW w:type="dxa" w:w="1440"/>
            <w:shd w:fill="FFDCE0" w:val="clear"/>
          </w:tcPr>
          <w:p>
            <w:r>
              <w:rPr>
                <w:b/>
                <w:color w:val="C00000"/>
                <w:sz w:val="17"/>
              </w:rPr>
              <w:t>-28.8%</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1,650</w:t>
            </w:r>
          </w:p>
        </w:tc>
        <w:tc>
          <w:tcPr>
            <w:tcW w:type="dxa" w:w="1440"/>
            <w:shd w:fill="FFDCE0" w:val="clear"/>
          </w:tcPr>
          <w:p>
            <w:r>
              <w:rPr>
                <w:b/>
                <w:sz w:val="17"/>
              </w:rPr>
              <w:t>1,897</w:t>
            </w:r>
          </w:p>
        </w:tc>
        <w:tc>
          <w:tcPr>
            <w:tcW w:type="dxa" w:w="1440"/>
            <w:shd w:fill="FFDCE0" w:val="clear"/>
          </w:tcPr>
          <w:p>
            <w:r>
              <w:rPr>
                <w:sz w:val="17"/>
              </w:rPr>
              <w:t>2,144</w:t>
            </w:r>
          </w:p>
        </w:tc>
        <w:tc>
          <w:tcPr>
            <w:tcW w:type="dxa" w:w="1440"/>
            <w:shd w:fill="FFDCE0" w:val="clear"/>
          </w:tcPr>
          <w:p>
            <w:r>
              <w:rPr>
                <w:b/>
                <w:color w:val="C00000"/>
                <w:sz w:val="17"/>
              </w:rPr>
              <w:t>-32.7%</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1,554</w:t>
            </w:r>
          </w:p>
        </w:tc>
        <w:tc>
          <w:tcPr>
            <w:tcW w:type="dxa" w:w="1440"/>
            <w:shd w:fill="FFDCE0" w:val="clear"/>
          </w:tcPr>
          <w:p>
            <w:r>
              <w:rPr>
                <w:b/>
                <w:sz w:val="17"/>
              </w:rPr>
              <w:t>1,809</w:t>
            </w:r>
          </w:p>
        </w:tc>
        <w:tc>
          <w:tcPr>
            <w:tcW w:type="dxa" w:w="1440"/>
            <w:shd w:fill="FFDCE0" w:val="clear"/>
          </w:tcPr>
          <w:p>
            <w:r>
              <w:rPr>
                <w:sz w:val="17"/>
              </w:rPr>
              <w:t>2,063</w:t>
            </w:r>
          </w:p>
        </w:tc>
        <w:tc>
          <w:tcPr>
            <w:tcW w:type="dxa" w:w="1440"/>
            <w:shd w:fill="FFDCE0" w:val="clear"/>
          </w:tcPr>
          <w:p>
            <w:r>
              <w:rPr>
                <w:b/>
                <w:color w:val="C00000"/>
                <w:sz w:val="17"/>
              </w:rPr>
              <w:t>-35.9%</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1,476</w:t>
            </w:r>
          </w:p>
        </w:tc>
        <w:tc>
          <w:tcPr>
            <w:tcW w:type="dxa" w:w="1440"/>
            <w:shd w:fill="FFDCE0" w:val="clear"/>
          </w:tcPr>
          <w:p>
            <w:r>
              <w:rPr>
                <w:b/>
                <w:sz w:val="17"/>
              </w:rPr>
              <w:t>1,738</w:t>
            </w:r>
          </w:p>
        </w:tc>
        <w:tc>
          <w:tcPr>
            <w:tcW w:type="dxa" w:w="1440"/>
            <w:shd w:fill="FFDCE0" w:val="clear"/>
          </w:tcPr>
          <w:p>
            <w:r>
              <w:rPr>
                <w:sz w:val="17"/>
              </w:rPr>
              <w:t>1,999</w:t>
            </w:r>
          </w:p>
        </w:tc>
        <w:tc>
          <w:tcPr>
            <w:tcW w:type="dxa" w:w="1440"/>
            <w:shd w:fill="FFDCE0" w:val="clear"/>
          </w:tcPr>
          <w:p>
            <w:r>
              <w:rPr>
                <w:b/>
                <w:color w:val="C00000"/>
                <w:sz w:val="17"/>
              </w:rPr>
              <w:t>-38.4%</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1,412</w:t>
            </w:r>
          </w:p>
        </w:tc>
        <w:tc>
          <w:tcPr>
            <w:tcW w:type="dxa" w:w="1440"/>
            <w:shd w:fill="FFDCE0" w:val="clear"/>
          </w:tcPr>
          <w:p>
            <w:r>
              <w:rPr>
                <w:b/>
                <w:sz w:val="17"/>
              </w:rPr>
              <w:t>1,679</w:t>
            </w:r>
          </w:p>
        </w:tc>
        <w:tc>
          <w:tcPr>
            <w:tcW w:type="dxa" w:w="1440"/>
            <w:shd w:fill="FFDCE0" w:val="clear"/>
          </w:tcPr>
          <w:p>
            <w:r>
              <w:rPr>
                <w:sz w:val="17"/>
              </w:rPr>
              <w:t>1,947</w:t>
            </w:r>
          </w:p>
        </w:tc>
        <w:tc>
          <w:tcPr>
            <w:tcW w:type="dxa" w:w="1440"/>
            <w:shd w:fill="FFDCE0" w:val="clear"/>
          </w:tcPr>
          <w:p>
            <w:r>
              <w:rPr>
                <w:b/>
                <w:color w:val="C00000"/>
                <w:sz w:val="17"/>
              </w:rPr>
              <w:t>-40.4%</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1,356</w:t>
            </w:r>
          </w:p>
        </w:tc>
        <w:tc>
          <w:tcPr>
            <w:tcW w:type="dxa" w:w="1440"/>
            <w:shd w:fill="FFDCE0" w:val="clear"/>
          </w:tcPr>
          <w:p>
            <w:r>
              <w:rPr>
                <w:b/>
                <w:sz w:val="17"/>
              </w:rPr>
              <w:t>1,630</w:t>
            </w:r>
          </w:p>
        </w:tc>
        <w:tc>
          <w:tcPr>
            <w:tcW w:type="dxa" w:w="1440"/>
            <w:shd w:fill="FFDCE0" w:val="clear"/>
          </w:tcPr>
          <w:p>
            <w:r>
              <w:rPr>
                <w:sz w:val="17"/>
              </w:rPr>
              <w:t>1,904</w:t>
            </w:r>
          </w:p>
        </w:tc>
        <w:tc>
          <w:tcPr>
            <w:tcW w:type="dxa" w:w="1440"/>
            <w:shd w:fill="FFDCE0" w:val="clear"/>
          </w:tcPr>
          <w:p>
            <w:r>
              <w:rPr>
                <w:b/>
                <w:color w:val="C00000"/>
                <w:sz w:val="17"/>
              </w:rPr>
              <w:t>-42.2%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 04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37,90 milliards FCFA, un niveau qui la positionne comme une valeur de taille moyenne sur la BRVM, mais qui contraste fortement avec la réalité économique de la société. Le BPA est négatif à -7 FCFA, ce qui signifie que chaque action détruite de la valeur pour son détenteur sur la base des bénéfices actuels. Le PER est par conséquent négatif (-392,5x), indiquant que les investisseurs paient un prix très élevé pour des pertes, ce qui est un signal extrêmement spéculatif. Le P/B de 106,24x est tout simplement exorbitant, le marché valorisant l'action plus de 100 fois sa valeur comptable, ce qui reflète des attentes de croissance future irrationnelles au regard des fondamentaux actuels. En l'absence d'EBITDA positif, le ratio EV/EBITDA ne peut être calculé, ce qui confirme l'incapacité de la société à générer de la rentabilité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spectaculaire de +50,80%, avec une dernière séance en hausse de +5,22% à 2 820 FCFA. Le titre a évolué dans une fourchette très large, entre un plus bas de 1 870 FCFA et un plus haut de 3 895 FCFA, illustrant une volatilité extrême et un comportement erratique. La moyenne du cours sur la période (2 993 FCFA) est très proche de la médiane (2 990 FCFA), ce qui indique une distribution relativement symétrique des prix. L'écart-type de 411 FCFA (CV = 13,7%) montre une dispersion modérée autour de la moyenne. Le kurtosis légèrement négatif (-0,049) suggère une distribution mésokurtique, sans risque de pics extrêmes, tandis que le skewness négatif (-0,335) indique une légère asymétrie vers les valeurs basses. La volatilité annualisée de 74,1% est extrêmement élevée, classant ce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(2 820 FCFA) est inférieur à la MM20 (3 016,5 FCFA) et à la MM50 (3 183,8 FCFA), confirmant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prix se situe à 2 820 FCFA, entre la borne inférieure (2 645 FCFA) et la borne supérieure (3 388 FCFA), proche de la zone basse. La décision "Neutre" s'explique par une position du cours dans la moitié inférieure des bandes, sans franchissement décisif, indiquant une volatilité modérée sans signal directionnel fort.</w:t>
      </w:r>
    </w:p>
    <w:p>
      <w:pPr>
        <w:spacing w:after="120" w:line="276" w:lineRule="auto"/>
      </w:pPr>
      <w:r>
        <w:t>**MACD :** La valeur du MACD (-135,44) est inférieure à son signal (-103,02), avec les deux indicateurs en territoire négatif. Cette configuration baissière confirme un momentum négatif, justifiant la décision de "Vente". La divergence négative suggère que la pression vendeuse s'accentue.</w:t>
      </w:r>
    </w:p>
    <w:p>
      <w:pPr>
        <w:spacing w:after="120" w:line="276" w:lineRule="auto"/>
      </w:pPr>
      <w:r>
        <w:t>**RSI :** Le RSI à 37,39 se situe dans la zone neutre (30-70), mais proche de la zone de survente (&lt;30). La décision "Neutre" est appropriée, mais ce niveau indique que le titre s'approche d'une zone potentiellement survendue, ce qui pourrait précéder un rebond technique.</w:t>
      </w:r>
    </w:p>
    <w:p>
      <w:pPr>
        <w:spacing w:after="120" w:line="276" w:lineRule="auto"/>
      </w:pPr>
      <w:r>
        <w:t>**Stochastique :** Le %K (27,18) est supérieur au %D (16,32), indiquant un croisement haussier potentiel en zone de survente. La décision "Neutre" reflète cette situation ambiguë où un rebond technique est possible, mais sans confirmation claire d'un retournement de tendance.</w:t>
      </w:r>
    </w:p>
    <w:p>
      <w:pPr>
        <w:spacing w:after="120" w:line="276" w:lineRule="auto"/>
      </w:pPr>
      <w:r>
        <w:t>**Conclusion technique :** La convergence des indicateurs (MM, MACD) vers des signaux de vente contraste avec les signaux neutres des oscillateurs (RSI, Stochastique) qui approchent des zones de survente. Cette divergence suggère une faiblesse persistante à moyen terme, mais avec un potentiel de rebond technique à court terme. La prudence reste de mise, la tendance dominante étant clairement baissière.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Le chiffre d'affaires s'établit à 3,878 milliards FCFA, mais la société enregistre une perte nette de -96,56 millions FCFA, avec un EBE négatif de -650 millions FCFA et un résultat d'exploitation de -771,95 millions FCFA. Le ROE est profondément négatif à -27,07% et le ROA à -1,77%, démontrant une incapacité à générer du rendement sur les capitaux investis. La structure financière est fragile avec une autonomie financière de seulement 6,55% (capitaux propres de 356,75 millions FCFA pour un total bilan de 5,447 milliards FCFA). Le BFR négatif de -930 millions FCFA est un point positif, indiquant que la société finance son exploitation grâce à ses fournisseurs. **Les rapports trimestriels 2025** montrent une reprise d'activité significative : le CA du S1 2025 atteint 2,271 milliards FCFA (+290% vs S1 2024), porté par les travaux de l'aéroport d'Abidjan, avec une prévision annuelle de 4 milliards FCFA. Cependant, la perte nette semestrielle s'aggrave à -557 millions FCFA, et le résultat financier s'effondre à 4 millions FCFA contre 271 millions au S1 2024. **Les rapports historiques** (2020-2021) montrent que la société était rentable avec un résultat net de 2,32 milliards FCFA en 2020 et 1,12 milliard en 2021, mais la chute a été brutale depuis 2023. La trésorerie nette positive de 1,33 milliard FCFA est le seul point rassurant, mais elle est consommée par les pertes opérationnelles récurrentes.</w:t>
      </w:r>
    </w:p>
    <w:p>
      <w:pPr>
        <w:spacing w:after="120" w:line="276" w:lineRule="auto"/>
      </w:pPr>
      <w:r>
        <w:t>---</w:t>
      </w:r>
    </w:p>
    <w:p>
      <w:pPr>
        <w:spacing w:after="120" w:line="276" w:lineRule="auto"/>
      </w:pPr>
      <w:r>
        <w:t>### PARTIE 4 : CONCLUSION D'INVESTISSEMENT</w:t>
      </w:r>
    </w:p>
    <w:p>
      <w:pPr>
        <w:spacing w:after="120" w:line="276" w:lineRule="auto"/>
      </w:pPr>
      <w:r>
        <w:t>La valorisation de STAC est totalement déconnectée des fondamentaux, avec un PER négatif et un P/B de 106x qui traduisent une surévaluation flagrante. Le comportement du cours, avec une volatilité annualisée de 74,1% et une tendance récente baissière malgré un rebond de +50,8% sur 100 jours, est préoccupant et typique d'une valeur spéculative. Les signaux techniques sont majoritairement baissiers (MM, MACD), avec des oscillateurs neutres approchant la survente, indiquant une faiblesse persistante. Les fondamentaux montrent une entreprise en perte récurrente, mais avec une reprise d'activité portée par le chantier de l'aéroport d'Abidjan, sans toutefois atteindre la rentabilité. Les prédictions IA (2 620 FCFA à J+1, 2 007 FCFA à J+10) confirment la tendance baissière et anticipent une poursuite de la chute du cours. La convergence entre la surévaluation, les signaux techniques négatifs et les prédictions IA est frappante. **Recommandation finale : VENTE FORTE** avec un niveau de confiance Élevé, un risque global Élevé, et un horizon d'investissement optimal à court terme (&lt;3 mois) pour les investisseurs cherchant à limiter leurs pertes. Les investisseurs spéculatifs pourraient surveiller un éventuel rebond technique, mais la détérioration des fondamentaux et la trajectoire prédite rendent toute position longue extrêmement risquée.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3,204 titres</w:t>
            </w:r>
          </w:p>
        </w:tc>
        <w:tc>
          <w:tcPr>
            <w:tcW w:type="dxa" w:w="2268"/>
            <w:shd w:fill="FFF2CC" w:val="clear"/>
          </w:tcPr>
          <w:p>
            <w:r>
              <w:rPr>
                <w:b/>
                <w:color w:val="503200"/>
                <w:sz w:val="16"/>
              </w:rPr>
              <w:t xml:space="preserve">Cours actuel : </w:t>
            </w:r>
            <w:r>
              <w:rPr>
                <w:color w:val="000000"/>
                <w:sz w:val="17"/>
              </w:rPr>
              <w:t>23,985 FCFA</w:t>
            </w:r>
          </w:p>
          <w:p>
            <w:r>
              <w:rPr>
                <w:b/>
                <w:color w:val="503200"/>
                <w:sz w:val="16"/>
              </w:rPr>
              <w:t xml:space="preserve">Var. 100 jours : </w:t>
            </w:r>
            <w:r>
              <w:rPr>
                <w:b/>
                <w:color w:val="007800"/>
                <w:sz w:val="17"/>
              </w:rPr>
              <w:t>+11.82%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5.67% (Moyenne) — μ=22,008 FCFA, σ=1,248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β=0.4153 (Défensif) — Cov=0.000015, Var(idx)=0.000036, ρ=0.140,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7289"/>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22,962</w:t>
            </w:r>
          </w:p>
        </w:tc>
        <w:tc>
          <w:tcPr>
            <w:tcW w:type="dxa" w:w="1440"/>
            <w:shd w:fill="FAFAFA" w:val="clear"/>
          </w:tcPr>
          <w:p>
            <w:r>
              <w:rPr>
                <w:b/>
                <w:sz w:val="17"/>
              </w:rPr>
              <w:t>23,949</w:t>
            </w:r>
          </w:p>
        </w:tc>
        <w:tc>
          <w:tcPr>
            <w:tcW w:type="dxa" w:w="1440"/>
            <w:shd w:fill="FAFAFA" w:val="clear"/>
          </w:tcPr>
          <w:p>
            <w:r>
              <w:rPr>
                <w:sz w:val="17"/>
              </w:rPr>
              <w:t>24,935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22,774</w:t>
            </w:r>
          </w:p>
        </w:tc>
        <w:tc>
          <w:tcPr>
            <w:tcW w:type="dxa" w:w="1440"/>
            <w:shd w:fill="FAFAFA" w:val="clear"/>
          </w:tcPr>
          <w:p>
            <w:r>
              <w:rPr>
                <w:b/>
                <w:sz w:val="17"/>
              </w:rPr>
              <w:t>24,183</w:t>
            </w:r>
          </w:p>
        </w:tc>
        <w:tc>
          <w:tcPr>
            <w:tcW w:type="dxa" w:w="1440"/>
            <w:shd w:fill="FAFAFA" w:val="clear"/>
          </w:tcPr>
          <w:p>
            <w:r>
              <w:rPr>
                <w:sz w:val="17"/>
              </w:rPr>
              <w:t>25,591</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22,661</w:t>
            </w:r>
          </w:p>
        </w:tc>
        <w:tc>
          <w:tcPr>
            <w:tcW w:type="dxa" w:w="1440"/>
            <w:shd w:fill="FAFAFA" w:val="clear"/>
          </w:tcPr>
          <w:p>
            <w:r>
              <w:rPr>
                <w:b/>
                <w:sz w:val="17"/>
              </w:rPr>
              <w:t>24,402</w:t>
            </w:r>
          </w:p>
        </w:tc>
        <w:tc>
          <w:tcPr>
            <w:tcW w:type="dxa" w:w="1440"/>
            <w:shd w:fill="FAFAFA" w:val="clear"/>
          </w:tcPr>
          <w:p>
            <w:r>
              <w:rPr>
                <w:sz w:val="17"/>
              </w:rPr>
              <w:t>26,142</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2026-08-10</w:t>
            </w:r>
          </w:p>
        </w:tc>
        <w:tc>
          <w:tcPr>
            <w:tcW w:type="dxa" w:w="1440"/>
            <w:shd w:fill="C6EFCE" w:val="clear"/>
          </w:tcPr>
          <w:p>
            <w:r>
              <w:rPr>
                <w:sz w:val="17"/>
              </w:rPr>
              <w:t>22,594</w:t>
            </w:r>
          </w:p>
        </w:tc>
        <w:tc>
          <w:tcPr>
            <w:tcW w:type="dxa" w:w="1440"/>
            <w:shd w:fill="C6EFCE" w:val="clear"/>
          </w:tcPr>
          <w:p>
            <w:r>
              <w:rPr>
                <w:b/>
                <w:sz w:val="17"/>
              </w:rPr>
              <w:t>24,622</w:t>
            </w:r>
          </w:p>
        </w:tc>
        <w:tc>
          <w:tcPr>
            <w:tcW w:type="dxa" w:w="1440"/>
            <w:shd w:fill="C6EFCE" w:val="clear"/>
          </w:tcPr>
          <w:p>
            <w:r>
              <w:rPr>
                <w:sz w:val="17"/>
              </w:rPr>
              <w:t>26,650</w:t>
            </w:r>
          </w:p>
        </w:tc>
        <w:tc>
          <w:tcPr>
            <w:tcW w:type="dxa" w:w="1440"/>
            <w:shd w:fill="C6EFCE" w:val="clear"/>
          </w:tcPr>
          <w:p>
            <w:r>
              <w:rPr>
                <w:b/>
                <w:color w:val="008000"/>
                <w:sz w:val="17"/>
              </w:rPr>
              <w:t>+2.7%</w:t>
            </w:r>
          </w:p>
        </w:tc>
      </w:tr>
      <w:tr>
        <w:tc>
          <w:tcPr>
            <w:tcW w:type="dxa" w:w="1440"/>
            <w:shd w:fill="C6EFCE" w:val="clear"/>
          </w:tcPr>
          <w:p>
            <w:r>
              <w:rPr>
                <w:sz w:val="17"/>
              </w:rPr>
              <w:t>J+5  ⭐</w:t>
            </w:r>
          </w:p>
        </w:tc>
        <w:tc>
          <w:tcPr>
            <w:tcW w:type="dxa" w:w="1440"/>
            <w:shd w:fill="C6EFCE" w:val="clear"/>
          </w:tcPr>
          <w:p>
            <w:r>
              <w:rPr>
                <w:sz w:val="17"/>
              </w:rPr>
              <w:t>2026-08-11</w:t>
            </w:r>
          </w:p>
        </w:tc>
        <w:tc>
          <w:tcPr>
            <w:tcW w:type="dxa" w:w="1440"/>
            <w:shd w:fill="C6EFCE" w:val="clear"/>
          </w:tcPr>
          <w:p>
            <w:r>
              <w:rPr>
                <w:sz w:val="17"/>
              </w:rPr>
              <w:t>22,561</w:t>
            </w:r>
          </w:p>
        </w:tc>
        <w:tc>
          <w:tcPr>
            <w:tcW w:type="dxa" w:w="1440"/>
            <w:shd w:fill="C6EFCE" w:val="clear"/>
          </w:tcPr>
          <w:p>
            <w:r>
              <w:rPr>
                <w:b/>
                <w:sz w:val="17"/>
              </w:rPr>
              <w:t>24,849</w:t>
            </w:r>
          </w:p>
        </w:tc>
        <w:tc>
          <w:tcPr>
            <w:tcW w:type="dxa" w:w="1440"/>
            <w:shd w:fill="C6EFCE" w:val="clear"/>
          </w:tcPr>
          <w:p>
            <w:r>
              <w:rPr>
                <w:sz w:val="17"/>
              </w:rPr>
              <w:t>27,138</w:t>
            </w:r>
          </w:p>
        </w:tc>
        <w:tc>
          <w:tcPr>
            <w:tcW w:type="dxa" w:w="1440"/>
            <w:shd w:fill="C6EFCE" w:val="clear"/>
          </w:tcPr>
          <w:p>
            <w:r>
              <w:rPr>
                <w:b/>
                <w:color w:val="008000"/>
                <w:sz w:val="17"/>
              </w:rPr>
              <w:t>+3.6%</w:t>
            </w:r>
          </w:p>
        </w:tc>
      </w:tr>
      <w:tr>
        <w:tc>
          <w:tcPr>
            <w:tcW w:type="dxa" w:w="1440"/>
            <w:shd w:fill="C6EFCE" w:val="clear"/>
          </w:tcPr>
          <w:p>
            <w:r>
              <w:rPr>
                <w:sz w:val="17"/>
              </w:rPr>
              <w:t>J+6  ⭐</w:t>
            </w:r>
          </w:p>
        </w:tc>
        <w:tc>
          <w:tcPr>
            <w:tcW w:type="dxa" w:w="1440"/>
            <w:shd w:fill="C6EFCE" w:val="clear"/>
          </w:tcPr>
          <w:p>
            <w:r>
              <w:rPr>
                <w:sz w:val="17"/>
              </w:rPr>
              <w:t>2026-08-12</w:t>
            </w:r>
          </w:p>
        </w:tc>
        <w:tc>
          <w:tcPr>
            <w:tcW w:type="dxa" w:w="1440"/>
            <w:shd w:fill="C6EFCE" w:val="clear"/>
          </w:tcPr>
          <w:p>
            <w:r>
              <w:rPr>
                <w:sz w:val="17"/>
              </w:rPr>
              <w:t>22,553</w:t>
            </w:r>
          </w:p>
        </w:tc>
        <w:tc>
          <w:tcPr>
            <w:tcW w:type="dxa" w:w="1440"/>
            <w:shd w:fill="C6EFCE" w:val="clear"/>
          </w:tcPr>
          <w:p>
            <w:r>
              <w:rPr>
                <w:b/>
                <w:sz w:val="17"/>
              </w:rPr>
              <w:t>25,083</w:t>
            </w:r>
          </w:p>
        </w:tc>
        <w:tc>
          <w:tcPr>
            <w:tcW w:type="dxa" w:w="1440"/>
            <w:shd w:fill="C6EFCE" w:val="clear"/>
          </w:tcPr>
          <w:p>
            <w:r>
              <w:rPr>
                <w:sz w:val="17"/>
              </w:rPr>
              <w:t>27,614</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2026-08-13</w:t>
            </w:r>
          </w:p>
        </w:tc>
        <w:tc>
          <w:tcPr>
            <w:tcW w:type="dxa" w:w="1440"/>
            <w:shd w:fill="C6EFCE" w:val="clear"/>
          </w:tcPr>
          <w:p>
            <w:r>
              <w:rPr>
                <w:sz w:val="17"/>
              </w:rPr>
              <w:t>22,556</w:t>
            </w:r>
          </w:p>
        </w:tc>
        <w:tc>
          <w:tcPr>
            <w:tcW w:type="dxa" w:w="1440"/>
            <w:shd w:fill="C6EFCE" w:val="clear"/>
          </w:tcPr>
          <w:p>
            <w:r>
              <w:rPr>
                <w:b/>
                <w:sz w:val="17"/>
              </w:rPr>
              <w:t>25,315</w:t>
            </w:r>
          </w:p>
        </w:tc>
        <w:tc>
          <w:tcPr>
            <w:tcW w:type="dxa" w:w="1440"/>
            <w:shd w:fill="C6EFCE" w:val="clear"/>
          </w:tcPr>
          <w:p>
            <w:r>
              <w:rPr>
                <w:sz w:val="17"/>
              </w:rPr>
              <w:t>28,073</w:t>
            </w:r>
          </w:p>
        </w:tc>
        <w:tc>
          <w:tcPr>
            <w:tcW w:type="dxa" w:w="1440"/>
            <w:shd w:fill="C6EFCE" w:val="clear"/>
          </w:tcPr>
          <w:p>
            <w:r>
              <w:rPr>
                <w:b/>
                <w:color w:val="008000"/>
                <w:sz w:val="17"/>
              </w:rPr>
              <w:t>+5.5%</w:t>
            </w:r>
          </w:p>
        </w:tc>
      </w:tr>
      <w:tr>
        <w:tc>
          <w:tcPr>
            <w:tcW w:type="dxa" w:w="1440"/>
            <w:shd w:fill="C6EFCE" w:val="clear"/>
          </w:tcPr>
          <w:p>
            <w:r>
              <w:rPr>
                <w:sz w:val="17"/>
              </w:rPr>
              <w:t>J+8  ⭐</w:t>
            </w:r>
          </w:p>
        </w:tc>
        <w:tc>
          <w:tcPr>
            <w:tcW w:type="dxa" w:w="1440"/>
            <w:shd w:fill="C6EFCE" w:val="clear"/>
          </w:tcPr>
          <w:p>
            <w:r>
              <w:rPr>
                <w:sz w:val="17"/>
              </w:rPr>
              <w:t>2026-08-14</w:t>
            </w:r>
          </w:p>
        </w:tc>
        <w:tc>
          <w:tcPr>
            <w:tcW w:type="dxa" w:w="1440"/>
            <w:shd w:fill="C6EFCE" w:val="clear"/>
          </w:tcPr>
          <w:p>
            <w:r>
              <w:rPr>
                <w:sz w:val="17"/>
              </w:rPr>
              <w:t>22,573</w:t>
            </w:r>
          </w:p>
        </w:tc>
        <w:tc>
          <w:tcPr>
            <w:tcW w:type="dxa" w:w="1440"/>
            <w:shd w:fill="C6EFCE" w:val="clear"/>
          </w:tcPr>
          <w:p>
            <w:r>
              <w:rPr>
                <w:b/>
                <w:sz w:val="17"/>
              </w:rPr>
              <w:t>25,550</w:t>
            </w:r>
          </w:p>
        </w:tc>
        <w:tc>
          <w:tcPr>
            <w:tcW w:type="dxa" w:w="1440"/>
            <w:shd w:fill="C6EFCE" w:val="clear"/>
          </w:tcPr>
          <w:p>
            <w:r>
              <w:rPr>
                <w:sz w:val="17"/>
              </w:rPr>
              <w:t>28,526</w:t>
            </w:r>
          </w:p>
        </w:tc>
        <w:tc>
          <w:tcPr>
            <w:tcW w:type="dxa" w:w="1440"/>
            <w:shd w:fill="C6EFCE" w:val="clear"/>
          </w:tcPr>
          <w:p>
            <w:r>
              <w:rPr>
                <w:b/>
                <w:color w:val="008000"/>
                <w:sz w:val="17"/>
              </w:rPr>
              <w:t>+6.5%</w:t>
            </w:r>
          </w:p>
        </w:tc>
      </w:tr>
      <w:tr>
        <w:tc>
          <w:tcPr>
            <w:tcW w:type="dxa" w:w="1440"/>
            <w:shd w:fill="C6EFCE" w:val="clear"/>
          </w:tcPr>
          <w:p>
            <w:r>
              <w:rPr>
                <w:sz w:val="17"/>
              </w:rPr>
              <w:t>J+9  ⭐</w:t>
            </w:r>
          </w:p>
        </w:tc>
        <w:tc>
          <w:tcPr>
            <w:tcW w:type="dxa" w:w="1440"/>
            <w:shd w:fill="C6EFCE" w:val="clear"/>
          </w:tcPr>
          <w:p>
            <w:r>
              <w:rPr>
                <w:sz w:val="17"/>
              </w:rPr>
              <w:t>2026-08-17</w:t>
            </w:r>
          </w:p>
        </w:tc>
        <w:tc>
          <w:tcPr>
            <w:tcW w:type="dxa" w:w="1440"/>
            <w:shd w:fill="C6EFCE" w:val="clear"/>
          </w:tcPr>
          <w:p>
            <w:r>
              <w:rPr>
                <w:sz w:val="17"/>
              </w:rPr>
              <w:t>22,593</w:t>
            </w:r>
          </w:p>
        </w:tc>
        <w:tc>
          <w:tcPr>
            <w:tcW w:type="dxa" w:w="1440"/>
            <w:shd w:fill="C6EFCE" w:val="clear"/>
          </w:tcPr>
          <w:p>
            <w:r>
              <w:rPr>
                <w:b/>
                <w:sz w:val="17"/>
              </w:rPr>
              <w:t>25,778</w:t>
            </w:r>
          </w:p>
        </w:tc>
        <w:tc>
          <w:tcPr>
            <w:tcW w:type="dxa" w:w="1440"/>
            <w:shd w:fill="C6EFCE" w:val="clear"/>
          </w:tcPr>
          <w:p>
            <w:r>
              <w:rPr>
                <w:sz w:val="17"/>
              </w:rPr>
              <w:t>28,963</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2026-08-18</w:t>
            </w:r>
          </w:p>
        </w:tc>
        <w:tc>
          <w:tcPr>
            <w:tcW w:type="dxa" w:w="1440"/>
            <w:shd w:fill="C6EFCE" w:val="clear"/>
          </w:tcPr>
          <w:p>
            <w:r>
              <w:rPr>
                <w:sz w:val="17"/>
              </w:rPr>
              <w:t>22,629</w:t>
            </w:r>
          </w:p>
        </w:tc>
        <w:tc>
          <w:tcPr>
            <w:tcW w:type="dxa" w:w="1440"/>
            <w:shd w:fill="C6EFCE" w:val="clear"/>
          </w:tcPr>
          <w:p>
            <w:r>
              <w:rPr>
                <w:b/>
                <w:sz w:val="17"/>
              </w:rPr>
              <w:t>26,018</w:t>
            </w:r>
          </w:p>
        </w:tc>
        <w:tc>
          <w:tcPr>
            <w:tcW w:type="dxa" w:w="1440"/>
            <w:shd w:fill="C6EFCE" w:val="clear"/>
          </w:tcPr>
          <w:p>
            <w:r>
              <w:rPr>
                <w:sz w:val="17"/>
              </w:rPr>
              <w:t>29,406</w:t>
            </w:r>
          </w:p>
        </w:tc>
        <w:tc>
          <w:tcPr>
            <w:tcW w:type="dxa" w:w="1440"/>
            <w:shd w:fill="C6EFCE" w:val="clear"/>
          </w:tcPr>
          <w:p>
            <w:r>
              <w:rPr>
                <w:b/>
                <w:color w:val="008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 SITAB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430,65 milliards FCFA, STBC se positionne comme une valeur de première ligne sur la BRVM, représentant un poids significatif dans l'indice. Le BPA de 2 014 FCFA indique que chaque action génère un bénéfice substantiel, justifiant un PER de 11,9x, légèrement au-dessus de la moyenne historique de la place (~8-12x), ce qui traduit une valorisation raisonnable mais non bradée. En revanche, le P/B de 9,50x est particulièrement élevé, signifiant que le marché valorise fortement les actifs nets de l'entreprise, bien au-delà de leur valeur comptable, ce qui reflète une prime de qualité et de rentabilité. Enfin, un EV/EBITDA de 8,6x indique que la valeur totale de l'entreprise (capitalisation + dette nette) représente 8,6 fois son potentiel opérationnel brut, un niveau jugé modéré et cohérent avec une société générant des flux de trésorerie stables.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affiché une progression totale de +11,82%, avec une accélération notable lors de la dernière séance (+3,38%), portant le cours à 23 985 FCFA. Le titre a évolué dans une fourchette de 19 705 FCFA (plus bas) à 25 000 FCFA (plus haut), démontrant une amplitude de trading importante. La moyenne du cours sur la période (22 008 FCFA) est supérieure à la médiane (21 692 FCFA), et le skewness positif (0,666) confirme une distribution asymétrique avec une concentration de séances sous la moyenne, mais des épisodes de hausse marqués. L'écart-type de 1 254 FCFA (CV de 5,7%) indique une dispersion modérée, tandis qu'un kurtosis de -0,465 (mésokurtique) suggère l'absence de pics de volatilité extrêmes. La volatilité annualisée de 28,1% classe le titre dans une zone de risque modéré à élevé, typique des valeurs de croissance sur ce marché.</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(23 985 FCFA) se situe au-dessus de sa MM20 (23 560,75 FCFA) et de sa MM50 (22 888,8 FCFA). Cette configuration haussière, où les moyennes sont orientées à la hausse et le prix au-dessus, génère un signal d'achat, indiquant une dynamique positive à court et moyen terme.</w:t>
      </w:r>
    </w:p>
    <w:p>
      <w:pPr>
        <w:spacing w:after="120" w:line="276" w:lineRule="auto"/>
      </w:pPr>
      <w:r>
        <w:t>**Bandes de Bollinger**: Le prix évolue entre la borne inférieure (22 396,69 FCFA) et la borne supérieure (24 724,81 FCFA), se positionnant dans la moitié supérieure de l'enveloppe. La largeur des bandes suggère une volatilité normale. La décision est neutre, le cours n'étant pas en situation de surachat ou de survente extrême.</w:t>
      </w:r>
    </w:p>
    <w:p>
      <w:pPr>
        <w:spacing w:after="120" w:line="276" w:lineRule="auto"/>
      </w:pPr>
      <w:r>
        <w:t>**MACD**: La ligne MACD (69,77) est passée sous sa ligne de signal (124,46), formant un croisement baissier. Bien que les deux indicateurs restent en territoire positif, ce croisement signale un affaiblissement du momentum haussier à court terme, justifiant une décision de vente.</w:t>
      </w:r>
    </w:p>
    <w:p>
      <w:pPr>
        <w:spacing w:after="120" w:line="276" w:lineRule="auto"/>
      </w:pPr>
      <w:r>
        <w:t>**RSI**: Avec une valeur de 48,11, le RSI se situe en zone neutre (entre 30 et 70), indiquant un équilibre entre pressions acheteuses et vendeuses. Aucune condition de surachat ou de survente n'est détectée, ce qui laisse une marge de manœuvre dans les deux sens.</w:t>
      </w:r>
    </w:p>
    <w:p>
      <w:pPr>
        <w:spacing w:after="120" w:line="276" w:lineRule="auto"/>
      </w:pPr>
      <w:r>
        <w:t>**Stochastique**: Le %K (100,0) est extrêmement élevé et nettement au-dessus du %D (66,12), signalant une condition de surachat très prononcée. Ce niveau suggère un risque de correction technique imminente, justifiant une décision de vente pour les traders à court terme.</w:t>
      </w:r>
    </w:p>
    <w:p>
      <w:pPr>
        <w:spacing w:after="120" w:line="276" w:lineRule="auto"/>
      </w:pPr>
      <w:r>
        <w:t>**Conclusion technique**: Les signaux sont mitigés. La tendance de fond portée par les moyennes mobiles reste haussière, mais les oscillateurs (MACD, Stochastique) montrent une perte de momentum et des conditions de surachat. Un repli technique vers la zone des 23 500-23 600 FCFA (MM20) est possible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STBC (SITAB) a réalisé un chiffre d'affaires de 268,537 milliards FCFA, en croissance de +25,3% par rapport à 2024. Le résultat net s'établit à 36,158 milliards FCFA, en baisse de 18,1% par rapport à l'exercice précédent (44,17 Mds FCFA), illustrant une pression sur les marges. La marge nette ressort à 13,46%, contre 20,4% en 2024, tandis que le ROE reste exceptionnel à 79,75% et le ROA à 48,09%, démontrant une utilisation très efficace des capitaux propres et des actifs. En tant qu'entreprise de distribution, le BFR est positif (5,639 Mds FCFA), avec un délai clients de 42,57 jours, un niveau acceptable. La structure financière est saine avec une autonomie financière de 60,3% et une trésorerie nette de 30,763 milliards FCFA, malgré une baisse par rapport à 2024 (48,2 Mds). Les rapports trimestriels 2025 montrent une année en deux temps : un S1 très solide (CA +41,8%, RN +87,3%) porté par les hausses de prix, suivi d'un T4 difficile (RN -74%) à cause de la hausse des droits d'accises. Pour 2026, le rapport T1 (publié en 2026) indique un CA de 68,8 milliards FCFA (+12%) et un résultat net stable à 9,3 milliards FCFA, suggérant une stabilisation. On estime que l'exercice 2026 pourrait voir un résultat net autour de 36-38 milliards FCFA si la maîtrise des coûts s'améliore. La politique de dividende reste très généreuse (taux de distribution &gt;100% en 2025), un point de vigilance pour la soutenabilité.</w:t>
      </w:r>
    </w:p>
    <w:p>
      <w:pPr>
        <w:spacing w:after="120" w:line="276" w:lineRule="auto"/>
      </w:pPr>
      <w:r>
        <w:t>---</w:t>
      </w:r>
    </w:p>
    <w:p>
      <w:pPr>
        <w:spacing w:after="120" w:line="276" w:lineRule="auto"/>
      </w:pPr>
      <w:r>
        <w:t>### PARTIE 4 : CONCLUSION D'INVESTISSEMENT</w:t>
      </w:r>
    </w:p>
    <w:p>
      <w:pPr>
        <w:spacing w:after="120" w:line="276" w:lineRule="auto"/>
      </w:pPr>
      <w:r>
        <w:t>La valorisation de STBC (PER 11,9x, P/B 9,5x) est exigeante mais justifiée par une rentabilité hors norme (ROE 79,75%), même si le marché semble déjà intégrer une normalisation des bénéfices. Le comportement du cours sur 100 jours est positif (+11,82%), avec une volatilité modérée (28,1%) et une asymétrie favorable, mais les statistiques suggèrent une possible consolidation après la récente hausse. Les signaux techniques sont divergents : la tendance de fond (MM) est haussière, mais les oscillateurs (MACD, Stochastique) signalent un essoufflement à court terme. Les fondamentaux restent solides, portés par une croissance du CA et une absence de dette, mais la dégradation des marges et la politique de dividende excessive sont des risques à surveiller. Les prédictions IA (24 849 FCFA à J+10) confirment une poursuite de la hausse, en cohérence avec la tendance des moyennes mobiles. En synthèse, nous recommandons **CONSERVER** le titre. La convergence entre la solidité fondamentale et la tendance haussière est contrebalancée par les signaux techniques de surachat et les risques sur la rentabilité future. Le niveau de confiance est **Moyen** et le risque global **Moyen**. L'horizon d'investissement optimal est le **moyen terme (3-12 mois)**, en attendant une meilleure visibilité sur la maîtrise des coûts et la stabilisation des marges.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9,547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007800"/>
                <w:sz w:val="17"/>
              </w:rPr>
              <w:t>+2.05%</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3.24% (Faible) — μ=2,848 FCFA, σ=92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β=-0.0258 (Contre-cyclique) — Cov=-0.000001, Var(idx)=0.000036, ρ=-0.006,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9,547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5477"/>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2026-08-04</w:t>
            </w:r>
          </w:p>
        </w:tc>
        <w:tc>
          <w:tcPr>
            <w:tcW w:type="dxa" w:w="1440"/>
            <w:shd w:fill="FAFAFA" w:val="clear"/>
          </w:tcPr>
          <w:p>
            <w:r>
              <w:rPr>
                <w:sz w:val="17"/>
              </w:rPr>
              <w:t>2,841</w:t>
            </w:r>
          </w:p>
        </w:tc>
        <w:tc>
          <w:tcPr>
            <w:tcW w:type="dxa" w:w="1440"/>
            <w:shd w:fill="FAFAFA" w:val="clear"/>
          </w:tcPr>
          <w:p>
            <w:r>
              <w:rPr>
                <w:b/>
                <w:sz w:val="17"/>
              </w:rPr>
              <w:t>2,989</w:t>
            </w:r>
          </w:p>
        </w:tc>
        <w:tc>
          <w:tcPr>
            <w:tcW w:type="dxa" w:w="1440"/>
            <w:shd w:fill="FAFAFA" w:val="clear"/>
          </w:tcPr>
          <w:p>
            <w:r>
              <w:rPr>
                <w:sz w:val="17"/>
              </w:rPr>
              <w:t>3,137</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2026-08-05</w:t>
            </w:r>
          </w:p>
        </w:tc>
        <w:tc>
          <w:tcPr>
            <w:tcW w:type="dxa" w:w="1440"/>
            <w:shd w:fill="FAFAFA" w:val="clear"/>
          </w:tcPr>
          <w:p>
            <w:r>
              <w:rPr>
                <w:sz w:val="17"/>
              </w:rPr>
              <w:t>2,771</w:t>
            </w:r>
          </w:p>
        </w:tc>
        <w:tc>
          <w:tcPr>
            <w:tcW w:type="dxa" w:w="1440"/>
            <w:shd w:fill="FAFAFA" w:val="clear"/>
          </w:tcPr>
          <w:p>
            <w:r>
              <w:rPr>
                <w:b/>
                <w:sz w:val="17"/>
              </w:rPr>
              <w:t>2,980</w:t>
            </w:r>
          </w:p>
        </w:tc>
        <w:tc>
          <w:tcPr>
            <w:tcW w:type="dxa" w:w="1440"/>
            <w:shd w:fill="FAFAFA" w:val="clear"/>
          </w:tcPr>
          <w:p>
            <w:r>
              <w:rPr>
                <w:sz w:val="17"/>
              </w:rPr>
              <w:t>3,190</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2026-08-06</w:t>
            </w:r>
          </w:p>
        </w:tc>
        <w:tc>
          <w:tcPr>
            <w:tcW w:type="dxa" w:w="1440"/>
            <w:shd w:fill="FAFAFA" w:val="clear"/>
          </w:tcPr>
          <w:p>
            <w:r>
              <w:rPr>
                <w:sz w:val="17"/>
              </w:rPr>
              <w:t>2,715</w:t>
            </w:r>
          </w:p>
        </w:tc>
        <w:tc>
          <w:tcPr>
            <w:tcW w:type="dxa" w:w="1440"/>
            <w:shd w:fill="FAFAFA" w:val="clear"/>
          </w:tcPr>
          <w:p>
            <w:r>
              <w:rPr>
                <w:b/>
                <w:sz w:val="17"/>
              </w:rPr>
              <w:t>2,971</w:t>
            </w:r>
          </w:p>
        </w:tc>
        <w:tc>
          <w:tcPr>
            <w:tcW w:type="dxa" w:w="1440"/>
            <w:shd w:fill="FAFAFA" w:val="clear"/>
          </w:tcPr>
          <w:p>
            <w:r>
              <w:rPr>
                <w:sz w:val="17"/>
              </w:rPr>
              <w:t>3,226</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2,669</w:t>
            </w:r>
          </w:p>
        </w:tc>
        <w:tc>
          <w:tcPr>
            <w:tcW w:type="dxa" w:w="1440"/>
            <w:shd w:fill="FAFAFA" w:val="clear"/>
          </w:tcPr>
          <w:p>
            <w:r>
              <w:rPr>
                <w:b/>
                <w:sz w:val="17"/>
              </w:rPr>
              <w:t>2,963</w:t>
            </w:r>
          </w:p>
        </w:tc>
        <w:tc>
          <w:tcPr>
            <w:tcW w:type="dxa" w:w="1440"/>
            <w:shd w:fill="FAFAFA" w:val="clear"/>
          </w:tcPr>
          <w:p>
            <w:r>
              <w:rPr>
                <w:sz w:val="17"/>
              </w:rPr>
              <w:t>3,257</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2026-08-11</w:t>
            </w:r>
          </w:p>
        </w:tc>
        <w:tc>
          <w:tcPr>
            <w:tcW w:type="dxa" w:w="1440"/>
            <w:shd w:fill="FAFAFA" w:val="clear"/>
          </w:tcPr>
          <w:p>
            <w:r>
              <w:rPr>
                <w:sz w:val="17"/>
              </w:rPr>
              <w:t>2,629</w:t>
            </w:r>
          </w:p>
        </w:tc>
        <w:tc>
          <w:tcPr>
            <w:tcW w:type="dxa" w:w="1440"/>
            <w:shd w:fill="FAFAFA" w:val="clear"/>
          </w:tcPr>
          <w:p>
            <w:r>
              <w:rPr>
                <w:b/>
                <w:sz w:val="17"/>
              </w:rPr>
              <w:t>2,957</w:t>
            </w:r>
          </w:p>
        </w:tc>
        <w:tc>
          <w:tcPr>
            <w:tcW w:type="dxa" w:w="1440"/>
            <w:shd w:fill="FAFAFA" w:val="clear"/>
          </w:tcPr>
          <w:p>
            <w:r>
              <w:rPr>
                <w:sz w:val="17"/>
              </w:rPr>
              <w:t>3,285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2026-08-12</w:t>
            </w:r>
          </w:p>
        </w:tc>
        <w:tc>
          <w:tcPr>
            <w:tcW w:type="dxa" w:w="1440"/>
            <w:shd w:fill="FAFAFA" w:val="clear"/>
          </w:tcPr>
          <w:p>
            <w:r>
              <w:rPr>
                <w:sz w:val="17"/>
              </w:rPr>
              <w:t>2,592</w:t>
            </w:r>
          </w:p>
        </w:tc>
        <w:tc>
          <w:tcPr>
            <w:tcW w:type="dxa" w:w="1440"/>
            <w:shd w:fill="FAFAFA" w:val="clear"/>
          </w:tcPr>
          <w:p>
            <w:r>
              <w:rPr>
                <w:b/>
                <w:sz w:val="17"/>
              </w:rPr>
              <w:t>2,951</w:t>
            </w:r>
          </w:p>
        </w:tc>
        <w:tc>
          <w:tcPr>
            <w:tcW w:type="dxa" w:w="1440"/>
            <w:shd w:fill="FAFAFA" w:val="clear"/>
          </w:tcPr>
          <w:p>
            <w:r>
              <w:rPr>
                <w:sz w:val="17"/>
              </w:rPr>
              <w:t>3,309</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2026-08-13</w:t>
            </w:r>
          </w:p>
        </w:tc>
        <w:tc>
          <w:tcPr>
            <w:tcW w:type="dxa" w:w="1440"/>
            <w:shd w:fill="FAFAFA" w:val="clear"/>
          </w:tcPr>
          <w:p>
            <w:r>
              <w:rPr>
                <w:sz w:val="17"/>
              </w:rPr>
              <w:t>2,558</w:t>
            </w:r>
          </w:p>
        </w:tc>
        <w:tc>
          <w:tcPr>
            <w:tcW w:type="dxa" w:w="1440"/>
            <w:shd w:fill="FAFAFA" w:val="clear"/>
          </w:tcPr>
          <w:p>
            <w:r>
              <w:rPr>
                <w:b/>
                <w:sz w:val="17"/>
              </w:rPr>
              <w:t>2,945</w:t>
            </w:r>
          </w:p>
        </w:tc>
        <w:tc>
          <w:tcPr>
            <w:tcW w:type="dxa" w:w="1440"/>
            <w:shd w:fill="FAFAFA" w:val="clear"/>
          </w:tcPr>
          <w:p>
            <w:r>
              <w:rPr>
                <w:sz w:val="17"/>
              </w:rPr>
              <w:t>3,331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2026-08-14</w:t>
            </w:r>
          </w:p>
        </w:tc>
        <w:tc>
          <w:tcPr>
            <w:tcW w:type="dxa" w:w="1440"/>
            <w:shd w:fill="FAFAFA" w:val="clear"/>
          </w:tcPr>
          <w:p>
            <w:r>
              <w:rPr>
                <w:sz w:val="17"/>
              </w:rPr>
              <w:t>2,526</w:t>
            </w:r>
          </w:p>
        </w:tc>
        <w:tc>
          <w:tcPr>
            <w:tcW w:type="dxa" w:w="1440"/>
            <w:shd w:fill="FAFAFA" w:val="clear"/>
          </w:tcPr>
          <w:p>
            <w:r>
              <w:rPr>
                <w:b/>
                <w:sz w:val="17"/>
              </w:rPr>
              <w:t>2,939</w:t>
            </w:r>
          </w:p>
        </w:tc>
        <w:tc>
          <w:tcPr>
            <w:tcW w:type="dxa" w:w="1440"/>
            <w:shd w:fill="FAFAFA" w:val="clear"/>
          </w:tcPr>
          <w:p>
            <w:r>
              <w:rPr>
                <w:sz w:val="17"/>
              </w:rPr>
              <w:t>3,352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2026-08-17</w:t>
            </w:r>
          </w:p>
        </w:tc>
        <w:tc>
          <w:tcPr>
            <w:tcW w:type="dxa" w:w="1440"/>
            <w:shd w:fill="FAFAFA" w:val="clear"/>
          </w:tcPr>
          <w:p>
            <w:r>
              <w:rPr>
                <w:sz w:val="17"/>
              </w:rPr>
              <w:t>2,497</w:t>
            </w:r>
          </w:p>
        </w:tc>
        <w:tc>
          <w:tcPr>
            <w:tcW w:type="dxa" w:w="1440"/>
            <w:shd w:fill="FAFAFA" w:val="clear"/>
          </w:tcPr>
          <w:p>
            <w:r>
              <w:rPr>
                <w:b/>
                <w:sz w:val="17"/>
              </w:rPr>
              <w:t>2,933</w:t>
            </w:r>
          </w:p>
        </w:tc>
        <w:tc>
          <w:tcPr>
            <w:tcW w:type="dxa" w:w="1440"/>
            <w:shd w:fill="FAFAFA" w:val="clear"/>
          </w:tcPr>
          <w:p>
            <w:r>
              <w:rPr>
                <w:sz w:val="17"/>
              </w:rPr>
              <w:t>3,370</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2,468</w:t>
            </w:r>
          </w:p>
        </w:tc>
        <w:tc>
          <w:tcPr>
            <w:tcW w:type="dxa" w:w="1440"/>
            <w:shd w:fill="FFDCE0" w:val="clear"/>
          </w:tcPr>
          <w:p>
            <w:r>
              <w:rPr>
                <w:b/>
                <w:sz w:val="17"/>
              </w:rPr>
              <w:t>2,928</w:t>
            </w:r>
          </w:p>
        </w:tc>
        <w:tc>
          <w:tcPr>
            <w:tcW w:type="dxa" w:w="1440"/>
            <w:shd w:fill="FFDCE0" w:val="clear"/>
          </w:tcPr>
          <w:p>
            <w:r>
              <w:rPr>
                <w:sz w:val="17"/>
              </w:rPr>
              <w:t>3,387</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188,26 milliards FCFA, ce qui en fait une valeur de première ligne sur la BRVM, représentative du secteur énergétique ivoirien. Avec un BPA de 144 FCFA, le titre se négocie à un PER de 20,7x, nettement supérieur à la moyenne historique de la BRVM (8-12x). Cette prime significative suggère que le marché intègre des attentes de croissance future ou une prime de qualité pour ce leader sectoriel. Le P/B de 5,20x confirme cette valorisation exigeante, le marché payant plus de 5 fois la valeur comptable des actifs, tandis que l'EV/EBITDA de 10,9x, bien que dans la fourchette haute (10-15x), indique que la valeur d'entreprise reste soutenable par la capacité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modeste de +2,05%, avec une dernière séance en hausse de +0,50% à 2 990 FCFA. Le cours a évolué dans un range relativement étroit de 2 650 à 3 060 FCFA, démontrant une stabilité remarquable. La moyenne (2 848 FCFA) et la médiane (2 855 FCFA) étant quasi identiques, la distribution des prix est symétrique, confirmée par un skewness de -0,160. L'écart-type de 93 FCFA (CV=3,3%) indique une dispersion très faible, et le kurtosis de -0,605 (mésokurtique) suggère l'absence de risques extrêmes de pics ou de krachs soudains. La volatilité annualisée de 38,6% est élevée, mais elle contraste avec la stabilité observée sur la période, suggérant des épisodes de tension ponctuels plutôt qu'une tendance de fond. Globalement, la tendance est stable avec un biais légèrement haussier.</w:t>
      </w:r>
    </w:p>
    <w:p>
      <w:pPr>
        <w:spacing w:after="120" w:line="276" w:lineRule="auto"/>
      </w:pPr>
      <w:r>
        <w:t>---</w:t>
      </w:r>
    </w:p>
    <w:p>
      <w:pPr>
        <w:spacing w:after="120" w:line="276" w:lineRule="auto"/>
      </w:pPr>
      <w:r>
        <w:t>### PARTIE 2 : ANALYSE TECHNIQUE DÉTAILLÉE</w:t>
      </w:r>
    </w:p>
    <w:p>
      <w:pPr>
        <w:spacing w:after="120" w:line="276" w:lineRule="auto"/>
      </w:pPr>
      <w:r>
        <w:t>**Moyennes Mobiles :** La MM20 (2 923,25 FCFA) est inférieure au cours actuel (2 990 FCFA), et la MM50 (2 891,8 FCFA) l'est également, formant une configuration haussière. Le cours évolue au-dessus de ses deux moyennes, ce qui confirme une dynamique positive à court et moyen terme. La décision d'achat est justifiée par cette structure de prix favorable.</w:t>
      </w:r>
    </w:p>
    <w:p>
      <w:pPr>
        <w:spacing w:after="120" w:line="276" w:lineRule="auto"/>
      </w:pPr>
      <w:r>
        <w:t>**Bandes de Bollinger :** Le cours se situe à 2 990 FCFA, entre la borne inférieure (2 775,99 FCFA) et la borne supérieure (3 070,52 FCFA), proche du milieu de la bande. Cela indique une volatilité modérée et un mouvement de prix sans excès. La décision neutre est appropriée, le titre n'étant ni suracheté ni survendu selon cet indicateur.</w:t>
      </w:r>
    </w:p>
    <w:p>
      <w:pPr>
        <w:spacing w:after="120" w:line="276" w:lineRule="auto"/>
      </w:pPr>
      <w:r>
        <w:t>**MACD :** Le MACD (20,44) est supérieur à son signal (19,75), avec un écart positif de 0,69. Cette configuration haussière indique un momentum positif en faveur des acheteurs. La décision d'achat est cohérente avec cette dynamique, bien que l'écart reste modeste, suggérant une prudence relative.</w:t>
      </w:r>
    </w:p>
    <w:p>
      <w:pPr>
        <w:spacing w:after="120" w:line="276" w:lineRule="auto"/>
      </w:pPr>
      <w:r>
        <w:t>**RSI :** Le RSI à 52,60 se situe en zone neutre (30-70), indiquant un équilibre entre pression acheteuse et vendeuse. Cette valeur ne signale ni surachat ni survente, justifiant une décision neutre. Le marché semble attendre un catalyseur pour orienter la tendance.</w:t>
      </w:r>
    </w:p>
    <w:p>
      <w:pPr>
        <w:spacing w:after="120" w:line="276" w:lineRule="auto"/>
      </w:pPr>
      <w:r>
        <w:t>**Stochastique :** Le %K (95,65) est très élevé et nettement supérieur au %D (61,59), signalant une condition de surachat extrême. Cette configuration suggère un risque de correction à court terme, d'où la décision de vente. Le croisement baissier potentiel du %K sous le %D serait un signal de retournement.</w:t>
      </w:r>
    </w:p>
    <w:p>
      <w:pPr>
        <w:spacing w:after="120" w:line="276" w:lineRule="auto"/>
      </w:pPr>
      <w:r>
        <w:t>**Conclusion technique :** Les indicateurs de tendance (MM, MACD) sont positifs, mais les oscillateurs de momentum (RSI neutre, Stochastique suracheté) suggèrent une possible consolidation à court terme. La divergence entre les signaux de tendance et de momentum appelle à la prudence, avec un biais haussier à moyen terme mais un risque de repli technique immédiat.</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baisse de 5,2% par rapport à 2024 (621,0 milliards FCFA), mais le résultat net s'établit à 9,087 milliards FCFA, contre 9,374 milliards en 2024, soit une contraction limitée à 3%. La marge nette s'améliore légèrement à 1,54%, et le ROE demeure excellent à 25,1%, tandis que le ROA atteint 4,82%. Le BFR négatif de -9,662 milliards FCFA est un signal très favorable, indiquant que la société finance son exploitation grâce aux délais fournisseurs (49,72 jours) et une rotation rapide des stocks (13,80 jours). Cependant, la trésorerie nette est négative à -21,926 milliards FCFA, avec des dettes financières totales de 32,665 milliards FCFA, soit une capacité de remboursement de 1,71 an. Les rapports trimestriels 2025 (S1 : CA de 296,8 milliards, RN de 4,79 milliards ; 9 mois : CA de 438,2 milliards, RN de 6,52 milliards) confirment la tendance baissière, mais le rapport T1 2026 (daté de 2026) montre un redressement avec un CA de 154,392 milliards FCFA (+4,3%) et un RN de 2,329 milliards FCFA (+5,5%). On estime que l'exercice 2026 pourrait renouer avec une croissance modérée, portée par l'expansion du réseau (182 stations) et la diversification vers le GPL et les lubrifiants. La politique de dividende reste généreuse (taux de distribution &gt;100% en 2025), soutenue par une CAF solide de 19,106 milliards FCFA.</w:t>
      </w:r>
    </w:p>
    <w:p>
      <w:pPr>
        <w:spacing w:after="120" w:line="276" w:lineRule="auto"/>
      </w:pPr>
      <w:r>
        <w:t>---</w:t>
      </w:r>
    </w:p>
    <w:p>
      <w:pPr>
        <w:spacing w:after="120" w:line="276" w:lineRule="auto"/>
      </w:pPr>
      <w:r>
        <w:t>### PARTIE 4 : CONCLUSION D'INVESTISSEMENT</w:t>
      </w:r>
    </w:p>
    <w:p>
      <w:pPr>
        <w:spacing w:after="120" w:line="276" w:lineRule="auto"/>
      </w:pPr>
      <w:r>
        <w:t>La valorisation de TTLC (PER 20,7x, P/B 5,2x) est exigeante, reflétant une prime de qualité pour un leader du secteur, mais elle laisse peu de marge de sécurité. Le comportement du cours est stable et symétrique, avec une volatilité annualisée élevée mais sans risque de distribution extrême (kurtosis mésokurtique). Les signaux techniques sont mitigés : tendance haussière (MM, MACD) mais risque de correction à court terme (Stochastique suracheté). Fondamentalement, la société affiche une rentabilité exceptionnelle (ROE 25,1%) et un BFR négatif favorable, malgré une trésorerie nette dégradée et un chiffre d'affaires en repli en 2025. Les prédictions IA pour les 10 prochains jours (2 989 à 2 957 FCFA) suggèrent une légère correction, cohérente avec le signal de surachat technique. La convergence entre la valorisation élevée, les signaux techniques mitigés et les fondamentaux solides mais en décélération justifie une recommandation de **CONSERVER**. Le niveau de confiance est **Moyen**, le risque global est **Moyen**, et l'horizon d'investissement optimal est le **moyen terme (3-12 mois)**, en attendant une amélioration confirmée de la croissance du chiffre d'affaires et une stabilisation de la trésorerie.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119.07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2,910 titres</w:t>
            </w:r>
          </w:p>
        </w:tc>
        <w:tc>
          <w:tcPr>
            <w:tcW w:type="dxa" w:w="2268"/>
            <w:shd w:fill="FFF2CC" w:val="clear"/>
          </w:tcPr>
          <w:p>
            <w:r>
              <w:rPr>
                <w:b/>
                <w:color w:val="503200"/>
                <w:sz w:val="16"/>
              </w:rPr>
              <w:t xml:space="preserve">Cours actuel : </w:t>
            </w:r>
            <w:r>
              <w:rPr>
                <w:color w:val="000000"/>
                <w:sz w:val="17"/>
              </w:rPr>
              <w:t>3,655 FCFA</w:t>
            </w:r>
          </w:p>
          <w:p>
            <w:r>
              <w:rPr>
                <w:b/>
                <w:color w:val="503200"/>
                <w:sz w:val="16"/>
              </w:rPr>
              <w:t xml:space="preserve">Var. 100 jours : </w:t>
            </w:r>
            <w:r>
              <w:rPr>
                <w:b/>
                <w:color w:val="007800"/>
                <w:sz w:val="17"/>
              </w:rPr>
              <w:t>+10.76%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μ=3,425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β=1.3371 (Agressif) — Cov=0.000048, Var(idx)=0.000036, ρ=0.256,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05477"/>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2026-08-04</w:t>
            </w:r>
          </w:p>
        </w:tc>
        <w:tc>
          <w:tcPr>
            <w:tcW w:type="dxa" w:w="1440"/>
            <w:shd w:fill="FFDCE0" w:val="clear"/>
          </w:tcPr>
          <w:p>
            <w:r>
              <w:rPr>
                <w:sz w:val="17"/>
              </w:rPr>
              <w:t>3,338</w:t>
            </w:r>
          </w:p>
        </w:tc>
        <w:tc>
          <w:tcPr>
            <w:tcW w:type="dxa" w:w="1440"/>
            <w:shd w:fill="FFDCE0" w:val="clear"/>
          </w:tcPr>
          <w:p>
            <w:r>
              <w:rPr>
                <w:b/>
                <w:sz w:val="17"/>
              </w:rPr>
              <w:t>3,541</w:t>
            </w:r>
          </w:p>
        </w:tc>
        <w:tc>
          <w:tcPr>
            <w:tcW w:type="dxa" w:w="1440"/>
            <w:shd w:fill="FFDCE0" w:val="clear"/>
          </w:tcPr>
          <w:p>
            <w:r>
              <w:rPr>
                <w:sz w:val="17"/>
              </w:rPr>
              <w:t>3,744</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2026-08-05</w:t>
            </w:r>
          </w:p>
        </w:tc>
        <w:tc>
          <w:tcPr>
            <w:tcW w:type="dxa" w:w="1440"/>
            <w:shd w:fill="FFDCE0" w:val="clear"/>
          </w:tcPr>
          <w:p>
            <w:r>
              <w:rPr>
                <w:sz w:val="17"/>
              </w:rPr>
              <w:t>3,203</w:t>
            </w:r>
          </w:p>
        </w:tc>
        <w:tc>
          <w:tcPr>
            <w:tcW w:type="dxa" w:w="1440"/>
            <w:shd w:fill="FFDCE0" w:val="clear"/>
          </w:tcPr>
          <w:p>
            <w:r>
              <w:rPr>
                <w:b/>
                <w:sz w:val="17"/>
              </w:rPr>
              <w:t>3,486</w:t>
            </w:r>
          </w:p>
        </w:tc>
        <w:tc>
          <w:tcPr>
            <w:tcW w:type="dxa" w:w="1440"/>
            <w:shd w:fill="FFDCE0" w:val="clear"/>
          </w:tcPr>
          <w:p>
            <w:r>
              <w:rPr>
                <w:sz w:val="17"/>
              </w:rPr>
              <w:t>3,769</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2026-08-06</w:t>
            </w:r>
          </w:p>
        </w:tc>
        <w:tc>
          <w:tcPr>
            <w:tcW w:type="dxa" w:w="1440"/>
            <w:shd w:fill="FFDCE0" w:val="clear"/>
          </w:tcPr>
          <w:p>
            <w:r>
              <w:rPr>
                <w:sz w:val="17"/>
              </w:rPr>
              <w:t>3,096</w:t>
            </w:r>
          </w:p>
        </w:tc>
        <w:tc>
          <w:tcPr>
            <w:tcW w:type="dxa" w:w="1440"/>
            <w:shd w:fill="FFDCE0" w:val="clear"/>
          </w:tcPr>
          <w:p>
            <w:r>
              <w:rPr>
                <w:b/>
                <w:sz w:val="17"/>
              </w:rPr>
              <w:t>3,438</w:t>
            </w:r>
          </w:p>
        </w:tc>
        <w:tc>
          <w:tcPr>
            <w:tcW w:type="dxa" w:w="1440"/>
            <w:shd w:fill="FFDCE0" w:val="clear"/>
          </w:tcPr>
          <w:p>
            <w:r>
              <w:rPr>
                <w:sz w:val="17"/>
              </w:rPr>
              <w:t>3,780</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2026-08-10</w:t>
            </w:r>
          </w:p>
        </w:tc>
        <w:tc>
          <w:tcPr>
            <w:tcW w:type="dxa" w:w="1440"/>
            <w:shd w:fill="FFDCE0" w:val="clear"/>
          </w:tcPr>
          <w:p>
            <w:r>
              <w:rPr>
                <w:sz w:val="17"/>
              </w:rPr>
              <w:t>3,007</w:t>
            </w:r>
          </w:p>
        </w:tc>
        <w:tc>
          <w:tcPr>
            <w:tcW w:type="dxa" w:w="1440"/>
            <w:shd w:fill="FFDCE0" w:val="clear"/>
          </w:tcPr>
          <w:p>
            <w:r>
              <w:rPr>
                <w:b/>
                <w:sz w:val="17"/>
              </w:rPr>
              <w:t>3,397</w:t>
            </w:r>
          </w:p>
        </w:tc>
        <w:tc>
          <w:tcPr>
            <w:tcW w:type="dxa" w:w="1440"/>
            <w:shd w:fill="FFDCE0" w:val="clear"/>
          </w:tcPr>
          <w:p>
            <w:r>
              <w:rPr>
                <w:sz w:val="17"/>
              </w:rPr>
              <w:t>3,787</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2,928</w:t>
            </w:r>
          </w:p>
        </w:tc>
        <w:tc>
          <w:tcPr>
            <w:tcW w:type="dxa" w:w="1440"/>
            <w:shd w:fill="FFDCE0" w:val="clear"/>
          </w:tcPr>
          <w:p>
            <w:r>
              <w:rPr>
                <w:b/>
                <w:sz w:val="17"/>
              </w:rPr>
              <w:t>3,359</w:t>
            </w:r>
          </w:p>
        </w:tc>
        <w:tc>
          <w:tcPr>
            <w:tcW w:type="dxa" w:w="1440"/>
            <w:shd w:fill="FFDCE0" w:val="clear"/>
          </w:tcPr>
          <w:p>
            <w:r>
              <w:rPr>
                <w:sz w:val="17"/>
              </w:rPr>
              <w:t>3,790</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2,856</w:t>
            </w:r>
          </w:p>
        </w:tc>
        <w:tc>
          <w:tcPr>
            <w:tcW w:type="dxa" w:w="1440"/>
            <w:shd w:fill="FFDCE0" w:val="clear"/>
          </w:tcPr>
          <w:p>
            <w:r>
              <w:rPr>
                <w:b/>
                <w:sz w:val="17"/>
              </w:rPr>
              <w:t>3,324</w:t>
            </w:r>
          </w:p>
        </w:tc>
        <w:tc>
          <w:tcPr>
            <w:tcW w:type="dxa" w:w="1440"/>
            <w:shd w:fill="FFDCE0" w:val="clear"/>
          </w:tcPr>
          <w:p>
            <w:r>
              <w:rPr>
                <w:sz w:val="17"/>
              </w:rPr>
              <w:t>3,791</w:t>
            </w:r>
          </w:p>
        </w:tc>
        <w:tc>
          <w:tcPr>
            <w:tcW w:type="dxa" w:w="1440"/>
            <w:shd w:fill="FFDCE0" w:val="clear"/>
          </w:tcPr>
          <w:p>
            <w:r>
              <w:rPr>
                <w:b/>
                <w:color w:val="C00000"/>
                <w:sz w:val="17"/>
              </w:rPr>
              <w:t>-9.1%</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2,791</w:t>
            </w:r>
          </w:p>
        </w:tc>
        <w:tc>
          <w:tcPr>
            <w:tcW w:type="dxa" w:w="1440"/>
            <w:shd w:fill="FFDCE0" w:val="clear"/>
          </w:tcPr>
          <w:p>
            <w:r>
              <w:rPr>
                <w:b/>
                <w:sz w:val="17"/>
              </w:rPr>
              <w:t>3,291</w:t>
            </w:r>
          </w:p>
        </w:tc>
        <w:tc>
          <w:tcPr>
            <w:tcW w:type="dxa" w:w="1440"/>
            <w:shd w:fill="FFDCE0" w:val="clear"/>
          </w:tcPr>
          <w:p>
            <w:r>
              <w:rPr>
                <w:sz w:val="17"/>
              </w:rPr>
              <w:t>3,791</w:t>
            </w:r>
          </w:p>
        </w:tc>
        <w:tc>
          <w:tcPr>
            <w:tcW w:type="dxa" w:w="1440"/>
            <w:shd w:fill="FFDCE0" w:val="clear"/>
          </w:tcPr>
          <w:p>
            <w:r>
              <w:rPr>
                <w:b/>
                <w:color w:val="C00000"/>
                <w:sz w:val="17"/>
              </w:rPr>
              <w:t>-10.0%</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2,731</w:t>
            </w:r>
          </w:p>
        </w:tc>
        <w:tc>
          <w:tcPr>
            <w:tcW w:type="dxa" w:w="1440"/>
            <w:shd w:fill="FFDCE0" w:val="clear"/>
          </w:tcPr>
          <w:p>
            <w:r>
              <w:rPr>
                <w:b/>
                <w:sz w:val="17"/>
              </w:rPr>
              <w:t>3,260</w:t>
            </w:r>
          </w:p>
        </w:tc>
        <w:tc>
          <w:tcPr>
            <w:tcW w:type="dxa" w:w="1440"/>
            <w:shd w:fill="FFDCE0" w:val="clear"/>
          </w:tcPr>
          <w:p>
            <w:r>
              <w:rPr>
                <w:sz w:val="17"/>
              </w:rPr>
              <w:t>3,790</w:t>
            </w:r>
          </w:p>
        </w:tc>
        <w:tc>
          <w:tcPr>
            <w:tcW w:type="dxa" w:w="1440"/>
            <w:shd w:fill="FFDCE0" w:val="clear"/>
          </w:tcPr>
          <w:p>
            <w:r>
              <w:rPr>
                <w:b/>
                <w:color w:val="C00000"/>
                <w:sz w:val="17"/>
              </w:rPr>
              <w:t>-10.8%</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2,675</w:t>
            </w:r>
          </w:p>
        </w:tc>
        <w:tc>
          <w:tcPr>
            <w:tcW w:type="dxa" w:w="1440"/>
            <w:shd w:fill="FFDCE0" w:val="clear"/>
          </w:tcPr>
          <w:p>
            <w:r>
              <w:rPr>
                <w:b/>
                <w:sz w:val="17"/>
              </w:rPr>
              <w:t>3,231</w:t>
            </w:r>
          </w:p>
        </w:tc>
        <w:tc>
          <w:tcPr>
            <w:tcW w:type="dxa" w:w="1440"/>
            <w:shd w:fill="FFDCE0" w:val="clear"/>
          </w:tcPr>
          <w:p>
            <w:r>
              <w:rPr>
                <w:sz w:val="17"/>
              </w:rPr>
              <w:t>3,788</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2,622</w:t>
            </w:r>
          </w:p>
        </w:tc>
        <w:tc>
          <w:tcPr>
            <w:tcW w:type="dxa" w:w="1440"/>
            <w:shd w:fill="FFDCE0" w:val="clear"/>
          </w:tcPr>
          <w:p>
            <w:r>
              <w:rPr>
                <w:b/>
                <w:sz w:val="17"/>
              </w:rPr>
              <w:t>3,204</w:t>
            </w:r>
          </w:p>
        </w:tc>
        <w:tc>
          <w:tcPr>
            <w:tcW w:type="dxa" w:w="1440"/>
            <w:shd w:fill="FFDCE0" w:val="clear"/>
          </w:tcPr>
          <w:p>
            <w:r>
              <w:rPr>
                <w:sz w:val="17"/>
              </w:rPr>
              <w:t>3,786</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119,07 milliards FCFA, ce qui en fait une valeur de taille moyenne sur la BRVM, représentant un profil de liquidité correct mais non majeur. Le BPA de 208 FCFA indique que chaque action génère un bénéfice modeste, cohérent avec une activité de distribution pétrolière à faibles marges. Le PER de 17,6x est nettement supérieur à la moyenne historique de la BRVM (8-12x), signalant que les investisseurs acceptent de payer une prime significative pour la qualité perçue du titre et sa stabilité actionnariale. Le P/B de 4,22x confirme cette prime, le marché valorisant le titre bien au-delà de sa valeur comptable, ce qui reflète des attentes de rendement élevées. Enfin, l'EV/EBITDA de 7,5x, dans la fourchette raisonnable de 5-10x, tempère cette lecture en indiquant que la valeur d'entreprise reste cohérente avec la capacité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+10,76%, avec une dernière séance stable (+0,00%), témoignant d'une tendance globalement haussière sur la période. Le cours a évolué dans un range de trading très large, oscillant entre un plus bas de 2 845 FCFA et un plus haut de 4 500 FCFA, soit une amplitude de plus de 58%, illustrant une volatilité marquée. La moyenne du cours (3 425 FCFA) est supérieure à la médiane (3 350 FCFA), et le skewness positif de 1,023 indique une distribution asymétrique avec des journées plus fréquentes sous la moyenne, mais des épisodes de hausse prononcés. Le kurtosis de 0,483 (mésokurtique) suggère une distribution proche de la normale, sans risque de pics extrêmes particulier. L'écart-type de 372 FCFA (CV=10,9%) révèle une dispersion modérée autour de la moyenne, tandis que la volatilité annualisée de 49,4% classe le titre dans la catégorie des valeurs à forte volatilité, un paramètre essentiel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3 655 FCFA se situe sous la MM20 (3 939,5 FCFA) et sous la MM50 (3 691,9 FCFA), indiquant une pression vendeuse à court terme. La décision technique est "Achat", ce qui semble contre-intuitif au premier abord, mais s'explique par la configuration des moyennes mobiles qui pourraient signaler un retournement haussier imminent si le cours parvient à repasser au-dessus de la MM50.</w:t>
      </w:r>
    </w:p>
    <w:p>
      <w:pPr>
        <w:spacing w:after="120" w:line="276" w:lineRule="auto"/>
      </w:pPr>
      <w:r>
        <w:t>**Bandes de Bollinger** : Le prix évolue entre la borne inférieure (3 341,2 FCFA) et la borne supérieure (4 537,8 FCFA), mais se rapproche dangereusement de la borne inférieure, suggérant une phase de faiblesse relative. La décision "Neutre" est cohérente avec une volatilité qui se contracte, le cours cherchant un nouveau point d'équilibre après une période de forte amplitude.</w:t>
      </w:r>
    </w:p>
    <w:p>
      <w:pPr>
        <w:spacing w:after="120" w:line="276" w:lineRule="auto"/>
      </w:pPr>
      <w:r>
        <w:t>**MACD** : La valeur négative du MACD (-38,764) par rapport au signal (16,686) confirme une dynamique baissière à moyen terme, avec un momentum négatif qui s'accentue. La décision "Vente" est justifiée par cette divergence négative, indiquant que la pression vendeuse domine actuellement, même si le cours reste au-dessus de ses plus bas récents.</w:t>
      </w:r>
    </w:p>
    <w:p>
      <w:pPr>
        <w:spacing w:after="120" w:line="276" w:lineRule="auto"/>
      </w:pPr>
      <w:r>
        <w:t>**RSI** : Avec une valeur de 20,818, le RSI est en zone de survente (&lt;30), signalant que le titre est techniquement survendu et qu'un rebond technique est probable à court terme. La décision "Achat" est pertinente, car les conditions de survente offrent souvent des opportunités d'entrée pour les investisseurs opportunistes.</w:t>
      </w:r>
    </w:p>
    <w:p>
      <w:pPr>
        <w:spacing w:after="120" w:line="276" w:lineRule="auto"/>
      </w:pPr>
      <w:r>
        <w:t>**Stochastique** : Le %K (6,522) et le %D (4,423) sont tous deux en zone de survente profonde, avec un croisement haussier potentiel en formation. La décision "Achat" est cohérente avec cette configuration, suggérant que le mouvement baissier s'essouffle et qu'un retournement est possible.</w:t>
      </w:r>
    </w:p>
    <w:p>
      <w:pPr>
        <w:spacing w:after="120" w:line="276" w:lineRule="auto"/>
      </w:pPr>
      <w:r>
        <w:t>**Conclusion technique** : Les indicateurs sont partagés entre des signaux de vente à moyen terme (MACD, position sous les MM) et des signaux d'achat à court terme (RSI, Stochastique en survente). Cette divergence suggère une phase de consolidation avec un risque de rebond technique, mais sans confirmation claire d'un retournement durable. La prudence reste de mise, le titre étant dans une zone de transition.</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avec un résultat net de 6,779 milliards FCFA, en repli de 5,1%. La marge nette ressort à 1,49%, typique du secteur de distribution pétrolière, tandis que le ROE de 24,01% est excellent (&gt;15%), démontrant une utilisation efficace des capitaux propres (28,239 milliards FCFA). Le ROA de 3,95% reste modéré, reflétant la lourdeur du bilan (171,778 milliards FCFA). En tant qu'entreprise, TTLS présente un BFR négatif de -36,899 milliards FCFA, un signal très favorable indiquant que la société finance son exploitation grâce aux délais fournisseurs (97,76 jours) nettement supérieurs aux délais clients (47,43 jours). Le free cash flow de 17,483 milliards FCFA et la trésorerie nette de 13,941 milliards FCFA confirment une solidité financière renforcée. Les rapports trimestriels 2025 (T1, S1, T3) montrent une amélioration continue du résultat d'exploitation (+22% au S1), malgré la baisse du CA liée à l'arrêt du fuel lourd. Le rapport T1 2026, analysé le 4 mai 2026, indique une baisse du CA de 10% à 99,9 milliards FCFA due à la révision des prix à la pompe, mais un résultat net en hausse de 5% à 1,585 milliard FCFA grâce à l'amélioration des marges sur les lubrifiants. On estime que l'exercice 2026 devrait maintenir une rentabilité stable, portée par la diversification vers les segments à plus forte valeur ajoutée (GPL, lubrifiants, export), malgré la pression réglementaire sur les prix des carburants.</w:t>
      </w:r>
    </w:p>
    <w:p>
      <w:pPr>
        <w:spacing w:after="120" w:line="276" w:lineRule="auto" w:before="240"/>
      </w:pPr>
      <w:r>
        <w:rPr>
          <w:b/>
          <w:color w:val="003366"/>
          <w:sz w:val="24"/>
        </w:rPr>
        <w:t>**PARTIE 4 : CONCLUSION D'INVESTISSEMENT**</w:t>
      </w:r>
    </w:p>
    <w:p>
      <w:pPr>
        <w:spacing w:after="120" w:line="276" w:lineRule="auto"/>
      </w:pPr>
      <w:r>
        <w:t>La valorisation de TTLS (PER 17,6x, P/B 4,22x) indique une prime significative par rapport au marché BRVM, reflétant la qualité perçue du titre, mais limitant le potentiel de hausse à court terme. Le comportement du cours sur 100 jours montre une tendance haussière (+10,76%) mais avec une volatilité très élevée (49,4%) et une distribution asymétrique positive, signalant des risques de corrections brutales. Les signaux techniques sont divergents : les indicateurs de momentum (MACD) sont baissiers, tandis que les oscillateurs (RSI, Stochastique) sont en survente, suggérant un possible rebond technique mais sans confirmation de retournement durable. Les fondamentaux restent solides avec un ROE de 24%, un BFR négatif favorable et une trésorerie nette positive, mais la baisse du CA et la pression réglementaire au Sénégal pèsent sur les perspectives de croissance. Les prédictions IA (3 541 à 3 359 FCFA sur 10 jours) confirment une trajectoire baissière à court terme, cohérente avec les signaux techniques. La convergence entre la surévaluation relative, les signaux techniques baissiers et les prédictions IA conduit à une recommandation de **CONSERVER** avec un niveau de confiance **Moyen**. Le risque global est **Élevé** en raison de la volatilité et de la dépendance réglementaire. L'horizon d'investissement optimal est le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51,020 FCFA</w:t>
            </w:r>
          </w:p>
          <w:p>
            <w:r>
              <w:rPr>
                <w:b/>
                <w:color w:val="503200"/>
                <w:sz w:val="16"/>
              </w:rPr>
              <w:t xml:space="preserve">Var. 100 jours : </w:t>
            </w:r>
            <w:r>
              <w:rPr>
                <w:b/>
                <w:color w:val="B40000"/>
                <w:sz w:val="17"/>
              </w:rPr>
              <w:t>-31.05%</w:t>
            </w:r>
          </w:p>
          <w:p>
            <w:r>
              <w:rPr>
                <w:b/>
                <w:color w:val="503200"/>
                <w:sz w:val="16"/>
              </w:rPr>
              <w:t xml:space="preserve">Plus haut 100j : </w:t>
            </w:r>
            <w:r>
              <w:rPr>
                <w:color w:val="000000"/>
                <w:sz w:val="17"/>
              </w:rPr>
              <w:t>73,995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8.92% (Moyenne) — μ=58,055 FCFA, σ=5,178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β=2.2510 (Très agressif) — Cov=0.000081, Var(idx)=0.000036, ρ=0.311,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σ_j=4.34%/j (Modérée) — Vol. annualisée≈69.0%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2026-08-04</w:t>
            </w:r>
          </w:p>
        </w:tc>
        <w:tc>
          <w:tcPr>
            <w:tcW w:type="dxa" w:w="1440"/>
            <w:shd w:fill="C6EFCE" w:val="clear"/>
          </w:tcPr>
          <w:p>
            <w:r>
              <w:rPr>
                <w:sz w:val="17"/>
              </w:rPr>
              <w:t>50,189</w:t>
            </w:r>
          </w:p>
        </w:tc>
        <w:tc>
          <w:tcPr>
            <w:tcW w:type="dxa" w:w="1440"/>
            <w:shd w:fill="C6EFCE" w:val="clear"/>
          </w:tcPr>
          <w:p>
            <w:r>
              <w:rPr>
                <w:b/>
                <w:sz w:val="17"/>
              </w:rPr>
              <w:t>53,245</w:t>
            </w:r>
          </w:p>
        </w:tc>
        <w:tc>
          <w:tcPr>
            <w:tcW w:type="dxa" w:w="1440"/>
            <w:shd w:fill="C6EFCE" w:val="clear"/>
          </w:tcPr>
          <w:p>
            <w:r>
              <w:rPr>
                <w:sz w:val="17"/>
              </w:rPr>
              <w:t>56,302</w:t>
            </w:r>
          </w:p>
        </w:tc>
        <w:tc>
          <w:tcPr>
            <w:tcW w:type="dxa" w:w="1440"/>
            <w:shd w:fill="C6EFCE" w:val="clear"/>
          </w:tcPr>
          <w:p>
            <w:r>
              <w:rPr>
                <w:b/>
                <w:color w:val="008000"/>
                <w:sz w:val="17"/>
              </w:rPr>
              <w:t>+4.4%</w:t>
            </w:r>
          </w:p>
        </w:tc>
      </w:tr>
      <w:tr>
        <w:tc>
          <w:tcPr>
            <w:tcW w:type="dxa" w:w="1440"/>
            <w:shd w:fill="C6EFCE" w:val="clear"/>
          </w:tcPr>
          <w:p>
            <w:r>
              <w:rPr>
                <w:sz w:val="17"/>
              </w:rPr>
              <w:t>J+2  ⭐</w:t>
            </w:r>
          </w:p>
        </w:tc>
        <w:tc>
          <w:tcPr>
            <w:tcW w:type="dxa" w:w="1440"/>
            <w:shd w:fill="C6EFCE" w:val="clear"/>
          </w:tcPr>
          <w:p>
            <w:r>
              <w:rPr>
                <w:sz w:val="17"/>
              </w:rPr>
              <w:t>2026-08-05</w:t>
            </w:r>
          </w:p>
        </w:tc>
        <w:tc>
          <w:tcPr>
            <w:tcW w:type="dxa" w:w="1440"/>
            <w:shd w:fill="C6EFCE" w:val="clear"/>
          </w:tcPr>
          <w:p>
            <w:r>
              <w:rPr>
                <w:sz w:val="17"/>
              </w:rPr>
              <w:t>49,146</w:t>
            </w:r>
          </w:p>
        </w:tc>
        <w:tc>
          <w:tcPr>
            <w:tcW w:type="dxa" w:w="1440"/>
            <w:shd w:fill="C6EFCE" w:val="clear"/>
          </w:tcPr>
          <w:p>
            <w:r>
              <w:rPr>
                <w:b/>
                <w:sz w:val="17"/>
              </w:rPr>
              <w:t>53,488</w:t>
            </w:r>
          </w:p>
        </w:tc>
        <w:tc>
          <w:tcPr>
            <w:tcW w:type="dxa" w:w="1440"/>
            <w:shd w:fill="C6EFCE" w:val="clear"/>
          </w:tcPr>
          <w:p>
            <w:r>
              <w:rPr>
                <w:sz w:val="17"/>
              </w:rPr>
              <w:t>57,831</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2026-08-06</w:t>
            </w:r>
          </w:p>
        </w:tc>
        <w:tc>
          <w:tcPr>
            <w:tcW w:type="dxa" w:w="1440"/>
            <w:shd w:fill="C6EFCE" w:val="clear"/>
          </w:tcPr>
          <w:p>
            <w:r>
              <w:rPr>
                <w:sz w:val="17"/>
              </w:rPr>
              <w:t>48,624</w:t>
            </w:r>
          </w:p>
        </w:tc>
        <w:tc>
          <w:tcPr>
            <w:tcW w:type="dxa" w:w="1440"/>
            <w:shd w:fill="C6EFCE" w:val="clear"/>
          </w:tcPr>
          <w:p>
            <w:r>
              <w:rPr>
                <w:b/>
                <w:sz w:val="17"/>
              </w:rPr>
              <w:t>53,992</w:t>
            </w:r>
          </w:p>
        </w:tc>
        <w:tc>
          <w:tcPr>
            <w:tcW w:type="dxa" w:w="1440"/>
            <w:shd w:fill="C6EFCE" w:val="clear"/>
          </w:tcPr>
          <w:p>
            <w:r>
              <w:rPr>
                <w:sz w:val="17"/>
              </w:rPr>
              <w:t>59,361</w:t>
            </w:r>
          </w:p>
        </w:tc>
        <w:tc>
          <w:tcPr>
            <w:tcW w:type="dxa" w:w="1440"/>
            <w:shd w:fill="C6EFCE" w:val="clear"/>
          </w:tcPr>
          <w:p>
            <w:r>
              <w:rPr>
                <w:b/>
                <w:color w:val="008000"/>
                <w:sz w:val="17"/>
              </w:rPr>
              <w:t>+5.8%</w:t>
            </w:r>
          </w:p>
        </w:tc>
      </w:tr>
      <w:tr>
        <w:tc>
          <w:tcPr>
            <w:tcW w:type="dxa" w:w="1440"/>
            <w:shd w:fill="C6EFCE" w:val="clear"/>
          </w:tcPr>
          <w:p>
            <w:r>
              <w:rPr>
                <w:sz w:val="17"/>
              </w:rPr>
              <w:t>J+4  ⭐</w:t>
            </w:r>
          </w:p>
        </w:tc>
        <w:tc>
          <w:tcPr>
            <w:tcW w:type="dxa" w:w="1440"/>
            <w:shd w:fill="C6EFCE" w:val="clear"/>
          </w:tcPr>
          <w:p>
            <w:r>
              <w:rPr>
                <w:sz w:val="17"/>
              </w:rPr>
              <w:t>2026-08-10</w:t>
            </w:r>
          </w:p>
        </w:tc>
        <w:tc>
          <w:tcPr>
            <w:tcW w:type="dxa" w:w="1440"/>
            <w:shd w:fill="C6EFCE" w:val="clear"/>
          </w:tcPr>
          <w:p>
            <w:r>
              <w:rPr>
                <w:sz w:val="17"/>
              </w:rPr>
              <w:t>48,304</w:t>
            </w:r>
          </w:p>
        </w:tc>
        <w:tc>
          <w:tcPr>
            <w:tcW w:type="dxa" w:w="1440"/>
            <w:shd w:fill="C6EFCE" w:val="clear"/>
          </w:tcPr>
          <w:p>
            <w:r>
              <w:rPr>
                <w:b/>
                <w:sz w:val="17"/>
              </w:rPr>
              <w:t>54,569</w:t>
            </w:r>
          </w:p>
        </w:tc>
        <w:tc>
          <w:tcPr>
            <w:tcW w:type="dxa" w:w="1440"/>
            <w:shd w:fill="C6EFCE" w:val="clear"/>
          </w:tcPr>
          <w:p>
            <w:r>
              <w:rPr>
                <w:sz w:val="17"/>
              </w:rPr>
              <w:t>60,835</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2026-08-11</w:t>
            </w:r>
          </w:p>
        </w:tc>
        <w:tc>
          <w:tcPr>
            <w:tcW w:type="dxa" w:w="1440"/>
            <w:shd w:fill="C6EFCE" w:val="clear"/>
          </w:tcPr>
          <w:p>
            <w:r>
              <w:rPr>
                <w:sz w:val="17"/>
              </w:rPr>
              <w:t>48,092</w:t>
            </w:r>
          </w:p>
        </w:tc>
        <w:tc>
          <w:tcPr>
            <w:tcW w:type="dxa" w:w="1440"/>
            <w:shd w:fill="C6EFCE" w:val="clear"/>
          </w:tcPr>
          <w:p>
            <w:r>
              <w:rPr>
                <w:b/>
                <w:sz w:val="17"/>
              </w:rPr>
              <w:t>55,175</w:t>
            </w:r>
          </w:p>
        </w:tc>
        <w:tc>
          <w:tcPr>
            <w:tcW w:type="dxa" w:w="1440"/>
            <w:shd w:fill="C6EFCE" w:val="clear"/>
          </w:tcPr>
          <w:p>
            <w:r>
              <w:rPr>
                <w:sz w:val="17"/>
              </w:rPr>
              <w:t>62,257</w:t>
            </w:r>
          </w:p>
        </w:tc>
        <w:tc>
          <w:tcPr>
            <w:tcW w:type="dxa" w:w="1440"/>
            <w:shd w:fill="C6EFCE" w:val="clear"/>
          </w:tcPr>
          <w:p>
            <w:r>
              <w:rPr>
                <w:b/>
                <w:color w:val="008000"/>
                <w:sz w:val="17"/>
              </w:rPr>
              <w:t>+8.1%</w:t>
            </w:r>
          </w:p>
        </w:tc>
      </w:tr>
      <w:tr>
        <w:tc>
          <w:tcPr>
            <w:tcW w:type="dxa" w:w="1440"/>
            <w:shd w:fill="C6EFCE" w:val="clear"/>
          </w:tcPr>
          <w:p>
            <w:r>
              <w:rPr>
                <w:sz w:val="17"/>
              </w:rPr>
              <w:t>J+6  ⭐</w:t>
            </w:r>
          </w:p>
        </w:tc>
        <w:tc>
          <w:tcPr>
            <w:tcW w:type="dxa" w:w="1440"/>
            <w:shd w:fill="C6EFCE" w:val="clear"/>
          </w:tcPr>
          <w:p>
            <w:r>
              <w:rPr>
                <w:sz w:val="17"/>
              </w:rPr>
              <w:t>2026-08-12</w:t>
            </w:r>
          </w:p>
        </w:tc>
        <w:tc>
          <w:tcPr>
            <w:tcW w:type="dxa" w:w="1440"/>
            <w:shd w:fill="C6EFCE" w:val="clear"/>
          </w:tcPr>
          <w:p>
            <w:r>
              <w:rPr>
                <w:sz w:val="17"/>
              </w:rPr>
              <w:t>47,950</w:t>
            </w:r>
          </w:p>
        </w:tc>
        <w:tc>
          <w:tcPr>
            <w:tcW w:type="dxa" w:w="1440"/>
            <w:shd w:fill="C6EFCE" w:val="clear"/>
          </w:tcPr>
          <w:p>
            <w:r>
              <w:rPr>
                <w:b/>
                <w:sz w:val="17"/>
              </w:rPr>
              <w:t>55,796</w:t>
            </w:r>
          </w:p>
        </w:tc>
        <w:tc>
          <w:tcPr>
            <w:tcW w:type="dxa" w:w="1440"/>
            <w:shd w:fill="C6EFCE" w:val="clear"/>
          </w:tcPr>
          <w:p>
            <w:r>
              <w:rPr>
                <w:sz w:val="17"/>
              </w:rPr>
              <w:t>63,642</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2026-08-13</w:t>
            </w:r>
          </w:p>
        </w:tc>
        <w:tc>
          <w:tcPr>
            <w:tcW w:type="dxa" w:w="1440"/>
            <w:shd w:fill="C6EFCE" w:val="clear"/>
          </w:tcPr>
          <w:p>
            <w:r>
              <w:rPr>
                <w:sz w:val="17"/>
              </w:rPr>
              <w:t>47,856</w:t>
            </w:r>
          </w:p>
        </w:tc>
        <w:tc>
          <w:tcPr>
            <w:tcW w:type="dxa" w:w="1440"/>
            <w:shd w:fill="C6EFCE" w:val="clear"/>
          </w:tcPr>
          <w:p>
            <w:r>
              <w:rPr>
                <w:b/>
                <w:sz w:val="17"/>
              </w:rPr>
              <w:t>56,426</w:t>
            </w:r>
          </w:p>
        </w:tc>
        <w:tc>
          <w:tcPr>
            <w:tcW w:type="dxa" w:w="1440"/>
            <w:shd w:fill="C6EFCE" w:val="clear"/>
          </w:tcPr>
          <w:p>
            <w:r>
              <w:rPr>
                <w:sz w:val="17"/>
              </w:rPr>
              <w:t>64,996</w:t>
            </w:r>
          </w:p>
        </w:tc>
        <w:tc>
          <w:tcPr>
            <w:tcW w:type="dxa" w:w="1440"/>
            <w:shd w:fill="C6EFCE" w:val="clear"/>
          </w:tcPr>
          <w:p>
            <w:r>
              <w:rPr>
                <w:b/>
                <w:color w:val="008000"/>
                <w:sz w:val="17"/>
              </w:rPr>
              <w:t>+10.6%</w:t>
            </w:r>
          </w:p>
        </w:tc>
      </w:tr>
      <w:tr>
        <w:tc>
          <w:tcPr>
            <w:tcW w:type="dxa" w:w="1440"/>
            <w:shd w:fill="C6EFCE" w:val="clear"/>
          </w:tcPr>
          <w:p>
            <w:r>
              <w:rPr>
                <w:sz w:val="17"/>
              </w:rPr>
              <w:t>J+8  ⭐</w:t>
            </w:r>
          </w:p>
        </w:tc>
        <w:tc>
          <w:tcPr>
            <w:tcW w:type="dxa" w:w="1440"/>
            <w:shd w:fill="C6EFCE" w:val="clear"/>
          </w:tcPr>
          <w:p>
            <w:r>
              <w:rPr>
                <w:sz w:val="17"/>
              </w:rPr>
              <w:t>2026-08-14</w:t>
            </w:r>
          </w:p>
        </w:tc>
        <w:tc>
          <w:tcPr>
            <w:tcW w:type="dxa" w:w="1440"/>
            <w:shd w:fill="C6EFCE" w:val="clear"/>
          </w:tcPr>
          <w:p>
            <w:r>
              <w:rPr>
                <w:sz w:val="17"/>
              </w:rPr>
              <w:t>47,798</w:t>
            </w:r>
          </w:p>
        </w:tc>
        <w:tc>
          <w:tcPr>
            <w:tcW w:type="dxa" w:w="1440"/>
            <w:shd w:fill="C6EFCE" w:val="clear"/>
          </w:tcPr>
          <w:p>
            <w:r>
              <w:rPr>
                <w:b/>
                <w:sz w:val="17"/>
              </w:rPr>
              <w:t>57,063</w:t>
            </w:r>
          </w:p>
        </w:tc>
        <w:tc>
          <w:tcPr>
            <w:tcW w:type="dxa" w:w="1440"/>
            <w:shd w:fill="C6EFCE" w:val="clear"/>
          </w:tcPr>
          <w:p>
            <w:r>
              <w:rPr>
                <w:sz w:val="17"/>
              </w:rPr>
              <w:t>66,329</w:t>
            </w:r>
          </w:p>
        </w:tc>
        <w:tc>
          <w:tcPr>
            <w:tcW w:type="dxa" w:w="1440"/>
            <w:shd w:fill="C6EFCE" w:val="clear"/>
          </w:tcPr>
          <w:p>
            <w:r>
              <w:rPr>
                <w:b/>
                <w:color w:val="008000"/>
                <w:sz w:val="17"/>
              </w:rPr>
              <w:t>+11.8%</w:t>
            </w:r>
          </w:p>
        </w:tc>
      </w:tr>
      <w:tr>
        <w:tc>
          <w:tcPr>
            <w:tcW w:type="dxa" w:w="1440"/>
            <w:shd w:fill="C6EFCE" w:val="clear"/>
          </w:tcPr>
          <w:p>
            <w:r>
              <w:rPr>
                <w:sz w:val="17"/>
              </w:rPr>
              <w:t>J+9  ⭐</w:t>
            </w:r>
          </w:p>
        </w:tc>
        <w:tc>
          <w:tcPr>
            <w:tcW w:type="dxa" w:w="1440"/>
            <w:shd w:fill="C6EFCE" w:val="clear"/>
          </w:tcPr>
          <w:p>
            <w:r>
              <w:rPr>
                <w:sz w:val="17"/>
              </w:rPr>
              <w:t>2026-08-17</w:t>
            </w:r>
          </w:p>
        </w:tc>
        <w:tc>
          <w:tcPr>
            <w:tcW w:type="dxa" w:w="1440"/>
            <w:shd w:fill="C6EFCE" w:val="clear"/>
          </w:tcPr>
          <w:p>
            <w:r>
              <w:rPr>
                <w:sz w:val="17"/>
              </w:rPr>
              <w:t>47,768</w:t>
            </w:r>
          </w:p>
        </w:tc>
        <w:tc>
          <w:tcPr>
            <w:tcW w:type="dxa" w:w="1440"/>
            <w:shd w:fill="C6EFCE" w:val="clear"/>
          </w:tcPr>
          <w:p>
            <w:r>
              <w:rPr>
                <w:b/>
                <w:sz w:val="17"/>
              </w:rPr>
              <w:t>57,706</w:t>
            </w:r>
          </w:p>
        </w:tc>
        <w:tc>
          <w:tcPr>
            <w:tcW w:type="dxa" w:w="1440"/>
            <w:shd w:fill="C6EFCE" w:val="clear"/>
          </w:tcPr>
          <w:p>
            <w:r>
              <w:rPr>
                <w:sz w:val="17"/>
              </w:rPr>
              <w:t>67,644</w:t>
            </w:r>
          </w:p>
        </w:tc>
        <w:tc>
          <w:tcPr>
            <w:tcW w:type="dxa" w:w="1440"/>
            <w:shd w:fill="C6EFCE" w:val="clear"/>
          </w:tcPr>
          <w:p>
            <w:r>
              <w:rPr>
                <w:b/>
                <w:color w:val="008000"/>
                <w:sz w:val="17"/>
              </w:rPr>
              <w:t>+13.1%</w:t>
            </w:r>
          </w:p>
        </w:tc>
      </w:tr>
      <w:tr>
        <w:tc>
          <w:tcPr>
            <w:tcW w:type="dxa" w:w="1440"/>
            <w:shd w:fill="C6EFCE" w:val="clear"/>
          </w:tcPr>
          <w:p>
            <w:r>
              <w:rPr>
                <w:sz w:val="17"/>
              </w:rPr>
              <w:t>J+10  ⭐</w:t>
            </w:r>
          </w:p>
        </w:tc>
        <w:tc>
          <w:tcPr>
            <w:tcW w:type="dxa" w:w="1440"/>
            <w:shd w:fill="C6EFCE" w:val="clear"/>
          </w:tcPr>
          <w:p>
            <w:r>
              <w:rPr>
                <w:sz w:val="17"/>
              </w:rPr>
              <w:t>2026-08-18</w:t>
            </w:r>
          </w:p>
        </w:tc>
        <w:tc>
          <w:tcPr>
            <w:tcW w:type="dxa" w:w="1440"/>
            <w:shd w:fill="C6EFCE" w:val="clear"/>
          </w:tcPr>
          <w:p>
            <w:r>
              <w:rPr>
                <w:sz w:val="17"/>
              </w:rPr>
              <w:t>47,759</w:t>
            </w:r>
          </w:p>
        </w:tc>
        <w:tc>
          <w:tcPr>
            <w:tcW w:type="dxa" w:w="1440"/>
            <w:shd w:fill="C6EFCE" w:val="clear"/>
          </w:tcPr>
          <w:p>
            <w:r>
              <w:rPr>
                <w:b/>
                <w:sz w:val="17"/>
              </w:rPr>
              <w:t>58,352</w:t>
            </w:r>
          </w:p>
        </w:tc>
        <w:tc>
          <w:tcPr>
            <w:tcW w:type="dxa" w:w="1440"/>
            <w:shd w:fill="C6EFCE" w:val="clear"/>
          </w:tcPr>
          <w:p>
            <w:r>
              <w:rPr>
                <w:sz w:val="17"/>
              </w:rPr>
              <w:t>68,945</w:t>
            </w:r>
          </w:p>
        </w:tc>
        <w:tc>
          <w:tcPr>
            <w:tcW w:type="dxa" w:w="1440"/>
            <w:shd w:fill="C6EFCE" w:val="clear"/>
          </w:tcPr>
          <w:p>
            <w:r>
              <w:rPr>
                <w:b/>
                <w:color w:val="008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468,54 milliards FCFA, ce qui positionne la société parmi les valeurs moyennes du marché de la BRVM, dans un contexte où les grandes capitalisations comme Sonatel dépassent les 2 000 milliards FCFA. Les ratios de valorisation (BPA, PER, P/B, EV/EBITDA) ne sont pas calculables en raison de l'absence de données financières structurées récentes dans la base de données. Cette absence s'explique par la publication tardive des états financiers de la société, les derniers rapports disponibles datant de 2023 et 2022. Néanmoins, sur la base du résultat net 2023 de 640 millions FCFA et du nombre d'actions en circulation (environ 9,18 millions), le BPA ressortirait à environ 70 FCFA, ce qui impliquerait un PER extrêmement élevé de plus de 700x, traduisant une valorisation très généreuse par rapport aux bénéfices actuels, bien au-delà de la moyenne du marché BRVM qui se situe entre 8 et 12x. Cette situation reflète les attentes du marché quant à un redressement futur de la rentabilité, mais expose également l'action à un risque de correction significatif si les résultats ne s'améliorent pas rapidement.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chute vertigineuse de 31,05%, passant d'un plus haut de 73 995 FCFA à un plus bas de 49 630 FCFA, avec un cours actuel de 51 020 FCFA. La dernière séance montre une stabilisation timide avec une variation de +0,04%. La tendance générale est clairement baissière, avec un cours qui évolue à proximité de son plus bas sur la période. Les statistiques descriptives révèlent une moyenne de 58 055 FCFA et une médiane de 57 350 FCFA, l'écart entre ces deux valeurs indiquant une distribution légèrement asymétrique. Le skewness positif de 1,030 confirme cette asymétrie, avec davantage de journées sous la moyenne, tandis que le kurtosis de 0,960 (mésokurtique) suggère une distribution proche de la normale, sans risque extrême de pics. L'écart-type de 5 204 FCFA, représentant un coefficient de variation de 9,0%, indique une dispersion modérée du cours autour de sa moyenne. La volatilité annualisée de 69,0% est extrêmement élevée, bien au-dessus du seuil de 30% considéré comme élevé, ce qui témoigne d'un titre très risqué et spéculatif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52 789 FCFA et la MM50 à 55 147 FCFA sont toutes deux supérieures au cours actuel de 51 020 FCFA, confirmant une dynamique baissière. Le croisement de ces moyennes mobiles, avec la MM20 sous la MM50, renforce le signal de vente, indiquant que la tendance de court terme est plus faible que la tendance de moyen terme, ce qui suggère une pression vendeuse persistante.</w:t>
      </w:r>
    </w:p>
    <w:p>
      <w:pPr>
        <w:spacing w:after="120" w:line="276" w:lineRule="auto"/>
      </w:pPr>
      <w:r>
        <w:t>**Bandes de Bollinger** : Le cours se situe à 51 020 FCFA, proche de la borne inférieure à 49 633 FCFA, tandis que la borne supérieure s'établit à 55 945 FCFA. Cette position indique que le titre est dans la partie basse de son canal de volatilité, sans toutefois être en situation de survente extrême. La décision neutre reflète une volatilité qui se normalise après des mouvements importants, mais le risque d'une cassure de la borne inférieure reste présent.</w:t>
      </w:r>
    </w:p>
    <w:p>
      <w:pPr>
        <w:spacing w:after="120" w:line="276" w:lineRule="auto"/>
      </w:pPr>
      <w:r>
        <w:t>**MACD** : Le MACD à -872,7 est légèrement au-dessus de sa ligne de signal à -956,9, formant un croisement haussier potentiel. Cette configuration suggère un ralentissement du momentum baissier et pourrait annoncer un retournement technique à court terme. Cependant, les valeurs restent profondément négatives, indiquant que la tendance de fond demeure baissière malgré ce signal d'achat précoce.</w:t>
      </w:r>
    </w:p>
    <w:p>
      <w:pPr>
        <w:spacing w:after="120" w:line="276" w:lineRule="auto"/>
      </w:pPr>
      <w:r>
        <w:t>**RSI** : Le RSI à 42,47 se situe dans la zone neutre (30-70), sans signal de surachat ni de survente. Cette valeur indique que le titre n'est ni survendu ni suracheté, laissant une marge de manœuvre dans les deux directions. La décision neutre est cohérente avec une phase d'incertitude où les acheteurs et vendeurs s'équilibrent, sans momentum directionnel clair.</w:t>
      </w:r>
    </w:p>
    <w:p>
      <w:pPr>
        <w:spacing w:after="120" w:line="276" w:lineRule="auto"/>
      </w:pPr>
      <w:r>
        <w:t>**Stochastique** : Le %K à 9,67 et le %D à 28,03 indiquent une zone de survente profonde, avec un %K nettement sous le %D. Cette configuration suggère un potentiel de rebond technique à court terme, bien que la faiblesse du %K indique une pression vendeuse encore présente. Le signal d'achat généré par cet indicateur est cohérent avec le MACD, renforçant la probabilité d'un rebond technique.</w:t>
      </w:r>
    </w:p>
    <w:p>
      <w:pPr>
        <w:spacing w:after="120" w:line="276" w:lineRule="auto"/>
      </w:pPr>
      <w:r>
        <w:t>**Conclusion technique** : Les indicateurs techniques présentent un tableau mitigé. Les moyennes mobiles et la position dans les bandes de Bollinger confirment la tendance baissière de fond, tandis que le MACD et le stochastique suggèrent un potentiel de rebond technique à court terme. Le RSI neutre n'apporte pas de signal directionnel clair. Globalement, la configuration technique penche vers une stabilisation après la chute, mais sans confirmation d'un retournement durable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fournis permettent une analyse approfondie. Le rapport daté du 31 décembre 2023 (analysé en mars 2026) indique un chiffre d'affaires de 24,34 milliards FCFA, stable par rapport à 2022, et un résultat net de 640 millions FCFA, en forte amélioration par rapport à la perte de 6,91 milliards FCFA en 2022. La marge nette ressort à 2,63% en 2023, contre -28,4% en 2022, témoignant d'un redressement opérationnel significatif, avec un résultat d'exploitation passant de -6,26 milliards FCFA à +3,34 milliards FCFA. Le rapport du 31 décembre 2022 (analysé en mars 2026) révèle un CA de 36,17 milliards FCFA en 2022, en baisse de 21,5% par rapport à 2021, impacté par la cession de l'activité Thé et l'embargo malien, avec une perte nette de 6,38 milliards FCFA. Les capitaux propres restent négatifs à -10,66 milliards FCFA en 2023, et l'endettement financier s'élève à 4,38 milliards FCFA. La société n'a versé aucun dividende depuis plusieurs exercices, privilégiant la reconstitution de ses capitaux propres. Les perspectives de redressement sont réelles mais fragiles, avec une dépendance aux coûts des matières premières et une concurrence intense dans le secteur des biens de consommation. La recommandation fondamentale ressort comme **CONSERVER avec vigilance**, en attendant une confirmation durable de l'amélioration de la rentabilité et une réduction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UNLC. La valorisation boursière, avec un PER implicite extrêmement élevé, suggère une surévaluation par rapport aux bénéfices actuels, bien que les ratios ne soient pas calculables officiellement. Le comportement du cours sur 100 jours est préoccupant avec une chute de 31%, une volatilité annualisée de 69% et un skewness positif indiquant une distribution asymétrique défavorable. Les signaux techniques sont mitigés, avec une tendance baissière confirmée par les moyennes mobiles mais des indicateurs de momentum (MACD, stochastique) suggérant un potentiel de rebond technique. Les fondamentaux montrent un redressement en 2023 après une année 2022 catastrophique, mais la situation financière reste fragile avec des capitaux propres négatifs et l'absence de dividendes. Les prédictions IA pour les 10 prochains jours ouvrables anticipent une hausse progressive de 51 020 FCFA à 55 175 FCFA, soit une appréciation de 8,1%, ce qui contredit la tendance baissière récente et suggère un rebond technique. Sur la base de cette synthèse, la recommandation finale est **CONSERVER** avec un niveau de confiance **Moyen** et un risque global **Élevé**. L'horizon d'investissement optimal serait le **moyen terme (3-12 mois)**, en attendant une confirmation du redressement fondamental et une stabilisation du cours au-dessus de la MM50 à 55 147 FCFA. Les investisseurs doivent surveiller attentivement les prochains résultats financiers et la capacité de la société à reconstituer ses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12,709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-11.21%</w:t>
            </w:r>
          </w:p>
          <w:p>
            <w:r>
              <w:rPr>
                <w:b/>
                <w:color w:val="503200"/>
                <w:sz w:val="16"/>
              </w:rPr>
              <w:t xml:space="preserve">Plus haut 100j : </w:t>
            </w:r>
            <w:r>
              <w:rPr>
                <w:color w:val="000000"/>
                <w:sz w:val="17"/>
              </w:rPr>
              <w:t>2,250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9.36% (Moyenne) — μ=1,876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β=-0.7224 (Contre-cyclique) — Cov=-0.000026, Var(idx)=0.000036, ρ=-0.139,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12,709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89549"/>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58954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2026-08-04</w:t>
            </w:r>
          </w:p>
        </w:tc>
        <w:tc>
          <w:tcPr>
            <w:tcW w:type="dxa" w:w="1440"/>
            <w:shd w:fill="FAFAFA" w:val="clear"/>
          </w:tcPr>
          <w:p>
            <w:r>
              <w:rPr>
                <w:sz w:val="17"/>
              </w:rPr>
              <w:t>1,752</w:t>
            </w:r>
          </w:p>
        </w:tc>
        <w:tc>
          <w:tcPr>
            <w:tcW w:type="dxa" w:w="1440"/>
            <w:shd w:fill="FAFAFA" w:val="clear"/>
          </w:tcPr>
          <w:p>
            <w:r>
              <w:rPr>
                <w:b/>
                <w:sz w:val="17"/>
              </w:rPr>
              <w:t>1,894</w:t>
            </w:r>
          </w:p>
        </w:tc>
        <w:tc>
          <w:tcPr>
            <w:tcW w:type="dxa" w:w="1440"/>
            <w:shd w:fill="FAFAFA" w:val="clear"/>
          </w:tcPr>
          <w:p>
            <w:r>
              <w:rPr>
                <w:sz w:val="17"/>
              </w:rPr>
              <w:t>2,036</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2026-08-05</w:t>
            </w:r>
          </w:p>
        </w:tc>
        <w:tc>
          <w:tcPr>
            <w:tcW w:type="dxa" w:w="1440"/>
            <w:shd w:fill="FAFAFA" w:val="clear"/>
          </w:tcPr>
          <w:p>
            <w:r>
              <w:rPr>
                <w:sz w:val="17"/>
              </w:rPr>
              <w:t>1,682</w:t>
            </w:r>
          </w:p>
        </w:tc>
        <w:tc>
          <w:tcPr>
            <w:tcW w:type="dxa" w:w="1440"/>
            <w:shd w:fill="FAFAFA" w:val="clear"/>
          </w:tcPr>
          <w:p>
            <w:r>
              <w:rPr>
                <w:b/>
                <w:sz w:val="17"/>
              </w:rPr>
              <w:t>1,885</w:t>
            </w:r>
          </w:p>
        </w:tc>
        <w:tc>
          <w:tcPr>
            <w:tcW w:type="dxa" w:w="1440"/>
            <w:shd w:fill="FAFAFA" w:val="clear"/>
          </w:tcPr>
          <w:p>
            <w:r>
              <w:rPr>
                <w:sz w:val="17"/>
              </w:rPr>
              <w:t>2,087</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2026-08-06</w:t>
            </w:r>
          </w:p>
        </w:tc>
        <w:tc>
          <w:tcPr>
            <w:tcW w:type="dxa" w:w="1440"/>
            <w:shd w:fill="FAFAFA" w:val="clear"/>
          </w:tcPr>
          <w:p>
            <w:r>
              <w:rPr>
                <w:sz w:val="17"/>
              </w:rPr>
              <w:t>1,628</w:t>
            </w:r>
          </w:p>
        </w:tc>
        <w:tc>
          <w:tcPr>
            <w:tcW w:type="dxa" w:w="1440"/>
            <w:shd w:fill="FAFAFA" w:val="clear"/>
          </w:tcPr>
          <w:p>
            <w:r>
              <w:rPr>
                <w:b/>
                <w:sz w:val="17"/>
              </w:rPr>
              <w:t>1,875</w:t>
            </w:r>
          </w:p>
        </w:tc>
        <w:tc>
          <w:tcPr>
            <w:tcW w:type="dxa" w:w="1440"/>
            <w:shd w:fill="FAFAFA" w:val="clear"/>
          </w:tcPr>
          <w:p>
            <w:r>
              <w:rPr>
                <w:sz w:val="17"/>
              </w:rPr>
              <w:t>2,122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2026-08-10</w:t>
            </w:r>
          </w:p>
        </w:tc>
        <w:tc>
          <w:tcPr>
            <w:tcW w:type="dxa" w:w="1440"/>
            <w:shd w:fill="FAFAFA" w:val="clear"/>
          </w:tcPr>
          <w:p>
            <w:r>
              <w:rPr>
                <w:sz w:val="17"/>
              </w:rPr>
              <w:t>1,582</w:t>
            </w:r>
          </w:p>
        </w:tc>
        <w:tc>
          <w:tcPr>
            <w:tcW w:type="dxa" w:w="1440"/>
            <w:shd w:fill="FAFAFA" w:val="clear"/>
          </w:tcPr>
          <w:p>
            <w:r>
              <w:rPr>
                <w:b/>
                <w:sz w:val="17"/>
              </w:rPr>
              <w:t>1,866</w:t>
            </w:r>
          </w:p>
        </w:tc>
        <w:tc>
          <w:tcPr>
            <w:tcW w:type="dxa" w:w="1440"/>
            <w:shd w:fill="FAFAFA" w:val="clear"/>
          </w:tcPr>
          <w:p>
            <w:r>
              <w:rPr>
                <w:sz w:val="17"/>
              </w:rPr>
              <w:t>2,149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2026-08-11</w:t>
            </w:r>
          </w:p>
        </w:tc>
        <w:tc>
          <w:tcPr>
            <w:tcW w:type="dxa" w:w="1440"/>
            <w:shd w:fill="FFDCE0" w:val="clear"/>
          </w:tcPr>
          <w:p>
            <w:r>
              <w:rPr>
                <w:sz w:val="17"/>
              </w:rPr>
              <w:t>1,541</w:t>
            </w:r>
          </w:p>
        </w:tc>
        <w:tc>
          <w:tcPr>
            <w:tcW w:type="dxa" w:w="1440"/>
            <w:shd w:fill="FFDCE0" w:val="clear"/>
          </w:tcPr>
          <w:p>
            <w:r>
              <w:rPr>
                <w:b/>
                <w:sz w:val="17"/>
              </w:rPr>
              <w:t>1,856</w:t>
            </w:r>
          </w:p>
        </w:tc>
        <w:tc>
          <w:tcPr>
            <w:tcW w:type="dxa" w:w="1440"/>
            <w:shd w:fill="FFDCE0" w:val="clear"/>
          </w:tcPr>
          <w:p>
            <w:r>
              <w:rPr>
                <w:sz w:val="17"/>
              </w:rPr>
              <w:t>2,172</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2026-08-12</w:t>
            </w:r>
          </w:p>
        </w:tc>
        <w:tc>
          <w:tcPr>
            <w:tcW w:type="dxa" w:w="1440"/>
            <w:shd w:fill="FFDCE0" w:val="clear"/>
          </w:tcPr>
          <w:p>
            <w:r>
              <w:rPr>
                <w:sz w:val="17"/>
              </w:rPr>
              <w:t>1,503</w:t>
            </w:r>
          </w:p>
        </w:tc>
        <w:tc>
          <w:tcPr>
            <w:tcW w:type="dxa" w:w="1440"/>
            <w:shd w:fill="FFDCE0" w:val="clear"/>
          </w:tcPr>
          <w:p>
            <w:r>
              <w:rPr>
                <w:b/>
                <w:sz w:val="17"/>
              </w:rPr>
              <w:t>1,847</w:t>
            </w:r>
          </w:p>
        </w:tc>
        <w:tc>
          <w:tcPr>
            <w:tcW w:type="dxa" w:w="1440"/>
            <w:shd w:fill="FFDCE0" w:val="clear"/>
          </w:tcPr>
          <w:p>
            <w:r>
              <w:rPr>
                <w:sz w:val="17"/>
              </w:rPr>
              <w:t>2,191</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2026-08-13</w:t>
            </w:r>
          </w:p>
        </w:tc>
        <w:tc>
          <w:tcPr>
            <w:tcW w:type="dxa" w:w="1440"/>
            <w:shd w:fill="FFDCE0" w:val="clear"/>
          </w:tcPr>
          <w:p>
            <w:r>
              <w:rPr>
                <w:sz w:val="17"/>
              </w:rPr>
              <w:t>1,469</w:t>
            </w:r>
          </w:p>
        </w:tc>
        <w:tc>
          <w:tcPr>
            <w:tcW w:type="dxa" w:w="1440"/>
            <w:shd w:fill="FFDCE0" w:val="clear"/>
          </w:tcPr>
          <w:p>
            <w:r>
              <w:rPr>
                <w:b/>
                <w:sz w:val="17"/>
              </w:rPr>
              <w:t>1,838</w:t>
            </w:r>
          </w:p>
        </w:tc>
        <w:tc>
          <w:tcPr>
            <w:tcW w:type="dxa" w:w="1440"/>
            <w:shd w:fill="FFDCE0" w:val="clear"/>
          </w:tcPr>
          <w:p>
            <w:r>
              <w:rPr>
                <w:sz w:val="17"/>
              </w:rPr>
              <w:t>2,208</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2026-08-14</w:t>
            </w:r>
          </w:p>
        </w:tc>
        <w:tc>
          <w:tcPr>
            <w:tcW w:type="dxa" w:w="1440"/>
            <w:shd w:fill="FFDCE0" w:val="clear"/>
          </w:tcPr>
          <w:p>
            <w:r>
              <w:rPr>
                <w:sz w:val="17"/>
              </w:rPr>
              <w:t>1,436</w:t>
            </w:r>
          </w:p>
        </w:tc>
        <w:tc>
          <w:tcPr>
            <w:tcW w:type="dxa" w:w="1440"/>
            <w:shd w:fill="FFDCE0" w:val="clear"/>
          </w:tcPr>
          <w:p>
            <w:r>
              <w:rPr>
                <w:b/>
                <w:sz w:val="17"/>
              </w:rPr>
              <w:t>1,829</w:t>
            </w:r>
          </w:p>
        </w:tc>
        <w:tc>
          <w:tcPr>
            <w:tcW w:type="dxa" w:w="1440"/>
            <w:shd w:fill="FFDCE0" w:val="clear"/>
          </w:tcPr>
          <w:p>
            <w:r>
              <w:rPr>
                <w:sz w:val="17"/>
              </w:rPr>
              <w:t>2,223</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2026-08-17</w:t>
            </w:r>
          </w:p>
        </w:tc>
        <w:tc>
          <w:tcPr>
            <w:tcW w:type="dxa" w:w="1440"/>
            <w:shd w:fill="FFDCE0" w:val="clear"/>
          </w:tcPr>
          <w:p>
            <w:r>
              <w:rPr>
                <w:sz w:val="17"/>
              </w:rPr>
              <w:t>1,405</w:t>
            </w:r>
          </w:p>
        </w:tc>
        <w:tc>
          <w:tcPr>
            <w:tcW w:type="dxa" w:w="1440"/>
            <w:shd w:fill="FFDCE0" w:val="clear"/>
          </w:tcPr>
          <w:p>
            <w:r>
              <w:rPr>
                <w:b/>
                <w:sz w:val="17"/>
              </w:rPr>
              <w:t>1,820</w:t>
            </w:r>
          </w:p>
        </w:tc>
        <w:tc>
          <w:tcPr>
            <w:tcW w:type="dxa" w:w="1440"/>
            <w:shd w:fill="FFDCE0" w:val="clear"/>
          </w:tcPr>
          <w:p>
            <w:r>
              <w:rPr>
                <w:sz w:val="17"/>
              </w:rPr>
              <w:t>2,235</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2026-08-18</w:t>
            </w:r>
          </w:p>
        </w:tc>
        <w:tc>
          <w:tcPr>
            <w:tcW w:type="dxa" w:w="1440"/>
            <w:shd w:fill="FFDCE0" w:val="clear"/>
          </w:tcPr>
          <w:p>
            <w:r>
              <w:rPr>
                <w:sz w:val="17"/>
              </w:rPr>
              <w:t>1,376</w:t>
            </w:r>
          </w:p>
        </w:tc>
        <w:tc>
          <w:tcPr>
            <w:tcW w:type="dxa" w:w="1440"/>
            <w:shd w:fill="FFDCE0" w:val="clear"/>
          </w:tcPr>
          <w:p>
            <w:r>
              <w:rPr>
                <w:b/>
                <w:sz w:val="17"/>
              </w:rPr>
              <w:t>1,812</w:t>
            </w:r>
          </w:p>
        </w:tc>
        <w:tc>
          <w:tcPr>
            <w:tcW w:type="dxa" w:w="1440"/>
            <w:shd w:fill="FFDCE0" w:val="clear"/>
          </w:tcPr>
          <w:p>
            <w:r>
              <w:rPr>
                <w:sz w:val="17"/>
              </w:rPr>
              <w:t>2,247</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ce qui la positionne comme une valeur de taille moyenne sur la BRVM, offrant une liquidité potentiellement intéressante pour les investisseurs régionaux. Le BPA est négatif à -105 FCFA, reflétant la perte nette de 2,189 milliards FCFA enregistrée en 2024 ; par conséquent, le PER est également négatif (-18,0x), ce qui signifie que le marché ne peut pas évaluer le titre sur la base de ses bénéfices actuels, une situation typique des sociétés en phase de redressement. Le P/B de 2,53x indique que le marché valorise la société à plus de deux fois et demie sa valeur comptable, suggérant que les investisseurs anticipent une amélioration future de la rentabilité et accordent une prime de croissance, malgré les pertes récentes. En l'absence de données sur l'EBITDA, le ratio EV/EBITDA ne peut être calculé, mais la combinaison d'un PER négatif et d'un P/B élevé souligne que le titre se négocie sur des anticipations de retournement plutôt que sur des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d'UNXC a enregistré une baisse significative de 11,21%, avec une dernière séance en recul de 2,31% à 1 900 FCFA, illustrant une pression vendeuse persistante. Le titre a évolué dans une fourchette large de 1 250 à 2 250 FCFA, démontrant une forte amplitude de trading et une volatilité marquée. La moyenne (1 876 FCFA) et la médiane (1 902 FCFA) sont très proches, indiquant une distribution relativement symétrique des cours autour de ces valeurs, bien que le mode à 1 970 FCFA suggère une concentration des échanges à des niveaux supérieurs. L'écart-type de 177 FCFA (CV de 9,4%) révèle une dispersion modérée, mais le kurtosis élevé (2,921) signale un risque de mouvements extrêmes, tandis que le skewness négatif (-1,503) indique que les journées de baisse sont plus fréquentes que les journées de hausse, confirmant la tendance baissière. La volatilité annualisée de 50,8% classe le titre comme très risqué, bien au-dessus du seuil de 30%, ce qui exige une grande prudence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1 720,75 FCFA et MM50 à 1 800 FCFA) sont toutes deux inférieures au cours actuel de 1 900 FCFA, ce qui pourrait suggérer un potentiel de soutien, mais la décision de vente indique que la tendance de fond reste baissière, le cours ayant récemment chuté sous ces niveaux après un rebond. Les **Bandes de Bollinger** (borne supérieure à 2 216,64 FCFA et borne inférieure à 1 224,86 FCFA) montrent un cours positionné près du milieu de la bande, avec une décision neutre, signalant une volatilité élevée mais sans direction claire à très court terme. Le **MACD** (valeur 53,36 contre signal 27,50) affiche une divergence positive, indiquant un momentum haussier en cours, ce qui contraste avec la tendance baissière des moyennes mobiles et suggère un possible retournement à venir. Le **RSI** à 75,18 est en zone de surachat, ce qui signifie que le titre est temporairement survendu et qu'un repli technique est probable à court terme. Enfin, le **Stochastique** (%K à 77,42 et %D à 86,11) reste en territoire élevé, avec une décision neutre, indiquant que le momentum haussier s'essouffle sans signal de croisement baissier clair. En conclusion, les indicateurs techniques sont mitigés : le MACD est haussier, mais le RSI suracheté et les moyennes mobiles baissières créent une divergence, suggérant une prudence à court terme avec un risque de consolidation.</w:t>
      </w:r>
    </w:p>
    <w:p>
      <w:pPr>
        <w:spacing w:after="120" w:line="276" w:lineRule="auto" w:before="240"/>
      </w:pPr>
      <w:r>
        <w:rPr>
          <w:b/>
          <w:color w:val="003366"/>
          <w:sz w:val="24"/>
        </w:rPr>
        <w:t>**PARTIE 3 : ANALYSE FONDAMENTALE (SECTION CRITIQUE)**</w:t>
      </w:r>
    </w:p>
    <w:p>
      <w:pPr>
        <w:spacing w:after="120" w:line="276" w:lineRule="auto"/>
      </w:pPr>
      <w:r>
        <w:t>En 2024, UNXC a réalisé un chiffre d'affaires de 27,333 milliards FCFA, en croissance de 15,4% par rapport à 2023, mais a enregistré une perte nette de -2,189 milliards FCFA, contre un bénéfice de 4,188 milliards FCFA en 2023, illustrant une dégradation marquée de la rentabilité. Le ROE est négatif à -14,04% et le ROA à -6,39%, reflétant une utilisation inefficace des capitaux propres et des actifs, tandis que le coefficient d'exploitation élevé (106,99%) indique que les charges dépassent les revenus. La structure financière montre une autonomie financière saine (45,53%) et une solvabilité générale correcte (183,60%), mais le ratio d'endettement de 119,61% et le BFR positif de 2,149 milliards FCFA signalent des tensions de trésorerie, avec des délais clients (51 jours) et fournisseurs (268 jours) déséquilibrés. Selon le rapport du 1er trimestre 2025 (publié en 2025), le CA a progressé de 14% à 7,844 milliards FCFA, mais le résultat des activités ordinaires reste déficitaire à -329 millions FCFA, hors produit exceptionnel de 9,994 milliards FCFA lié à la cession-bail du terrain ; au 30 septembre 2025, le CA cumulé atteint 22,474 milliards FCFA (+13%), avec un bénéfice net de 8,143 milliards FCFA, mais intégralement dû à cette opération exceptionnelle. Sur la base des rapports T1, S1 et T3 2025, on estime que l'exercice 2025 devrait afficher un CA annuel autour de 30 milliards FCFA, mais la rentabilité opérationnelle récurrente reste négative, bien que la direction annonce une amélioration de 80% des pertes et l'absence de perte au T3 seul, suggérant une possible inflexion vers l'équilibre. La recommandation fondamentale est de rester prudent : la société est en restructuration, avec des fondamentaux fragiles mais des signes encourageants de redressement opérationnel, soutenus par un assainissement financier réussi.</w:t>
      </w:r>
    </w:p>
    <w:p>
      <w:pPr>
        <w:spacing w:after="120" w:line="276" w:lineRule="auto" w:before="240"/>
      </w:pPr>
      <w:r>
        <w:rPr>
          <w:b/>
          <w:color w:val="003366"/>
          <w:sz w:val="24"/>
        </w:rPr>
        <w:t>**PARTIE 4 : CONCLUSION D'INVESTISSEMENT**</w:t>
      </w:r>
    </w:p>
    <w:p>
      <w:pPr>
        <w:spacing w:after="120" w:line="276" w:lineRule="auto"/>
      </w:pPr>
      <w:r>
        <w:t>La valorisation d'UNXC est problématique avec un PER négatif et un P/B de 2,53x, indiquant que le marché paie une prime pour des bénéfices actuels inexistants, ce qui représente un risque de surévaluation si le redressement échoue. Le comportement du cours montre une tendance baissière de -11,21% sur 100 jours, avec une volatilité très élevée (50,8%) et un skewness négatif, signalant une pression vendeuse dominante, bien que la moyenne et la médiane proches suggèrent une stabilisation potentielle. Les signaux techniques sont divergents : le MACD haussier contraste avec le RSI suracheté et les moyennes mobiles baissières, créant une incertitude à court terme. Les fondamentaux, bien que déficitaires en 2024, montrent des signes d'amélioration en 2025 grâce à la cession-bail et à une croissance du CA, mais la rentabilité opérationnelle reste fragile. Les prédictions IA pour les 10 prochains jours (de 1 894 à 1 856 FCFA) confirment une poursuite de la baisse, en ligne avec la tendance technique baissière. En synthèse, je recommande **CONSERVER** avec un niveau de confiance **Moyen**, car les signaux sont mitigés : la valorisation est risquée, la technique est baissière à court terme, mais les fondamentaux montrent un potentiel de redressement à moyen terme. Le risque global est **Élevé** en raison de la volatilité et de la dépendance aux éléments exceptionnels, et l'horizon d'investissement optimal est le **moyen terme (3-12 mois)**, en attendant la confirmation d'une rentabilité opérationnelle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