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08/09/2026 à 09:02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(+108.3%)</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11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553.02 points </w:t>
      </w:r>
      <w:r>
        <w:rPr>
          <w:color w:val="008000"/>
        </w:rPr>
        <w:t>(+0.81%)</w:t>
      </w:r>
      <w:r>
        <w:t xml:space="preserve"> sur la séance. </w:t>
      </w:r>
      <w:r>
        <w:t>La capitalisation globale du marché atteint 2 132,530 milliards FCFA.</w:t>
      </w:r>
    </w:p>
    <w:p/>
    <w:p>
      <w:pPr>
        <w:pStyle w:val="Heading3"/>
      </w:pPr>
      <w:r>
        <w:t>📊 Évolution de l'indice BRVM Composite (100 derniers jours)</w:t>
      </w:r>
    </w:p>
    <w:p>
      <w:r>
        <w:rPr>
          <w:b/>
        </w:rPr>
        <w:t xml:space="preserve">BRVM Composite — </w:t>
      </w:r>
      <w:r>
        <w:t xml:space="preserve">Sur les 100 derniers jours de cotation (2026-04-13 au 2026-09-07), l'indice BRVM Composite a évolué de </w:t>
      </w:r>
      <w:r>
        <w:rPr>
          <w:b/>
          <w:color w:val="008000"/>
        </w:rPr>
        <w:t>+36.87%</w:t>
      </w:r>
      <w:r>
        <w:t>, passant de 404.04 pts à 553.02 pts. Le plus haut atteint est 553.02 pts et le plus bas 397.33 pts. Sur l'ensemble de la période, la moyenne de l'indice s'établit à 455.70 pts, la médiane à 448.19 pts et le mode à 397.33 pts</w:t>
      </w:r>
      <w:r>
        <w:t xml:space="preserve"> (asymétrie positive — plus de jours sous la moyenne). </w:t>
      </w:r>
      <w:r>
        <w:t xml:space="preserve">L'écart-type de 43.23 pts (CV=9.5%) traduit une modérée dispersion des cotations. Le kurtosis de -0.81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-86.31%</w:t>
      </w:r>
      <w:r>
        <w:t xml:space="preserve"> sur la période, passant de 15 578,100 Mds FCFA à 2 132,530 Mds FCFA. Le pic de capitalisation observé est de 19 886,911 Mds FCFA et le plancher de 2 003,618 Mds FCFA. La moyenne de la capitalisation sur la période s'établit à 15 336,379 Mds FCFA, la médiane à 16 816,942 Mds FCFA et le mode à 2 003,618 Mds FCFA</w:t>
      </w:r>
      <w:r>
        <w:t xml:space="preserve"> (asymétrie négative). </w:t>
      </w:r>
      <w:r>
        <w:t>L'écart-type de 5 074,222 Mds FCFA (CV=33.1%) reflète une forte variabilité de la valorisation du marché. Le kurtosis de 2.80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LNBB - LNBB - LOTERIE NATIONALE DU BENIN</w:t>
      </w:r>
      <w:r>
        <w:t xml:space="preserve"> | Prix: 3900 FCFA | </w:t>
      </w:r>
      <w:r>
        <w:rPr>
          <w:b/>
          <w:color w:val="008000"/>
        </w:rPr>
        <w:t>ACHAT FORT</w:t>
      </w:r>
      <w:r>
        <w:t xml:space="preserve"> | Confiance: Faible | Risque: Faible</w:t>
      </w:r>
    </w:p>
    <w:p>
      <w:pPr>
        <w:pStyle w:val="ListNumber"/>
      </w:pPr>
      <w:r>
        <w:rPr>
          <w:b/>
        </w:rPr>
        <w:t>PALC - PALC - PALM COTE D'IVOIRE</w:t>
      </w:r>
      <w:r>
        <w:t xml:space="preserve"> | Prix: 8780 FCFA | </w:t>
      </w:r>
      <w:r>
        <w:rPr>
          <w:b/>
          <w:color w:val="008000"/>
        </w:rPr>
        <w:t>ACHAT FORT</w:t>
      </w:r>
      <w:r>
        <w:t xml:space="preserve"> | Confiance: Élevée | Risque: Moyen</w:t>
      </w:r>
    </w:p>
    <w:p>
      <w:pPr>
        <w:pStyle w:val="ListNumber"/>
      </w:pPr>
      <w:r>
        <w:rPr>
          <w:b/>
        </w:rPr>
        <w:t>ABJC - ABJC - SERVAIR ABIDJAN CI</w:t>
      </w:r>
      <w:r>
        <w:t xml:space="preserve"> | Prix: 3975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33785 FCFA | </w:t>
      </w:r>
      <w:r>
        <w:rPr>
          <w:b/>
          <w:color w:val="008000"/>
        </w:rPr>
        <w:t>ACHAT</w:t>
      </w:r>
      <w:r>
        <w:t xml:space="preserve"> | Confiance: Faible | Risque: Moyen</w:t>
      </w:r>
    </w:p>
    <w:p>
      <w:pPr>
        <w:pStyle w:val="ListNumber"/>
      </w:pPr>
      <w:r>
        <w:rPr>
          <w:b/>
        </w:rPr>
        <w:t>BNBC - BNBC - BERNABE CI</w:t>
      </w:r>
      <w:r>
        <w:t xml:space="preserve"> | Prix: 2105 FCFA | </w:t>
      </w:r>
      <w:r>
        <w:rPr>
          <w:b/>
          <w:color w:val="008000"/>
        </w:rPr>
        <w:t>ACHAT</w:t>
      </w:r>
      <w:r>
        <w:t xml:space="preserve"> | Confiance: Moyen | Risque: Moyen</w:t>
      </w:r>
    </w:p>
    <w:p>
      <w:pPr>
        <w:pStyle w:val="ListNumber"/>
      </w:pPr>
      <w:r>
        <w:rPr>
          <w:b/>
        </w:rPr>
        <w:t>BOAB - BANK OF AFRICA BENIN</w:t>
      </w:r>
      <w:r>
        <w:t xml:space="preserve"> | Prix: 10240 FCFA | </w:t>
      </w:r>
      <w:r>
        <w:rPr>
          <w:b/>
          <w:color w:val="008000"/>
        </w:rPr>
        <w:t>ACHAT</w:t>
      </w:r>
      <w:r>
        <w:t xml:space="preserve"> | Confiance: Moyen | Risque: Moyen</w:t>
      </w:r>
    </w:p>
    <w:p>
      <w:pPr>
        <w:pStyle w:val="ListNumber"/>
      </w:pPr>
      <w:r>
        <w:rPr>
          <w:b/>
        </w:rPr>
        <w:t>BOABF - BANK OF AFRICA BURKINA FASO</w:t>
      </w:r>
      <w:r>
        <w:t xml:space="preserve"> | Prix: 8900 FCFA | </w:t>
      </w:r>
      <w:r>
        <w:rPr>
          <w:b/>
          <w:color w:val="008000"/>
        </w:rPr>
        <w:t>ACHAT</w:t>
      </w:r>
      <w:r>
        <w:t xml:space="preserve"> | Confiance: Moyen | Risque: Moyen</w:t>
      </w:r>
    </w:p>
    <w:p>
      <w:pPr>
        <w:pStyle w:val="ListNumber"/>
      </w:pPr>
      <w:r>
        <w:rPr>
          <w:b/>
        </w:rPr>
        <w:t>BOAC - BANK OF AFRICA COTE D'IVOIRE</w:t>
      </w:r>
      <w:r>
        <w:t xml:space="preserve"> | Prix: 12495 FCFA | </w:t>
      </w:r>
      <w:r>
        <w:rPr>
          <w:b/>
          <w:color w:val="008000"/>
        </w:rPr>
        <w:t>ACHAT</w:t>
      </w:r>
      <w:r>
        <w:t xml:space="preserve"> | Confiance: Élevée | Risque: Moyen</w:t>
      </w:r>
    </w:p>
    <w:p>
      <w:pPr>
        <w:pStyle w:val="ListNumber"/>
      </w:pPr>
      <w:r>
        <w:rPr>
          <w:b/>
        </w:rPr>
        <w:t>BOAM - BANK OF AFRICA MALI</w:t>
      </w:r>
      <w:r>
        <w:t xml:space="preserve"> | Prix: 6870 FCFA | </w:t>
      </w:r>
      <w:r>
        <w:rPr>
          <w:b/>
          <w:color w:val="008000"/>
        </w:rPr>
        <w:t>ACHAT</w:t>
      </w:r>
      <w:r>
        <w:t xml:space="preserve"> | Confiance: Faible | Risque: Faible</w:t>
      </w:r>
    </w:p>
    <w:p>
      <w:pPr>
        <w:pStyle w:val="ListNumber"/>
      </w:pPr>
      <w:r>
        <w:rPr>
          <w:b/>
        </w:rPr>
        <w:t>BOAN - BANK OF AFRICA NIGER</w:t>
      </w:r>
      <w:r>
        <w:t xml:space="preserve"> | Prix: 5445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BICB - BIIC BN - Banque internationale pour le commerce du benin</w:t>
      </w:r>
      <w:r>
        <w:t xml:space="preserve"> | Prix: 10790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108.26%</w:t>
      </w:r>
      <w:r>
        <w:t xml:space="preserve">  |  </w:t>
      </w:r>
      <w:r>
        <w:rPr>
          <w:b/>
        </w:rPr>
        <w:t xml:space="preserve">vs BRVM Composite: </w:t>
      </w:r>
      <w:r>
        <w:rPr>
          <w:b/>
          <w:color w:val="008000"/>
        </w:rPr>
        <w:t>+71.38%  🟢 Surperformance</w:t>
      </w:r>
      <w:r>
        <w:br/>
      </w:r>
      <w:r>
        <w:rPr>
          <w:b/>
        </w:rPr>
        <w:t xml:space="preserve">Sentiment général: </w:t>
      </w:r>
      <w:r>
        <w:t xml:space="preserve">ACHAT  |  </w:t>
      </w:r>
      <w:r>
        <w:rPr>
          <w:b/>
        </w:rPr>
        <w:t xml:space="preserve">Risque moyen: </w:t>
      </w:r>
      <w:r>
        <w:t xml:space="preserve">Moyen  |  </w:t>
      </w:r>
      <w:r>
        <w:rPr>
          <w:b/>
        </w:rPr>
        <w:t xml:space="preserve">Prix moyen: </w:t>
      </w:r>
      <w:r>
        <w:t>10395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50.00%</w:t>
      </w:r>
      <w:r>
        <w:t xml:space="preserve">  |  </w:t>
      </w:r>
      <w:r>
        <w:rPr>
          <w:b/>
        </w:rPr>
        <w:t xml:space="preserve">vs BRVM Composite: </w:t>
      </w:r>
      <w:r>
        <w:rPr>
          <w:b/>
          <w:color w:val="008000"/>
        </w:rPr>
        <w:t>+13.12%  🟢 Surperformance</w:t>
      </w:r>
      <w:r>
        <w:br/>
      </w:r>
      <w:r>
        <w:rPr>
          <w:b/>
        </w:rPr>
        <w:t xml:space="preserve">Sentiment général: </w:t>
      </w:r>
      <w:r>
        <w:t xml:space="preserve">ACHAT  |  </w:t>
      </w:r>
      <w:r>
        <w:rPr>
          <w:b/>
        </w:rPr>
        <w:t xml:space="preserve">Risque moyen: </w:t>
      </w:r>
      <w:r>
        <w:t xml:space="preserve">Moyen  |  </w:t>
      </w:r>
      <w:r>
        <w:rPr>
          <w:b/>
        </w:rPr>
        <w:t xml:space="preserve">Prix moyen: </w:t>
      </w:r>
      <w:r>
        <w:t>14368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31.29%</w:t>
      </w:r>
      <w:r>
        <w:t xml:space="preserve">  |  </w:t>
      </w:r>
      <w:r>
        <w:rPr>
          <w:b/>
        </w:rPr>
        <w:t xml:space="preserve">vs BRVM Composite: </w:t>
      </w:r>
      <w:r>
        <w:rPr>
          <w:b/>
          <w:color w:val="C00000"/>
        </w:rPr>
        <w:t>-5.58%  🔴 Sous-performance</w:t>
      </w:r>
      <w:r>
        <w:br/>
      </w:r>
      <w:r>
        <w:rPr>
          <w:b/>
        </w:rPr>
        <w:t xml:space="preserve">Sentiment général: </w:t>
      </w:r>
      <w:r>
        <w:t xml:space="preserve">ACHAT  |  </w:t>
      </w:r>
      <w:r>
        <w:rPr>
          <w:b/>
        </w:rPr>
        <w:t xml:space="preserve">Risque moyen: </w:t>
      </w:r>
      <w:r>
        <w:t xml:space="preserve">Moyen  |  </w:t>
      </w:r>
      <w:r>
        <w:rPr>
          <w:b/>
        </w:rPr>
        <w:t xml:space="preserve">Prix moyen: </w:t>
      </w:r>
      <w:r>
        <w:t>18487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27.49%</w:t>
      </w:r>
      <w:r>
        <w:t xml:space="preserve">  |  </w:t>
      </w:r>
      <w:r>
        <w:rPr>
          <w:b/>
        </w:rPr>
        <w:t xml:space="preserve">vs BRVM Composite: </w:t>
      </w:r>
      <w:r>
        <w:rPr>
          <w:b/>
          <w:color w:val="C00000"/>
        </w:rPr>
        <w:t>-9.38%  🔴 Sous-performance</w:t>
      </w:r>
      <w:r>
        <w:br/>
      </w:r>
      <w:r>
        <w:rPr>
          <w:b/>
        </w:rPr>
        <w:t xml:space="preserve">Sentiment général: </w:t>
      </w:r>
      <w:r>
        <w:t xml:space="preserve">ACHAT  |  </w:t>
      </w:r>
      <w:r>
        <w:rPr>
          <w:b/>
        </w:rPr>
        <w:t xml:space="preserve">Risque moyen: </w:t>
      </w:r>
      <w:r>
        <w:t xml:space="preserve">Moyen  |  </w:t>
      </w:r>
      <w:r>
        <w:rPr>
          <w:b/>
        </w:rPr>
        <w:t xml:space="preserve">Prix moyen: </w:t>
      </w:r>
      <w:r>
        <w:t>21123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26.06%</w:t>
      </w:r>
      <w:r>
        <w:t xml:space="preserve">  |  </w:t>
      </w:r>
      <w:r>
        <w:rPr>
          <w:b/>
        </w:rPr>
        <w:t xml:space="preserve">vs BRVM Composite: </w:t>
      </w:r>
      <w:r>
        <w:rPr>
          <w:b/>
          <w:color w:val="C00000"/>
        </w:rPr>
        <w:t>-10.81%  🔴 Sous-performance</w:t>
      </w:r>
      <w:r>
        <w:br/>
      </w:r>
      <w:r>
        <w:rPr>
          <w:b/>
        </w:rPr>
        <w:t xml:space="preserve">Sentiment général: </w:t>
      </w:r>
      <w:r>
        <w:t xml:space="preserve">ACHAT  |  </w:t>
      </w:r>
      <w:r>
        <w:rPr>
          <w:b/>
        </w:rPr>
        <w:t xml:space="preserve">Risque moyen: </w:t>
      </w:r>
      <w:r>
        <w:t xml:space="preserve">Moyen  |  </w:t>
      </w:r>
      <w:r>
        <w:rPr>
          <w:b/>
        </w:rPr>
        <w:t xml:space="preserve">Prix moyen: </w:t>
      </w:r>
      <w:r>
        <w:t>6765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25.35%</w:t>
      </w:r>
      <w:r>
        <w:t xml:space="preserve">  |  </w:t>
      </w:r>
      <w:r>
        <w:rPr>
          <w:b/>
        </w:rPr>
        <w:t xml:space="preserve">vs BRVM Composite: </w:t>
      </w:r>
      <w:r>
        <w:rPr>
          <w:b/>
          <w:color w:val="C00000"/>
        </w:rPr>
        <w:t>-11.52%  🔴 Sous-performance</w:t>
      </w:r>
      <w:r>
        <w:br/>
      </w:r>
      <w:r>
        <w:rPr>
          <w:b/>
        </w:rPr>
        <w:t xml:space="preserve">Sentiment général: </w:t>
      </w:r>
      <w:r>
        <w:t xml:space="preserve">ACHAT  |  </w:t>
      </w:r>
      <w:r>
        <w:rPr>
          <w:b/>
        </w:rPr>
        <w:t xml:space="preserve">Risque moyen: </w:t>
      </w:r>
      <w:r>
        <w:t xml:space="preserve">Moyen  |  </w:t>
      </w:r>
      <w:r>
        <w:rPr>
          <w:b/>
        </w:rPr>
        <w:t xml:space="preserve">Prix moyen: </w:t>
      </w:r>
      <w:r>
        <w:t>3056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-5.27%</w:t>
      </w:r>
      <w:r>
        <w:t xml:space="preserve">  |  </w:t>
      </w:r>
      <w:r>
        <w:rPr>
          <w:b/>
        </w:rPr>
        <w:t xml:space="preserve">vs BRVM Composite: </w:t>
      </w:r>
      <w:r>
        <w:rPr>
          <w:b/>
          <w:color w:val="C00000"/>
        </w:rPr>
        <w:t>-42.15%  🔴 Sous-performance</w:t>
      </w:r>
      <w:r>
        <w:br/>
      </w:r>
      <w:r>
        <w:rPr>
          <w:b/>
        </w:rPr>
        <w:t xml:space="preserve">Sentiment général: </w:t>
      </w:r>
      <w:r>
        <w:t xml:space="preserve">ACHAT  |  </w:t>
      </w:r>
      <w:r>
        <w:rPr>
          <w:b/>
        </w:rPr>
        <w:t xml:space="preserve">Risque moyen: </w:t>
      </w:r>
      <w:r>
        <w:t xml:space="preserve">Moyen  |  </w:t>
      </w:r>
      <w:r>
        <w:rPr>
          <w:b/>
        </w:rPr>
        <w:t xml:space="preserve">Prix moyen: </w:t>
      </w:r>
      <w:r>
        <w:t>2544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CABC, CFAC, ECOC, PALC, SDSC, SEMC, SICC, SIVC, SPHC, STAC,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BNBC, BOAB, BOABF, BOAN, CBIBF, ETIT, FTSC, NEIC, NTLC, ONTBF, ORAC, SAFC, SCRC, SDCC, SGBC, SIBC, SLBC, SMBC, SNTS, SOGC,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BICC, BOAM, BOAS, CIEC, LNBB, NSBC, ORGT, PRSC, SHEC, STBC</w:t>
            </w:r>
          </w:p>
        </w:tc>
        <w:tc>
          <w:tcPr>
            <w:tcW w:type="dxa" w:w="2160"/>
            <w:shd w:fill="FFC7CE" w:val="clear"/>
          </w:tcPr>
          <w:p>
            <w:pPr>
              <w:spacing w:before="40" w:after="40"/>
            </w:pPr>
            <w:r/>
            <w:r>
              <w:rPr>
                <w:b w:val="0"/>
                <w:sz w:val="16"/>
              </w:rPr>
              <w:t>BICB</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1494132</w:t>
            </w:r>
          </w:p>
        </w:tc>
        <w:tc>
          <w:tcPr>
            <w:tcW w:type="dxa" w:w="1728"/>
          </w:tcPr>
          <w:p>
            <w:r>
              <w:t>99504055 FCFA</w:t>
            </w:r>
          </w:p>
        </w:tc>
        <w:tc>
          <w:tcPr>
            <w:tcW w:type="dxa" w:w="1728"/>
          </w:tcPr>
          <w:p>
            <w:r>
              <w:t>108.82%</w:t>
            </w:r>
          </w:p>
        </w:tc>
        <w:tc>
          <w:tcPr>
            <w:tcW w:type="dxa" w:w="1728"/>
          </w:tcPr>
          <w:p>
            <w:r>
              <w:t>ACHAT</w:t>
            </w:r>
          </w:p>
        </w:tc>
      </w:tr>
      <w:tr>
        <w:tc>
          <w:tcPr>
            <w:tcW w:type="dxa" w:w="1728"/>
          </w:tcPr>
          <w:p>
            <w:r>
              <w:t>BICB (BIIC BN - Banque internationale pour le commerce du benin)</w:t>
            </w:r>
          </w:p>
        </w:tc>
        <w:tc>
          <w:tcPr>
            <w:tcW w:type="dxa" w:w="1728"/>
          </w:tcPr>
          <w:p>
            <w:r>
              <w:t>20110</w:t>
            </w:r>
          </w:p>
        </w:tc>
        <w:tc>
          <w:tcPr>
            <w:tcW w:type="dxa" w:w="1728"/>
          </w:tcPr>
          <w:p>
            <w:r>
              <w:t>168223855 FCFA</w:t>
            </w:r>
          </w:p>
        </w:tc>
        <w:tc>
          <w:tcPr>
            <w:tcW w:type="dxa" w:w="1728"/>
          </w:tcPr>
          <w:p>
            <w:r>
              <w:t>110.74%</w:t>
            </w:r>
          </w:p>
        </w:tc>
        <w:tc>
          <w:tcPr>
            <w:tcW w:type="dxa" w:w="1728"/>
          </w:tcPr>
          <w:p>
            <w:r>
              <w:t>CONSERVER ⚠️</w:t>
            </w:r>
          </w:p>
        </w:tc>
      </w:tr>
      <w:tr>
        <w:tc>
          <w:tcPr>
            <w:tcW w:type="dxa" w:w="1728"/>
          </w:tcPr>
          <w:p>
            <w:r>
              <w:t>SDSC (SDSC - AFRICA GLOBAL LOGISTICS CI)</w:t>
            </w:r>
          </w:p>
        </w:tc>
        <w:tc>
          <w:tcPr>
            <w:tcW w:type="dxa" w:w="1728"/>
          </w:tcPr>
          <w:p>
            <w:r>
              <w:t>19068</w:t>
            </w:r>
          </w:p>
        </w:tc>
        <w:tc>
          <w:tcPr>
            <w:tcW w:type="dxa" w:w="1728"/>
          </w:tcPr>
          <w:p>
            <w:r>
              <w:t>52566470 FCFA</w:t>
            </w:r>
          </w:p>
        </w:tc>
        <w:tc>
          <w:tcPr>
            <w:tcW w:type="dxa" w:w="1728"/>
          </w:tcPr>
          <w:p>
            <w:r>
              <w:t>63.68%</w:t>
            </w:r>
          </w:p>
        </w:tc>
        <w:tc>
          <w:tcPr>
            <w:tcW w:type="dxa" w:w="1728"/>
          </w:tcPr>
          <w:p>
            <w:r>
              <w:t>ACHAT</w:t>
            </w:r>
          </w:p>
        </w:tc>
      </w:tr>
      <w:tr>
        <w:tc>
          <w:tcPr>
            <w:tcW w:type="dxa" w:w="1728"/>
          </w:tcPr>
          <w:p>
            <w:r>
              <w:t>UNXC (UNXC - UNIWAX COTE D'IVOIRE)</w:t>
            </w:r>
          </w:p>
        </w:tc>
        <w:tc>
          <w:tcPr>
            <w:tcW w:type="dxa" w:w="1728"/>
          </w:tcPr>
          <w:p>
            <w:r>
              <w:t>15892</w:t>
            </w:r>
          </w:p>
        </w:tc>
        <w:tc>
          <w:tcPr>
            <w:tcW w:type="dxa" w:w="1728"/>
          </w:tcPr>
          <w:p>
            <w:r>
              <w:t>36601848 FCFA</w:t>
            </w:r>
          </w:p>
        </w:tc>
        <w:tc>
          <w:tcPr>
            <w:tcW w:type="dxa" w:w="1728"/>
          </w:tcPr>
          <w:p>
            <w:r>
              <w:t>18.48%</w:t>
            </w:r>
          </w:p>
        </w:tc>
        <w:tc>
          <w:tcPr>
            <w:tcW w:type="dxa" w:w="1728"/>
          </w:tcPr>
          <w:p>
            <w:r>
              <w:t>ACHAT</w:t>
            </w:r>
          </w:p>
        </w:tc>
      </w:tr>
      <w:tr>
        <w:tc>
          <w:tcPr>
            <w:tcW w:type="dxa" w:w="1728"/>
          </w:tcPr>
          <w:p>
            <w:r>
              <w:t>BOAS (BANK OF AFRICA SENEGAL)</w:t>
            </w:r>
          </w:p>
        </w:tc>
        <w:tc>
          <w:tcPr>
            <w:tcW w:type="dxa" w:w="1728"/>
          </w:tcPr>
          <w:p>
            <w:r>
              <w:t>15198</w:t>
            </w:r>
          </w:p>
        </w:tc>
        <w:tc>
          <w:tcPr>
            <w:tcW w:type="dxa" w:w="1728"/>
          </w:tcPr>
          <w:p>
            <w:r>
              <w:t>121535030 FCFA</w:t>
            </w:r>
          </w:p>
        </w:tc>
        <w:tc>
          <w:tcPr>
            <w:tcW w:type="dxa" w:w="1728"/>
          </w:tcPr>
          <w:p>
            <w:r>
              <w:t>22.81%</w:t>
            </w:r>
          </w:p>
        </w:tc>
        <w:tc>
          <w:tcPr>
            <w:tcW w:type="dxa" w:w="1728"/>
          </w:tcPr>
          <w:p>
            <w:r>
              <w:t>ACHAT</w:t>
            </w:r>
          </w:p>
        </w:tc>
      </w:tr>
      <w:tr>
        <w:tc>
          <w:tcPr>
            <w:tcW w:type="dxa" w:w="1728"/>
          </w:tcPr>
          <w:p>
            <w:r>
              <w:t>SIBC (SIBC - SOCIETE IVOIRIENNE DE BANQUE)</w:t>
            </w:r>
          </w:p>
        </w:tc>
        <w:tc>
          <w:tcPr>
            <w:tcW w:type="dxa" w:w="1728"/>
          </w:tcPr>
          <w:p>
            <w:r>
              <w:t>14991</w:t>
            </w:r>
          </w:p>
        </w:tc>
        <w:tc>
          <w:tcPr>
            <w:tcW w:type="dxa" w:w="1728"/>
          </w:tcPr>
          <w:p>
            <w:r>
              <w:t>136953394 FCFA</w:t>
            </w:r>
          </w:p>
        </w:tc>
        <w:tc>
          <w:tcPr>
            <w:tcW w:type="dxa" w:w="1728"/>
          </w:tcPr>
          <w:p>
            <w:r>
              <w:t>30.00%</w:t>
            </w:r>
          </w:p>
        </w:tc>
        <w:tc>
          <w:tcPr>
            <w:tcW w:type="dxa" w:w="1728"/>
          </w:tcPr>
          <w:p>
            <w:r>
              <w:t>ACHAT</w:t>
            </w:r>
          </w:p>
        </w:tc>
      </w:tr>
      <w:tr>
        <w:tc>
          <w:tcPr>
            <w:tcW w:type="dxa" w:w="1728"/>
          </w:tcPr>
          <w:p>
            <w:r>
              <w:t>SOGC (SOGC - Société des caoutchoucs de Grand-Béréby)</w:t>
            </w:r>
          </w:p>
        </w:tc>
        <w:tc>
          <w:tcPr>
            <w:tcW w:type="dxa" w:w="1728"/>
          </w:tcPr>
          <w:p>
            <w:r>
              <w:t>11624</w:t>
            </w:r>
          </w:p>
        </w:tc>
        <w:tc>
          <w:tcPr>
            <w:tcW w:type="dxa" w:w="1728"/>
          </w:tcPr>
          <w:p>
            <w:r>
              <w:t>88558074 FCFA</w:t>
            </w:r>
          </w:p>
        </w:tc>
        <w:tc>
          <w:tcPr>
            <w:tcW w:type="dxa" w:w="1728"/>
          </w:tcPr>
          <w:p>
            <w:r>
              <w:t>3.04%</w:t>
            </w:r>
          </w:p>
        </w:tc>
        <w:tc>
          <w:tcPr>
            <w:tcW w:type="dxa" w:w="1728"/>
          </w:tcPr>
          <w:p>
            <w:r>
              <w:t>ACHAT</w:t>
            </w:r>
          </w:p>
        </w:tc>
      </w:tr>
      <w:tr>
        <w:tc>
          <w:tcPr>
            <w:tcW w:type="dxa" w:w="1728"/>
          </w:tcPr>
          <w:p>
            <w:r>
              <w:t>SNTS (SNTS - SONATEL SN)</w:t>
            </w:r>
          </w:p>
        </w:tc>
        <w:tc>
          <w:tcPr>
            <w:tcW w:type="dxa" w:w="1728"/>
          </w:tcPr>
          <w:p>
            <w:r>
              <w:t>11612</w:t>
            </w:r>
          </w:p>
        </w:tc>
        <w:tc>
          <w:tcPr>
            <w:tcW w:type="dxa" w:w="1728"/>
          </w:tcPr>
          <w:p>
            <w:r>
              <w:t>406870558 FCFA</w:t>
            </w:r>
          </w:p>
        </w:tc>
        <w:tc>
          <w:tcPr>
            <w:tcW w:type="dxa" w:w="1728"/>
          </w:tcPr>
          <w:p>
            <w:r>
              <w:t>34.38%</w:t>
            </w:r>
          </w:p>
        </w:tc>
        <w:tc>
          <w:tcPr>
            <w:tcW w:type="dxa" w:w="1728"/>
          </w:tcPr>
          <w:p>
            <w:r>
              <w:t>ACHAT</w:t>
            </w:r>
          </w:p>
        </w:tc>
      </w:tr>
      <w:tr>
        <w:tc>
          <w:tcPr>
            <w:tcW w:type="dxa" w:w="1728"/>
          </w:tcPr>
          <w:p>
            <w:r>
              <w:t>BOAC (BANK OF AFRICA COTE D'IVOIRE)</w:t>
            </w:r>
          </w:p>
        </w:tc>
        <w:tc>
          <w:tcPr>
            <w:tcW w:type="dxa" w:w="1728"/>
          </w:tcPr>
          <w:p>
            <w:r>
              <w:t>10542</w:t>
            </w:r>
          </w:p>
        </w:tc>
        <w:tc>
          <w:tcPr>
            <w:tcW w:type="dxa" w:w="1728"/>
          </w:tcPr>
          <w:p>
            <w:r>
              <w:t>133452379 FCFA</w:t>
            </w:r>
          </w:p>
        </w:tc>
        <w:tc>
          <w:tcPr>
            <w:tcW w:type="dxa" w:w="1728"/>
          </w:tcPr>
          <w:p>
            <w:r>
              <w:t>47.00%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3896</w:t>
            </w:r>
          </w:p>
        </w:tc>
        <w:tc>
          <w:tcPr>
            <w:tcW w:type="dxa" w:w="1728"/>
          </w:tcPr>
          <w:p>
            <w:r>
              <w:t>89056876 FCFA</w:t>
            </w:r>
          </w:p>
        </w:tc>
        <w:tc>
          <w:tcPr>
            <w:tcW w:type="dxa" w:w="1728"/>
          </w:tcPr>
          <w:p>
            <w:r>
              <w:t>4.76%</w:t>
            </w:r>
          </w:p>
        </w:tc>
        <w:tc>
          <w:tcPr>
            <w:tcW w:type="dxa" w:w="1728"/>
          </w:tcPr>
          <w:p>
            <w:r>
              <w:t>ACHAT</w:t>
            </w:r>
          </w:p>
        </w:tc>
      </w:tr>
      <w:tr>
        <w:tc>
          <w:tcPr>
            <w:tcW w:type="dxa" w:w="1728"/>
          </w:tcPr>
          <w:p>
            <w:r>
              <w:t>ORGT (ORGT - ORAGROUP TOGO)</w:t>
            </w:r>
          </w:p>
        </w:tc>
        <w:tc>
          <w:tcPr>
            <w:tcW w:type="dxa" w:w="1728"/>
          </w:tcPr>
          <w:p>
            <w:r>
              <w:t>3810</w:t>
            </w:r>
          </w:p>
        </w:tc>
        <w:tc>
          <w:tcPr>
            <w:tcW w:type="dxa" w:w="1728"/>
          </w:tcPr>
          <w:p>
            <w:r>
              <w:t>12044155 FCFA</w:t>
            </w:r>
          </w:p>
        </w:tc>
        <w:tc>
          <w:tcPr>
            <w:tcW w:type="dxa" w:w="1728"/>
          </w:tcPr>
          <w:p>
            <w:r>
              <w:t>-4.36%</w:t>
            </w:r>
          </w:p>
        </w:tc>
        <w:tc>
          <w:tcPr>
            <w:tcW w:type="dxa" w:w="1728"/>
          </w:tcPr>
          <w:p>
            <w:r>
              <w:t>ACHAT</w:t>
            </w:r>
          </w:p>
        </w:tc>
      </w:tr>
      <w:tr>
        <w:tc>
          <w:tcPr>
            <w:tcW w:type="dxa" w:w="1728"/>
          </w:tcPr>
          <w:p>
            <w:r>
              <w:t>ABJC (ABJC - SERVAIR ABIDJAN CI)</w:t>
            </w:r>
          </w:p>
        </w:tc>
        <w:tc>
          <w:tcPr>
            <w:tcW w:type="dxa" w:w="1728"/>
          </w:tcPr>
          <w:p>
            <w:r>
              <w:t>3787</w:t>
            </w:r>
          </w:p>
        </w:tc>
        <w:tc>
          <w:tcPr>
            <w:tcW w:type="dxa" w:w="1728"/>
          </w:tcPr>
          <w:p>
            <w:r>
              <w:t>13488386 FCFA</w:t>
            </w:r>
          </w:p>
        </w:tc>
        <w:tc>
          <w:tcPr>
            <w:tcW w:type="dxa" w:w="1728"/>
          </w:tcPr>
          <w:p>
            <w:r>
              <w:t>14.39%</w:t>
            </w:r>
          </w:p>
        </w:tc>
        <w:tc>
          <w:tcPr>
            <w:tcW w:type="dxa" w:w="1728"/>
          </w:tcPr>
          <w:p>
            <w:r>
              <w:t>ACHAT</w:t>
            </w:r>
          </w:p>
        </w:tc>
      </w:tr>
      <w:tr>
        <w:tc>
          <w:tcPr>
            <w:tcW w:type="dxa" w:w="1728"/>
          </w:tcPr>
          <w:p>
            <w:r>
              <w:t>CFAC (CFAC - CFAO MOTORS CI)</w:t>
            </w:r>
          </w:p>
        </w:tc>
        <w:tc>
          <w:tcPr>
            <w:tcW w:type="dxa" w:w="1728"/>
          </w:tcPr>
          <w:p>
            <w:r>
              <w:t>3633</w:t>
            </w:r>
          </w:p>
        </w:tc>
        <w:tc>
          <w:tcPr>
            <w:tcW w:type="dxa" w:w="1728"/>
          </w:tcPr>
          <w:p>
            <w:r>
              <w:t>6181124 FCFA</w:t>
            </w:r>
          </w:p>
        </w:tc>
        <w:tc>
          <w:tcPr>
            <w:tcW w:type="dxa" w:w="1728"/>
          </w:tcPr>
          <w:p>
            <w:r>
              <w:t>6.75%</w:t>
            </w:r>
          </w:p>
        </w:tc>
        <w:tc>
          <w:tcPr>
            <w:tcW w:type="dxa" w:w="1728"/>
          </w:tcPr>
          <w:p>
            <w:r>
              <w:t>ACHAT</w:t>
            </w:r>
          </w:p>
        </w:tc>
      </w:tr>
      <w:tr>
        <w:tc>
          <w:tcPr>
            <w:tcW w:type="dxa" w:w="1728"/>
          </w:tcPr>
          <w:p>
            <w:r>
              <w:t>FTSC (FTSC - FILTISAC COTE D'IVOIRE)</w:t>
            </w:r>
          </w:p>
        </w:tc>
        <w:tc>
          <w:tcPr>
            <w:tcW w:type="dxa" w:w="1728"/>
          </w:tcPr>
          <w:p>
            <w:r>
              <w:t>3438</w:t>
            </w:r>
          </w:p>
        </w:tc>
        <w:tc>
          <w:tcPr>
            <w:tcW w:type="dxa" w:w="1728"/>
          </w:tcPr>
          <w:p>
            <w:r>
              <w:t>7415838 FCFA</w:t>
            </w:r>
          </w:p>
        </w:tc>
        <w:tc>
          <w:tcPr>
            <w:tcW w:type="dxa" w:w="1728"/>
          </w:tcPr>
          <w:p>
            <w:r>
              <w:t>-7.19%</w:t>
            </w:r>
          </w:p>
        </w:tc>
        <w:tc>
          <w:tcPr>
            <w:tcW w:type="dxa" w:w="1728"/>
          </w:tcPr>
          <w:p>
            <w:r>
              <w:t>ACHAT</w:t>
            </w:r>
          </w:p>
        </w:tc>
      </w:tr>
      <w:tr>
        <w:tc>
          <w:tcPr>
            <w:tcW w:type="dxa" w:w="1728"/>
          </w:tcPr>
          <w:p>
            <w:r>
              <w:t>PALC (PALC - PALM COTE D'IVOIRE)</w:t>
            </w:r>
          </w:p>
        </w:tc>
        <w:tc>
          <w:tcPr>
            <w:tcW w:type="dxa" w:w="1728"/>
          </w:tcPr>
          <w:p>
            <w:r>
              <w:t>3026</w:t>
            </w:r>
          </w:p>
        </w:tc>
        <w:tc>
          <w:tcPr>
            <w:tcW w:type="dxa" w:w="1728"/>
          </w:tcPr>
          <w:p>
            <w:r>
              <w:t>27633568 FCFA</w:t>
            </w:r>
          </w:p>
        </w:tc>
        <w:tc>
          <w:tcPr>
            <w:tcW w:type="dxa" w:w="1728"/>
          </w:tcPr>
          <w:p>
            <w:r>
              <w:t>3.29%</w:t>
            </w:r>
          </w:p>
        </w:tc>
        <w:tc>
          <w:tcPr>
            <w:tcW w:type="dxa" w:w="1728"/>
          </w:tcPr>
          <w:p>
            <w:r>
              <w:t>ACHAT FORT</w:t>
            </w:r>
          </w:p>
        </w:tc>
      </w:tr>
      <w:tr>
        <w:tc>
          <w:tcPr>
            <w:tcW w:type="dxa" w:w="1728"/>
          </w:tcPr>
          <w:p>
            <w:r>
              <w:t>ORAC (ORAC - ORANGE COTE D'IVOIRE)</w:t>
            </w:r>
          </w:p>
        </w:tc>
        <w:tc>
          <w:tcPr>
            <w:tcW w:type="dxa" w:w="1728"/>
          </w:tcPr>
          <w:p>
            <w:r>
              <w:t>2950</w:t>
            </w:r>
          </w:p>
        </w:tc>
        <w:tc>
          <w:tcPr>
            <w:tcW w:type="dxa" w:w="1728"/>
          </w:tcPr>
          <w:p>
            <w:r>
              <w:t>59756496 FCFA</w:t>
            </w:r>
          </w:p>
        </w:tc>
        <w:tc>
          <w:tcPr>
            <w:tcW w:type="dxa" w:w="1728"/>
          </w:tcPr>
          <w:p>
            <w:r>
              <w:t>47.40%</w:t>
            </w:r>
          </w:p>
        </w:tc>
        <w:tc>
          <w:tcPr>
            <w:tcW w:type="dxa" w:w="1728"/>
          </w:tcPr>
          <w:p>
            <w:r>
              <w:t>ACHAT</w:t>
            </w:r>
          </w:p>
        </w:tc>
      </w:tr>
      <w:tr>
        <w:tc>
          <w:tcPr>
            <w:tcW w:type="dxa" w:w="1728"/>
          </w:tcPr>
          <w:p>
            <w:r>
              <w:t>TTLS (TTLS - TOTAL ENERGIES MARKETING SENEGAL)</w:t>
            </w:r>
          </w:p>
        </w:tc>
        <w:tc>
          <w:tcPr>
            <w:tcW w:type="dxa" w:w="1728"/>
          </w:tcPr>
          <w:p>
            <w:r>
              <w:t>2547</w:t>
            </w:r>
          </w:p>
        </w:tc>
        <w:tc>
          <w:tcPr>
            <w:tcW w:type="dxa" w:w="1728"/>
          </w:tcPr>
          <w:p>
            <w:r>
              <w:t>9576113 FCFA</w:t>
            </w:r>
          </w:p>
        </w:tc>
        <w:tc>
          <w:tcPr>
            <w:tcW w:type="dxa" w:w="1728"/>
          </w:tcPr>
          <w:p>
            <w:r>
              <w:t>26.67%</w:t>
            </w:r>
          </w:p>
        </w:tc>
        <w:tc>
          <w:tcPr>
            <w:tcW w:type="dxa" w:w="1728"/>
          </w:tcPr>
          <w:p>
            <w:r>
              <w:t>ACHAT</w:t>
            </w:r>
          </w:p>
        </w:tc>
      </w:tr>
      <w:tr>
        <w:tc>
          <w:tcPr>
            <w:tcW w:type="dxa" w:w="1728"/>
          </w:tcPr>
          <w:p>
            <w:r>
              <w:t>CABC (CABC - SICABLE COTE D'IVOIRE)</w:t>
            </w:r>
          </w:p>
        </w:tc>
        <w:tc>
          <w:tcPr>
            <w:tcW w:type="dxa" w:w="1728"/>
          </w:tcPr>
          <w:p>
            <w:r>
              <w:t>2540</w:t>
            </w:r>
          </w:p>
        </w:tc>
        <w:tc>
          <w:tcPr>
            <w:tcW w:type="dxa" w:w="1728"/>
          </w:tcPr>
          <w:p>
            <w:r>
              <w:t>8944556 FCFA</w:t>
            </w:r>
          </w:p>
        </w:tc>
        <w:tc>
          <w:tcPr>
            <w:tcW w:type="dxa" w:w="1728"/>
          </w:tcPr>
          <w:p>
            <w:r>
              <w:t>-15.87%</w:t>
            </w:r>
          </w:p>
        </w:tc>
        <w:tc>
          <w:tcPr>
            <w:tcW w:type="dxa" w:w="1728"/>
          </w:tcPr>
          <w:p>
            <w:r>
              <w:t>ACHAT</w:t>
            </w:r>
          </w:p>
        </w:tc>
      </w:tr>
      <w:tr>
        <w:tc>
          <w:tcPr>
            <w:tcW w:type="dxa" w:w="1728"/>
          </w:tcPr>
          <w:p>
            <w:r>
              <w:t>NEIC (NEIC - NEI-CEDA CI)</w:t>
            </w:r>
          </w:p>
        </w:tc>
        <w:tc>
          <w:tcPr>
            <w:tcW w:type="dxa" w:w="1728"/>
          </w:tcPr>
          <w:p>
            <w:r>
              <w:t>2416</w:t>
            </w:r>
          </w:p>
        </w:tc>
        <w:tc>
          <w:tcPr>
            <w:tcW w:type="dxa" w:w="1728"/>
          </w:tcPr>
          <w:p>
            <w:r>
              <w:t>6530510 FCFA</w:t>
            </w:r>
          </w:p>
        </w:tc>
        <w:tc>
          <w:tcPr>
            <w:tcW w:type="dxa" w:w="1728"/>
          </w:tcPr>
          <w:p>
            <w:r>
              <w:t>112.10%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BOAM - BANK OF AFRICA MALI</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CIEC - CIEC - Compagnie Ivoirienne d'Electricité</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SHEC - SHEC - VIVO ENERGY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BOAS - BANK OF AFRICA SENEGAL</w:t>
      </w:r>
    </w:p>
    <w:p>
      <w:r>
        <w:rPr>
          <w:b/>
        </w:rPr>
        <w:t xml:space="preserve">Score de divergence: </w:t>
      </w:r>
      <w:r>
        <w:t>4/8</w:t>
        <w:br/>
      </w:r>
      <w:r>
        <w:rPr>
          <w:b/>
        </w:rPr>
        <w:t xml:space="preserve">Description: </w:t>
      </w:r>
      <w:r>
        <w:t>Signaux d'achat: MM | Signaux de vente: MACD, RSI | Recommandation finale: ACHAT</w:t>
        <w:br/>
      </w:r>
    </w:p>
    <w:p/>
    <w:p>
      <w:pPr>
        <w:pStyle w:val="Heading3"/>
      </w:pPr>
      <w:r>
        <w:t>7. LNBB - LNBB - LOTERIE NATIONALE DU BENIN</w:t>
      </w:r>
    </w:p>
    <w:p>
      <w:r>
        <w:rPr>
          <w:b/>
        </w:rPr>
        <w:t xml:space="preserve">Score de divergence: </w:t>
      </w:r>
      <w:r>
        <w:t>4/8</w:t>
        <w:br/>
      </w:r>
      <w:r>
        <w:rPr>
          <w:b/>
        </w:rPr>
        <w:t xml:space="preserve">Description: </w:t>
      </w:r>
      <w:r>
        <w:t>Signaux d'achat: Stochastique | Signaux de vente: MM, MACD | Recommandation finale: ACHAT FORT</w:t>
        <w:br/>
      </w:r>
    </w:p>
    <w:p/>
    <w:p>
      <w:pPr>
        <w:pStyle w:val="Heading3"/>
      </w:pPr>
      <w:r>
        <w:t>8. NSBC - NSBC - NSIA BANQUE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9. ORGT - ORGT - ORAGROUP TOGO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semaine est marquée par un jour férié aux États-Unis, réduisant les volumes d'échanges sur les marchés de matières premières. On observe une hausse des prix du pétrole brut Brent et du caoutchouc, ce qui profite aux pays exportateurs. Par ailleurs, la BCE doit annoncer jeudi sa décision de politique monétaire, avec une possible hausse des taux qui pourrait influencer les conditions financières mondiales. Enfin, la diversification vers les matières premières est recommandée comme stratégie de réduction des risques.</w:t>
      </w:r>
    </w:p>
    <w:p>
      <w:pPr>
        <w:pStyle w:val="Heading3"/>
      </w:pPr>
      <w:r>
        <w:rPr>
          <w:color w:val="500050"/>
        </w:rPr>
        <w:t>⚡ Impact estimé sur la BRVM</w:t>
      </w:r>
    </w:p>
    <w:p>
      <w:pPr>
        <w:spacing w:before="20" w:after="40"/>
        <w:ind w:left="280"/>
      </w:pPr>
      <w:r>
        <w:rPr>
          <w:i/>
          <w:sz w:val="18"/>
        </w:rPr>
        <w:t>La hausse du prix du caoutchouc profite directement à **SOGC** (SAPH), premier producteur de caoutchouc de la zone UEMOA, et indirectement à **SIVC** et **CABC** qui utilisent cette matière première. La hausse du Brent pourrait soutenir **SMBC** (Société Multinationale de Bitumes) via la valorisation de ses actifs, mais augmenterait les coûts de transport pour l'ensemble des sociétés cotées. La décision de la BCE sur les taux influencera le coût du capital pour les investisseurs institutionnels présents sur la BRVM.</w:t>
      </w:r>
    </w:p>
    <w:p>
      <w:pPr>
        <w:pStyle w:val="Heading2"/>
      </w:pPr>
      <w:r>
        <w:rPr>
          <w:color w:val="006E32"/>
        </w:rPr>
        <w:t>🌍 Plan Africain</w:t>
      </w:r>
    </w:p>
    <w:p>
      <w:pPr>
        <w:spacing w:before="20" w:after="40"/>
        <w:ind w:left="0"/>
      </w:pPr>
      <w:r>
        <w:rPr>
          <w:sz w:val="18"/>
        </w:rPr>
        <w:t>Le Sénégal et le FMI ont conclu un accord sur un programme d'aide financière d'environ 1,9 milliard d'euros, soutenant l'économie sénégalaise. Goldman Sachs prévoit que l'Afrique du Sud retrouve sa notation « Investment grade » dès 2028, reflétant une amélioration des fondamentaux économiques du continent. Ces signaux positifs renforcent l'attractivité globale de l'Afrique auprès des investisseurs internationaux.</w:t>
      </w:r>
    </w:p>
    <w:p>
      <w:pPr>
        <w:pStyle w:val="Heading3"/>
      </w:pPr>
      <w:r>
        <w:rPr>
          <w:color w:val="500050"/>
        </w:rPr>
        <w:t>⚡ Impact estimé sur la BRVM</w:t>
      </w:r>
    </w:p>
    <w:p>
      <w:pPr>
        <w:spacing w:before="20" w:after="40"/>
        <w:ind w:left="280"/>
      </w:pPr>
      <w:r>
        <w:rPr>
          <w:i/>
          <w:sz w:val="18"/>
        </w:rPr>
        <w:t>Ces nouvelles positives renforcent la confiance des investisseurs internationaux dans la région, ce qui pourrait attirer des flux vers la BRVM. Les banques cotées comme **BOAC**, **BOAB** et **ETIT**, qui ont des ambitions régionales, pourraient bénéficier d'un environnement macroéconomique africain plus stable. Le programme du FMI au Sénégal pourrait indirectement soutenir les filiales sénégalaises des groupes cotés à la BRVM.</w:t>
      </w:r>
    </w:p>
    <w:p>
      <w:pPr>
        <w:pStyle w:val="Heading2"/>
      </w:pPr>
      <w:r>
        <w:rPr>
          <w:color w:val="145A28"/>
        </w:rPr>
        <w:t>🌍 Plan Afrique de l'Ouest</w:t>
      </w:r>
    </w:p>
    <w:p>
      <w:pPr>
        <w:spacing w:before="20" w:after="40"/>
        <w:ind w:left="0"/>
      </w:pPr>
      <w:r>
        <w:rPr>
          <w:sz w:val="18"/>
        </w:rPr>
        <w:t>La Côte d'Ivoire avance vers l'adoption de l'ECO, la future monnaie unique de la CEDEAO, ce qui pourrait harmoniser les politiques monétaires régionales. L'investiture du nouveau président de la CEDEAO marque un tournant institutionnel pour la sous-région. Un article de Dabafinance met en avant les opportunités d'investissement offertes par la BRVM pour accéder à la richesse de l'Afrique de l'Ouest.</w:t>
      </w:r>
    </w:p>
    <w:p>
      <w:pPr>
        <w:pStyle w:val="Heading3"/>
      </w:pPr>
      <w:r>
        <w:rPr>
          <w:color w:val="500050"/>
        </w:rPr>
        <w:t>⚡ Impact estimé sur la BRVM</w:t>
      </w:r>
    </w:p>
    <w:p>
      <w:pPr>
        <w:spacing w:before="20" w:after="40"/>
        <w:ind w:left="280"/>
      </w:pPr>
      <w:r>
        <w:rPr>
          <w:i/>
          <w:sz w:val="18"/>
        </w:rPr>
        <w:t>La progression vers l'ECO pourrait à terme réduire les risques de change pour les sociétés cotées opérant dans plusieurs pays de la CEDEAO, comme **PALC** et **NTLC**. L'intérêt croissant pour la BRVM comme porte d'entrée vers l'Afrique de l'Ouest pourrait soutenir les volumes d'échanges et attirer de nouveaux investisseurs. Les entreprises ayant une forte exposition ivoirienne, comme **CFAC** et **ABJC**, bénéficieraient d'une intégration économique renforcée.</w:t>
      </w:r>
    </w:p>
    <w:p>
      <w:pPr>
        <w:pStyle w:val="Heading2"/>
      </w:pPr>
      <w:r>
        <w:rPr>
          <w:color w:val="8C4600"/>
        </w:rPr>
        <w:t>🏦 Plan UEMOA / Zone Franc</w:t>
      </w:r>
    </w:p>
    <w:p>
      <w:pPr>
        <w:spacing w:before="20" w:after="40"/>
        <w:ind w:left="0"/>
      </w:pPr>
      <w:r>
        <w:rPr>
          <w:sz w:val="18"/>
        </w:rPr>
        <w:t>Le Sénégal engage la préparation de son projet nucléaire, une décision politique majeure pour sa stratégie énergétique. Un don de 500 millions de FCFA de la fondation de la Première dame sénégalaise pour les JOJ 2026 suscite une polémique locale. Aucune décision BCEAO spécifique n'a été rapportée dans les actualités collectées.</w:t>
      </w:r>
    </w:p>
    <w:p>
      <w:pPr>
        <w:pStyle w:val="Heading3"/>
      </w:pPr>
      <w:r>
        <w:rPr>
          <w:color w:val="500050"/>
        </w:rPr>
        <w:t>⚡ Impact estimé sur la BRVM</w:t>
      </w:r>
    </w:p>
    <w:p>
      <w:pPr>
        <w:spacing w:before="20" w:after="40"/>
        <w:ind w:left="280"/>
      </w:pPr>
      <w:r>
        <w:rPr>
          <w:i/>
          <w:sz w:val="18"/>
        </w:rPr>
        <w:t>Le projet nucléaire sénégalais pourrait créer des opportunités pour les entreprises de construction et d'ingénierie de la zone, mais aucune société cotée n'est directement exposée à ce secteur. La polémique au Sénégal reste un risque politique limité pour la BRVM. L'absence de nouvelles BCEAO laisse le marché sans signal directionnel sur la politique monétaire régionale.</w:t>
      </w:r>
    </w:p>
    <w:p>
      <w:pPr>
        <w:pStyle w:val="Heading2"/>
      </w:pPr>
      <w:r>
        <w:rPr>
          <w:color w:val="003366"/>
        </w:rPr>
        <w:t>📈 Plan BRVM</w:t>
      </w:r>
    </w:p>
    <w:p>
      <w:pPr>
        <w:spacing w:before="20" w:after="40"/>
        <w:ind w:left="0"/>
      </w:pPr>
      <w:r>
        <w:rPr>
          <w:sz w:val="18"/>
        </w:rPr>
        <w:t>Les résultats encourageants des sociétés cotées ivoiriennes à la BRVM ont été mis en avant par la presse économique, reflétant une dynamique positive du marché. L'indice BRVM Composite se situe à 553.02 points. L'article de Dabafinance souligne le potentiel de la BRVM comme porte d'entrée pour les investisseurs ouest-africains.</w:t>
      </w:r>
    </w:p>
    <w:p>
      <w:pPr>
        <w:pStyle w:val="Heading3"/>
      </w:pPr>
      <w:r>
        <w:rPr>
          <w:color w:val="500050"/>
        </w:rPr>
        <w:t>⚡ Impact estimé sur la BRVM</w:t>
      </w:r>
    </w:p>
    <w:p>
      <w:pPr>
        <w:spacing w:before="20" w:after="40"/>
        <w:ind w:left="280"/>
      </w:pPr>
      <w:r>
        <w:rPr>
          <w:i/>
          <w:sz w:val="18"/>
        </w:rPr>
        <w:t>Les fondamentaux solides des sociétés ivoiriennes soutiennent la tendance positive du marché. Les investisseurs devraient surveiller les valeurs bancaires (**SGBC**, **BICB**, **BOAC**) qui bénéficient de la croissance économique ivoirienne, ainsi que les valeurs industrielles (**SIVC**, **STAC**) soutenues par les investissements en infrastructures. **PALC** et **NTLC** restent des valeurs défensives attractives dans un environnement de consommation stable.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Les actualités collectées ne font pas état de conflits majeurs, d'élections ou de sanctions internationales ayant un impact direct sur les marchés.</w:t>
      </w:r>
    </w:p>
    <w:p>
      <w:pPr>
        <w:pStyle w:val="Heading3"/>
      </w:pPr>
      <w:r>
        <w:rPr>
          <w:color w:val="500050"/>
        </w:rPr>
        <w:t>⚡ Impact estimé sur la BRVM</w:t>
      </w:r>
    </w:p>
    <w:p>
      <w:pPr>
        <w:spacing w:before="20" w:after="40"/>
        <w:ind w:left="280"/>
      </w:pPr>
      <w:r>
        <w:rPr>
          <w:i/>
          <w:sz w:val="18"/>
        </w:rPr>
        <w:t>L'absence de tensions géopolitiques majeures au niveau mondial est un facteur neutre à légèrement positif pour la BRVM, permettant aux investisseurs de se concentrer sur les fondamentaux régionaux.</w:t>
      </w:r>
    </w:p>
    <w:p>
      <w:pPr>
        <w:pStyle w:val="Heading2"/>
      </w:pPr>
      <w:r>
        <w:rPr>
          <w:color w:val="006E32"/>
        </w:rPr>
        <w:t>🌍 Plan Africain</w:t>
      </w:r>
    </w:p>
    <w:p>
      <w:pPr>
        <w:spacing w:before="20" w:after="40"/>
        <w:ind w:left="0"/>
      </w:pPr>
      <w:r>
        <w:rPr>
          <w:sz w:val="18"/>
        </w:rPr>
        <w:t>Données insuffisantes. Aucune actualité spécifique sur la stabilité politique africaine, les transitions ou les élections n'a été collectée.</w:t>
      </w:r>
    </w:p>
    <w:p>
      <w:pPr>
        <w:pStyle w:val="Heading3"/>
      </w:pPr>
      <w:r>
        <w:rPr>
          <w:color w:val="500050"/>
        </w:rPr>
        <w:t>⚡ Impact estimé sur la BRVM</w:t>
      </w:r>
    </w:p>
    <w:p>
      <w:pPr>
        <w:spacing w:before="20" w:after="40"/>
        <w:ind w:left="280"/>
      </w:pPr>
      <w:r>
        <w:rPr>
          <w:i/>
          <w:sz w:val="18"/>
        </w:rPr>
        <w:t>L'absence de nouvelles négatives sur le front politique africain maintient un climat de confiance stable pour les investisseurs de la BRVM.</w:t>
      </w:r>
    </w:p>
    <w:p>
      <w:pPr>
        <w:pStyle w:val="Heading2"/>
      </w:pPr>
      <w:r>
        <w:rPr>
          <w:color w:val="145A28"/>
        </w:rPr>
        <w:t>🌍 Plan Afrique de l'Ouest</w:t>
      </w:r>
    </w:p>
    <w:p>
      <w:pPr>
        <w:spacing w:before="20" w:after="40"/>
        <w:ind w:left="0"/>
      </w:pPr>
      <w:r>
        <w:rPr>
          <w:sz w:val="18"/>
        </w:rPr>
        <w:t>L'investiture du nouveau président de la CEDEAO constitue l'événement institutionnel majeur de la sous-région. La Côte d'Ivoire progresse dans le processus d'adoption de l'ECO, la monnaie unique ouest-africaine.</w:t>
      </w:r>
    </w:p>
    <w:p>
      <w:pPr>
        <w:pStyle w:val="Heading3"/>
      </w:pPr>
      <w:r>
        <w:rPr>
          <w:color w:val="500050"/>
        </w:rPr>
        <w:t>⚡ Impact estimé sur la BRVM</w:t>
      </w:r>
    </w:p>
    <w:p>
      <w:pPr>
        <w:spacing w:before="20" w:after="40"/>
        <w:ind w:left="280"/>
      </w:pPr>
      <w:r>
        <w:rPr>
          <w:i/>
          <w:sz w:val="18"/>
        </w:rPr>
        <w:t>La stabilité institutionnelle de la CEDEAO est un facteur de confiance pour les investisseurs de la BRVM. La progression vers l'ECO pourrait renforcer l'intégration économique et faciliter les échanges pour les sociétés cotées opérant dans plusieurs pays de la zone.</w:t>
      </w:r>
    </w:p>
    <w:p>
      <w:pPr>
        <w:pStyle w:val="Heading2"/>
      </w:pPr>
      <w:r>
        <w:rPr>
          <w:color w:val="8C4600"/>
        </w:rPr>
        <w:t>🏦 Plan UEMOA / Zone Franc</w:t>
      </w:r>
    </w:p>
    <w:p>
      <w:pPr>
        <w:spacing w:before="20" w:after="40"/>
        <w:ind w:left="0"/>
      </w:pPr>
      <w:r>
        <w:rPr>
          <w:sz w:val="18"/>
        </w:rPr>
        <w:t>Données insuffisantes. Aucune actualité spécifique sur la situation politique dans les pays membres de l'UEMOA ou sur des réformes institutionnelles n'a été collectée.</w:t>
      </w:r>
    </w:p>
    <w:p>
      <w:pPr>
        <w:pStyle w:val="Heading3"/>
      </w:pPr>
      <w:r>
        <w:rPr>
          <w:color w:val="500050"/>
        </w:rPr>
        <w:t>⚡ Impact estimé sur la BRVM</w:t>
      </w:r>
    </w:p>
    <w:p>
      <w:pPr>
        <w:spacing w:before="20" w:after="40"/>
        <w:ind w:left="280"/>
      </w:pPr>
      <w:r>
        <w:rPr>
          <w:i/>
          <w:sz w:val="18"/>
        </w:rPr>
        <w:t>L'absence de risques politiques majeurs dans la zone UEMOA est un facteur de stabilité pour la BRVM, permettant aux investisseurs de se concentrer sur les fondamentaux économiques.</w:t>
      </w:r>
    </w:p>
    <w:p>
      <w:pPr>
        <w:pStyle w:val="Heading2"/>
      </w:pPr>
      <w:r>
        <w:rPr>
          <w:color w:val="003366"/>
        </w:rPr>
        <w:t>📈 Plan BRVM</w:t>
      </w:r>
    </w:p>
    <w:p>
      <w:pPr>
        <w:spacing w:before="20" w:after="40"/>
        <w:ind w:left="0"/>
      </w:pPr>
      <w:r>
        <w:rPr>
          <w:sz w:val="18"/>
        </w:rPr>
        <w:t>Données insuffisantes. Aucune actualité spécifique sur la réglementation CREPMF, de nouvelles cotations ou la gouvernance des sociétés cotées n'a été collectée.</w:t>
      </w:r>
    </w:p>
    <w:p>
      <w:pPr>
        <w:pStyle w:val="Heading3"/>
      </w:pPr>
      <w:r>
        <w:rPr>
          <w:color w:val="500050"/>
        </w:rPr>
        <w:t>⚡ Impact estimé sur la BRVM</w:t>
      </w:r>
    </w:p>
    <w:p>
      <w:pPr>
        <w:spacing w:before="20" w:after="40"/>
        <w:ind w:left="280"/>
      </w:pPr>
      <w:r>
        <w:rPr>
          <w:i/>
          <w:sz w:val="18"/>
        </w:rPr>
        <w:t>L'absence de nouvelles réglementaires majeures laisse le marché évoluer sans choc réglementaire, ce qui est neutre pour les sociétés cotées.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 jour férié aux États-Unis a réduit les volumes d'échanges sur les marchés internationaux de matières premières. La BCE doit annoncer jeudi sa décision de politique monétaire, avec une interrogation sur une possible dernière hausse des taux le 10 septembre. Les prix du pétrole brut Brent et du caoutchouc sont en hausse.</w:t>
      </w:r>
    </w:p>
    <w:p>
      <w:pPr>
        <w:pStyle w:val="Heading3"/>
      </w:pPr>
      <w:r>
        <w:rPr>
          <w:color w:val="500050"/>
        </w:rPr>
        <w:t>⚡ Impact estimé sur la BRVM</w:t>
      </w:r>
    </w:p>
    <w:p>
      <w:pPr>
        <w:spacing w:before="20" w:after="40"/>
        <w:ind w:left="280"/>
      </w:pPr>
      <w:r>
        <w:rPr>
          <w:i/>
          <w:sz w:val="18"/>
        </w:rPr>
        <w:t>La hausse du caoutchouc soutient directement **SOGC**, qui bénéficie de prix de vente plus élevés. La décision de la BCE sur les taux influencera l'appétit des investisseurs internationaux pour les marchés émergents, dont la BRVM fait partie. Une hausse des taux européens pourrait renforcer l'euro et indirectement le FCFA, ce qui affecterait la compétitivité des exportations de la zone.</w:t>
      </w:r>
    </w:p>
    <w:p>
      <w:pPr>
        <w:pStyle w:val="Heading2"/>
      </w:pPr>
      <w:r>
        <w:rPr>
          <w:color w:val="006E32"/>
        </w:rPr>
        <w:t>🌍 Plan Africain</w:t>
      </w:r>
    </w:p>
    <w:p>
      <w:pPr>
        <w:spacing w:before="20" w:after="40"/>
        <w:ind w:left="0"/>
      </w:pPr>
      <w:r>
        <w:rPr>
          <w:sz w:val="18"/>
        </w:rPr>
        <w:t>Le Sénégal a obtenu un accord avec le FMI pour un programme d'aide d'environ 1,9 milliard d'euros, renforçant sa crédibilité financière. Goldman Sachs prévoit que l'Afrique du Sud retrouve sa notation « Investment grade » dès 2028, signal positif pour l'ensemble du continent.</w:t>
      </w:r>
    </w:p>
    <w:p>
      <w:pPr>
        <w:pStyle w:val="Heading3"/>
      </w:pPr>
      <w:r>
        <w:rPr>
          <w:color w:val="500050"/>
        </w:rPr>
        <w:t>⚡ Impact estimé sur la BRVM</w:t>
      </w:r>
    </w:p>
    <w:p>
      <w:pPr>
        <w:spacing w:before="20" w:after="40"/>
        <w:ind w:left="280"/>
      </w:pPr>
      <w:r>
        <w:rPr>
          <w:i/>
          <w:sz w:val="18"/>
        </w:rPr>
        <w:t>Ces signaux positifs renforcent l'attractivité de l'Afrique auprès des investisseurs internationaux. La BRVM, en tant que place financière la plus liquide de l'UEMOA, pourrait bénéficier de ces flux. Les banques cotées ayant des ambitions régionales, comme **BOAC** et **ETIT**, pourraient profiter de l'amélioration du climat d'investissement.</w:t>
      </w:r>
    </w:p>
    <w:p>
      <w:pPr>
        <w:pStyle w:val="Heading2"/>
      </w:pPr>
      <w:r>
        <w:rPr>
          <w:color w:val="145A28"/>
        </w:rPr>
        <w:t>🌍 Plan Afrique de l'Ouest</w:t>
      </w:r>
    </w:p>
    <w:p>
      <w:pPr>
        <w:spacing w:before="20" w:after="40"/>
        <w:ind w:left="0"/>
      </w:pPr>
      <w:r>
        <w:rPr>
          <w:sz w:val="18"/>
        </w:rPr>
        <w:t>L'article de Dabafinance met en avant la BRVM comme porte d'entrée pour investir en Afrique de l'Ouest, soulignant son rôle croissant dans la région. La progression vers l'ECO pourrait renforcer l'intégration financière régionale.</w:t>
      </w:r>
    </w:p>
    <w:p>
      <w:pPr>
        <w:pStyle w:val="Heading3"/>
      </w:pPr>
      <w:r>
        <w:rPr>
          <w:color w:val="500050"/>
        </w:rPr>
        <w:t>⚡ Impact estimé sur la BRVM</w:t>
      </w:r>
    </w:p>
    <w:p>
      <w:pPr>
        <w:spacing w:before="20" w:after="40"/>
        <w:ind w:left="280"/>
      </w:pPr>
      <w:r>
        <w:rPr>
          <w:i/>
          <w:sz w:val="18"/>
        </w:rPr>
        <w:t>Le positionnement de la BRVM comme place financière de référence en Afrique de l'Ouest est renforcé par ces actualités. Cela pourrait attirer de nouveaux investisseurs et augmenter les volumes d'échanges sur le marché.</w:t>
      </w:r>
    </w:p>
    <w:p>
      <w:pPr>
        <w:pStyle w:val="Heading2"/>
      </w:pPr>
      <w:r>
        <w:rPr>
          <w:color w:val="8C4600"/>
        </w:rPr>
        <w:t>🏦 Plan UEMOA / Zone Franc</w:t>
      </w:r>
    </w:p>
    <w:p>
      <w:pPr>
        <w:spacing w:before="20" w:after="40"/>
        <w:ind w:left="0"/>
      </w:pPr>
      <w:r>
        <w:rPr>
          <w:sz w:val="18"/>
        </w:rPr>
        <w:t>Données insuffisantes. Aucune actualité spécifique sur le marché des titres publics UEMOA, le taux interbancaire ou la liquidité n'a été collectée.</w:t>
      </w:r>
    </w:p>
    <w:p>
      <w:pPr>
        <w:pStyle w:val="Heading3"/>
      </w:pPr>
      <w:r>
        <w:rPr>
          <w:color w:val="500050"/>
        </w:rPr>
        <w:t>⚡ Impact estimé sur la BRVM</w:t>
      </w:r>
    </w:p>
    <w:p>
      <w:pPr>
        <w:spacing w:before="20" w:after="40"/>
        <w:ind w:left="280"/>
      </w:pPr>
      <w:r>
        <w:rPr>
          <w:i/>
          <w:sz w:val="18"/>
        </w:rPr>
        <w:t>L'absence de données sur le marché obligataire régional ne permet pas d'évaluer l'arbitrage entre titres publics et actions BRVM.</w:t>
      </w:r>
    </w:p>
    <w:p>
      <w:pPr>
        <w:pStyle w:val="Heading2"/>
      </w:pPr>
      <w:r>
        <w:rPr>
          <w:color w:val="003366"/>
        </w:rPr>
        <w:t>📈 Plan BRVM</w:t>
      </w:r>
    </w:p>
    <w:p>
      <w:pPr>
        <w:spacing w:before="20" w:after="40"/>
        <w:ind w:left="0"/>
      </w:pPr>
      <w:r>
        <w:rPr>
          <w:sz w:val="18"/>
        </w:rPr>
        <w:t>L'indice BRVM Composite se situe à 553.02 points. Les résultats encourageants des sociétés cotées ivoiriennes ont été soulignés par la presse. L'article de Dabafinance met en avant les opportunités d'investissement offertes par la BRVM.</w:t>
      </w:r>
    </w:p>
    <w:p>
      <w:pPr>
        <w:pStyle w:val="Heading3"/>
      </w:pPr>
      <w:r>
        <w:rPr>
          <w:color w:val="500050"/>
        </w:rPr>
        <w:t>⚡ Impact estimé sur la BRVM</w:t>
      </w:r>
    </w:p>
    <w:p>
      <w:pPr>
        <w:spacing w:before="20" w:after="40"/>
        <w:ind w:left="280"/>
      </w:pPr>
      <w:r>
        <w:rPr>
          <w:i/>
          <w:sz w:val="18"/>
        </w:rPr>
        <w:t>Les fondamentaux solides des sociétés cotées soutiennent la tendance positive du marché. Les valeurs bancaires (**SGBC**, **BICB**, **BOAC**, **BOAB**) restent attractives avec la croissance économique régionale. **PALC** et **NTLC** offrent une exposition défensive à la consommation de base. **SOGC** bénéficie de la hausse du caoutchouc. **SIVC** et **STAC** sont soutenues par les investissements industriels. **ETIT** et **ORGT** offrent une exposition aux services financiers spécialisés.</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positif pour la BRVM, soutenu par des signaux favorables au niveau africain (accord FMI-Sénégal, perspectives d'amélioration de la notation sud-africaine) et ouest-africain (progression vers l'ECO, intérêt croissant pour la BRVM). La hausse des prix du caoutchouc profite directement à **SOGC**, tandis que les banques bénéficient d'un climat de confiance stable. La décision de la BCE jeudi constitue le principal facteur de vigilance, mais son impact devrait rester limité. Recommandation : maintenir une exposition aux valeurs bancaires et industrielles ivoiriennes, avec une attention particulière pour **SOGC** qui bénéficie d'un contexte de prix favorable.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CAC 40 : la Bourse attend des précisions sur le détroit d'Ormuz et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Unlock West Africa's Wealth: Investing through BRVM - Dabafinance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2026-09-03</w:t>
            </w:r>
          </w:p>
        </w:tc>
        <w:tc>
          <w:tcPr>
            <w:tcW w:type="dxa" w:w="1728"/>
          </w:tcPr>
          <w:p>
            <w:r>
              <w:rPr>
                <w:sz w:val="14"/>
              </w:rPr>
              <w:t>Wari Afrique de l'Ouest : investiture du nouveau Président de la CEDEA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2026-09-07</w:t>
            </w:r>
          </w:p>
        </w:tc>
        <w:tc>
          <w:tcPr>
            <w:tcW w:type="dxa" w:w="1728"/>
          </w:tcPr>
          <w:p>
            <w:r>
              <w:rPr>
                <w:sz w:val="14"/>
              </w:rPr>
              <w:t xml:space="preserve">La Côte d'Ivoire avance vers l'ECO, la monnaie unique ouest-africaine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Groupe intergouvernemental d’action contre le blanchiment d’argent en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CEDEAO : Le général sénégalais Birame Diop prend officiellement la têt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2026-09-03</w:t>
            </w:r>
          </w:p>
        </w:tc>
        <w:tc>
          <w:tcPr>
            <w:tcW w:type="dxa" w:w="1728"/>
          </w:tcPr>
          <w:p>
            <w:r>
              <w:rPr>
                <w:sz w:val="14"/>
              </w:rPr>
              <w:t>E35 : Afrique de l'Ouest : investiture du nouveau Président de la CEDE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 xml:space="preserve">Sénégal : JOJ 2026, le don de 500 millions de FCFA d'une fondation de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Le Sénégal engage la préparation de son projet nucléaire - SenePlus</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Énergie nucléaire au Sénégal : « La décision politique est prise, pass</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2026-09-08</w:t>
            </w:r>
          </w:p>
        </w:tc>
        <w:tc>
          <w:tcPr>
            <w:tcW w:type="dxa" w:w="1728"/>
          </w:tcPr>
          <w:p>
            <w:r>
              <w:rPr>
                <w:sz w:val="14"/>
              </w:rPr>
              <w:t xml:space="preserve">Sénégal : Al Aminou Lo présente sa DPG ce mardi - APAnews - Agence de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Sénégal : le « traitement de la dette » avec le FMI, une bouffée d'oxy</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Au Sénégal, la coalition FDR peut-elle tirer profit de la rivalité ent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CAC 40 : la Bourse attend des précisions sur le détroit d'Ormuz et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CAC 40 : la Bourse attend des précisions sur le détroit d'Ormuz et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CAC 40 : la Bourse attend des précisions sur le détroit d'Ormuz et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CAC 40 : la Bourse attend des précisions sur le détroit d'Ormuz et la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2026-09-08</w:t>
            </w:r>
          </w:p>
        </w:tc>
        <w:tc>
          <w:tcPr>
            <w:tcW w:type="dxa" w:w="1728"/>
          </w:tcPr>
          <w:p>
            <w:r>
              <w:rPr>
                <w:sz w:val="14"/>
              </w:rPr>
              <w:t>Jour férié aux États-Unis, hausse des prix du pétrole brut Brent et du</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2026-09-08</w:t>
            </w:r>
          </w:p>
        </w:tc>
        <w:tc>
          <w:tcPr>
            <w:tcW w:type="dxa" w:w="1728"/>
          </w:tcPr>
          <w:p>
            <w:r>
              <w:rPr>
                <w:sz w:val="14"/>
              </w:rPr>
              <w:t>Pourquoi diversifier les matières premières - Allnews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Taux du Livret A : la décision que la BCE prend jeudi et qui peut le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2026-09-08</w:t>
            </w:r>
          </w:p>
        </w:tc>
        <w:tc>
          <w:tcPr>
            <w:tcW w:type="dxa" w:w="1728"/>
          </w:tcPr>
          <w:p>
            <w:r>
              <w:rPr>
                <w:sz w:val="14"/>
              </w:rPr>
              <w:t xml:space="preserve">La Banque centrale européenne relèvera-t-elle ses taux d'intérêt pour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Il faut une autre politique » : Jean-Luc Mélenchon s’en prend à l’in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(8 alerte(s))</w:t>
      </w:r>
    </w:p>
    <w:p>
      <w:pPr>
        <w:spacing w:before="40" w:after="40"/>
        <w:ind w:left="360"/>
      </w:pPr>
      <w:r>
        <w:rPr>
          <w:color w:val="646464"/>
          <w:sz w:val="17"/>
        </w:rPr>
        <w:t xml:space="preserve">[08/09/2026] ⚪  </w:t>
      </w:r>
      <w:r>
        <w:rPr>
          <w:b/>
          <w:color w:val="505050"/>
          <w:sz w:val="18"/>
        </w:rPr>
        <w:t>CAC 40 : la Bourse attend des précisions sur le détroit d'Ormuz et la BCE devra convaincre - Capital.fr</w:t>
      </w:r>
      <w:r>
        <w:rPr>
          <w:color w:val="787878"/>
          <w:sz w:val="15"/>
        </w:rPr>
        <w:t xml:space="preserve">  [politique_monetaire]</w:t>
      </w:r>
      <w:r>
        <w:rPr>
          <w:color w:val="B47800"/>
          <w:sz w:val="16"/>
        </w:rPr>
        <w:t xml:space="preserve">  ★ 50/10</w:t>
      </w:r>
    </w:p>
    <w:p>
      <w:pPr>
        <w:spacing w:before="0" w:after="20"/>
        <w:ind w:left="600"/>
      </w:pPr>
      <w:r>
        <w:rPr>
          <w:color w:val="323232"/>
          <w:sz w:val="17"/>
        </w:rPr>
        <w:t>L'article de Capital.fr indique que le CAC 40 attend des clarifications géopolitiques concernant le détroit d'Ormuz, tandis que la Banque centrale européenne (BCE) doit convaincre les marchés lors de sa prochaine réunion. Les investisseurs sont dans l'attente de signaux sur la politique monétaire et les tensions au Moyen-Orient, ce qui pourrait inf</w:t>
      </w:r>
    </w:p>
    <w:p>
      <w:pPr>
        <w:spacing w:before="0" w:after="40"/>
        <w:ind w:left="600"/>
      </w:pPr>
      <w:r>
        <w:rPr>
          <w:color w:val="00643C"/>
          <w:sz w:val="16"/>
        </w:rPr>
        <w:t>Points clés : Le CAC 40 est en attente de précisions sur le détroit d'Ormuz, un point géopolitique majeur.  •  La BCE doit convaincre les marchés lors de sa prochaine réunion, probablement sur sa politique monétaire.  •  Les incertitudes géopolitiques et monétaires pourraient accroître la volatilité sur les marchés financiers.</w:t>
      </w:r>
    </w:p>
    <w:p>
      <w:pPr>
        <w:spacing w:before="0" w:after="60"/>
        <w:ind w:left="600"/>
      </w:pPr>
      <w:r>
        <w:rPr>
          <w:color w:val="0064B4"/>
          <w:sz w:val="15"/>
        </w:rPr>
        <w:t>Source : https://news.google.com/rss/articles/CBMi1gFBVV95cUxQLWhSWmwwaDVSYktJMktKd3ZLbHR</w:t>
      </w:r>
    </w:p>
    <w:p>
      <w:pPr>
        <w:spacing w:before="40" w:after="40"/>
        <w:ind w:left="360"/>
      </w:pPr>
      <w:r>
        <w:rPr>
          <w:color w:val="646464"/>
          <w:sz w:val="17"/>
        </w:rPr>
        <w:t xml:space="preserve">[08/09/2026] 🔴  </w:t>
      </w:r>
      <w:r>
        <w:rPr>
          <w:b/>
          <w:color w:val="C00000"/>
          <w:sz w:val="18"/>
        </w:rPr>
        <w:t>La Banque centrale européenne veut poursuivre son resserrement monétaire - journaldunet.com</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annoncé son intention de poursuivre son resserrement monétaire, ce qui implique de nouvelles hausses de taux d'intérêt pour lutter contre l'inflation. Cette politique restrictive pourrait se traduire par un renforcement de l'euro et une hausse des coûts de financement à l'échelle mondiale. Pour la BRVM, cela po</w:t>
      </w:r>
    </w:p>
    <w:p>
      <w:pPr>
        <w:spacing w:before="0" w:after="40"/>
        <w:ind w:left="600"/>
      </w:pPr>
      <w:r>
        <w:rPr>
          <w:color w:val="00643C"/>
          <w:sz w:val="16"/>
        </w:rPr>
        <w:t>Points clés : La BCE maintient sa politique de hausse des taux pour contrer l'inflation.  •  Risque de ralentissement économique en zone euro, avec des effets de contagion possibles.  •  Impact sur les devises liées à l'euro, notamment le franc CFA.  •  Les marchés financiers internationaux pourraient devenir plus volatils.</w:t>
      </w:r>
    </w:p>
    <w:p>
      <w:pPr>
        <w:spacing w:before="0" w:after="60"/>
        <w:ind w:left="600"/>
      </w:pPr>
      <w:r>
        <w:rPr>
          <w:color w:val="0064B4"/>
          <w:sz w:val="15"/>
        </w:rPr>
        <w:t>Source : https://news.google.com/rss/articles/CBMiuwFBVV95cUxPZVRaWHIwR0tyOUxaa3pNNWpTRGd</w:t>
      </w:r>
    </w:p>
    <w:p>
      <w:pPr>
        <w:spacing w:before="40" w:after="40"/>
        <w:ind w:left="360"/>
      </w:pPr>
      <w:r>
        <w:rPr>
          <w:color w:val="646464"/>
          <w:sz w:val="17"/>
        </w:rPr>
        <w:t xml:space="preserve">[08/09/2026] ⚪  </w:t>
      </w:r>
      <w:r>
        <w:rPr>
          <w:b/>
          <w:color w:val="505050"/>
          <w:sz w:val="18"/>
        </w:rPr>
        <w:t>La BCE devrait surveiller les courbes de taux - La Libre.be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L'article de La Libre.be souligne que la Banque centrale européenne (BCE) devrait surveiller de près les courbes de taux, probablement en raison des tensions sur les marchés obligataires et des risques pour la transmission de la politique monétaire. Cette surveillance pourrait impliquer des ajustements de sa communication ou de ses opérations pour </w:t>
      </w:r>
    </w:p>
    <w:p>
      <w:pPr>
        <w:spacing w:before="0" w:after="40"/>
        <w:ind w:left="600"/>
      </w:pPr>
      <w:r>
        <w:rPr>
          <w:color w:val="00643C"/>
          <w:sz w:val="16"/>
        </w:rPr>
        <w:t>Points clés : La BCE est appelée à surveiller les courbes de taux pour prévenir des tensions excessives.  •  Cette surveillance vise à assurer une transmission efficace de la politique monétaire dans la zone euro.  •  Les courbes de taux reflètent les anticipations d'inflation et de croissance, d'où leur importance pour la BCE.</w:t>
      </w:r>
    </w:p>
    <w:p>
      <w:pPr>
        <w:spacing w:before="0" w:after="60"/>
        <w:ind w:left="600"/>
      </w:pPr>
      <w:r>
        <w:rPr>
          <w:color w:val="0064B4"/>
          <w:sz w:val="15"/>
        </w:rPr>
        <w:t>Source : https://news.google.com/rss/articles/CBMi1gFBVV95cUxQeFB0YUlpSG9wajhiMmJFWDhHaVV</w:t>
      </w:r>
    </w:p>
    <w:p>
      <w:pPr>
        <w:spacing w:before="40" w:after="40"/>
        <w:ind w:left="360"/>
      </w:pPr>
      <w:r>
        <w:rPr>
          <w:color w:val="646464"/>
          <w:sz w:val="17"/>
        </w:rPr>
        <w:t xml:space="preserve">[08/09/2026] ⚪  </w:t>
      </w:r>
      <w:r>
        <w:rPr>
          <w:b/>
          <w:color w:val="505050"/>
          <w:sz w:val="18"/>
        </w:rPr>
        <w:t>La Banque centrale européenne relèvera-t-elle ses taux d'intérêt pour la dernière fois le 10 septembre ? - Vietnam.vn</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L'article de Vietnam.vn s'interroge sur la possibilité que la Banque centrale européenne (BCE) relève ses taux d'intérêt pour la dernière fois le 10 septembre. Cette décision potentielle intervient dans un contexte de lutte contre l'inflation, mais avec des signes de ralentissement économique. La BCE pourrait opter pour une hausse finale avant une </w:t>
      </w:r>
    </w:p>
    <w:p>
      <w:pPr>
        <w:spacing w:before="0" w:after="40"/>
        <w:ind w:left="600"/>
      </w:pPr>
      <w:r>
        <w:rPr>
          <w:color w:val="00643C"/>
          <w:sz w:val="16"/>
        </w:rPr>
        <w:t>Points clés : La BCE envisage une possible dernière hausse des taux le 10 septembre.  •  La décision est motivée par la lutte contre l'inflation mais aussi par les risques de récession.  •  Une pause pourrait suivre cette hausse pour observer les effets sur l'économie.</w:t>
      </w:r>
    </w:p>
    <w:p>
      <w:pPr>
        <w:spacing w:before="0" w:after="60"/>
        <w:ind w:left="600"/>
      </w:pPr>
      <w:r>
        <w:rPr>
          <w:color w:val="0064B4"/>
          <w:sz w:val="15"/>
        </w:rPr>
        <w:t>Source : https://news.google.com/rss/articles/CBMiigFBVV95cUxQNXdQN3ZQd1hRYTAwSzZrNGFiX0I</w:t>
      </w:r>
    </w:p>
    <w:p>
      <w:pPr>
        <w:spacing w:before="40" w:after="40"/>
        <w:ind w:left="360"/>
      </w:pPr>
      <w:r>
        <w:rPr>
          <w:color w:val="646464"/>
          <w:sz w:val="17"/>
        </w:rPr>
        <w:t xml:space="preserve">[07/09/2026] 🔴  </w:t>
      </w:r>
      <w:r>
        <w:rPr>
          <w:b/>
          <w:color w:val="C00000"/>
          <w:sz w:val="18"/>
        </w:rPr>
        <w:t>« Il faut une autre politique » : Jean-Luc Mélenchon s’en prend à l’indépendance de la BCE - l'Opinion</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Jean-Luc Mélenchon critique l'indépendance de la Banque centrale européenne (BCE), appelant à une autre politique monétaire. Il estime que cette indépendance limite la capacité des États à financer leurs dépenses publiques et à répondre aux besoins sociaux. Cette prise de position s'inscrit dans un débat plus large sur la souveraineté monétaire en </w:t>
      </w:r>
    </w:p>
    <w:p>
      <w:pPr>
        <w:spacing w:before="0" w:after="40"/>
        <w:ind w:left="600"/>
      </w:pPr>
      <w:r>
        <w:rPr>
          <w:color w:val="00643C"/>
          <w:sz w:val="16"/>
        </w:rPr>
        <w:t>Points clés : Critique de l'indépendance de la BCE par Jean-Luc Mélenchon.  •  Appel à une politique monétaire alternative, plus orientée vers le financement des États.</w:t>
      </w:r>
    </w:p>
    <w:p>
      <w:pPr>
        <w:spacing w:before="0" w:after="60"/>
        <w:ind w:left="600"/>
      </w:pPr>
      <w:r>
        <w:rPr>
          <w:color w:val="0064B4"/>
          <w:sz w:val="15"/>
        </w:rPr>
        <w:t>Source : https://news.google.com/rss/articles/CBMitgFBVV95cUxNd0FlZ0VCc1BlbnhnS3NyMng0VnV</w:t>
      </w:r>
    </w:p>
    <w:p>
      <w:pPr>
        <w:spacing w:before="120" w:after="40"/>
      </w:pPr>
      <w:r>
        <w:rPr>
          <w:b/>
          <w:color w:val="00467F"/>
          <w:sz w:val="20"/>
        </w:rPr>
        <w:t>🔑 politique  (8 alerte(s))</w:t>
      </w:r>
    </w:p>
    <w:p>
      <w:pPr>
        <w:spacing w:before="40" w:after="40"/>
        <w:ind w:left="360"/>
      </w:pPr>
      <w:r>
        <w:rPr>
          <w:color w:val="646464"/>
          <w:sz w:val="17"/>
        </w:rPr>
        <w:t xml:space="preserve">[08/09/2026] ⚪  </w:t>
      </w:r>
      <w:r>
        <w:rPr>
          <w:b/>
          <w:color w:val="505050"/>
          <w:sz w:val="18"/>
        </w:rPr>
        <w:t>Sénégal : Al Aminou Lo présente sa DPG ce mardi - APAnews - Agence de Presse Africaine</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Al Aminou Lo, présente sa Déclaration de Politique Générale (DPG) ce mardi devant l'Assemblée nationale. Ce discours est très attendu car il doit détailler les grandes orientations économiques et sociales du nouveau gouvernement. La DPG intervient dans un contexte de tensions politiques et de défis économiques pour l</w:t>
      </w:r>
    </w:p>
    <w:p>
      <w:pPr>
        <w:spacing w:before="0" w:after="40"/>
        <w:ind w:left="600"/>
      </w:pPr>
      <w:r>
        <w:rPr>
          <w:color w:val="00643C"/>
          <w:sz w:val="16"/>
        </w:rPr>
        <w:t>Points clés : Présentation de la DPG par le Premier ministre sénégalais  •  Détail des orientations économiques et sociales du gouvernement  •  Contexte politique et économique tendu au Sénégal</w:t>
      </w:r>
    </w:p>
    <w:p>
      <w:pPr>
        <w:spacing w:before="0" w:after="60"/>
        <w:ind w:left="600"/>
      </w:pPr>
      <w:r>
        <w:rPr>
          <w:color w:val="0064B4"/>
          <w:sz w:val="15"/>
        </w:rPr>
        <w:t>Source : https://news.google.com/rss/articles/CBMimwFBVV95cUxPUS1ZV0hvMHVBZWtmX0hsS3dWUW5</w:t>
      </w:r>
    </w:p>
    <w:p>
      <w:pPr>
        <w:spacing w:before="40" w:after="40"/>
        <w:ind w:left="360"/>
      </w:pPr>
      <w:r>
        <w:rPr>
          <w:color w:val="646464"/>
          <w:sz w:val="17"/>
        </w:rPr>
        <w:t xml:space="preserve">[08/09/2026] ⚪  </w:t>
      </w:r>
      <w:r>
        <w:rPr>
          <w:b/>
          <w:color w:val="505050"/>
          <w:sz w:val="18"/>
        </w:rPr>
        <w:t>Sénégal: entre gestion de la dette et vie chère, le Premier ministre va dévoiler sa feuille de route - RFI</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s'apprête à présenter sa feuille de route, confronté à deux défis majeurs : la gestion de la dette publique et la hausse du coût de la vie. Cette annonce intervient dans un contexte de tensions économiques et sociales, où le gouvernement doit trouver un équilibre entre rigueur budgétaire et soutien au pouvoir d'achat.</w:t>
      </w:r>
    </w:p>
    <w:p>
      <w:pPr>
        <w:spacing w:before="0" w:after="40"/>
        <w:ind w:left="600"/>
      </w:pPr>
      <w:r>
        <w:rPr>
          <w:color w:val="00643C"/>
          <w:sz w:val="16"/>
        </w:rPr>
        <w:t>Points clés : Gestion de la dette publique comme priorité  •  Lutte contre la vie chère et le pouvoir d'achat  •  Feuille de route du Premier ministre très attendue  •  Contexte de tensions économiques et sociales</w:t>
      </w:r>
    </w:p>
    <w:p>
      <w:pPr>
        <w:spacing w:before="0" w:after="60"/>
        <w:ind w:left="600"/>
      </w:pPr>
      <w:r>
        <w:rPr>
          <w:color w:val="0064B4"/>
          <w:sz w:val="15"/>
        </w:rPr>
        <w:t>Source : https://news.google.com/rss/articles/CBMi8gFBVV95cUxQMUlwb2pWal9XNUsxUExKdFVqMUJ</w:t>
      </w:r>
    </w:p>
    <w:p>
      <w:pPr>
        <w:spacing w:before="40" w:after="40"/>
        <w:ind w:left="360"/>
      </w:pPr>
      <w:r>
        <w:rPr>
          <w:color w:val="646464"/>
          <w:sz w:val="17"/>
        </w:rPr>
        <w:t xml:space="preserve">[07/09/2026] 🟢  </w:t>
      </w:r>
      <w:r>
        <w:rPr>
          <w:b/>
          <w:color w:val="008000"/>
          <w:sz w:val="18"/>
        </w:rPr>
        <w:t>Le Sénégal engage la préparation de son projet nucléaire - SenePlus</w:t>
      </w:r>
      <w:r>
        <w:rPr>
          <w:color w:val="787878"/>
          <w:sz w:val="15"/>
        </w:rPr>
        <w:t xml:space="preserve">  [politique]</w:t>
      </w:r>
      <w:r>
        <w:rPr>
          <w:color w:val="B47800"/>
          <w:sz w:val="16"/>
        </w:rPr>
        <w:t xml:space="preserve">  ★ 50/10</w:t>
      </w:r>
    </w:p>
    <w:p>
      <w:pPr>
        <w:spacing w:before="0" w:after="20"/>
        <w:ind w:left="600"/>
      </w:pPr>
      <w:r>
        <w:rPr>
          <w:color w:val="323232"/>
          <w:sz w:val="17"/>
        </w:rPr>
        <w:t>Le Sénégal a officiellement lancé la préparation de son projet nucléaire, marquant une étape majeure dans sa stratégie énergétique. Cette initiative vise à diversifier le mix énergétique du pays et à renforcer sa souveraineté énergétique à long terme. Le projet s'inscrit dans le cadre de la coopération internationale et pourrait attirer des investi</w:t>
      </w:r>
    </w:p>
    <w:p>
      <w:pPr>
        <w:spacing w:before="0" w:after="40"/>
        <w:ind w:left="600"/>
      </w:pPr>
      <w:r>
        <w:rPr>
          <w:color w:val="00643C"/>
          <w:sz w:val="16"/>
        </w:rPr>
        <w:t>Points clés : Le Sénégal engage la préparation de son projet nucléaire, une première dans la région UEMOA.  •  Le projet vise à diversifier le mix énergétique et à réduire la dépendance aux énergies fossiles.  •  Il pourrait stimuler les investissements dans les infrastructures et la technologie au Sénégal.</w:t>
      </w:r>
    </w:p>
    <w:p>
      <w:pPr>
        <w:spacing w:before="0" w:after="60"/>
        <w:ind w:left="600"/>
      </w:pPr>
      <w:r>
        <w:rPr>
          <w:color w:val="0064B4"/>
          <w:sz w:val="15"/>
        </w:rPr>
        <w:t>Source : https://news.google.com/rss/articles/CBMikwFBVV95cUxOOGh6VHV3ZG9BbWFvSTMtaTlGcl9</w:t>
      </w:r>
    </w:p>
    <w:p>
      <w:pPr>
        <w:spacing w:before="40" w:after="40"/>
        <w:ind w:left="360"/>
      </w:pPr>
      <w:r>
        <w:rPr>
          <w:color w:val="646464"/>
          <w:sz w:val="17"/>
        </w:rPr>
        <w:t xml:space="preserve">[07/09/2026] ⚪  </w:t>
      </w:r>
      <w:r>
        <w:rPr>
          <w:b/>
          <w:color w:val="505050"/>
          <w:sz w:val="18"/>
        </w:rPr>
        <w:t>Sénégal : le « traitement de la dette » avec le FMI, une bouffée d'oxygène sous haute tension politique - Timbuktu Insti</w:t>
      </w:r>
      <w:r>
        <w:rPr>
          <w:color w:val="787878"/>
          <w:sz w:val="15"/>
        </w:rPr>
        <w:t xml:space="preserve">  [politique]</w:t>
      </w:r>
      <w:r>
        <w:rPr>
          <w:color w:val="B47800"/>
          <w:sz w:val="16"/>
        </w:rPr>
        <w:t xml:space="preserve">  ★ 50/10</w:t>
      </w:r>
    </w:p>
    <w:p>
      <w:pPr>
        <w:spacing w:before="0" w:after="20"/>
        <w:ind w:left="600"/>
      </w:pPr>
      <w:r>
        <w:rPr>
          <w:color w:val="323232"/>
          <w:sz w:val="17"/>
        </w:rPr>
        <w:t>Le Sénégal a obtenu un traitement de sa dette avec le FMI, ce qui constitue une bouffée d'oxygène pour son économie, mais dans un contexte de forte tension politique. Cette mesure vise à alléger la pression financière du pays, mais son succès dépendra de la stabilité politique. L'accord pourrait renforcer la confiance des investisseurs, mais les ri</w:t>
      </w:r>
    </w:p>
    <w:p>
      <w:pPr>
        <w:spacing w:before="0" w:after="40"/>
        <w:ind w:left="600"/>
      </w:pPr>
      <w:r>
        <w:rPr>
          <w:color w:val="00643C"/>
          <w:sz w:val="16"/>
        </w:rPr>
        <w:t>Points clés : Accord de traitement de la dette entre le Sénégal et le FMI, offrant un répit financier.  •  Contexte politique tendu qui pourrait compromettre la mise en œuvre des réformes.  •  Impact potentiel sur la liquidité et la soutenabilité budgétaire du pays.</w:t>
      </w:r>
    </w:p>
    <w:p>
      <w:pPr>
        <w:spacing w:before="0" w:after="60"/>
        <w:ind w:left="600"/>
      </w:pPr>
      <w:r>
        <w:rPr>
          <w:color w:val="0064B4"/>
          <w:sz w:val="15"/>
        </w:rPr>
        <w:t>Source : https://news.google.com/rss/articles/CBMi-wFBVV95cUxNV0dhNVVIRGxwYl8wNjR4Q1h6eVB</w:t>
      </w:r>
    </w:p>
    <w:p>
      <w:pPr>
        <w:spacing w:before="40" w:after="40"/>
        <w:ind w:left="360"/>
      </w:pPr>
      <w:r>
        <w:rPr>
          <w:color w:val="646464"/>
          <w:sz w:val="17"/>
        </w:rPr>
        <w:t xml:space="preserve">[07/09/2026] ⚪  </w:t>
      </w:r>
      <w:r>
        <w:rPr>
          <w:b/>
          <w:color w:val="505050"/>
          <w:sz w:val="18"/>
        </w:rPr>
        <w:t>Au Sénégal, la coalition FDR peut-elle tirer profit de la rivalité entre Diomaye Faye et Sonko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analyse la possibilité pour la coalition FDR (Front pour la défense de la République) de tirer profit des tensions entre le président sénégalais Diomaye Faye et son Premier ministre Ousmane Sonko. Il examine les dynamiques politiques internes au Sénégal, où des rivalités au sein du pouvoir pourraient fragiliser la majorit</w:t>
      </w:r>
    </w:p>
    <w:p>
      <w:pPr>
        <w:spacing w:before="0" w:after="40"/>
        <w:ind w:left="600"/>
      </w:pPr>
      <w:r>
        <w:rPr>
          <w:color w:val="00643C"/>
          <w:sz w:val="16"/>
        </w:rPr>
        <w:t>Points clés : Rivalité entre Diomaye Faye et Sonko au sein du pouvoir sénégalais.  •  Opportunité potentielle pour la coalition FDR d'exploiter ces divisions.  •  Analyse des dynamiques politiques et de leurs implications pour l'opposition.</w:t>
      </w:r>
    </w:p>
    <w:p>
      <w:pPr>
        <w:spacing w:before="0" w:after="60"/>
        <w:ind w:left="600"/>
      </w:pPr>
      <w:r>
        <w:rPr>
          <w:color w:val="0064B4"/>
          <w:sz w:val="15"/>
        </w:rPr>
        <w:t>Source : https://news.google.com/rss/articles/CBMi2AFBVV95cUxNdzN1eHJTRnpCYUJvUjRwWVZYd2I</w:t>
      </w:r>
    </w:p>
    <w:p>
      <w:pPr>
        <w:spacing w:before="120" w:after="40"/>
      </w:pPr>
      <w:r>
        <w:rPr>
          <w:b/>
          <w:color w:val="00467F"/>
          <w:sz w:val="20"/>
        </w:rPr>
        <w:t>🔑 matieres_premieres  (2 alerte(s))</w:t>
      </w:r>
    </w:p>
    <w:p>
      <w:pPr>
        <w:spacing w:before="40" w:after="40"/>
        <w:ind w:left="360"/>
      </w:pPr>
      <w:r>
        <w:rPr>
          <w:color w:val="646464"/>
          <w:sz w:val="17"/>
        </w:rPr>
        <w:t xml:space="preserve">[08/09/2026] ⚪  </w:t>
      </w:r>
      <w:r>
        <w:rPr>
          <w:b/>
          <w:color w:val="505050"/>
          <w:sz w:val="18"/>
        </w:rPr>
        <w:t>Pourquoi diversifier les matières premières - Allnews</w:t>
      </w:r>
      <w:r>
        <w:rPr>
          <w:color w:val="787878"/>
          <w:sz w:val="15"/>
        </w:rPr>
        <w:t xml:space="preserve">  [matieres_premieres]</w:t>
      </w:r>
      <w:r>
        <w:rPr>
          <w:color w:val="B47800"/>
          <w:sz w:val="16"/>
        </w:rPr>
        <w:t xml:space="preserve">  ★ 50/10</w:t>
      </w:r>
    </w:p>
    <w:p>
      <w:pPr>
        <w:spacing w:before="0" w:after="20"/>
        <w:ind w:left="600"/>
      </w:pPr>
      <w:r>
        <w:rPr>
          <w:color w:val="323232"/>
          <w:sz w:val="17"/>
        </w:rPr>
        <w:t>L'article d'Allnews explique l'intérêt de diversifier les investissements dans les matières premières afin de réduire les risques et de profiter des cycles économiques. Il souligne que cette classe d'actifs peut offrir une protection contre l'inflation et une décorrélation avec les actions. La diversification permet de lisser la volatilité et d'amé</w:t>
      </w:r>
    </w:p>
    <w:p>
      <w:pPr>
        <w:spacing w:before="0" w:after="40"/>
        <w:ind w:left="600"/>
      </w:pPr>
      <w:r>
        <w:rPr>
          <w:color w:val="00643C"/>
          <w:sz w:val="16"/>
        </w:rPr>
        <w:t>Points clés : La diversification des matières premières réduit le risque global du portefeuille.  •  Les matières premières servent de couverture contre l'inflation et les chocs géopolitiques.</w:t>
      </w:r>
    </w:p>
    <w:p>
      <w:pPr>
        <w:spacing w:before="0" w:after="60"/>
        <w:ind w:left="600"/>
      </w:pPr>
      <w:r>
        <w:rPr>
          <w:color w:val="0064B4"/>
          <w:sz w:val="15"/>
        </w:rPr>
        <w:t>Source : https://news.google.com/rss/articles/CBMinwFBVV95cUxOVEhEbGRxaC1EdG5PN2p6bTFXd0h</w:t>
      </w:r>
    </w:p>
    <w:p>
      <w:pPr>
        <w:spacing w:before="40" w:after="40"/>
        <w:ind w:left="360"/>
      </w:pPr>
      <w:r>
        <w:rPr>
          <w:color w:val="646464"/>
          <w:sz w:val="17"/>
        </w:rPr>
        <w:t xml:space="preserve">[08/09/2026] 🟢  </w:t>
      </w:r>
      <w:r>
        <w:rPr>
          <w:b/>
          <w:color w:val="008000"/>
          <w:sz w:val="18"/>
        </w:rPr>
        <w:t>Jour férié aux États-Unis, hausse des prix du pétrole brut Brent et du caoutchouc, l'indice MXV dépasse les 2 980 points</w:t>
      </w:r>
      <w:r>
        <w:rPr>
          <w:color w:val="787878"/>
          <w:sz w:val="15"/>
        </w:rPr>
        <w:t xml:space="preserve">  [matieres_premieres]</w:t>
      </w:r>
      <w:r>
        <w:rPr>
          <w:color w:val="B47800"/>
          <w:sz w:val="16"/>
        </w:rPr>
        <w:t xml:space="preserve">  ★ 50/10</w:t>
      </w:r>
    </w:p>
    <w:p>
      <w:pPr>
        <w:spacing w:before="0" w:after="20"/>
        <w:ind w:left="600"/>
      </w:pPr>
      <w:r>
        <w:rPr>
          <w:color w:val="323232"/>
          <w:sz w:val="17"/>
        </w:rPr>
        <w:t>Le marché international des matières premières a connu une journée marquée par un jour férié aux États-Unis, ce qui a réduit les volumes d'échanges. Les prix du pétrole brut Brent et du caoutchouc ont enregistré une hausse, soutenus par des facteurs géopolitiques et une demande soutenue. L'indice MXV, qui suit les matières premières, a dépassé le s</w:t>
      </w:r>
    </w:p>
    <w:p>
      <w:pPr>
        <w:spacing w:before="0" w:after="40"/>
        <w:ind w:left="600"/>
      </w:pPr>
      <w:r>
        <w:rPr>
          <w:color w:val="00643C"/>
          <w:sz w:val="16"/>
        </w:rPr>
        <w:t>Points clés : Hausse des prix du pétrole brut Brent et du caoutchouc.  •  L'indice MXV dépasse les 2 980 points, indiquant une tendance haussière.</w:t>
      </w:r>
    </w:p>
    <w:p>
      <w:pPr>
        <w:spacing w:before="0" w:after="60"/>
        <w:ind w:left="600"/>
      </w:pPr>
      <w:r>
        <w:rPr>
          <w:color w:val="0064B4"/>
          <w:sz w:val="15"/>
        </w:rPr>
        <w:t>Source : https://news.google.com/rss/articles/CBMioAFBVV95cUxNczl4UG1qcHl2bEFpTEdSRWlMSmF</w:t>
      </w:r>
    </w:p>
    <w:p>
      <w:pPr>
        <w:spacing w:before="120" w:after="40"/>
      </w:pPr>
      <w:r>
        <w:rPr>
          <w:b/>
          <w:color w:val="00467F"/>
          <w:sz w:val="20"/>
        </w:rPr>
        <w:t>🔑 marche_financier  (2 alerte(s))</w:t>
      </w:r>
    </w:p>
    <w:p>
      <w:pPr>
        <w:spacing w:before="40" w:after="40"/>
        <w:ind w:left="360"/>
      </w:pPr>
      <w:r>
        <w:rPr>
          <w:color w:val="646464"/>
          <w:sz w:val="17"/>
        </w:rPr>
        <w:t xml:space="preserve">[07/09/2026] 🟢  </w:t>
      </w:r>
      <w:r>
        <w:rPr>
          <w:b/>
          <w:color w:val="008000"/>
          <w:sz w:val="18"/>
        </w:rPr>
        <w:t>Unlock West Africa's Wealth: Investing through BRVM - Dabafinance</w:t>
      </w:r>
      <w:r>
        <w:rPr>
          <w:color w:val="787878"/>
          <w:sz w:val="15"/>
        </w:rPr>
        <w:t xml:space="preserve">  [marche_financier]</w:t>
      </w:r>
      <w:r>
        <w:rPr>
          <w:color w:val="B47800"/>
          <w:sz w:val="16"/>
        </w:rPr>
        <w:t xml:space="preserve">  ★ 50/10</w:t>
      </w:r>
    </w:p>
    <w:p>
      <w:pPr>
        <w:spacing w:before="0" w:after="20"/>
        <w:ind w:left="600"/>
      </w:pPr>
      <w:r>
        <w:rPr>
          <w:color w:val="323232"/>
          <w:sz w:val="17"/>
        </w:rPr>
        <w:t>L'article de Dabafinance met en avant les opportunités d'investissement offertes par la BRVM pour accéder à la richesse de l'Afrique de l'Ouest. Il souligne le potentiel de croissance économique de la région et la plateforme boursière comme un vecteur clé pour les investisseurs. Le texte semble promotionnel, visant à attirer les capitaux vers les m</w:t>
      </w:r>
    </w:p>
    <w:p>
      <w:pPr>
        <w:spacing w:before="0" w:after="40"/>
        <w:ind w:left="600"/>
      </w:pPr>
      <w:r>
        <w:rPr>
          <w:color w:val="00643C"/>
          <w:sz w:val="16"/>
        </w:rPr>
        <w:t>Points clés : La BRVM est présentée comme une porte d'entrée vers les marchés de l'Afrique de l'Ouest.  •  L'article met en avant le potentiel de richesse et de croissance de la région.  •  Il s'agit d'un contenu promotionnel de Dabafinance, probablement destiné à attirer des investisseurs.</w:t>
      </w:r>
    </w:p>
    <w:p>
      <w:pPr>
        <w:spacing w:before="0" w:after="60"/>
        <w:ind w:left="600"/>
      </w:pPr>
      <w:r>
        <w:rPr>
          <w:color w:val="0064B4"/>
          <w:sz w:val="15"/>
        </w:rPr>
        <w:t>Source : https://news.google.com/rss/articles/CBMijgFBVV95cUxPdXZoaHZWRFZtcnE3dXVobk9COEV</w:t>
      </w:r>
    </w:p>
    <w:p>
      <w:pPr>
        <w:spacing w:before="40" w:after="40"/>
        <w:ind w:left="360"/>
      </w:pPr>
      <w:r>
        <w:rPr>
          <w:color w:val="646464"/>
          <w:sz w:val="17"/>
        </w:rPr>
        <w:t xml:space="preserve">[07/09/2026] 🟢  </w:t>
      </w:r>
      <w:r>
        <w:rPr>
          <w:b/>
          <w:color w:val="008000"/>
          <w:sz w:val="18"/>
        </w:rPr>
        <w:t>Lagos, Abidjan, Nairobi… Ce qui dope la rentabilité exceptionnelle des Bourses africaines - Jeune Afrique</w:t>
      </w:r>
      <w:r>
        <w:rPr>
          <w:color w:val="787878"/>
          <w:sz w:val="15"/>
        </w:rPr>
        <w:t xml:space="preserve">  [marche_financier]</w:t>
      </w:r>
      <w:r>
        <w:rPr>
          <w:color w:val="B47800"/>
          <w:sz w:val="16"/>
        </w:rPr>
        <w:t xml:space="preserve">  ★ 50/10</w:t>
      </w:r>
    </w:p>
    <w:p>
      <w:pPr>
        <w:spacing w:before="0" w:after="20"/>
        <w:ind w:left="600"/>
      </w:pPr>
      <w:r>
        <w:rPr>
          <w:color w:val="323232"/>
          <w:sz w:val="17"/>
        </w:rPr>
        <w:t>L'article de Jeune Afrique met en avant la rentabilité exceptionnelle des Bourses africaines, notamment celles de Lagos, Abidjan et Nairobi, portée par des réformes, des flux d'investisseurs et une meilleure liquidité. Il souligne la performance remarquable de la BRVM (Abidjan) dans ce contexte, attirant l'attention sur les opportunités offertes au</w:t>
      </w:r>
    </w:p>
    <w:p>
      <w:pPr>
        <w:spacing w:before="0" w:after="40"/>
        <w:ind w:left="600"/>
      </w:pPr>
      <w:r>
        <w:rPr>
          <w:color w:val="00643C"/>
          <w:sz w:val="16"/>
        </w:rPr>
        <w:t>Points clés : Rentabilité exceptionnelle des Bourses africaines, avec des rendements élevés à Lagos, Abidjan et Nairobi.  •  Facteurs de performance : réformes réglementaires, afflux d'investisseurs étrangers, et amélioration de la liquidité.  •  La BRVM se distingue par sa stabilité et son attractivité dans la zone UEMOA.  •  Digitalisation et diversification économique comme moteurs de croissance des marchés.</w:t>
      </w:r>
    </w:p>
    <w:p>
      <w:pPr>
        <w:spacing w:before="0" w:after="60"/>
        <w:ind w:left="600"/>
      </w:pPr>
      <w:r>
        <w:rPr>
          <w:color w:val="0064B4"/>
          <w:sz w:val="15"/>
        </w:rPr>
        <w:t>Source : https://news.google.com/rss/articles/CBMi3gFBVV95cUxQRURMMVVjTkVyWUdEclZBZmtSU1A</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12,495</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8,780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3</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3,110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10,240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71</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18,000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3,400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17,580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9,265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21,800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8,265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3,900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23</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13,710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2,980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24,885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2,340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5,445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33,785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7,080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6,035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8,500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10,790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38,800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51,000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3,525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3,400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9,265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8,265</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3,900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9,100</w:t>
            </w:r>
          </w:p>
        </w:tc>
        <w:tc>
          <w:tcPr>
            <w:tcW w:type="dxa" w:w="1728"/>
            <w:shd w:fill="DEEAF1" w:val="clear"/>
          </w:tcPr>
          <w:p>
            <w:r>
              <w:rPr>
                <w:sz w:val="17"/>
              </w:rPr>
              <w:t>70/100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12,495</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8,780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3,110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2,395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3,975</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10,240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3,525</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12,495</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8,780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3,110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2,395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3,975</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10,240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3,525</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(86.7 &gt; 70) — risque de correction</w:t>
      </w:r>
    </w:p>
    <w:p>
      <w:pPr>
        <w:pStyle w:val="ListBullet"/>
        <w:spacing w:before="20"/>
        <w:ind w:left="400"/>
      </w:pPr>
      <w:r>
        <w:rPr>
          <w:sz w:val="18"/>
        </w:rPr>
        <w:t>⚠️ Cours à 0.0% du plus haut 100j (10,790 FCFA)</w:t>
      </w:r>
    </w:p>
    <w:p>
      <w:pPr>
        <w:pStyle w:val="ListBullet"/>
        <w:spacing w:before="20"/>
        <w:ind w:left="400"/>
      </w:pPr>
      <w:r>
        <w:rPr>
          <w:sz w:val="18"/>
        </w:rPr>
        <w:t>🟠 Divergence tech(VENTE) / fond(NEUTRE) — recommandation ajustée à CONSERVER ⚠️</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(84.1 &gt; 70) — risque de correction</w:t>
      </w:r>
    </w:p>
    <w:p>
      <w:pPr>
        <w:pStyle w:val="ListBullet"/>
        <w:spacing w:before="20"/>
        <w:ind w:left="400"/>
      </w:pPr>
      <w:r>
        <w:rPr>
          <w:sz w:val="18"/>
        </w:rPr>
        <w:t>⚠️ Cours à 0.0% du plus haut 100j (33,785 FCFA)</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(74.4 &gt; 70) — risque de correction</w:t>
      </w:r>
    </w:p>
    <w:p>
      <w:pPr>
        <w:pStyle w:val="ListBullet"/>
        <w:spacing w:before="20"/>
        <w:ind w:left="400"/>
      </w:pPr>
      <w:r>
        <w:rPr>
          <w:sz w:val="18"/>
        </w:rPr>
        <w:t>⚠️ Cours à 0.0% du plus haut 100j (6,870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(71.0 &gt; 70) — risque de correction</w:t>
      </w:r>
    </w:p>
    <w:p>
      <w:pPr>
        <w:pStyle w:val="ListBullet"/>
        <w:spacing w:before="20"/>
        <w:ind w:left="400"/>
      </w:pPr>
      <w:r>
        <w:rPr>
          <w:sz w:val="18"/>
        </w:rPr>
        <w:t>⚠️ Cours à 2.8%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(71.3 &gt; 70) — risque de correction</w:t>
      </w:r>
    </w:p>
    <w:p>
      <w:pPr>
        <w:pStyle w:val="ListBullet"/>
        <w:spacing w:before="20"/>
        <w:ind w:left="400"/>
      </w:pPr>
      <w:r>
        <w:rPr>
          <w:sz w:val="18"/>
        </w:rPr>
        <w:t>⚠️ Cours à 1.5% du plus haut 100j (7,190 FCFA)</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surachat (77.4 &gt; 70) — risque de correction</w:t>
      </w:r>
    </w:p>
    <w:p>
      <w:pPr>
        <w:pStyle w:val="ListBullet"/>
        <w:spacing w:before="20"/>
        <w:ind w:left="400"/>
      </w:pPr>
      <w:r>
        <w:rPr>
          <w:sz w:val="18"/>
        </w:rPr>
        <w:t>⚠️ Cours à 0.0% du plus haut 100j (24,885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(71.0 &gt; 70) — risque de correction</w:t>
      </w:r>
    </w:p>
    <w:p>
      <w:pPr>
        <w:pStyle w:val="ListBullet"/>
        <w:spacing w:before="20"/>
        <w:ind w:left="400"/>
      </w:pPr>
      <w:r>
        <w:rPr>
          <w:sz w:val="18"/>
        </w:rPr>
        <w:t>⚠️ Cours à 0.0% du plus haut 100j (2,480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(84.3 &gt; 70) — risque de correction</w:t>
      </w:r>
    </w:p>
    <w:p>
      <w:pPr>
        <w:pStyle w:val="ListBullet"/>
        <w:spacing w:before="20"/>
        <w:ind w:left="400"/>
      </w:pPr>
      <w:r>
        <w:rPr>
          <w:sz w:val="18"/>
        </w:rPr>
        <w:t>⚠️ Cours à 0.0% du plus haut 100j (3,975 FCFA)</w:t>
      </w:r>
    </w:p>
    <w:p>
      <w:pPr>
        <w:spacing w:before="120"/>
      </w:pPr>
      <w:r>
        <w:rPr>
          <w:b/>
          <w:color w:val="0050A0"/>
          <w:sz w:val="20"/>
        </w:rPr>
        <w:t>BOAB — BANK OF AFRICA BENIN</w:t>
      </w:r>
    </w:p>
    <w:p>
      <w:pPr>
        <w:pStyle w:val="ListBullet"/>
        <w:spacing w:before="20"/>
        <w:ind w:left="400"/>
      </w:pPr>
      <w:r>
        <w:rPr>
          <w:sz w:val="18"/>
        </w:rPr>
        <w:t>🔴 RSI surachat (74.3 &gt; 70) — risque de correction</w:t>
      </w:r>
    </w:p>
    <w:p>
      <w:pPr>
        <w:pStyle w:val="ListBullet"/>
        <w:spacing w:before="20"/>
        <w:ind w:left="400"/>
      </w:pPr>
      <w:r>
        <w:rPr>
          <w:sz w:val="18"/>
        </w:rPr>
        <w:t>⚠️ Cours à 1.1% du plus haut 100j (10,350 FCFA)</w:t>
      </w:r>
    </w:p>
    <w:p>
      <w:pPr>
        <w:spacing w:before="120"/>
      </w:pPr>
      <w:r>
        <w:rPr>
          <w:b/>
          <w:color w:val="0050A0"/>
          <w:sz w:val="20"/>
        </w:rPr>
        <w:t>BOABF — BANK OF AFRICA BURKINA FASO</w:t>
      </w:r>
    </w:p>
    <w:p>
      <w:pPr>
        <w:pStyle w:val="ListBullet"/>
        <w:spacing w:before="20"/>
        <w:ind w:left="400"/>
      </w:pPr>
      <w:r>
        <w:rPr>
          <w:sz w:val="18"/>
        </w:rPr>
        <w:t>🔴 RSI surachat (81.7 &gt; 70) — risque de correction</w:t>
      </w:r>
    </w:p>
    <w:p>
      <w:pPr>
        <w:pStyle w:val="ListBullet"/>
        <w:spacing w:before="20"/>
        <w:ind w:left="400"/>
      </w:pPr>
      <w:r>
        <w:rPr>
          <w:sz w:val="18"/>
        </w:rPr>
        <w:t>⚠️ Cours à 2.1% du plus haut 100j (9,090 FCFA)</w:t>
      </w:r>
    </w:p>
    <w:p>
      <w:pPr>
        <w:spacing w:before="120"/>
      </w:pPr>
      <w:r>
        <w:rPr>
          <w:b/>
          <w:color w:val="0050A0"/>
          <w:sz w:val="20"/>
        </w:rPr>
        <w:t>CBIBF — CBIBF - CORIS BANK INTERNATIONAL BURKINA FASO</w:t>
      </w:r>
    </w:p>
    <w:p>
      <w:pPr>
        <w:pStyle w:val="ListBullet"/>
        <w:spacing w:before="20"/>
        <w:ind w:left="400"/>
      </w:pPr>
      <w:r>
        <w:rPr>
          <w:sz w:val="18"/>
        </w:rPr>
        <w:t>🔴 RSI surachat (84.2 &gt; 70) — risque de correction</w:t>
      </w:r>
    </w:p>
    <w:p>
      <w:pPr>
        <w:pStyle w:val="ListBullet"/>
        <w:spacing w:before="20"/>
        <w:ind w:left="400"/>
      </w:pPr>
      <w:r>
        <w:rPr>
          <w:sz w:val="18"/>
        </w:rPr>
        <w:t>⚠️ Cours à 0.4% du plus haut 100j (33,450 FCFA)</w:t>
      </w:r>
    </w:p>
    <w:p>
      <w:pPr>
        <w:spacing w:before="120"/>
      </w:pPr>
      <w:r>
        <w:rPr>
          <w:b/>
          <w:color w:val="0050A0"/>
          <w:sz w:val="20"/>
        </w:rPr>
        <w:t>LNBB — LNBB - LOTERIE NATIONALE DU BENIN</w:t>
      </w:r>
    </w:p>
    <w:p>
      <w:pPr>
        <w:pStyle w:val="ListBullet"/>
        <w:spacing w:before="20"/>
        <w:ind w:left="400"/>
      </w:pPr>
      <w:r>
        <w:rPr>
          <w:sz w:val="18"/>
        </w:rPr>
        <w:t>⚠️ Cours à 2.0% du plus bas 100j (3,825 FCFA)</w:t>
      </w:r>
    </w:p>
    <w:p>
      <w:pPr>
        <w:pStyle w:val="ListBullet"/>
        <w:spacing w:before="20"/>
        <w:ind w:left="400"/>
      </w:pPr>
      <w:r>
        <w:rPr>
          <w:sz w:val="18"/>
        </w:rPr>
        <w:t>🟠 Divergence tech(VENTE) / fond(ACHAT) — recommandation ajustée à ACHAT FORT</w:t>
      </w:r>
    </w:p>
    <w:p>
      <w:pPr>
        <w:spacing w:before="120"/>
      </w:pPr>
      <w:r>
        <w:rPr>
          <w:b/>
          <w:color w:val="0050A0"/>
          <w:sz w:val="20"/>
        </w:rPr>
        <w:t>NEIC — NEIC - NEI-CEDA CI</w:t>
      </w:r>
    </w:p>
    <w:p>
      <w:pPr>
        <w:pStyle w:val="ListBullet"/>
        <w:spacing w:before="20"/>
        <w:ind w:left="400"/>
      </w:pPr>
      <w:r>
        <w:rPr>
          <w:sz w:val="18"/>
        </w:rPr>
        <w:t>🔴 RSI surachat (96.5 &gt; 70) — risque de correction</w:t>
      </w:r>
    </w:p>
    <w:p>
      <w:pPr>
        <w:pStyle w:val="ListBullet"/>
        <w:spacing w:before="20"/>
        <w:ind w:left="400"/>
      </w:pPr>
      <w:r>
        <w:rPr>
          <w:sz w:val="18"/>
        </w:rPr>
        <w:t>⚠️ Cours à 0.7% du plus haut 100j (3,000 FCFA)</w:t>
      </w:r>
    </w:p>
    <w:p>
      <w:pPr>
        <w:spacing w:before="120"/>
      </w:pPr>
      <w:r>
        <w:rPr>
          <w:b/>
          <w:color w:val="0050A0"/>
          <w:sz w:val="20"/>
        </w:rPr>
        <w:t>ORAC — ORAC - ORANGE COTE D'IVOIRE</w:t>
      </w:r>
    </w:p>
    <w:p>
      <w:pPr>
        <w:pStyle w:val="ListBullet"/>
        <w:spacing w:before="20"/>
        <w:ind w:left="400"/>
      </w:pPr>
      <w:r>
        <w:rPr>
          <w:sz w:val="18"/>
        </w:rPr>
        <w:t>🔴 RSI surachat (76.6 &gt; 70) — risque de correction</w:t>
      </w:r>
    </w:p>
    <w:p>
      <w:pPr>
        <w:pStyle w:val="ListBullet"/>
        <w:spacing w:before="20"/>
        <w:ind w:left="400"/>
      </w:pPr>
      <w:r>
        <w:rPr>
          <w:sz w:val="18"/>
        </w:rPr>
        <w:t>⚠️ Cours à 0.0% du plus haut 100j (21,800 FCFA)</w:t>
      </w:r>
    </w:p>
    <w:p>
      <w:pPr>
        <w:spacing w:before="120"/>
      </w:pPr>
      <w:r>
        <w:rPr>
          <w:b/>
          <w:color w:val="0050A0"/>
          <w:sz w:val="20"/>
        </w:rPr>
        <w:t>ORGT — ORGT - ORAGROUP TOGO</w:t>
      </w:r>
    </w:p>
    <w:p>
      <w:pPr>
        <w:pStyle w:val="ListBullet"/>
        <w:spacing w:before="20"/>
        <w:ind w:left="400"/>
      </w:pPr>
      <w:r>
        <w:rPr>
          <w:sz w:val="18"/>
        </w:rPr>
        <w:t>🔴 RSI surachat (79.3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(83.4 &gt; 70) — risque de correction</w:t>
      </w:r>
    </w:p>
    <w:p>
      <w:pPr>
        <w:pStyle w:val="ListBullet"/>
        <w:spacing w:before="20"/>
        <w:ind w:left="400"/>
      </w:pPr>
      <w:r>
        <w:rPr>
          <w:sz w:val="18"/>
        </w:rPr>
        <w:t>⚠️ Cours à 0.0% du plus haut 100j (13,710 FCFA)</w:t>
      </w:r>
    </w:p>
    <w:p>
      <w:pPr>
        <w:spacing w:before="120"/>
      </w:pPr>
      <w:r>
        <w:rPr>
          <w:b/>
          <w:color w:val="0050A0"/>
          <w:sz w:val="20"/>
        </w:rPr>
        <w:t>SMBC — SMBC - Société Multinationale de Bitumes COTE D'IVOIRE</w:t>
      </w:r>
    </w:p>
    <w:p>
      <w:pPr>
        <w:pStyle w:val="ListBullet"/>
        <w:spacing w:before="20"/>
        <w:ind w:left="400"/>
      </w:pPr>
      <w:r>
        <w:rPr>
          <w:sz w:val="18"/>
        </w:rPr>
        <w:t>🔴 RSI surachat (83.5 &gt; 70) — risque de correction</w:t>
      </w:r>
    </w:p>
    <w:p>
      <w:pPr>
        <w:pStyle w:val="ListBullet"/>
        <w:spacing w:before="20"/>
        <w:ind w:left="400"/>
      </w:pPr>
      <w:r>
        <w:rPr>
          <w:sz w:val="18"/>
        </w:rPr>
        <w:t>⚠️ Cours à 0.9% du plus haut 100j (17,735 FCFA)</w:t>
      </w:r>
    </w:p>
    <w:p>
      <w:pPr>
        <w:spacing w:before="120"/>
      </w:pPr>
      <w:r>
        <w:rPr>
          <w:b/>
          <w:color w:val="0050A0"/>
          <w:sz w:val="20"/>
        </w:rPr>
        <w:t>SNTS — SNTS - SONATEL SN</w:t>
      </w:r>
    </w:p>
    <w:p>
      <w:pPr>
        <w:pStyle w:val="ListBullet"/>
        <w:spacing w:before="20"/>
        <w:ind w:left="400"/>
      </w:pPr>
      <w:r>
        <w:rPr>
          <w:sz w:val="18"/>
        </w:rPr>
        <w:t>🔴 RSI surachat (78.9 &gt; 70) — risque de correction</w:t>
      </w:r>
    </w:p>
    <w:p>
      <w:pPr>
        <w:pStyle w:val="ListBullet"/>
        <w:spacing w:before="20"/>
        <w:ind w:left="400"/>
      </w:pPr>
      <w:r>
        <w:rPr>
          <w:sz w:val="18"/>
        </w:rPr>
        <w:t>⚠️ Cours à 0.0% du plus haut 100j (38,700 FCFA)</w:t>
      </w:r>
    </w:p>
    <w:p>
      <w:pPr>
        <w:spacing w:before="120"/>
      </w:pPr>
      <w:r>
        <w:rPr>
          <w:b/>
          <w:color w:val="0050A0"/>
          <w:sz w:val="20"/>
        </w:rPr>
        <w:t>BOAC — BANK OF AFRICA COTE D'IVOIRE</w:t>
      </w:r>
    </w:p>
    <w:p>
      <w:pPr>
        <w:pStyle w:val="ListBullet"/>
        <w:spacing w:before="20"/>
        <w:ind w:left="400"/>
      </w:pPr>
      <w:r>
        <w:rPr>
          <w:sz w:val="18"/>
        </w:rPr>
        <w:t>🟢 RSI survente (18.0 &lt; 30) — opportunité potentielle</w:t>
      </w:r>
    </w:p>
    <w:p>
      <w:pPr>
        <w:spacing w:before="120"/>
      </w:pPr>
      <w:r>
        <w:rPr>
          <w:b/>
          <w:color w:val="0050A0"/>
          <w:sz w:val="20"/>
        </w:rPr>
        <w:t>ECOC — ECOC - ECOBANK COTE D'IVOIRE</w:t>
      </w:r>
    </w:p>
    <w:p>
      <w:pPr>
        <w:pStyle w:val="ListBullet"/>
        <w:spacing w:before="20"/>
        <w:ind w:left="400"/>
      </w:pPr>
      <w:r>
        <w:rPr>
          <w:sz w:val="18"/>
        </w:rPr>
        <w:t>⚠️ Cours à 1.3% du plus haut 100j (17,725 FCFA)</w:t>
      </w:r>
    </w:p>
    <w:p>
      <w:pPr>
        <w:spacing w:before="120"/>
      </w:pPr>
      <w:r>
        <w:rPr>
          <w:b/>
          <w:color w:val="0050A0"/>
          <w:sz w:val="20"/>
        </w:rPr>
        <w:t>NTLC — NTLC - NESTLE COTE D'IVOIRE</w:t>
      </w:r>
    </w:p>
    <w:p>
      <w:pPr>
        <w:pStyle w:val="ListBullet"/>
        <w:spacing w:before="20"/>
        <w:ind w:left="400"/>
      </w:pPr>
      <w:r>
        <w:rPr>
          <w:sz w:val="18"/>
        </w:rPr>
        <w:t>⚠️ Cours à 0.0% du plus haut 100j (18,000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3.0% du plus haut 100j (3,205 FCFA)</w:t>
      </w:r>
    </w:p>
    <w:p>
      <w:pPr>
        <w:spacing w:before="120"/>
      </w:pPr>
      <w:r>
        <w:rPr>
          <w:b/>
          <w:color w:val="0050A0"/>
          <w:sz w:val="20"/>
        </w:rPr>
        <w:t>SGBC — SGBC - SOCIETE GENERALE COTE D'IVOIRE</w:t>
      </w:r>
    </w:p>
    <w:p>
      <w:pPr>
        <w:pStyle w:val="ListBullet"/>
        <w:spacing w:before="20"/>
        <w:ind w:left="400"/>
      </w:pPr>
      <w:r>
        <w:rPr>
          <w:sz w:val="18"/>
        </w:rPr>
        <w:t>⚠️ Cours à 1.3% du plus haut 100j (39,300 FCFA)</w:t>
      </w:r>
    </w:p>
    <w:p>
      <w:pPr>
        <w:spacing w:before="120"/>
      </w:pPr>
      <w:r>
        <w:rPr>
          <w:b/>
          <w:color w:val="0050A0"/>
          <w:sz w:val="20"/>
        </w:rPr>
        <w:t>SICC — SICC - SICOR COTE D'IVOIRE</w:t>
      </w:r>
    </w:p>
    <w:p>
      <w:pPr>
        <w:pStyle w:val="ListBullet"/>
        <w:spacing w:before="20"/>
        <w:ind w:left="400"/>
      </w:pPr>
      <w:r>
        <w:rPr>
          <w:sz w:val="18"/>
        </w:rPr>
        <w:t>🟢 RSI survente (27.2 &lt; 30) — opportunité potentielle</w:t>
      </w:r>
    </w:p>
    <w:p>
      <w:pPr>
        <w:spacing w:before="120"/>
      </w:pPr>
      <w:r>
        <w:rPr>
          <w:b/>
          <w:color w:val="0050A0"/>
          <w:sz w:val="20"/>
        </w:rPr>
        <w:t>STAC — STAC - SETAO COTE D'IVOIRE</w:t>
      </w:r>
    </w:p>
    <w:p>
      <w:pPr>
        <w:pStyle w:val="ListBullet"/>
        <w:spacing w:before="20"/>
        <w:ind w:left="400"/>
      </w:pPr>
      <w:r>
        <w:rPr>
          <w:sz w:val="18"/>
        </w:rPr>
        <w:t>⚠️ Cours à 1.0% du plus bas 100j (2,515 FCFA)</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2.0% du plus bas 100j (50,000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22.0/100</w:t>
            </w:r>
          </w:p>
        </w:tc>
        <w:tc>
          <w:tcPr>
            <w:tcW w:type="dxa" w:w="1644"/>
            <w:shd w:fill="DEEAF1" w:val="clear"/>
          </w:tcPr>
          <w:p>
            <w:r>
              <w:rPr>
                <w:b/>
                <w:color w:val="000000"/>
                <w:sz w:val="19"/>
              </w:rPr>
              <w:t>21.8/100</w:t>
            </w:r>
          </w:p>
        </w:tc>
      </w:tr>
    </w:tbl>
    <w:p/>
    <w:p>
      <w:r>
        <w:rPr>
          <w:i/>
          <w:color w:val="006400"/>
          <w:sz w:val="18"/>
        </w:rPr>
        <w:t>✅ Le marché BRVM présente globalement un profil de risque FAIBLE (score moyen 22.0/100).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(35.6/100 — Moyen) : </w:t>
      </w:r>
      <w:r>
        <w:rPr>
          <w:sz w:val="17"/>
        </w:rPr>
        <w:t>Volatilité=Élevée | Bêta=Très agressif | Liquidité=Excellente | Divergence signaux=taux divergence=40% (Très divergent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-13.02%  |  Médiane : -11.84%</w:t>
            </w:r>
          </w:p>
        </w:tc>
      </w:tr>
      <w:tr>
        <w:tc>
          <w:tcPr>
            <w:tcW w:type="dxa" w:w="2835"/>
            <w:shd w:fill="DEEAF1" w:val="clear"/>
          </w:tcPr>
          <w:p>
            <w:r>
              <w:rPr>
                <w:b/>
                <w:sz w:val="18"/>
              </w:rPr>
              <w:t>Répartition</w:t>
            </w:r>
          </w:p>
        </w:tc>
        <w:tc>
          <w:tcPr>
            <w:tcW w:type="dxa" w:w="7370"/>
          </w:tcPr>
          <w:p>
            <w:r>
              <w:rPr>
                <w:b/>
                <w:sz w:val="18"/>
              </w:rPr>
              <w:t>📈 8 sociétés en hausse (&gt;+1%)   📉 37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-13.02%.</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3,525 FCFA</w:t>
            </w:r>
          </w:p>
        </w:tc>
        <w:tc>
          <w:tcPr>
            <w:tcW w:type="dxa" w:w="1417"/>
            <w:shd w:fill="FFFFFF" w:val="clear"/>
          </w:tcPr>
          <w:p>
            <w:r>
              <w:rPr>
                <w:sz w:val="16"/>
              </w:rPr>
              <w:t>6,193 FCFA</w:t>
            </w:r>
          </w:p>
        </w:tc>
        <w:tc>
          <w:tcPr>
            <w:tcW w:type="dxa" w:w="1134"/>
            <w:shd w:fill="C6EFCE" w:val="clear"/>
          </w:tcPr>
          <w:p>
            <w:r>
              <w:rPr>
                <w:b/>
                <w:color w:val="007800"/>
                <w:sz w:val="16"/>
              </w:rPr>
              <w:t>+75.67%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51,000 FCFA</w:t>
            </w:r>
          </w:p>
        </w:tc>
        <w:tc>
          <w:tcPr>
            <w:tcW w:type="dxa" w:w="1417"/>
            <w:shd w:fill="FFFFFF" w:val="clear"/>
          </w:tcPr>
          <w:p>
            <w:r>
              <w:rPr>
                <w:sz w:val="16"/>
              </w:rPr>
              <w:t>59,302 FCFA</w:t>
            </w:r>
          </w:p>
        </w:tc>
        <w:tc>
          <w:tcPr>
            <w:tcW w:type="dxa" w:w="1134"/>
            <w:shd w:fill="C6EFCE" w:val="clear"/>
          </w:tcPr>
          <w:p>
            <w:r>
              <w:rPr>
                <w:b/>
                <w:color w:val="007800"/>
                <w:sz w:val="16"/>
              </w:rPr>
              <w:t>+16.28%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24,885 FCFA</w:t>
            </w:r>
          </w:p>
        </w:tc>
        <w:tc>
          <w:tcPr>
            <w:tcW w:type="dxa" w:w="1417"/>
            <w:shd w:fill="FFFFFF" w:val="clear"/>
          </w:tcPr>
          <w:p>
            <w:r>
              <w:rPr>
                <w:sz w:val="16"/>
              </w:rPr>
              <w:t>28,332 FCFA</w:t>
            </w:r>
          </w:p>
        </w:tc>
        <w:tc>
          <w:tcPr>
            <w:tcW w:type="dxa" w:w="1134"/>
            <w:shd w:fill="C6EFCE" w:val="clear"/>
          </w:tcPr>
          <w:p>
            <w:r>
              <w:rPr>
                <w:b/>
                <w:color w:val="007800"/>
                <w:sz w:val="16"/>
              </w:rPr>
              <w:t>+13.85%</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22,000 FCFA</w:t>
            </w:r>
          </w:p>
        </w:tc>
        <w:tc>
          <w:tcPr>
            <w:tcW w:type="dxa" w:w="1417"/>
            <w:shd w:fill="FFFFFF" w:val="clear"/>
          </w:tcPr>
          <w:p>
            <w:r>
              <w:rPr>
                <w:sz w:val="16"/>
              </w:rPr>
              <w:t>24,423 FCFA</w:t>
            </w:r>
          </w:p>
        </w:tc>
        <w:tc>
          <w:tcPr>
            <w:tcW w:type="dxa" w:w="1134"/>
            <w:shd w:fill="C6EFCE" w:val="clear"/>
          </w:tcPr>
          <w:p>
            <w:r>
              <w:rPr>
                <w:b/>
                <w:color w:val="007800"/>
                <w:sz w:val="16"/>
              </w:rPr>
              <w:t>+11.01%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3,900 FCFA</w:t>
            </w:r>
          </w:p>
        </w:tc>
        <w:tc>
          <w:tcPr>
            <w:tcW w:type="dxa" w:w="1417"/>
            <w:shd w:fill="FFFFFF" w:val="clear"/>
          </w:tcPr>
          <w:p>
            <w:r>
              <w:rPr>
                <w:sz w:val="16"/>
              </w:rPr>
              <w:t>4,105 FCFA</w:t>
            </w:r>
          </w:p>
        </w:tc>
        <w:tc>
          <w:tcPr>
            <w:tcW w:type="dxa" w:w="1134"/>
            <w:shd w:fill="C6EFCE" w:val="clear"/>
          </w:tcPr>
          <w:p>
            <w:r>
              <w:rPr>
                <w:b/>
                <w:color w:val="007800"/>
                <w:sz w:val="16"/>
              </w:rPr>
              <w:t>+5.26%</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(+75.7%) — signal potentiellement excessif, à croiser avec l'analyse technique. Trajectoire : 📈 Hausse continue. Cours actuel : 3,525 FCFA → prédit J+10 : 6,193 FCFA. Confiance partielle — les premiers jours sont fiables, les jours lointains moins précis.</w:t>
      </w:r>
    </w:p>
    <w:p>
      <w:pPr>
        <w:pStyle w:val="ListBullet"/>
      </w:pPr>
      <w:r>
        <w:rPr>
          <w:b/>
          <w:color w:val="006400"/>
          <w:sz w:val="18"/>
        </w:rPr>
        <w:t xml:space="preserve">#2 UNLC </w:t>
      </w:r>
      <w:r>
        <w:rPr>
          <w:sz w:val="17"/>
        </w:rPr>
        <w:t>(UNLC - UNILEVER COTE D'IVOIRE) — hausse significative (+16.3%) — potentiel de revalorisation notable. Trajectoire : 📈 Hausse continue. Cours actuel : 51,000 FCFA → prédit J+10 : 59,302 FCFA. ⚠️ Confiance limitée — volatilité élevée ou données insuffisantes. Résultat indicatif uniquement.</w:t>
      </w:r>
    </w:p>
    <w:p>
      <w:pPr>
        <w:pStyle w:val="ListBullet"/>
      </w:pPr>
      <w:r>
        <w:rPr>
          <w:b/>
          <w:color w:val="006400"/>
          <w:sz w:val="18"/>
        </w:rPr>
        <w:t xml:space="preserve">#3 NSBC </w:t>
      </w:r>
      <w:r>
        <w:rPr>
          <w:sz w:val="17"/>
        </w:rPr>
        <w:t>(NSBC - NSIA BANQUE COTE D'IVOIRE) — hausse significative (+13.9%) — potentiel de revalorisation notable. Trajectoire : 📈 Hausse continue. Cours actuel : 24,885 FCFA → prédit J+10 : 28,332 FCFA. Confiance partielle — les premiers jours sont fiables, les jours lointains moins précis.</w:t>
      </w:r>
    </w:p>
    <w:p>
      <w:pPr>
        <w:pStyle w:val="ListBullet"/>
      </w:pPr>
      <w:r>
        <w:rPr>
          <w:b/>
          <w:color w:val="006400"/>
          <w:sz w:val="18"/>
        </w:rPr>
        <w:t xml:space="preserve">#4 STBC </w:t>
      </w:r>
      <w:r>
        <w:rPr>
          <w:sz w:val="17"/>
        </w:rPr>
        <w:t>(STBC - SITAB COTE D'IVOIRE) — hausse significative (+11.0%) — potentiel de revalorisation notable. Trajectoire : 📈 Hausse continue. Cours actuel : 22,000 FCFA → prédit J+10 : 24,423 FCFA. ⚠️ Confiance limitée — volatilité élevée ou données insuffisantes. Résultat indicatif uniquement.</w:t>
      </w:r>
    </w:p>
    <w:p>
      <w:pPr>
        <w:pStyle w:val="ListBullet"/>
      </w:pPr>
      <w:r>
        <w:rPr>
          <w:b/>
          <w:color w:val="006400"/>
          <w:sz w:val="18"/>
        </w:rPr>
        <w:t xml:space="preserve">#5 LNBB </w:t>
      </w:r>
      <w:r>
        <w:rPr>
          <w:sz w:val="17"/>
        </w:rPr>
        <w:t>(LNBB - LOTERIE NATIONALE DU BENIN) — hausse modérée (+5.3%) — signal raisonnable et crédible. Trajectoire : 📈 Hausse continue. Cours actuel : 3,900 FCFA → prédit J+10 : 4,105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6,035 FCFA</w:t>
            </w:r>
          </w:p>
        </w:tc>
        <w:tc>
          <w:tcPr>
            <w:tcW w:type="dxa" w:w="1417"/>
            <w:shd w:fill="FFFFFF" w:val="clear"/>
          </w:tcPr>
          <w:p>
            <w:r>
              <w:rPr>
                <w:sz w:val="16"/>
              </w:rPr>
              <w:t>2,768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7,080 FCFA</w:t>
            </w:r>
          </w:p>
        </w:tc>
        <w:tc>
          <w:tcPr>
            <w:tcW w:type="dxa" w:w="1417"/>
            <w:shd w:fill="FFFFFF" w:val="clear"/>
          </w:tcPr>
          <w:p>
            <w:r>
              <w:rPr>
                <w:sz w:val="16"/>
              </w:rPr>
              <w:t>3,247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3,500 FCFA</w:t>
            </w:r>
          </w:p>
        </w:tc>
        <w:tc>
          <w:tcPr>
            <w:tcW w:type="dxa" w:w="1417"/>
            <w:shd w:fill="FFFFFF" w:val="clear"/>
          </w:tcPr>
          <w:p>
            <w:r>
              <w:rPr>
                <w:sz w:val="16"/>
              </w:rPr>
              <w:t>1,605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71 FCFA</w:t>
            </w:r>
          </w:p>
        </w:tc>
        <w:tc>
          <w:tcPr>
            <w:tcW w:type="dxa" w:w="1417"/>
            <w:shd w:fill="FFFFFF" w:val="clear"/>
          </w:tcPr>
          <w:p>
            <w:r>
              <w:rPr>
                <w:sz w:val="16"/>
              </w:rPr>
              <w:t>33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2,980 FCFA</w:t>
            </w:r>
          </w:p>
        </w:tc>
        <w:tc>
          <w:tcPr>
            <w:tcW w:type="dxa" w:w="1417"/>
            <w:shd w:fill="FFFFFF" w:val="clear"/>
          </w:tcPr>
          <w:p>
            <w:r>
              <w:rPr>
                <w:sz w:val="16"/>
              </w:rPr>
              <w:t>1,522 FCFA</w:t>
            </w:r>
          </w:p>
        </w:tc>
        <w:tc>
          <w:tcPr>
            <w:tcW w:type="dxa" w:w="1134"/>
            <w:shd w:fill="FFC7CE" w:val="clear"/>
          </w:tcPr>
          <w:p>
            <w:r>
              <w:rPr>
                <w:b/>
                <w:color w:val="B40000"/>
                <w:sz w:val="16"/>
              </w:rPr>
              <w:t>-48.92%</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6,035 FCFA → prédit J+10 : 2,768 FCFA. ⚠️ Confiance limitée — volatilité élevée. Ne pas agir sur ce seul signal.</w:t>
      </w:r>
    </w:p>
    <w:p>
      <w:pPr>
        <w:pStyle w:val="ListBullet"/>
      </w:pPr>
      <w:r>
        <w:rPr>
          <w:b/>
          <w:color w:val="B40000"/>
          <w:sz w:val="18"/>
        </w:rPr>
        <w:t xml:space="preserve">#2 CIEC </w:t>
      </w:r>
      <w:r>
        <w:rPr>
          <w:sz w:val="17"/>
        </w:rPr>
        <w:t>(CIEC - Compagnie Ivoirienne d'Electricit) — baisse très forte (-54.1%) — amplitude potentiellement surestimée par le modèle. Trajectoire : 📉 Baisse continue. Cours actuel : 7,080 FCFA → prédit J+10 : 3,247 FCFA. ⚠️ Confiance limitée — volatilité élevée. Ne pas agir sur ce seul signal.</w:t>
      </w:r>
    </w:p>
    <w:p>
      <w:pPr>
        <w:pStyle w:val="ListBullet"/>
      </w:pPr>
      <w:r>
        <w:rPr>
          <w:b/>
          <w:color w:val="B40000"/>
          <w:sz w:val="18"/>
        </w:rPr>
        <w:t xml:space="preserve">#3 SCRC </w:t>
      </w:r>
      <w:r>
        <w:rPr>
          <w:sz w:val="17"/>
        </w:rPr>
        <w:t>(SCRC - SUCRIVOIRE) — baisse très forte (-54.1%) — amplitude potentiellement surestimée par le modèle. Trajectoire : 📉 Baisse continue. Cours actuel : 3,500 FCFA → prédit J+10 : 1,605 FCFA. ⚠️ Confiance limitée — volatilité élevée. Ne pas agir sur ce seul signal.</w:t>
      </w:r>
    </w:p>
    <w:p>
      <w:pPr>
        <w:pStyle w:val="ListBullet"/>
      </w:pPr>
      <w:r>
        <w:rPr>
          <w:b/>
          <w:color w:val="B40000"/>
          <w:sz w:val="18"/>
        </w:rPr>
        <w:t xml:space="preserve">#4 ETIT </w:t>
      </w:r>
      <w:r>
        <w:rPr>
          <w:sz w:val="17"/>
        </w:rPr>
        <w:t>(ETIT - Ecobank Transnational Incorporate) — baisse très forte (-54.1%) — amplitude potentiellement surestimée par le modèle. Trajectoire : 📉 Baisse continue. Cours actuel : 71 FCFA → prédit J+10 : 33 FCFA. ⚠️ Confiance limitée — volatilité élevée. Ne pas agir sur ce seul signal.</w:t>
      </w:r>
    </w:p>
    <w:p>
      <w:pPr>
        <w:pStyle w:val="ListBullet"/>
      </w:pPr>
      <w:r>
        <w:rPr>
          <w:b/>
          <w:color w:val="B40000"/>
          <w:sz w:val="18"/>
        </w:rPr>
        <w:t xml:space="preserve">#5 NEIC </w:t>
      </w:r>
      <w:r>
        <w:rPr>
          <w:sz w:val="17"/>
        </w:rPr>
        <w:t>(NEIC - NEI-CEDA CI) — baisse très forte (-48.9%) — amplitude potentiellement surestimée par le modèle. Trajectoire : 📉 Baisse continue. Cours actuel : 2,980 FCFA → prédit J+10 : 1,522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3,525</w:t>
            </w:r>
          </w:p>
        </w:tc>
        <w:tc>
          <w:tcPr>
            <w:tcW w:type="dxa" w:w="1417"/>
            <w:shd w:fill="FFFFFF" w:val="clear"/>
          </w:tcPr>
          <w:p>
            <w:r>
              <w:rPr>
                <w:sz w:val="16"/>
              </w:rPr>
              <w:t>6,193</w:t>
            </w:r>
          </w:p>
        </w:tc>
        <w:tc>
          <w:tcPr>
            <w:tcW w:type="dxa" w:w="1134"/>
            <w:shd w:fill="C6EFCE" w:val="clear"/>
          </w:tcPr>
          <w:p>
            <w:r>
              <w:rPr>
                <w:b/>
                <w:color w:val="007800"/>
                <w:sz w:val="16"/>
              </w:rPr>
              <w:t>+75.67%</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59,302</w:t>
            </w:r>
          </w:p>
        </w:tc>
        <w:tc>
          <w:tcPr>
            <w:tcW w:type="dxa" w:w="1134"/>
            <w:shd w:fill="C6EFCE" w:val="clear"/>
          </w:tcPr>
          <w:p>
            <w:r>
              <w:rPr>
                <w:b/>
                <w:color w:val="007800"/>
                <w:sz w:val="16"/>
              </w:rPr>
              <w:t>+16.28%</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24,885</w:t>
            </w:r>
          </w:p>
        </w:tc>
        <w:tc>
          <w:tcPr>
            <w:tcW w:type="dxa" w:w="1417"/>
            <w:shd w:fill="FFFFFF" w:val="clear"/>
          </w:tcPr>
          <w:p>
            <w:r>
              <w:rPr>
                <w:sz w:val="16"/>
              </w:rPr>
              <w:t>28,332</w:t>
            </w:r>
          </w:p>
        </w:tc>
        <w:tc>
          <w:tcPr>
            <w:tcW w:type="dxa" w:w="1134"/>
            <w:shd w:fill="C6EFCE" w:val="clear"/>
          </w:tcPr>
          <w:p>
            <w:r>
              <w:rPr>
                <w:b/>
                <w:color w:val="007800"/>
                <w:sz w:val="16"/>
              </w:rPr>
              <w:t>+13.85%</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22,000</w:t>
            </w:r>
          </w:p>
        </w:tc>
        <w:tc>
          <w:tcPr>
            <w:tcW w:type="dxa" w:w="1417"/>
            <w:shd w:fill="FFFFFF" w:val="clear"/>
          </w:tcPr>
          <w:p>
            <w:r>
              <w:rPr>
                <w:sz w:val="16"/>
              </w:rPr>
              <w:t>24,423</w:t>
            </w:r>
          </w:p>
        </w:tc>
        <w:tc>
          <w:tcPr>
            <w:tcW w:type="dxa" w:w="1134"/>
            <w:shd w:fill="C6EFCE" w:val="clear"/>
          </w:tcPr>
          <w:p>
            <w:r>
              <w:rPr>
                <w:b/>
                <w:color w:val="007800"/>
                <w:sz w:val="16"/>
              </w:rPr>
              <w:t>+11.01%</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3,900</w:t>
            </w:r>
          </w:p>
        </w:tc>
        <w:tc>
          <w:tcPr>
            <w:tcW w:type="dxa" w:w="1417"/>
            <w:shd w:fill="FFFFFF" w:val="clear"/>
          </w:tcPr>
          <w:p>
            <w:r>
              <w:rPr>
                <w:sz w:val="16"/>
              </w:rPr>
              <w:t>4,105</w:t>
            </w:r>
          </w:p>
        </w:tc>
        <w:tc>
          <w:tcPr>
            <w:tcW w:type="dxa" w:w="1134"/>
            <w:shd w:fill="C6EFCE" w:val="clear"/>
          </w:tcPr>
          <w:p>
            <w:r>
              <w:rPr>
                <w:b/>
                <w:color w:val="007800"/>
                <w:sz w:val="16"/>
              </w:rPr>
              <w:t>+5.26%</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2,130</w:t>
            </w:r>
          </w:p>
        </w:tc>
        <w:tc>
          <w:tcPr>
            <w:tcW w:type="dxa" w:w="1417"/>
            <w:shd w:fill="FFFFFF" w:val="clear"/>
          </w:tcPr>
          <w:p>
            <w:r>
              <w:rPr>
                <w:sz w:val="16"/>
              </w:rPr>
              <w:t>2,229</w:t>
            </w:r>
          </w:p>
        </w:tc>
        <w:tc>
          <w:tcPr>
            <w:tcW w:type="dxa" w:w="1134"/>
            <w:shd w:fill="C6EFCE" w:val="clear"/>
          </w:tcPr>
          <w:p>
            <w:r>
              <w:rPr>
                <w:b/>
                <w:color w:val="007800"/>
                <w:sz w:val="16"/>
              </w:rPr>
              <w:t>+4.64%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8,780</w:t>
            </w:r>
          </w:p>
        </w:tc>
        <w:tc>
          <w:tcPr>
            <w:tcW w:type="dxa" w:w="1417"/>
            <w:shd w:fill="FFFFFF" w:val="clear"/>
          </w:tcPr>
          <w:p>
            <w:r>
              <w:rPr>
                <w:sz w:val="16"/>
              </w:rPr>
              <w:t>9,181</w:t>
            </w:r>
          </w:p>
        </w:tc>
        <w:tc>
          <w:tcPr>
            <w:tcW w:type="dxa" w:w="1134"/>
            <w:shd w:fill="C6EFCE" w:val="clear"/>
          </w:tcPr>
          <w:p>
            <w:r>
              <w:rPr>
                <w:b/>
                <w:color w:val="007800"/>
                <w:sz w:val="16"/>
              </w:rPr>
              <w:t>+4.57%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8,140</w:t>
            </w:r>
          </w:p>
        </w:tc>
        <w:tc>
          <w:tcPr>
            <w:tcW w:type="dxa" w:w="1417"/>
            <w:shd w:fill="FFFFFF" w:val="clear"/>
          </w:tcPr>
          <w:p>
            <w:r>
              <w:rPr>
                <w:sz w:val="16"/>
              </w:rPr>
              <w:t>8,502</w:t>
            </w:r>
          </w:p>
        </w:tc>
        <w:tc>
          <w:tcPr>
            <w:tcW w:type="dxa" w:w="1134"/>
            <w:shd w:fill="C6EFCE" w:val="clear"/>
          </w:tcPr>
          <w:p>
            <w:r>
              <w:rPr>
                <w:b/>
                <w:color w:val="007800"/>
                <w:sz w:val="16"/>
              </w:rPr>
              <w:t>+4.45%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37,200</w:t>
            </w:r>
          </w:p>
        </w:tc>
        <w:tc>
          <w:tcPr>
            <w:tcW w:type="dxa" w:w="1417"/>
            <w:shd w:fill="FFFFFF" w:val="clear"/>
          </w:tcPr>
          <w:p>
            <w:r>
              <w:rPr>
                <w:sz w:val="16"/>
              </w:rPr>
              <w:t>36,959</w:t>
            </w:r>
          </w:p>
        </w:tc>
        <w:tc>
          <w:tcPr>
            <w:tcW w:type="dxa" w:w="1134"/>
            <w:shd w:fill="FFEB9C" w:val="clear"/>
          </w:tcPr>
          <w:p>
            <w:r>
              <w:rPr>
                <w:b/>
                <w:color w:val="646400"/>
                <w:sz w:val="16"/>
              </w:rPr>
              <w:t>-0.65%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2,105</w:t>
            </w:r>
          </w:p>
        </w:tc>
        <w:tc>
          <w:tcPr>
            <w:tcW w:type="dxa" w:w="1417"/>
            <w:shd w:fill="FFFFFF" w:val="clear"/>
          </w:tcPr>
          <w:p>
            <w:r>
              <w:rPr>
                <w:sz w:val="16"/>
              </w:rPr>
              <w:t>2,090</w:t>
            </w:r>
          </w:p>
        </w:tc>
        <w:tc>
          <w:tcPr>
            <w:tcW w:type="dxa" w:w="1134"/>
            <w:shd w:fill="FFEB9C" w:val="clear"/>
          </w:tcPr>
          <w:p>
            <w:r>
              <w:rPr>
                <w:b/>
                <w:color w:val="646400"/>
                <w:sz w:val="16"/>
              </w:rPr>
              <w:t>-0.72%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9,265</w:t>
            </w:r>
          </w:p>
        </w:tc>
        <w:tc>
          <w:tcPr>
            <w:tcW w:type="dxa" w:w="1417"/>
            <w:shd w:fill="FFFFFF" w:val="clear"/>
          </w:tcPr>
          <w:p>
            <w:r>
              <w:rPr>
                <w:sz w:val="16"/>
              </w:rPr>
              <w:t>9,165</w:t>
            </w:r>
          </w:p>
        </w:tc>
        <w:tc>
          <w:tcPr>
            <w:tcW w:type="dxa" w:w="1134"/>
            <w:shd w:fill="FFC7CE" w:val="clear"/>
          </w:tcPr>
          <w:p>
            <w:r>
              <w:rPr>
                <w:b/>
                <w:color w:val="B40000"/>
                <w:sz w:val="16"/>
              </w:rPr>
              <w:t>-1.07%</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2,828</w:t>
            </w:r>
          </w:p>
        </w:tc>
        <w:tc>
          <w:tcPr>
            <w:tcW w:type="dxa" w:w="1134"/>
            <w:shd w:fill="FFC7CE" w:val="clear"/>
          </w:tcPr>
          <w:p>
            <w:r>
              <w:rPr>
                <w:b/>
                <w:color w:val="B40000"/>
                <w:sz w:val="16"/>
              </w:rPr>
              <w:t>-1.46%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17,500</w:t>
            </w:r>
          </w:p>
        </w:tc>
        <w:tc>
          <w:tcPr>
            <w:tcW w:type="dxa" w:w="1417"/>
            <w:shd w:fill="FFFFFF" w:val="clear"/>
          </w:tcPr>
          <w:p>
            <w:r>
              <w:rPr>
                <w:sz w:val="16"/>
              </w:rPr>
              <w:t>17,125</w:t>
            </w:r>
          </w:p>
        </w:tc>
        <w:tc>
          <w:tcPr>
            <w:tcW w:type="dxa" w:w="1134"/>
            <w:shd w:fill="FFC7CE" w:val="clear"/>
          </w:tcPr>
          <w:p>
            <w:r>
              <w:rPr>
                <w:b/>
                <w:color w:val="B40000"/>
                <w:sz w:val="16"/>
              </w:rPr>
              <w:t>-2.14%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5,445</w:t>
            </w:r>
          </w:p>
        </w:tc>
        <w:tc>
          <w:tcPr>
            <w:tcW w:type="dxa" w:w="1417"/>
            <w:shd w:fill="FFFFFF" w:val="clear"/>
          </w:tcPr>
          <w:p>
            <w:r>
              <w:rPr>
                <w:sz w:val="16"/>
              </w:rPr>
              <w:t>5,302</w:t>
            </w:r>
          </w:p>
        </w:tc>
        <w:tc>
          <w:tcPr>
            <w:tcW w:type="dxa" w:w="1134"/>
            <w:shd w:fill="FFC7CE" w:val="clear"/>
          </w:tcPr>
          <w:p>
            <w:r>
              <w:rPr>
                <w:b/>
                <w:color w:val="B40000"/>
                <w:sz w:val="16"/>
              </w:rPr>
              <w:t>-2.62%</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3,200</w:t>
            </w:r>
          </w:p>
        </w:tc>
        <w:tc>
          <w:tcPr>
            <w:tcW w:type="dxa" w:w="1417"/>
            <w:shd w:fill="FFFFFF" w:val="clear"/>
          </w:tcPr>
          <w:p>
            <w:r>
              <w:rPr>
                <w:sz w:val="16"/>
              </w:rPr>
              <w:t>3,112</w:t>
            </w:r>
          </w:p>
        </w:tc>
        <w:tc>
          <w:tcPr>
            <w:tcW w:type="dxa" w:w="1134"/>
            <w:shd w:fill="FFC7CE" w:val="clear"/>
          </w:tcPr>
          <w:p>
            <w:r>
              <w:rPr>
                <w:b/>
                <w:color w:val="B40000"/>
                <w:sz w:val="16"/>
              </w:rPr>
              <w:t>-2.75%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38,800</w:t>
            </w:r>
          </w:p>
        </w:tc>
        <w:tc>
          <w:tcPr>
            <w:tcW w:type="dxa" w:w="1417"/>
            <w:shd w:fill="FFFFFF" w:val="clear"/>
          </w:tcPr>
          <w:p>
            <w:r>
              <w:rPr>
                <w:sz w:val="16"/>
              </w:rPr>
              <w:t>37,445</w:t>
            </w:r>
          </w:p>
        </w:tc>
        <w:tc>
          <w:tcPr>
            <w:tcW w:type="dxa" w:w="1134"/>
            <w:shd w:fill="FFC7CE" w:val="clear"/>
          </w:tcPr>
          <w:p>
            <w:r>
              <w:rPr>
                <w:b/>
                <w:color w:val="B40000"/>
                <w:sz w:val="16"/>
              </w:rPr>
              <w:t>-3.49%</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3,400</w:t>
            </w:r>
          </w:p>
        </w:tc>
        <w:tc>
          <w:tcPr>
            <w:tcW w:type="dxa" w:w="1417"/>
            <w:shd w:fill="FFFFFF" w:val="clear"/>
          </w:tcPr>
          <w:p>
            <w:r>
              <w:rPr>
                <w:sz w:val="16"/>
              </w:rPr>
              <w:t>3,270</w:t>
            </w:r>
          </w:p>
        </w:tc>
        <w:tc>
          <w:tcPr>
            <w:tcW w:type="dxa" w:w="1134"/>
            <w:shd w:fill="FFC7CE" w:val="clear"/>
          </w:tcPr>
          <w:p>
            <w:r>
              <w:rPr>
                <w:b/>
                <w:color w:val="B40000"/>
                <w:sz w:val="16"/>
              </w:rPr>
              <w:t>-3.83%</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4,350</w:t>
            </w:r>
          </w:p>
        </w:tc>
        <w:tc>
          <w:tcPr>
            <w:tcW w:type="dxa" w:w="1417"/>
            <w:shd w:fill="FFFFFF" w:val="clear"/>
          </w:tcPr>
          <w:p>
            <w:r>
              <w:rPr>
                <w:sz w:val="16"/>
              </w:rPr>
              <w:t>4,158</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2,340</w:t>
            </w:r>
          </w:p>
        </w:tc>
        <w:tc>
          <w:tcPr>
            <w:tcW w:type="dxa" w:w="1417"/>
            <w:shd w:fill="FFFFFF" w:val="clear"/>
          </w:tcPr>
          <w:p>
            <w:r>
              <w:rPr>
                <w:sz w:val="16"/>
              </w:rPr>
              <w:t>2,231</w:t>
            </w:r>
          </w:p>
        </w:tc>
        <w:tc>
          <w:tcPr>
            <w:tcW w:type="dxa" w:w="1134"/>
            <w:shd w:fill="FFC7CE" w:val="clear"/>
          </w:tcPr>
          <w:p>
            <w:r>
              <w:rPr>
                <w:b/>
                <w:color w:val="B40000"/>
                <w:sz w:val="16"/>
              </w:rPr>
              <w:t>-4.67%</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17,580</w:t>
            </w:r>
          </w:p>
        </w:tc>
        <w:tc>
          <w:tcPr>
            <w:tcW w:type="dxa" w:w="1417"/>
            <w:shd w:fill="FFFFFF" w:val="clear"/>
          </w:tcPr>
          <w:p>
            <w:r>
              <w:rPr>
                <w:sz w:val="16"/>
              </w:rPr>
              <w:t>16,699</w:t>
            </w:r>
          </w:p>
        </w:tc>
        <w:tc>
          <w:tcPr>
            <w:tcW w:type="dxa" w:w="1134"/>
            <w:shd w:fill="FFC7CE" w:val="clear"/>
          </w:tcPr>
          <w:p>
            <w:r>
              <w:rPr>
                <w:b/>
                <w:color w:val="B40000"/>
                <w:sz w:val="16"/>
              </w:rPr>
              <w:t>-5.01%</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38,700</w:t>
            </w:r>
          </w:p>
        </w:tc>
        <w:tc>
          <w:tcPr>
            <w:tcW w:type="dxa" w:w="1417"/>
            <w:shd w:fill="FFFFFF" w:val="clear"/>
          </w:tcPr>
          <w:p>
            <w:r>
              <w:rPr>
                <w:sz w:val="16"/>
              </w:rPr>
              <w:t>36,432</w:t>
            </w:r>
          </w:p>
        </w:tc>
        <w:tc>
          <w:tcPr>
            <w:tcW w:type="dxa" w:w="1134"/>
            <w:shd w:fill="FFC7CE" w:val="clear"/>
          </w:tcPr>
          <w:p>
            <w:r>
              <w:rPr>
                <w:b/>
                <w:color w:val="B40000"/>
                <w:sz w:val="16"/>
              </w:rPr>
              <w:t>-5.86%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18,000</w:t>
            </w:r>
          </w:p>
        </w:tc>
        <w:tc>
          <w:tcPr>
            <w:tcW w:type="dxa" w:w="1417"/>
            <w:shd w:fill="FFFFFF" w:val="clear"/>
          </w:tcPr>
          <w:p>
            <w:r>
              <w:rPr>
                <w:sz w:val="16"/>
              </w:rPr>
              <w:t>16,364</w:t>
            </w:r>
          </w:p>
        </w:tc>
        <w:tc>
          <w:tcPr>
            <w:tcW w:type="dxa" w:w="1134"/>
            <w:shd w:fill="FFC7CE" w:val="clear"/>
          </w:tcPr>
          <w:p>
            <w:r>
              <w:rPr>
                <w:b/>
                <w:color w:val="B40000"/>
                <w:sz w:val="16"/>
              </w:rPr>
              <w:t>-9.09%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21,800</w:t>
            </w:r>
          </w:p>
        </w:tc>
        <w:tc>
          <w:tcPr>
            <w:tcW w:type="dxa" w:w="1417"/>
            <w:shd w:fill="FFFFFF" w:val="clear"/>
          </w:tcPr>
          <w:p>
            <w:r>
              <w:rPr>
                <w:sz w:val="16"/>
              </w:rPr>
              <w:t>19,750</w:t>
            </w:r>
          </w:p>
        </w:tc>
        <w:tc>
          <w:tcPr>
            <w:tcW w:type="dxa" w:w="1134"/>
            <w:shd w:fill="FFC7CE" w:val="clear"/>
          </w:tcPr>
          <w:p>
            <w:r>
              <w:rPr>
                <w:b/>
                <w:color w:val="B40000"/>
                <w:sz w:val="16"/>
              </w:rPr>
              <w:t>-9.40%</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1,565</w:t>
            </w:r>
          </w:p>
        </w:tc>
        <w:tc>
          <w:tcPr>
            <w:tcW w:type="dxa" w:w="1417"/>
            <w:shd w:fill="FFFFFF" w:val="clear"/>
          </w:tcPr>
          <w:p>
            <w:r>
              <w:rPr>
                <w:sz w:val="16"/>
              </w:rPr>
              <w:t>1,380</w:t>
            </w:r>
          </w:p>
        </w:tc>
        <w:tc>
          <w:tcPr>
            <w:tcW w:type="dxa" w:w="1134"/>
            <w:shd w:fill="FFC7CE" w:val="clear"/>
          </w:tcPr>
          <w:p>
            <w:r>
              <w:rPr>
                <w:b/>
                <w:color w:val="B40000"/>
                <w:sz w:val="16"/>
              </w:rPr>
              <w:t>-11.84%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3,110</w:t>
            </w:r>
          </w:p>
        </w:tc>
        <w:tc>
          <w:tcPr>
            <w:tcW w:type="dxa" w:w="1417"/>
            <w:shd w:fill="FFFFFF" w:val="clear"/>
          </w:tcPr>
          <w:p>
            <w:r>
              <w:rPr>
                <w:sz w:val="16"/>
              </w:rPr>
              <w:t>2,740</w:t>
            </w:r>
          </w:p>
        </w:tc>
        <w:tc>
          <w:tcPr>
            <w:tcW w:type="dxa" w:w="1134"/>
            <w:shd w:fill="FFC7CE" w:val="clear"/>
          </w:tcPr>
          <w:p>
            <w:r>
              <w:rPr>
                <w:b/>
                <w:color w:val="B40000"/>
                <w:sz w:val="16"/>
              </w:rPr>
              <w:t>-11.88%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3,276</w:t>
            </w:r>
          </w:p>
        </w:tc>
        <w:tc>
          <w:tcPr>
            <w:tcW w:type="dxa" w:w="1134"/>
            <w:shd w:fill="FFC7CE" w:val="clear"/>
          </w:tcPr>
          <w:p>
            <w:r>
              <w:rPr>
                <w:b/>
                <w:color w:val="B40000"/>
                <w:sz w:val="16"/>
              </w:rPr>
              <w:t>-13.79%</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1,485</w:t>
            </w:r>
          </w:p>
        </w:tc>
        <w:tc>
          <w:tcPr>
            <w:tcW w:type="dxa" w:w="1134"/>
            <w:shd w:fill="FFC7CE" w:val="clear"/>
          </w:tcPr>
          <w:p>
            <w:r>
              <w:rPr>
                <w:b/>
                <w:color w:val="B40000"/>
                <w:sz w:val="16"/>
              </w:rPr>
              <w:t>-14.63%</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8,265</w:t>
            </w:r>
          </w:p>
        </w:tc>
        <w:tc>
          <w:tcPr>
            <w:tcW w:type="dxa" w:w="1417"/>
            <w:shd w:fill="FFFFFF" w:val="clear"/>
          </w:tcPr>
          <w:p>
            <w:r>
              <w:rPr>
                <w:sz w:val="16"/>
              </w:rPr>
              <w:t>7,010</w:t>
            </w:r>
          </w:p>
        </w:tc>
        <w:tc>
          <w:tcPr>
            <w:tcW w:type="dxa" w:w="1134"/>
            <w:shd w:fill="FFC7CE" w:val="clear"/>
          </w:tcPr>
          <w:p>
            <w:r>
              <w:rPr>
                <w:b/>
                <w:color w:val="B40000"/>
                <w:sz w:val="16"/>
              </w:rPr>
              <w:t>-15.18%</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33,785</w:t>
            </w:r>
          </w:p>
        </w:tc>
        <w:tc>
          <w:tcPr>
            <w:tcW w:type="dxa" w:w="1417"/>
            <w:shd w:fill="FFFFFF" w:val="clear"/>
          </w:tcPr>
          <w:p>
            <w:r>
              <w:rPr>
                <w:sz w:val="16"/>
              </w:rPr>
              <w:t>28,416</w:t>
            </w:r>
          </w:p>
        </w:tc>
        <w:tc>
          <w:tcPr>
            <w:tcW w:type="dxa" w:w="1134"/>
            <w:shd w:fill="FFC7CE" w:val="clear"/>
          </w:tcPr>
          <w:p>
            <w:r>
              <w:rPr>
                <w:b/>
                <w:color w:val="B40000"/>
                <w:sz w:val="16"/>
              </w:rPr>
              <w:t>-15.89%</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13,710</w:t>
            </w:r>
          </w:p>
        </w:tc>
        <w:tc>
          <w:tcPr>
            <w:tcW w:type="dxa" w:w="1417"/>
            <w:shd w:fill="FFFFFF" w:val="clear"/>
          </w:tcPr>
          <w:p>
            <w:r>
              <w:rPr>
                <w:sz w:val="16"/>
              </w:rPr>
              <w:t>11,465</w:t>
            </w:r>
          </w:p>
        </w:tc>
        <w:tc>
          <w:tcPr>
            <w:tcW w:type="dxa" w:w="1134"/>
            <w:shd w:fill="FFC7CE" w:val="clear"/>
          </w:tcPr>
          <w:p>
            <w:r>
              <w:rPr>
                <w:b/>
                <w:color w:val="B40000"/>
                <w:sz w:val="16"/>
              </w:rPr>
              <w:t>-16.37%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8,900</w:t>
            </w:r>
          </w:p>
        </w:tc>
        <w:tc>
          <w:tcPr>
            <w:tcW w:type="dxa" w:w="1417"/>
            <w:shd w:fill="FFFFFF" w:val="clear"/>
          </w:tcPr>
          <w:p>
            <w:r>
              <w:rPr>
                <w:sz w:val="16"/>
              </w:rPr>
              <w:t>7,411</w:t>
            </w:r>
          </w:p>
        </w:tc>
        <w:tc>
          <w:tcPr>
            <w:tcW w:type="dxa" w:w="1134"/>
            <w:shd w:fill="FFC7CE" w:val="clear"/>
          </w:tcPr>
          <w:p>
            <w:r>
              <w:rPr>
                <w:b/>
                <w:color w:val="B40000"/>
                <w:sz w:val="16"/>
              </w:rPr>
              <w:t>-16.74%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6,870</w:t>
            </w:r>
          </w:p>
        </w:tc>
        <w:tc>
          <w:tcPr>
            <w:tcW w:type="dxa" w:w="1417"/>
            <w:shd w:fill="FFFFFF" w:val="clear"/>
          </w:tcPr>
          <w:p>
            <w:r>
              <w:rPr>
                <w:sz w:val="16"/>
              </w:rPr>
              <w:t>5,681</w:t>
            </w:r>
          </w:p>
        </w:tc>
        <w:tc>
          <w:tcPr>
            <w:tcW w:type="dxa" w:w="1134"/>
            <w:shd w:fill="FFC7CE" w:val="clear"/>
          </w:tcPr>
          <w:p>
            <w:r>
              <w:rPr>
                <w:b/>
                <w:color w:val="B40000"/>
                <w:sz w:val="16"/>
              </w:rPr>
              <w:t>-17.31%</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8,500</w:t>
            </w:r>
          </w:p>
        </w:tc>
        <w:tc>
          <w:tcPr>
            <w:tcW w:type="dxa" w:w="1417"/>
            <w:shd w:fill="FFFFFF" w:val="clear"/>
          </w:tcPr>
          <w:p>
            <w:r>
              <w:rPr>
                <w:sz w:val="16"/>
              </w:rPr>
              <w:t>7,020</w:t>
            </w:r>
          </w:p>
        </w:tc>
        <w:tc>
          <w:tcPr>
            <w:tcW w:type="dxa" w:w="1134"/>
            <w:shd w:fill="FFC7CE" w:val="clear"/>
          </w:tcPr>
          <w:p>
            <w:r>
              <w:rPr>
                <w:b/>
                <w:color w:val="B40000"/>
                <w:sz w:val="16"/>
              </w:rPr>
              <w:t>-17.41%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10,240</w:t>
            </w:r>
          </w:p>
        </w:tc>
        <w:tc>
          <w:tcPr>
            <w:tcW w:type="dxa" w:w="1417"/>
            <w:shd w:fill="FFFFFF" w:val="clear"/>
          </w:tcPr>
          <w:p>
            <w:r>
              <w:rPr>
                <w:sz w:val="16"/>
              </w:rPr>
              <w:t>8,453</w:t>
            </w:r>
          </w:p>
        </w:tc>
        <w:tc>
          <w:tcPr>
            <w:tcW w:type="dxa" w:w="1134"/>
            <w:shd w:fill="FFC7CE" w:val="clear"/>
          </w:tcPr>
          <w:p>
            <w:r>
              <w:rPr>
                <w:b/>
                <w:color w:val="B40000"/>
                <w:sz w:val="16"/>
              </w:rPr>
              <w:t>-17.45%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3,975</w:t>
            </w:r>
          </w:p>
        </w:tc>
        <w:tc>
          <w:tcPr>
            <w:tcW w:type="dxa" w:w="1417"/>
            <w:shd w:fill="FFFFFF" w:val="clear"/>
          </w:tcPr>
          <w:p>
            <w:r>
              <w:rPr>
                <w:sz w:val="16"/>
              </w:rPr>
              <w:t>3,225</w:t>
            </w:r>
          </w:p>
        </w:tc>
        <w:tc>
          <w:tcPr>
            <w:tcW w:type="dxa" w:w="1134"/>
            <w:shd w:fill="FFC7CE" w:val="clear"/>
          </w:tcPr>
          <w:p>
            <w:r>
              <w:rPr>
                <w:b/>
                <w:color w:val="B40000"/>
                <w:sz w:val="16"/>
              </w:rPr>
              <w:t>-18.87%</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7,182</w:t>
            </w:r>
          </w:p>
        </w:tc>
        <w:tc>
          <w:tcPr>
            <w:tcW w:type="dxa" w:w="1134"/>
            <w:shd w:fill="FFC7CE" w:val="clear"/>
          </w:tcPr>
          <w:p>
            <w:r>
              <w:rPr>
                <w:b/>
                <w:color w:val="B40000"/>
                <w:sz w:val="16"/>
              </w:rPr>
              <w:t>-21.07%</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2,395</w:t>
            </w:r>
          </w:p>
        </w:tc>
        <w:tc>
          <w:tcPr>
            <w:tcW w:type="dxa" w:w="1417"/>
            <w:shd w:fill="FFFFFF" w:val="clear"/>
          </w:tcPr>
          <w:p>
            <w:r>
              <w:rPr>
                <w:sz w:val="16"/>
              </w:rPr>
              <w:t>1,833</w:t>
            </w:r>
          </w:p>
        </w:tc>
        <w:tc>
          <w:tcPr>
            <w:tcW w:type="dxa" w:w="1134"/>
            <w:shd w:fill="FFC7CE" w:val="clear"/>
          </w:tcPr>
          <w:p>
            <w:r>
              <w:rPr>
                <w:b/>
                <w:color w:val="B40000"/>
                <w:sz w:val="16"/>
              </w:rPr>
              <w:t>-23.46%</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12,495</w:t>
            </w:r>
          </w:p>
        </w:tc>
        <w:tc>
          <w:tcPr>
            <w:tcW w:type="dxa" w:w="1417"/>
            <w:shd w:fill="FFFFFF" w:val="clear"/>
          </w:tcPr>
          <w:p>
            <w:r>
              <w:rPr>
                <w:sz w:val="16"/>
              </w:rPr>
              <w:t>8,765</w:t>
            </w:r>
          </w:p>
        </w:tc>
        <w:tc>
          <w:tcPr>
            <w:tcW w:type="dxa" w:w="1134"/>
            <w:shd w:fill="FFC7CE" w:val="clear"/>
          </w:tcPr>
          <w:p>
            <w:r>
              <w:rPr>
                <w:b/>
                <w:color w:val="B40000"/>
                <w:sz w:val="16"/>
              </w:rPr>
              <w:t>-29.86%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2,480</w:t>
            </w:r>
          </w:p>
        </w:tc>
        <w:tc>
          <w:tcPr>
            <w:tcW w:type="dxa" w:w="1417"/>
            <w:shd w:fill="FFFFFF" w:val="clear"/>
          </w:tcPr>
          <w:p>
            <w:r>
              <w:rPr>
                <w:sz w:val="16"/>
              </w:rPr>
              <w:t>1,709</w:t>
            </w:r>
          </w:p>
        </w:tc>
        <w:tc>
          <w:tcPr>
            <w:tcW w:type="dxa" w:w="1134"/>
            <w:shd w:fill="FFC7CE" w:val="clear"/>
          </w:tcPr>
          <w:p>
            <w:r>
              <w:rPr>
                <w:b/>
                <w:color w:val="B40000"/>
                <w:sz w:val="16"/>
              </w:rPr>
              <w:t>-31.10%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2,540</w:t>
            </w:r>
          </w:p>
        </w:tc>
        <w:tc>
          <w:tcPr>
            <w:tcW w:type="dxa" w:w="1417"/>
            <w:shd w:fill="FFFFFF" w:val="clear"/>
          </w:tcPr>
          <w:p>
            <w:r>
              <w:rPr>
                <w:sz w:val="16"/>
              </w:rPr>
              <w:t>1,576</w:t>
            </w:r>
          </w:p>
        </w:tc>
        <w:tc>
          <w:tcPr>
            <w:tcW w:type="dxa" w:w="1134"/>
            <w:shd w:fill="FFC7CE" w:val="clear"/>
          </w:tcPr>
          <w:p>
            <w:r>
              <w:rPr>
                <w:b/>
                <w:color w:val="B40000"/>
                <w:sz w:val="16"/>
              </w:rPr>
              <w:t>-37.96%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33,300</w:t>
            </w:r>
          </w:p>
        </w:tc>
        <w:tc>
          <w:tcPr>
            <w:tcW w:type="dxa" w:w="1417"/>
            <w:shd w:fill="FFFFFF" w:val="clear"/>
          </w:tcPr>
          <w:p>
            <w:r>
              <w:rPr>
                <w:sz w:val="16"/>
              </w:rPr>
              <w:t>17,788</w:t>
            </w:r>
          </w:p>
        </w:tc>
        <w:tc>
          <w:tcPr>
            <w:tcW w:type="dxa" w:w="1134"/>
            <w:shd w:fill="FFC7CE" w:val="clear"/>
          </w:tcPr>
          <w:p>
            <w:r>
              <w:rPr>
                <w:b/>
                <w:color w:val="B40000"/>
                <w:sz w:val="16"/>
              </w:rPr>
              <w:t>-46.58%</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10,790</w:t>
            </w:r>
          </w:p>
        </w:tc>
        <w:tc>
          <w:tcPr>
            <w:tcW w:type="dxa" w:w="1417"/>
            <w:shd w:fill="FFFFFF" w:val="clear"/>
          </w:tcPr>
          <w:p>
            <w:r>
              <w:rPr>
                <w:sz w:val="16"/>
              </w:rPr>
              <w:t>5,663</w:t>
            </w:r>
          </w:p>
        </w:tc>
        <w:tc>
          <w:tcPr>
            <w:tcW w:type="dxa" w:w="1134"/>
            <w:shd w:fill="FFC7CE" w:val="clear"/>
          </w:tcPr>
          <w:p>
            <w:r>
              <w:rPr>
                <w:b/>
                <w:color w:val="B40000"/>
                <w:sz w:val="16"/>
              </w:rPr>
              <w:t>-47.52%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2,980</w:t>
            </w:r>
          </w:p>
        </w:tc>
        <w:tc>
          <w:tcPr>
            <w:tcW w:type="dxa" w:w="1417"/>
            <w:shd w:fill="FFFFFF" w:val="clear"/>
          </w:tcPr>
          <w:p>
            <w:r>
              <w:rPr>
                <w:sz w:val="16"/>
              </w:rPr>
              <w:t>1,522</w:t>
            </w:r>
          </w:p>
        </w:tc>
        <w:tc>
          <w:tcPr>
            <w:tcW w:type="dxa" w:w="1134"/>
            <w:shd w:fill="FFC7CE" w:val="clear"/>
          </w:tcPr>
          <w:p>
            <w:r>
              <w:rPr>
                <w:b/>
                <w:color w:val="B40000"/>
                <w:sz w:val="16"/>
              </w:rPr>
              <w:t>-48.92%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33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3,500</w:t>
            </w:r>
          </w:p>
        </w:tc>
        <w:tc>
          <w:tcPr>
            <w:tcW w:type="dxa" w:w="1417"/>
            <w:shd w:fill="FFFFFF" w:val="clear"/>
          </w:tcPr>
          <w:p>
            <w:r>
              <w:rPr>
                <w:sz w:val="16"/>
              </w:rPr>
              <w:t>1,605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7,080</w:t>
            </w:r>
          </w:p>
        </w:tc>
        <w:tc>
          <w:tcPr>
            <w:tcW w:type="dxa" w:w="1417"/>
            <w:shd w:fill="FFFFFF" w:val="clear"/>
          </w:tcPr>
          <w:p>
            <w:r>
              <w:rPr>
                <w:sz w:val="16"/>
              </w:rPr>
              <w:t>3,247</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6,035</w:t>
            </w:r>
          </w:p>
        </w:tc>
        <w:tc>
          <w:tcPr>
            <w:tcW w:type="dxa" w:w="1417"/>
            <w:shd w:fill="FFFFFF" w:val="clear"/>
          </w:tcPr>
          <w:p>
            <w:r>
              <w:rPr>
                <w:sz w:val="16"/>
              </w:rPr>
              <w:t>2,768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43.38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3,413 titres</w:t>
            </w:r>
          </w:p>
        </w:tc>
        <w:tc>
          <w:tcPr>
            <w:tcW w:type="dxa" w:w="2268"/>
            <w:shd w:fill="FFF2CC" w:val="clear"/>
          </w:tcPr>
          <w:p>
            <w:r>
              <w:rPr>
                <w:b/>
                <w:color w:val="503200"/>
                <w:sz w:val="16"/>
              </w:rPr>
              <w:t xml:space="preserve">Cours actuel : </w:t>
            </w:r>
            <w:r>
              <w:rPr>
                <w:color w:val="000000"/>
                <w:sz w:val="17"/>
              </w:rPr>
              <w:t>3,975 FCFA</w:t>
            </w:r>
          </w:p>
          <w:p>
            <w:r>
              <w:rPr>
                <w:b/>
                <w:color w:val="503200"/>
                <w:sz w:val="16"/>
              </w:rPr>
              <w:t xml:space="preserve">Var. 100 jours : </w:t>
            </w:r>
            <w:r>
              <w:rPr>
                <w:b/>
                <w:color w:val="007800"/>
                <w:sz w:val="17"/>
              </w:rPr>
              <w:t>+14.39%</w:t>
            </w:r>
          </w:p>
          <w:p>
            <w:r>
              <w:rPr>
                <w:b/>
                <w:color w:val="503200"/>
                <w:sz w:val="16"/>
              </w:rPr>
              <w:t xml:space="preserve">Plus haut 100j : </w:t>
            </w:r>
            <w:r>
              <w:rPr>
                <w:color w:val="000000"/>
                <w:sz w:val="17"/>
              </w:rPr>
              <w:t>3,975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8.46% (Moyenne) — μ=3,232 FCFA, σ=273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β=0.3740 (Défensif) — Cov=0.000014, Var(idx)=0.000037, ρ=0.073,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3,658</w:t>
            </w:r>
          </w:p>
        </w:tc>
        <w:tc>
          <w:tcPr>
            <w:tcW w:type="dxa" w:w="1440"/>
            <w:shd w:fill="FFDCE0" w:val="clear"/>
          </w:tcPr>
          <w:p>
            <w:r>
              <w:rPr>
                <w:b/>
                <w:sz w:val="17"/>
              </w:rPr>
              <w:t>3,834</w:t>
            </w:r>
          </w:p>
        </w:tc>
        <w:tc>
          <w:tcPr>
            <w:tcW w:type="dxa" w:w="1440"/>
            <w:shd w:fill="FFDCE0" w:val="clear"/>
          </w:tcPr>
          <w:p>
            <w:r>
              <w:rPr>
                <w:sz w:val="17"/>
              </w:rPr>
              <w:t>4,011</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3,502</w:t>
            </w:r>
          </w:p>
        </w:tc>
        <w:tc>
          <w:tcPr>
            <w:tcW w:type="dxa" w:w="1440"/>
            <w:shd w:fill="FFDCE0" w:val="clear"/>
          </w:tcPr>
          <w:p>
            <w:r>
              <w:rPr>
                <w:b/>
                <w:sz w:val="17"/>
              </w:rPr>
              <w:t>3,746</w:t>
            </w:r>
          </w:p>
        </w:tc>
        <w:tc>
          <w:tcPr>
            <w:tcW w:type="dxa" w:w="1440"/>
            <w:shd w:fill="FFDCE0" w:val="clear"/>
          </w:tcPr>
          <w:p>
            <w:r>
              <w:rPr>
                <w:sz w:val="17"/>
              </w:rPr>
              <w:t>3,989</w:t>
            </w:r>
          </w:p>
        </w:tc>
        <w:tc>
          <w:tcPr>
            <w:tcW w:type="dxa" w:w="1440"/>
            <w:shd w:fill="FFDCE0" w:val="clear"/>
          </w:tcPr>
          <w:p>
            <w:r>
              <w:rPr>
                <w:b/>
                <w:color w:val="C00000"/>
                <w:sz w:val="17"/>
              </w:rPr>
              <w:t>-5.8%</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3,361</w:t>
            </w:r>
          </w:p>
        </w:tc>
        <w:tc>
          <w:tcPr>
            <w:tcW w:type="dxa" w:w="1440"/>
            <w:shd w:fill="FFDCE0" w:val="clear"/>
          </w:tcPr>
          <w:p>
            <w:r>
              <w:rPr>
                <w:b/>
                <w:sz w:val="17"/>
              </w:rPr>
              <w:t>3,652</w:t>
            </w:r>
          </w:p>
        </w:tc>
        <w:tc>
          <w:tcPr>
            <w:tcW w:type="dxa" w:w="1440"/>
            <w:shd w:fill="FFDCE0" w:val="clear"/>
          </w:tcPr>
          <w:p>
            <w:r>
              <w:rPr>
                <w:sz w:val="17"/>
              </w:rPr>
              <w:t>3,942</w:t>
            </w:r>
          </w:p>
        </w:tc>
        <w:tc>
          <w:tcPr>
            <w:tcW w:type="dxa" w:w="1440"/>
            <w:shd w:fill="FFDCE0" w:val="clear"/>
          </w:tcPr>
          <w:p>
            <w:r>
              <w:rPr>
                <w:b/>
                <w:color w:val="C00000"/>
                <w:sz w:val="17"/>
              </w:rPr>
              <w:t>-8.1%</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3,244</w:t>
            </w:r>
          </w:p>
        </w:tc>
        <w:tc>
          <w:tcPr>
            <w:tcW w:type="dxa" w:w="1440"/>
            <w:shd w:fill="FFDCE0" w:val="clear"/>
          </w:tcPr>
          <w:p>
            <w:r>
              <w:rPr>
                <w:b/>
                <w:sz w:val="17"/>
              </w:rPr>
              <w:t>3,572</w:t>
            </w:r>
          </w:p>
        </w:tc>
        <w:tc>
          <w:tcPr>
            <w:tcW w:type="dxa" w:w="1440"/>
            <w:shd w:fill="FFDCE0" w:val="clear"/>
          </w:tcPr>
          <w:p>
            <w:r>
              <w:rPr>
                <w:sz w:val="17"/>
              </w:rPr>
              <w:t>3,900</w:t>
            </w:r>
          </w:p>
        </w:tc>
        <w:tc>
          <w:tcPr>
            <w:tcW w:type="dxa" w:w="1440"/>
            <w:shd w:fill="FFDCE0" w:val="clear"/>
          </w:tcPr>
          <w:p>
            <w:r>
              <w:rPr>
                <w:b/>
                <w:color w:val="C00000"/>
                <w:sz w:val="17"/>
              </w:rPr>
              <w:t>-10.1%</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3,142</w:t>
            </w:r>
          </w:p>
        </w:tc>
        <w:tc>
          <w:tcPr>
            <w:tcW w:type="dxa" w:w="1440"/>
            <w:shd w:fill="FFDCE0" w:val="clear"/>
          </w:tcPr>
          <w:p>
            <w:r>
              <w:rPr>
                <w:b/>
                <w:sz w:val="17"/>
              </w:rPr>
              <w:t>3,502</w:t>
            </w:r>
          </w:p>
        </w:tc>
        <w:tc>
          <w:tcPr>
            <w:tcW w:type="dxa" w:w="1440"/>
            <w:shd w:fill="FFDCE0" w:val="clear"/>
          </w:tcPr>
          <w:p>
            <w:r>
              <w:rPr>
                <w:sz w:val="17"/>
              </w:rPr>
              <w:t>3,862</w:t>
            </w:r>
          </w:p>
        </w:tc>
        <w:tc>
          <w:tcPr>
            <w:tcW w:type="dxa" w:w="1440"/>
            <w:shd w:fill="FFDCE0" w:val="clear"/>
          </w:tcPr>
          <w:p>
            <w:r>
              <w:rPr>
                <w:b/>
                <w:color w:val="C00000"/>
                <w:sz w:val="17"/>
              </w:rPr>
              <w:t>-11.9%</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3,052</w:t>
            </w:r>
          </w:p>
        </w:tc>
        <w:tc>
          <w:tcPr>
            <w:tcW w:type="dxa" w:w="1440"/>
            <w:shd w:fill="FFDCE0" w:val="clear"/>
          </w:tcPr>
          <w:p>
            <w:r>
              <w:rPr>
                <w:b/>
                <w:sz w:val="17"/>
              </w:rPr>
              <w:t>3,439</w:t>
            </w:r>
          </w:p>
        </w:tc>
        <w:tc>
          <w:tcPr>
            <w:tcW w:type="dxa" w:w="1440"/>
            <w:shd w:fill="FFDCE0" w:val="clear"/>
          </w:tcPr>
          <w:p>
            <w:r>
              <w:rPr>
                <w:sz w:val="17"/>
              </w:rPr>
              <w:t>3,826</w:t>
            </w:r>
          </w:p>
        </w:tc>
        <w:tc>
          <w:tcPr>
            <w:tcW w:type="dxa" w:w="1440"/>
            <w:shd w:fill="FFDCE0" w:val="clear"/>
          </w:tcPr>
          <w:p>
            <w:r>
              <w:rPr>
                <w:b/>
                <w:color w:val="C00000"/>
                <w:sz w:val="17"/>
              </w:rPr>
              <w:t>-13.5%</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2,969</w:t>
            </w:r>
          </w:p>
        </w:tc>
        <w:tc>
          <w:tcPr>
            <w:tcW w:type="dxa" w:w="1440"/>
            <w:shd w:fill="FFDCE0" w:val="clear"/>
          </w:tcPr>
          <w:p>
            <w:r>
              <w:rPr>
                <w:b/>
                <w:sz w:val="17"/>
              </w:rPr>
              <w:t>3,380</w:t>
            </w:r>
          </w:p>
        </w:tc>
        <w:tc>
          <w:tcPr>
            <w:tcW w:type="dxa" w:w="1440"/>
            <w:shd w:fill="FFDCE0" w:val="clear"/>
          </w:tcPr>
          <w:p>
            <w:r>
              <w:rPr>
                <w:sz w:val="17"/>
              </w:rPr>
              <w:t>3,791</w:t>
            </w:r>
          </w:p>
        </w:tc>
        <w:tc>
          <w:tcPr>
            <w:tcW w:type="dxa" w:w="1440"/>
            <w:shd w:fill="FFDCE0" w:val="clear"/>
          </w:tcPr>
          <w:p>
            <w:r>
              <w:rPr>
                <w:b/>
                <w:color w:val="C00000"/>
                <w:sz w:val="17"/>
              </w:rPr>
              <w:t>-15.0%</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2,893</w:t>
            </w:r>
          </w:p>
        </w:tc>
        <w:tc>
          <w:tcPr>
            <w:tcW w:type="dxa" w:w="1440"/>
            <w:shd w:fill="FFDCE0" w:val="clear"/>
          </w:tcPr>
          <w:p>
            <w:r>
              <w:rPr>
                <w:b/>
                <w:sz w:val="17"/>
              </w:rPr>
              <w:t>3,325</w:t>
            </w:r>
          </w:p>
        </w:tc>
        <w:tc>
          <w:tcPr>
            <w:tcW w:type="dxa" w:w="1440"/>
            <w:shd w:fill="FFDCE0" w:val="clear"/>
          </w:tcPr>
          <w:p>
            <w:r>
              <w:rPr>
                <w:sz w:val="17"/>
              </w:rPr>
              <w:t>3,757</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2,822</w:t>
            </w:r>
          </w:p>
        </w:tc>
        <w:tc>
          <w:tcPr>
            <w:tcW w:type="dxa" w:w="1440"/>
            <w:shd w:fill="FFDCE0" w:val="clear"/>
          </w:tcPr>
          <w:p>
            <w:r>
              <w:rPr>
                <w:b/>
                <w:sz w:val="17"/>
              </w:rPr>
              <w:t>3,274</w:t>
            </w:r>
          </w:p>
        </w:tc>
        <w:tc>
          <w:tcPr>
            <w:tcW w:type="dxa" w:w="1440"/>
            <w:shd w:fill="FFDCE0" w:val="clear"/>
          </w:tcPr>
          <w:p>
            <w:r>
              <w:rPr>
                <w:sz w:val="17"/>
              </w:rPr>
              <w:t>3,725</w:t>
            </w:r>
          </w:p>
        </w:tc>
        <w:tc>
          <w:tcPr>
            <w:tcW w:type="dxa" w:w="1440"/>
            <w:shd w:fill="FFDCE0" w:val="clear"/>
          </w:tcPr>
          <w:p>
            <w:r>
              <w:rPr>
                <w:b/>
                <w:color w:val="C00000"/>
                <w:sz w:val="17"/>
              </w:rPr>
              <w:t>-17.6%</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2,756</w:t>
            </w:r>
          </w:p>
        </w:tc>
        <w:tc>
          <w:tcPr>
            <w:tcW w:type="dxa" w:w="1440"/>
            <w:shd w:fill="FFDCE0" w:val="clear"/>
          </w:tcPr>
          <w:p>
            <w:r>
              <w:rPr>
                <w:b/>
                <w:sz w:val="17"/>
              </w:rPr>
              <w:t>3,225</w:t>
            </w:r>
          </w:p>
        </w:tc>
        <w:tc>
          <w:tcPr>
            <w:tcW w:type="dxa" w:w="1440"/>
            <w:shd w:fill="FFDCE0" w:val="clear"/>
          </w:tcPr>
          <w:p>
            <w:r>
              <w:rPr>
                <w:sz w:val="17"/>
              </w:rPr>
              <w:t>3,694</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43,38 milliards FCFA, un niveau significatif qui la positionne comme une valeur de taille moyenne sur la BRVM. Avec un BPA de 124 FCFA, le titre se paie actuellement 32,1 fois ses bénéfices (PER), un niveau extrêmement élevé comparé à la moyenne historique du marché (~8-12x). Cette décote reflète soit des attentes de croissance très fortes, soit une surévaluation manifeste. Le P/B de 8,41x confirme cette tendance, le marché valorisant l'action plus de 8 fois sa valeur comptable, ce qui est exigeant. Enfin, l'EV/EBITDA de 16,6x, bien que supérieur au seuil de 15x, indique que la valeur totale de l'entreprise (dette incluse) reste élevée par rapport à sa capacité opérationnelle, renforçant l'idée d'une valorisation qui anticipe une performance future solide.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 enregistré une progression impressionnante de +14,39%, avec une dernière séance en hausse de +1,92% pour clôturer à 3 975 FCFA. Le titre a évolué dans une fourchette large, oscillant entre un plus bas de 2 800 FCFA et un plus haut de 3 975 FCFA, démontrant une dynamique haussière soutenue. La moyenne du cours sur la période (3 232 FCFA) est inférieure à la médiane (3 182 FCFA), et le skewness positif de 0,738 indique une distribution asymétrique avec des jours de gains plus marqués que les pertes. L'écart-type de 275 FCFA (CV=8,5%) suggère une dispersion modérée autour de la moyenne, tandis que le kurtosis proche de zéro (0,059) indique une distribution mésokurtique, sans risque de pics extrêmes. Cependant, la volatilité annualisée de 49,3% classe le titre comme très volatil, un niveau élevé qui implique des fluctuations de prix importantes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3 975 FCFA se situe nettement au-dessus de la MM20 (3 520 FCFA) et de la MM50 (3 269,6 FCFA), confirmant une tendance haussière solide. La configuration des MM, avec le prix au-dessus des deux moyennes, génère un signal d'achat, indiquant que la dynamique positive est intacte à court et moyen terme.</w:t>
      </w:r>
    </w:p>
    <w:p>
      <w:pPr>
        <w:spacing w:after="120" w:line="276" w:lineRule="auto"/>
      </w:pPr>
      <w:r>
        <w:t>**Bandes de Bollinger** : Le prix évolue dans la partie supérieure des bandes, se rapprochant de la borne haute à 4 127,67 FCFA. La largeur des bandes (bornes entre 2 912 et 4 127 FCFA) reflète une volatilité accrue. La décision est neutre, car le titre n'a pas encore touché la borne supérieure, mais la pression acheteuse reste forte.</w:t>
      </w:r>
    </w:p>
    <w:p>
      <w:pPr>
        <w:spacing w:after="120" w:line="276" w:lineRule="auto"/>
      </w:pPr>
      <w:r>
        <w:t>**MACD** : Le MACD (209,15) est nettement supérieur à son signal (163,29), avec un écart positif croissant. Cette configuration haussière confirme un momentum positif fort, justifiant la décision d'achat. La dynamique actuelle suggère que la tendance haussière pourrait se poursuivre à court terme.</w:t>
      </w:r>
    </w:p>
    <w:p>
      <w:pPr>
        <w:spacing w:after="120" w:line="276" w:lineRule="auto"/>
      </w:pPr>
      <w:r>
        <w:t>**RSI** : Le RSI à 84,26 est en zone de surachat sévère (&gt;70), signalant que le titre est techniquement surévalué à court terme. La décision de vente est justifiée, car un tel niveau précède souvent une correction ou un repli technique.</w:t>
      </w:r>
    </w:p>
    <w:p>
      <w:pPr>
        <w:spacing w:after="120" w:line="276" w:lineRule="auto"/>
      </w:pPr>
      <w:r>
        <w:t>**Stochastique** : Le %K (100) et le %D (97,4) sont tous deux en zone de surachat extrême, avec des valeurs proches de 100. Ce niveau indique que le marché est saturé d'achats, et la décision de vente est émise, anticipant un possible retournement.</w:t>
      </w:r>
    </w:p>
    <w:p>
      <w:pPr>
        <w:spacing w:after="120" w:line="276" w:lineRule="auto"/>
      </w:pPr>
      <w:r>
        <w:t>**Conclusion technique** : Les indicateurs de tendance (MM, MACD) sont positifs, mais les oscillateurs (RSI, Stochastique) signalent un épuisement acheteur. Cette divergence suggère qu'un repli technique est probable à très court terme avant une éventuelle reprise de la tendance haussière. La prudence est donc recommandée pour les nouveaux achats à ces niveaux.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Servair Abidjan a réalisé un chiffre d'affaires de 13,298 milliards FCFA, en hausse de 6,67% par rapport à 2024, mais le résultat net a baissé de 12,1% à 1,351 milliard FCFA, principalement en raison d'une augmentation de 46,7% de la charge d'impôt. La marge nette s'établit à 10,16%, tandis que le ROE est excellent à 26,18% et le ROA à 14,64%, démontrant une gestion efficace des actifs et des fonds propres. La structure financière est saine avec un ratio d'autonomie financière de 55,9% et une trésorerie nette de 4,035 milliards FCFA. Le BFR est positif (257 millions FCFA), mais le délai de paiement des clients (70 jours) est élevé, créant un risque de trésorerie, bien que le délai fournisseurs (92 jours) compense partiellement. Le rapport T1 2026 (publié en avril 2026) montre une dégradation de la rentabilité avec un résultat net en baisse de 35,6% à 222,6 millions FCFA, impacté par les ajustements de redevances aéroportuaires. Sur la base de ce rapport, on estime que l'exercice 2026 pourrait voir un résultat net annuel en recul de 20 à 25%, soit environ 1,0 à 1,1 milliard FCFA, si la tendance se maintient. Les rapports de 2025 (T1, T3, S1) montrent une croissance du CA mais une rentabilité volatile, affectée par des litiges réglementaires et des charges exceptionnelles. La solidité financière reste un atout majeur, mais les perspectives de croissance des bénéfices sont incertaines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est clairement exigeante, avec un PER de 32,1x et un P/B de 8,41x, indiquant une surévaluation par rapport aux fondamentaux actuels. Le comportement du cours est haussier avec une volatilité élevée (49,3%), mais les statistiques (skewness positif, kurtosis faible) suggèrent une tendance soutenue. Les signaux techniques sont mitigés : les moyennes mobiles et le MACD sont positifs, mais le RSI et le stochastique en surachat extrême signalent un risque de correction imminent. Les fondamentaux montrent une entreprise rentable et solide, mais avec des perspectives de croissance incertaines pour 2026. Les prédictions IA (J+1 à J+10) prévoient une baisse progressive du cours de 3 834 à 3 502 FCFA, confirmant le scénario de correction technique. En synthèse, la convergence entre la surévaluation, les signaux techniques de surachat et les prédictions baissières suggère une **VENTE** à court terme. Le niveau de confiance est **Moyen**, le risque global est **Élevé** en raison de la volatilité, et l'horizon d'investissement optimal serait de moyen terme (3-12 mois) pour réévaluer la valeur après une probable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623.23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12,095 titres</w:t>
            </w:r>
          </w:p>
        </w:tc>
        <w:tc>
          <w:tcPr>
            <w:tcW w:type="dxa" w:w="2268"/>
            <w:shd w:fill="FFF2CC" w:val="clear"/>
          </w:tcPr>
          <w:p>
            <w:r>
              <w:rPr>
                <w:b/>
                <w:color w:val="503200"/>
                <w:sz w:val="16"/>
              </w:rPr>
              <w:t xml:space="preserve">Cours actuel : </w:t>
            </w:r>
            <w:r>
              <w:rPr>
                <w:color w:val="000000"/>
                <w:sz w:val="17"/>
              </w:rPr>
              <w:t>10,790 FCFA</w:t>
            </w:r>
          </w:p>
          <w:p>
            <w:r>
              <w:rPr>
                <w:b/>
                <w:color w:val="503200"/>
                <w:sz w:val="16"/>
              </w:rPr>
              <w:t xml:space="preserve">Var. 100 jours : </w:t>
            </w:r>
            <w:r>
              <w:rPr>
                <w:b/>
                <w:color w:val="007800"/>
                <w:sz w:val="17"/>
              </w:rPr>
              <w:t>+110.74%</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21.96% (Élevée) — μ=6,458 FCFA, σ=1,418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β=0.4707 (Défensif) — Cov=0.000017, Var(idx)=0.000037, ρ=0.136,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12,095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9,554</w:t>
            </w:r>
          </w:p>
        </w:tc>
        <w:tc>
          <w:tcPr>
            <w:tcW w:type="dxa" w:w="1440"/>
            <w:shd w:fill="FFDCE0" w:val="clear"/>
          </w:tcPr>
          <w:p>
            <w:r>
              <w:rPr>
                <w:b/>
                <w:sz w:val="17"/>
              </w:rPr>
              <w:t>9,981</w:t>
            </w:r>
          </w:p>
        </w:tc>
        <w:tc>
          <w:tcPr>
            <w:tcW w:type="dxa" w:w="1440"/>
            <w:shd w:fill="FFDCE0" w:val="clear"/>
          </w:tcPr>
          <w:p>
            <w:r>
              <w:rPr>
                <w:sz w:val="17"/>
              </w:rPr>
              <w:t>10,408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8,674</w:t>
            </w:r>
          </w:p>
        </w:tc>
        <w:tc>
          <w:tcPr>
            <w:tcW w:type="dxa" w:w="1440"/>
            <w:shd w:fill="FFDCE0" w:val="clear"/>
          </w:tcPr>
          <w:p>
            <w:r>
              <w:rPr>
                <w:b/>
                <w:sz w:val="17"/>
              </w:rPr>
              <w:t>9,232</w:t>
            </w:r>
          </w:p>
        </w:tc>
        <w:tc>
          <w:tcPr>
            <w:tcW w:type="dxa" w:w="1440"/>
            <w:shd w:fill="FFDCE0" w:val="clear"/>
          </w:tcPr>
          <w:p>
            <w:r>
              <w:rPr>
                <w:sz w:val="17"/>
              </w:rPr>
              <w:t>9,791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7,907</w:t>
            </w:r>
          </w:p>
        </w:tc>
        <w:tc>
          <w:tcPr>
            <w:tcW w:type="dxa" w:w="1440"/>
            <w:shd w:fill="FFDCE0" w:val="clear"/>
          </w:tcPr>
          <w:p>
            <w:r>
              <w:rPr>
                <w:b/>
                <w:sz w:val="17"/>
              </w:rPr>
              <w:t>8,540</w:t>
            </w:r>
          </w:p>
        </w:tc>
        <w:tc>
          <w:tcPr>
            <w:tcW w:type="dxa" w:w="1440"/>
            <w:shd w:fill="FFDCE0" w:val="clear"/>
          </w:tcPr>
          <w:p>
            <w:r>
              <w:rPr>
                <w:sz w:val="17"/>
              </w:rPr>
              <w:t>9,173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7,223</w:t>
            </w:r>
          </w:p>
        </w:tc>
        <w:tc>
          <w:tcPr>
            <w:tcW w:type="dxa" w:w="1440"/>
            <w:shd w:fill="FFDCE0" w:val="clear"/>
          </w:tcPr>
          <w:p>
            <w:r>
              <w:rPr>
                <w:b/>
                <w:sz w:val="17"/>
              </w:rPr>
              <w:t>7,899</w:t>
            </w:r>
          </w:p>
        </w:tc>
        <w:tc>
          <w:tcPr>
            <w:tcW w:type="dxa" w:w="1440"/>
            <w:shd w:fill="FFDCE0" w:val="clear"/>
          </w:tcPr>
          <w:p>
            <w:r>
              <w:rPr>
                <w:sz w:val="17"/>
              </w:rPr>
              <w:t>8,575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6,608</w:t>
            </w:r>
          </w:p>
        </w:tc>
        <w:tc>
          <w:tcPr>
            <w:tcW w:type="dxa" w:w="1440"/>
            <w:shd w:fill="FFDCE0" w:val="clear"/>
          </w:tcPr>
          <w:p>
            <w:r>
              <w:rPr>
                <w:b/>
                <w:sz w:val="17"/>
              </w:rPr>
              <w:t>7,307</w:t>
            </w:r>
          </w:p>
        </w:tc>
        <w:tc>
          <w:tcPr>
            <w:tcW w:type="dxa" w:w="1440"/>
            <w:shd w:fill="FFDCE0" w:val="clear"/>
          </w:tcPr>
          <w:p>
            <w:r>
              <w:rPr>
                <w:sz w:val="17"/>
              </w:rPr>
              <w:t>8,006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6,051</w:t>
            </w:r>
          </w:p>
        </w:tc>
        <w:tc>
          <w:tcPr>
            <w:tcW w:type="dxa" w:w="1440"/>
            <w:shd w:fill="FFDCE0" w:val="clear"/>
          </w:tcPr>
          <w:p>
            <w:r>
              <w:rPr>
                <w:b/>
                <w:sz w:val="17"/>
              </w:rPr>
              <w:t>6,759</w:t>
            </w:r>
          </w:p>
        </w:tc>
        <w:tc>
          <w:tcPr>
            <w:tcW w:type="dxa" w:w="1440"/>
            <w:shd w:fill="FFDCE0" w:val="clear"/>
          </w:tcPr>
          <w:p>
            <w:r>
              <w:rPr>
                <w:sz w:val="17"/>
              </w:rPr>
              <w:t>7,467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5,544</w:t>
            </w:r>
          </w:p>
        </w:tc>
        <w:tc>
          <w:tcPr>
            <w:tcW w:type="dxa" w:w="1440"/>
            <w:shd w:fill="FFDCE0" w:val="clear"/>
          </w:tcPr>
          <w:p>
            <w:r>
              <w:rPr>
                <w:b/>
                <w:sz w:val="17"/>
              </w:rPr>
              <w:t>6,252</w:t>
            </w:r>
          </w:p>
        </w:tc>
        <w:tc>
          <w:tcPr>
            <w:tcW w:type="dxa" w:w="1440"/>
            <w:shd w:fill="FFDCE0" w:val="clear"/>
          </w:tcPr>
          <w:p>
            <w:r>
              <w:rPr>
                <w:sz w:val="17"/>
              </w:rPr>
              <w:t>6,960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5,178</w:t>
            </w:r>
          </w:p>
        </w:tc>
        <w:tc>
          <w:tcPr>
            <w:tcW w:type="dxa" w:w="1440"/>
            <w:shd w:fill="FFDCE0" w:val="clear"/>
          </w:tcPr>
          <w:p>
            <w:r>
              <w:rPr>
                <w:b/>
                <w:sz w:val="17"/>
              </w:rPr>
              <w:t>5,891</w:t>
            </w:r>
          </w:p>
        </w:tc>
        <w:tc>
          <w:tcPr>
            <w:tcW w:type="dxa" w:w="1440"/>
            <w:shd w:fill="FFDCE0" w:val="clear"/>
          </w:tcPr>
          <w:p>
            <w:r>
              <w:rPr>
                <w:sz w:val="17"/>
              </w:rPr>
              <w:t>6,604</w:t>
            </w:r>
          </w:p>
        </w:tc>
        <w:tc>
          <w:tcPr>
            <w:tcW w:type="dxa" w:w="1440"/>
            <w:shd w:fill="FFDCE0" w:val="clear"/>
          </w:tcPr>
          <w:p>
            <w:r>
              <w:rPr>
                <w:b/>
                <w:color w:val="C00000"/>
                <w:sz w:val="17"/>
              </w:rPr>
              <w:t>-45.4%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5,028</w:t>
            </w:r>
          </w:p>
        </w:tc>
        <w:tc>
          <w:tcPr>
            <w:tcW w:type="dxa" w:w="1440"/>
            <w:shd w:fill="FFDCE0" w:val="clear"/>
          </w:tcPr>
          <w:p>
            <w:r>
              <w:rPr>
                <w:b/>
                <w:sz w:val="17"/>
              </w:rPr>
              <w:t>5,769</w:t>
            </w:r>
          </w:p>
        </w:tc>
        <w:tc>
          <w:tcPr>
            <w:tcW w:type="dxa" w:w="1440"/>
            <w:shd w:fill="FFDCE0" w:val="clear"/>
          </w:tcPr>
          <w:p>
            <w:r>
              <w:rPr>
                <w:sz w:val="17"/>
              </w:rPr>
              <w:t>6,509</w:t>
            </w:r>
          </w:p>
        </w:tc>
        <w:tc>
          <w:tcPr>
            <w:tcW w:type="dxa" w:w="1440"/>
            <w:shd w:fill="FFDCE0" w:val="clear"/>
          </w:tcPr>
          <w:p>
            <w:r>
              <w:rPr>
                <w:b/>
                <w:color w:val="C00000"/>
                <w:sz w:val="17"/>
              </w:rPr>
              <w:t>-46.5%</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4,897</w:t>
            </w:r>
          </w:p>
        </w:tc>
        <w:tc>
          <w:tcPr>
            <w:tcW w:type="dxa" w:w="1440"/>
            <w:shd w:fill="FFDCE0" w:val="clear"/>
          </w:tcPr>
          <w:p>
            <w:r>
              <w:rPr>
                <w:b/>
                <w:sz w:val="17"/>
              </w:rPr>
              <w:t>5,663</w:t>
            </w:r>
          </w:p>
        </w:tc>
        <w:tc>
          <w:tcPr>
            <w:tcW w:type="dxa" w:w="1440"/>
            <w:shd w:fill="FFDCE0" w:val="clear"/>
          </w:tcPr>
          <w:p>
            <w:r>
              <w:rPr>
                <w:sz w:val="17"/>
              </w:rPr>
              <w:t>6,429</w:t>
            </w:r>
          </w:p>
        </w:tc>
        <w:tc>
          <w:tcPr>
            <w:tcW w:type="dxa" w:w="1440"/>
            <w:shd w:fill="FFDCE0" w:val="clear"/>
          </w:tcPr>
          <w:p>
            <w:r>
              <w:rPr>
                <w:b/>
                <w:color w:val="C00000"/>
                <w:sz w:val="17"/>
              </w:rPr>
              <w:t>-47.5%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 07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623,23 milliards FCFA, un niveau qui la positionne parmi les poids lourds de la cote de la BRVM, reflétant l'importance systémique de la banque dans la zone UEMOA. Avec un BPA de 627 FCFA, le PER de 17,2x est nettement supérieur à la moyenne historique de la place (~8-12x), indiquant que les investisseurs intègrent déjà une forte croissance future des bénéfices et acceptent de payer une prime substantielle. Cette prime est confirmée par le P/B de 4,61x, qui valorise le titre plus de quatre fois sa valeur comptable, signe d'une confiance élevée dans la qualité des actifs et la rentabilité des capitaux propres (ROE de 26,8%). Enfin, l'EV/EBITDA de 27,5x, bien que très exigeant, doit être relativisé pour le secteur bancaire où l'EBITDA n'est pas l'indicateur le plus pertinent. L'ensemble de ces ratios suggère une valorisation qui a fortement anticipé les bonnes performances récentes,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appréciation spectaculaire de +110,74%, avec une dernière séance en hausse de +3,75% à 10 790 FCFA, son plus haut niveau sur la période. Le trading s'est déroulé dans une fourchette très large de 5 100 à 10 790 FCFA, illustrant un mouvement haussier puissant et rapide. La moyenne du cours sur la période (6 458 FCFA) est nettement supérieure à la médiane (5 868 FCFA), et le skewness positif de 1.034 confirme une distribution asymétrique avec des épisodes de hausse marqués, tirant la moyenne vers le haut. L'écart-type de 1 425 FCFA (CV de 22,1%) témoigne d'une dispersion importante des prix autour de la moyenne. Le kurtosis de 0.147 (mésokurtique) indique une distribution proche de la normale, sans risque de variations extrêmes particulier dans la distribution statistique. La volatilité annualisée de 33,3% classe le titre comme très volatil, un niveau élevé qui reflète l'ampleur du rallye et implique un risque de retournement tout aussi brutal.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10 790 FCFA évolue nettement au-dessus de la MM20 (8 782 FCFA) et de la MM50 (7 561,8 FCFA), qui sont orientées à la hausse. Cette configuration en "trend haussier" est un signal d'achat classique, confirmant la vigueur de la tendance de fond, bien que l'écart important entre le prix et les moyennes suggère une extension excessive.</w:t>
      </w:r>
    </w:p>
    <w:p>
      <w:pPr>
        <w:spacing w:after="120" w:line="276" w:lineRule="auto"/>
      </w:pPr>
      <w:r>
        <w:t>**Bandes de Bollinger** : Le prix se situe au-dessus de la borne supérieure de la bande (10 452,5 FCFA), ce qui est un signal de surachat extrême et de volatilité accrue. Historiquement, une telle sortie est souvent suivie d'une phase de consolidation ou de correction pour revenir à l'intérieur de l'enveloppe. La décision de "Vente" est donc logique à court terme.</w:t>
      </w:r>
    </w:p>
    <w:p>
      <w:pPr>
        <w:spacing w:after="120" w:line="276" w:lineRule="auto"/>
      </w:pPr>
      <w:r>
        <w:t>**MACD** : Le MACD (752,09) est nettement supérieur à sa ligne de signal (572,93), indiquant un momentum haussier toujours très fort. Bien que la décision soit "Achat", l'écart important entre les deux lignes pourrait précéder un ralentissement du momentum, signalant une possible convergence à venir.</w:t>
      </w:r>
    </w:p>
    <w:p>
      <w:pPr>
        <w:spacing w:after="120" w:line="276" w:lineRule="auto"/>
      </w:pPr>
      <w:r>
        <w:t>**RSI** : Avec une valeur de 86,72, le RSI est profondément en zone de surachat (au-delà de 70). Cela indique que le titre est survendu à la hausse et qu'une correction technique est de plus en plus probable à court terme. La décision de "Vente" est ici sans équivoque.</w:t>
      </w:r>
    </w:p>
    <w:p>
      <w:pPr>
        <w:spacing w:after="120" w:line="276" w:lineRule="auto"/>
      </w:pPr>
      <w:r>
        <w:t>**Stochastique** : Les valeurs de %K et %D sont toutes deux à 100, un niveau extrême de surachat. Ceci reflète une pression d'achat continue mais insoutenable. Le moindre signe de retournement pourrait déclencher un croisement baissier rapide, justifiant la décision de "Vente".</w:t>
      </w:r>
    </w:p>
    <w:p>
      <w:pPr>
        <w:spacing w:after="120" w:line="276" w:lineRule="auto"/>
      </w:pPr>
      <w:r>
        <w:t>**Conclusion technique** : La convergence de tous les oscillateurs (RSI, Stochastique, Bandes de Bollinger) en zone de surachat extrême envoie un signal d'alerte très fort. Bien que la tendance de fond (moyennes mobiles, MACD) reste résolument haussière, le potentiel de hausse à court terme semble épuisé. Le scénario le plus probable est une consolidation ou un repli technique dans les prochaines séances pour "respirer" après une hausse aussi violente.</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fondamentaux solides avec un Produit Net Bancaire (PNB) de 52,805 milliards FCFA, en croissance de 16,5%, et un résultat net de 36,237 milliards FCFA, en hausse de 24,7%. Cette performance se traduit par un ROE exceptionnel de 26,8% et un ROA de 1,96%, démontrant une excellente rentabilité. Le coefficient d'exploitation de 31,1% est remarquable, indiquant une banque très efficace dans la gestion de ses charges. Cependant, le coût du risque de 9,6% et la forte croissance des crédits (+37,3%) signalent une dégradation potentielle de la qualité du portefeuille, confirmée par les rapports semestriels et du T3 2025. En effet, le S1 2025 montrait un résultat net en chute de 26,7% (7,9 Mds FCFA) à cause d'un coût du risque multiplié par 5, et le T3 2025 enregistrait encore un recul de 9% (13,1 Mds FCFA). Les états financiers annuels 2025, certifiés sans réserve, montrent finalement une reprise massive au T4, portée par une reprise de provisions. Le rapport T1 2026 confirme cette dynamique avec un résultat net en hausse de 48% à 8,0 milliards FCFA et un PNB en progression de 35%, suggérant une normalisation du coût du risque et une croissance toujours soutenue. La banque, leader au Bénin, bénéficie d'un ratio de solvabilité de 19,64%, bien au-dessus du minimum réglementaire, lui offrant des marges de manœuvre pour sa croissance future.</w:t>
      </w:r>
    </w:p>
    <w:p>
      <w:pPr>
        <w:spacing w:after="120" w:line="276" w:lineRule="auto"/>
      </w:pPr>
      <w:r>
        <w:t>---</w:t>
      </w:r>
    </w:p>
    <w:p>
      <w:pPr>
        <w:spacing w:after="120" w:line="276" w:lineRule="auto"/>
      </w:pPr>
      <w:r>
        <w:t>### PARTIE 4 : CONCLUSION D'INVESTISSEMENT</w:t>
      </w:r>
    </w:p>
    <w:p>
      <w:pPr>
        <w:spacing w:after="120" w:line="276" w:lineRule="auto"/>
      </w:pPr>
      <w:r>
        <w:t>La BICB présente un profil d'investissement complexe et contrasté. La valorisation (Partie 0) est devenue exigeante (PER 17,2x, P/B 4,61x), intégrant une croissance future désormais bien amorcée. Le comportement du cours (Partie 1) montre une tendance haussière spectaculaire mais accompagnée d'une volatilité très élevée (33,3%) et d'une asymétrie positive, signe d'un enthousiasme peut-être excessif. Les signaux techniques (Partie 2) sont unanimes : le titre est en surachat extrême, et une correction à court terme est hautement probable. Enfin, les fondamentaux (Partie 3) sont solides, avec une rentabilité record en 2025 et un T1 2026 excellent, mais ils sont assombris par un historique récent de coût du risque élevé et une croissance du crédit très rapide qui devra être surveillée. Les prédictions IA d'une chute brutale du cours (de 9 981 à 7 307 FCFA sur 10 jours) corroborent parfaitement les signaux de surachat technique et suggèrent un scénario de consolidation sévère. En synthèse, la convergence entre les signaux techniques de vente et les prédictions IA est forte, contrebalançant la solidité fondamentale. Par conséquent, la recommandation est de **CONSERVER** le titre pour les investisseurs existants, mais d'éviter tout nouvel achat à ces niveaux de prix. Le niveau de confiance est **Moyen**, le risque global est **Élevé** à court terme, et l'horizon d'investissement optimal serait de **moyen terme (3-12 mois)**, après une probable phase de correction qui offrirait un point d'entrée plus attrayant.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668 titres</w:t>
            </w:r>
          </w:p>
        </w:tc>
        <w:tc>
          <w:tcPr>
            <w:tcW w:type="dxa" w:w="2268"/>
            <w:shd w:fill="FFF2CC" w:val="clear"/>
          </w:tcPr>
          <w:p>
            <w:r>
              <w:rPr>
                <w:b/>
                <w:color w:val="503200"/>
                <w:sz w:val="16"/>
              </w:rPr>
              <w:t xml:space="preserve">Cours actuel : </w:t>
            </w:r>
            <w:r>
              <w:rPr>
                <w:color w:val="000000"/>
                <w:sz w:val="17"/>
              </w:rPr>
              <w:t>33,785 FCFA</w:t>
            </w:r>
          </w:p>
          <w:p>
            <w:r>
              <w:rPr>
                <w:b/>
                <w:color w:val="503200"/>
                <w:sz w:val="16"/>
              </w:rPr>
              <w:t xml:space="preserve">Var. 100 jours : </w:t>
            </w:r>
            <w:r>
              <w:rPr>
                <w:b/>
                <w:color w:val="007800"/>
                <w:sz w:val="17"/>
              </w:rPr>
              <w:t>+50.16%</w:t>
            </w:r>
          </w:p>
          <w:p>
            <w:r>
              <w:rPr>
                <w:b/>
                <w:color w:val="503200"/>
                <w:sz w:val="16"/>
              </w:rPr>
              <w:t xml:space="preserve">Plus haut 100j : </w:t>
            </w:r>
            <w:r>
              <w:rPr>
                <w:color w:val="000000"/>
                <w:sz w:val="17"/>
              </w:rPr>
              <w:t>33,785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7.44% (Moyenne) — μ=27,805 FCFA, σ=2,069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β=0.4284 (Défensif) — Cov=0.000016, Var(idx)=0.000037, ρ=0.146,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30,837</w:t>
            </w:r>
          </w:p>
        </w:tc>
        <w:tc>
          <w:tcPr>
            <w:tcW w:type="dxa" w:w="1440"/>
            <w:shd w:fill="FFDCE0" w:val="clear"/>
          </w:tcPr>
          <w:p>
            <w:r>
              <w:rPr>
                <w:b/>
                <w:sz w:val="17"/>
              </w:rPr>
              <w:t>31,731</w:t>
            </w:r>
          </w:p>
        </w:tc>
        <w:tc>
          <w:tcPr>
            <w:tcW w:type="dxa" w:w="1440"/>
            <w:shd w:fill="FFDCE0" w:val="clear"/>
          </w:tcPr>
          <w:p>
            <w:r>
              <w:rPr>
                <w:sz w:val="17"/>
              </w:rPr>
              <w:t>32,625</w:t>
            </w:r>
          </w:p>
        </w:tc>
        <w:tc>
          <w:tcPr>
            <w:tcW w:type="dxa" w:w="1440"/>
            <w:shd w:fill="FFDCE0" w:val="clear"/>
          </w:tcPr>
          <w:p>
            <w:r>
              <w:rPr>
                <w:b/>
                <w:color w:val="C00000"/>
                <w:sz w:val="17"/>
              </w:rPr>
              <w:t>-6.1%</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30,100</w:t>
            </w:r>
          </w:p>
        </w:tc>
        <w:tc>
          <w:tcPr>
            <w:tcW w:type="dxa" w:w="1440"/>
            <w:shd w:fill="FFDCE0" w:val="clear"/>
          </w:tcPr>
          <w:p>
            <w:r>
              <w:rPr>
                <w:b/>
                <w:sz w:val="17"/>
              </w:rPr>
              <w:t>31,348</w:t>
            </w:r>
          </w:p>
        </w:tc>
        <w:tc>
          <w:tcPr>
            <w:tcW w:type="dxa" w:w="1440"/>
            <w:shd w:fill="FFDCE0" w:val="clear"/>
          </w:tcPr>
          <w:p>
            <w:r>
              <w:rPr>
                <w:sz w:val="17"/>
              </w:rPr>
              <w:t>32,597</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29,320</w:t>
            </w:r>
          </w:p>
        </w:tc>
        <w:tc>
          <w:tcPr>
            <w:tcW w:type="dxa" w:w="1440"/>
            <w:shd w:fill="FFDCE0" w:val="clear"/>
          </w:tcPr>
          <w:p>
            <w:r>
              <w:rPr>
                <w:b/>
                <w:sz w:val="17"/>
              </w:rPr>
              <w:t>30,824</w:t>
            </w:r>
          </w:p>
        </w:tc>
        <w:tc>
          <w:tcPr>
            <w:tcW w:type="dxa" w:w="1440"/>
            <w:shd w:fill="FFDCE0" w:val="clear"/>
          </w:tcPr>
          <w:p>
            <w:r>
              <w:rPr>
                <w:sz w:val="17"/>
              </w:rPr>
              <w:t>32,328</w:t>
            </w:r>
          </w:p>
        </w:tc>
        <w:tc>
          <w:tcPr>
            <w:tcW w:type="dxa" w:w="1440"/>
            <w:shd w:fill="FFDCE0" w:val="clear"/>
          </w:tcPr>
          <w:p>
            <w:r>
              <w:rPr>
                <w:b/>
                <w:color w:val="C00000"/>
                <w:sz w:val="17"/>
              </w:rPr>
              <w:t>-8.8%</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28,669</w:t>
            </w:r>
          </w:p>
        </w:tc>
        <w:tc>
          <w:tcPr>
            <w:tcW w:type="dxa" w:w="1440"/>
            <w:shd w:fill="FFDCE0" w:val="clear"/>
          </w:tcPr>
          <w:p>
            <w:r>
              <w:rPr>
                <w:b/>
                <w:sz w:val="17"/>
              </w:rPr>
              <w:t>30,381</w:t>
            </w:r>
          </w:p>
        </w:tc>
        <w:tc>
          <w:tcPr>
            <w:tcW w:type="dxa" w:w="1440"/>
            <w:shd w:fill="FFDCE0" w:val="clear"/>
          </w:tcPr>
          <w:p>
            <w:r>
              <w:rPr>
                <w:sz w:val="17"/>
              </w:rPr>
              <w:t>32,092</w:t>
            </w:r>
          </w:p>
        </w:tc>
        <w:tc>
          <w:tcPr>
            <w:tcW w:type="dxa" w:w="1440"/>
            <w:shd w:fill="FFDCE0" w:val="clear"/>
          </w:tcPr>
          <w:p>
            <w:r>
              <w:rPr>
                <w:b/>
                <w:color w:val="C00000"/>
                <w:sz w:val="17"/>
              </w:rPr>
              <w:t>-10.1%</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28,113</w:t>
            </w:r>
          </w:p>
        </w:tc>
        <w:tc>
          <w:tcPr>
            <w:tcW w:type="dxa" w:w="1440"/>
            <w:shd w:fill="FFDCE0" w:val="clear"/>
          </w:tcPr>
          <w:p>
            <w:r>
              <w:rPr>
                <w:b/>
                <w:sz w:val="17"/>
              </w:rPr>
              <w:t>30,003</w:t>
            </w:r>
          </w:p>
        </w:tc>
        <w:tc>
          <w:tcPr>
            <w:tcW w:type="dxa" w:w="1440"/>
            <w:shd w:fill="FFDCE0" w:val="clear"/>
          </w:tcPr>
          <w:p>
            <w:r>
              <w:rPr>
                <w:sz w:val="17"/>
              </w:rPr>
              <w:t>31,893</w:t>
            </w:r>
          </w:p>
        </w:tc>
        <w:tc>
          <w:tcPr>
            <w:tcW w:type="dxa" w:w="1440"/>
            <w:shd w:fill="FFDCE0" w:val="clear"/>
          </w:tcPr>
          <w:p>
            <w:r>
              <w:rPr>
                <w:b/>
                <w:color w:val="C00000"/>
                <w:sz w:val="17"/>
              </w:rPr>
              <w:t>-11.2%</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27,610</w:t>
            </w:r>
          </w:p>
        </w:tc>
        <w:tc>
          <w:tcPr>
            <w:tcW w:type="dxa" w:w="1440"/>
            <w:shd w:fill="FFDCE0" w:val="clear"/>
          </w:tcPr>
          <w:p>
            <w:r>
              <w:rPr>
                <w:b/>
                <w:sz w:val="17"/>
              </w:rPr>
              <w:t>29,656</w:t>
            </w:r>
          </w:p>
        </w:tc>
        <w:tc>
          <w:tcPr>
            <w:tcW w:type="dxa" w:w="1440"/>
            <w:shd w:fill="FFDCE0" w:val="clear"/>
          </w:tcPr>
          <w:p>
            <w:r>
              <w:rPr>
                <w:sz w:val="17"/>
              </w:rPr>
              <w:t>31,702</w:t>
            </w:r>
          </w:p>
        </w:tc>
        <w:tc>
          <w:tcPr>
            <w:tcW w:type="dxa" w:w="1440"/>
            <w:shd w:fill="FFDCE0" w:val="clear"/>
          </w:tcPr>
          <w:p>
            <w:r>
              <w:rPr>
                <w:b/>
                <w:color w:val="C00000"/>
                <w:sz w:val="17"/>
              </w:rPr>
              <w:t>-12.2%</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27,140</w:t>
            </w:r>
          </w:p>
        </w:tc>
        <w:tc>
          <w:tcPr>
            <w:tcW w:type="dxa" w:w="1440"/>
            <w:shd w:fill="FFDCE0" w:val="clear"/>
          </w:tcPr>
          <w:p>
            <w:r>
              <w:rPr>
                <w:b/>
                <w:sz w:val="17"/>
              </w:rPr>
              <w:t>29,325</w:t>
            </w:r>
          </w:p>
        </w:tc>
        <w:tc>
          <w:tcPr>
            <w:tcW w:type="dxa" w:w="1440"/>
            <w:shd w:fill="FFDCE0" w:val="clear"/>
          </w:tcPr>
          <w:p>
            <w:r>
              <w:rPr>
                <w:sz w:val="17"/>
              </w:rPr>
              <w:t>31,511</w:t>
            </w:r>
          </w:p>
        </w:tc>
        <w:tc>
          <w:tcPr>
            <w:tcW w:type="dxa" w:w="1440"/>
            <w:shd w:fill="FFDCE0" w:val="clear"/>
          </w:tcPr>
          <w:p>
            <w:r>
              <w:rPr>
                <w:b/>
                <w:color w:val="C00000"/>
                <w:sz w:val="17"/>
              </w:rPr>
              <w:t>-13.2%</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26,698</w:t>
            </w:r>
          </w:p>
        </w:tc>
        <w:tc>
          <w:tcPr>
            <w:tcW w:type="dxa" w:w="1440"/>
            <w:shd w:fill="FFDCE0" w:val="clear"/>
          </w:tcPr>
          <w:p>
            <w:r>
              <w:rPr>
                <w:b/>
                <w:sz w:val="17"/>
              </w:rPr>
              <w:t>29,009</w:t>
            </w:r>
          </w:p>
        </w:tc>
        <w:tc>
          <w:tcPr>
            <w:tcW w:type="dxa" w:w="1440"/>
            <w:shd w:fill="FFDCE0" w:val="clear"/>
          </w:tcPr>
          <w:p>
            <w:r>
              <w:rPr>
                <w:sz w:val="17"/>
              </w:rPr>
              <w:t>31,320</w:t>
            </w:r>
          </w:p>
        </w:tc>
        <w:tc>
          <w:tcPr>
            <w:tcW w:type="dxa" w:w="1440"/>
            <w:shd w:fill="FFDCE0" w:val="clear"/>
          </w:tcPr>
          <w:p>
            <w:r>
              <w:rPr>
                <w:b/>
                <w:color w:val="C00000"/>
                <w:sz w:val="17"/>
              </w:rPr>
              <w:t>-14.1%</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26,280</w:t>
            </w:r>
          </w:p>
        </w:tc>
        <w:tc>
          <w:tcPr>
            <w:tcW w:type="dxa" w:w="1440"/>
            <w:shd w:fill="FFDCE0" w:val="clear"/>
          </w:tcPr>
          <w:p>
            <w:r>
              <w:rPr>
                <w:b/>
                <w:sz w:val="17"/>
              </w:rPr>
              <w:t>28,706</w:t>
            </w:r>
          </w:p>
        </w:tc>
        <w:tc>
          <w:tcPr>
            <w:tcW w:type="dxa" w:w="1440"/>
            <w:shd w:fill="FFDCE0" w:val="clear"/>
          </w:tcPr>
          <w:p>
            <w:r>
              <w:rPr>
                <w:sz w:val="17"/>
              </w:rPr>
              <w:t>31,132</w:t>
            </w:r>
          </w:p>
        </w:tc>
        <w:tc>
          <w:tcPr>
            <w:tcW w:type="dxa" w:w="1440"/>
            <w:shd w:fill="FFDCE0" w:val="clear"/>
          </w:tcPr>
          <w:p>
            <w:r>
              <w:rPr>
                <w:b/>
                <w:color w:val="C00000"/>
                <w:sz w:val="17"/>
              </w:rPr>
              <w:t>-15.0%</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25,885</w:t>
            </w:r>
          </w:p>
        </w:tc>
        <w:tc>
          <w:tcPr>
            <w:tcW w:type="dxa" w:w="1440"/>
            <w:shd w:fill="FFDCE0" w:val="clear"/>
          </w:tcPr>
          <w:p>
            <w:r>
              <w:rPr>
                <w:b/>
                <w:sz w:val="17"/>
              </w:rPr>
              <w:t>28,416</w:t>
            </w:r>
          </w:p>
        </w:tc>
        <w:tc>
          <w:tcPr>
            <w:tcW w:type="dxa" w:w="1440"/>
            <w:shd w:fill="FFDCE0" w:val="clear"/>
          </w:tcPr>
          <w:p>
            <w:r>
              <w:rPr>
                <w:sz w:val="17"/>
              </w:rPr>
              <w:t>30,947</w:t>
            </w:r>
          </w:p>
        </w:tc>
        <w:tc>
          <w:tcPr>
            <w:tcW w:type="dxa" w:w="1440"/>
            <w:shd w:fill="FFDCE0" w:val="clear"/>
          </w:tcPr>
          <w:p>
            <w:r>
              <w:rPr>
                <w:b/>
                <w:color w:val="C00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563,08 milliards FCFA, positionnant la banque parmi les valeurs à forte capitalisation de la BRVM, ce qui lui confère une liquidité relative et un poids significatif dans l'indice. Le BPA de 2 191 FCFA indique que chaque action génère un bénéfice substantiel, justifiant un PER de 15,4x. Ce niveau est supérieur à la moyenne historique de la BRVM (8-12x), signifiant que le marché intègre déjà une croissance future des bénéfices et valorise la qualité de la franchise de la banque. Le P/B de 4,67x est particulièrement exigeant, le marché payant une prime de plus de 4,6 fois la valeur comptable des actifs, ce qui reflète une forte confiance dans la création de valeur future. Enfin, l'EV/EBITDA de 11,3x confirme une valorisation élevée, les investisseurs acceptant de payer plus de 11 fois le résultat opérationnel brut, un niveau qui laisse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performance exceptionnelle de +50,16%, avec une dernière séance en hausse de +2,36% à 33 785 FCFA, son plus haut niveau sur la période. Le titre a évolué dans une fourchette large de 22 500 à 33 785 FCFA, démontrant une dynamique haussière soutenue. La moyenne du cours sur la période (27 805 FCFA) est inférieure à la médiane (28 432 FCFA), et le skewness négatif (-0.463) suggère une asymétrie vers la gauche, indiquant que les fortes progressions ont été plus fréquentes que les baisses. L'écart-type de 2 079 FCFA, avec un coefficient de variation de 7,5%, révèle une dispersion relativement faible autour de la moyenne. Le kurtosis de 0.717 (mésokurtique) indique une distribution proche de la normale, sans risque de variations extrêmes. La volatilité annualisée de 28,1% classe le titre dans la catégorie modérée à élevée, reflétant un risque de marché significatif mais non excessif.</w:t>
      </w:r>
    </w:p>
    <w:p>
      <w:pPr>
        <w:spacing w:after="120" w:line="276" w:lineRule="auto" w:before="240"/>
      </w:pPr>
      <w:r>
        <w:rPr>
          <w:b/>
          <w:color w:val="003366"/>
          <w:sz w:val="24"/>
        </w:rPr>
        <w:t>**PARTIE 2 : ANALYSE TECHNIQUE DÉTAILLÉE**</w:t>
      </w:r>
    </w:p>
    <w:p>
      <w:pPr>
        <w:spacing w:after="120" w:line="276" w:lineRule="auto"/>
      </w:pPr>
      <w:r>
        <w:t>Les **Moyennes Mobiles** (MM20 à 29 855 FCFA et MM50 à 29 076 FCFA) sont toutes deux nettement inférieures au cours actuel de 33 785 FCFA, confirmant une tendance haussière robuste à court et moyen terme. La configuration positive (cours &gt; MM20 &gt; MM50) justifie la décision d'**Achat**, le titre évoluant dans un canal ascendant bien défini.</w:t>
      </w:r>
    </w:p>
    <w:p>
      <w:pPr>
        <w:spacing w:after="120" w:line="276" w:lineRule="auto"/>
      </w:pPr>
      <w:r>
        <w:t>Les **Bandes de Bollinger** montrent que le cours a franchi la borne supérieure (32 868 FCFA), signalant une extension excessive au-delà des limites statistiques normales. Cette situation indique une volatilité accrue et un marché suracheté à court terme, justifiant la décision de **Vente** pour un éventuel repli technique vers la moyenne mobile.</w:t>
      </w:r>
    </w:p>
    <w:p>
      <w:pPr>
        <w:spacing w:after="120" w:line="276" w:lineRule="auto"/>
      </w:pPr>
      <w:r>
        <w:t>Le **MACD** affiche une valeur de 968,8 contre un signal à 501,9, avec un écart positif croissant. Cette divergence haussière confirme un momentum très favorable et une dynamique d'accélération des prix, justifiant la décision d'**Achat**. La tendance de fond reste résolument positive.</w:t>
      </w:r>
    </w:p>
    <w:p>
      <w:pPr>
        <w:spacing w:after="120" w:line="276" w:lineRule="auto"/>
      </w:pPr>
      <w:r>
        <w:t>Le **RSI** à 84,07 est profondément en zone de surachat (&gt;70), signalant que le titre est survendu à la hausse et qu'une correction technique est probable à court terme. Cette lecture justifie la décision de **Vente**, les acheteurs ayant potentiellement épuisé leur force.</w:t>
      </w:r>
    </w:p>
    <w:p>
      <w:pPr>
        <w:spacing w:after="120" w:line="276" w:lineRule="auto"/>
      </w:pPr>
      <w:r>
        <w:t>Le **Stochastique** (%K et %D à 100) est extrêmement suracheté, indiquant que le cours a clôturé à son plus haut niveau sur la période considérée. Cette configuration extrême justifie la décision de **Vente**, car elle précède souvent un retournement baissier.</w:t>
      </w:r>
    </w:p>
    <w:p>
      <w:pPr>
        <w:spacing w:after="120" w:line="276" w:lineRule="auto"/>
      </w:pPr>
      <w:r>
        <w:t>La **conclusion technique** est mitigée : la tendance de fond (MM, MACD) reste fortement haussière, mais les oscillateurs (RSI, Stochastique, Bollinger) signalent tous un épuisement à court terme. Le titre est en pleine phase d'expansion, mais une consolidation technique semble inévitable avant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banque extrêmement performante. Le Produit Net Bancaire (PNB) s'établit à 79,563 milliards FCFA, générant un résultat net de 36,520 milliards FCFA, soit une marge nette exceptionnelle de 45,9%. Le ROE atteint 30,29%, un niveau remarquable qui témoigne d'une utilisation très efficace des capitaux propres (120,57 milliards FCFA), tandis que le ROA de 3,24% confirme une bonne rentabilité des actifs (total bilan de 1 126 milliards FCFA). Le coefficient d'exploitation de 50,83% démontre une excellente maîtrise des charges, et le coût du risque négatif (-12,15%) indique des reprises de provisions, signe d'un portefeuille de crédits sain. La banque affiche une transformation équilibrée avec 524,4 milliards FCFA de crédits clientèle financés par 952,9 milliards FCFA de dépôts. Les rapports trimestriels confirment cette dynamique : le T1 2026 (publié en mai 2026) montre un PNB de 21,214 milliards FCFA (+17% vs T1 2025) et un résultat net de 10,387 milliards FCFA (+29,7%). Sur la base de ces performances, on estime que l'exercice 2026 pourrait voir le PNB dépasser 90 milliards FCFA et le résultat net atteindre 45 milliards FCFA, confirmant une croissance soutenue et une gestion exemplaire.</w:t>
      </w:r>
    </w:p>
    <w:p>
      <w:pPr>
        <w:spacing w:after="120" w:line="276" w:lineRule="auto" w:before="240"/>
      </w:pPr>
      <w:r>
        <w:rPr>
          <w:b/>
          <w:color w:val="003366"/>
          <w:sz w:val="24"/>
        </w:rPr>
        <w:t>**PARTIE 4 : CONCLUSION D'INVESTISSEMENT**</w:t>
      </w:r>
    </w:p>
    <w:p>
      <w:pPr>
        <w:spacing w:after="120" w:line="276" w:lineRule="auto"/>
      </w:pPr>
      <w:r>
        <w:t>La valorisation actuelle de BICC (PER 15,4x, P/B 4,67x) est exigeante mais justifiée par des fondamentaux exceptionnels : ROE de 30,3%, croissance à deux chiffres du PNB et du résultat net, et une qualité d'actifs remarquable. Le comportement du cours (+50% en 100 jours) reflète cette excellence, mais les statistiques (volatilité 28,1%) et les signaux techniques de surachat (RSI 84, RSI stochastique 100) suggèrent un risque de consolidation à court terme. Les fondamentaux solides et les perspectives de croissance 2026 (estimées à +17% du PNB) contrebalancent ces signaux techniques. Les prédictions IA (31 731 FCFA à J+1, 30 003 FCFA à J+10) anticipent un repli technique de -11%, ce qui corrobore les signaux de surachat. **Recommandation finale : ACHAT** avec un niveau de confiance **Moyen** et un risque global **Moyen**. L'écart entre la force fondamentale et la faiblesse technique suggère d'attendre un repli vers 30 000-31 000 FCFA pour renforcer les positions. Horizon d'investissement : **Moyen terme (3-12 mois)**, en capitalisant sur la solidité des résultats 2026 attendus et la politique de dividende généreuse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2,779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+35.81%</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13.30% (Moyenne) — μ=1,816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β=-0.0486 (Contre-cyclique) — Cov=-0.000002, Var(idx)=0.000037, ρ=-0.009,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2,779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2,021</w:t>
            </w:r>
          </w:p>
        </w:tc>
        <w:tc>
          <w:tcPr>
            <w:tcW w:type="dxa" w:w="1440"/>
            <w:shd w:fill="FAFAFA" w:val="clear"/>
          </w:tcPr>
          <w:p>
            <w:r>
              <w:rPr>
                <w:b/>
                <w:sz w:val="17"/>
              </w:rPr>
              <w:t>2,121</w:t>
            </w:r>
          </w:p>
        </w:tc>
        <w:tc>
          <w:tcPr>
            <w:tcW w:type="dxa" w:w="1440"/>
            <w:shd w:fill="FAFAFA" w:val="clear"/>
          </w:tcPr>
          <w:p>
            <w:r>
              <w:rPr>
                <w:sz w:val="17"/>
              </w:rPr>
              <w:t>2,220</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1,974</w:t>
            </w:r>
          </w:p>
        </w:tc>
        <w:tc>
          <w:tcPr>
            <w:tcW w:type="dxa" w:w="1440"/>
            <w:shd w:fill="FAFAFA" w:val="clear"/>
          </w:tcPr>
          <w:p>
            <w:r>
              <w:rPr>
                <w:b/>
                <w:sz w:val="17"/>
              </w:rPr>
              <w:t>2,114</w:t>
            </w:r>
          </w:p>
        </w:tc>
        <w:tc>
          <w:tcPr>
            <w:tcW w:type="dxa" w:w="1440"/>
            <w:shd w:fill="FAFAFA" w:val="clear"/>
          </w:tcPr>
          <w:p>
            <w:r>
              <w:rPr>
                <w:sz w:val="17"/>
              </w:rPr>
              <w:t>2,254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2026-09-10</w:t>
            </w:r>
          </w:p>
        </w:tc>
        <w:tc>
          <w:tcPr>
            <w:tcW w:type="dxa" w:w="1440"/>
            <w:shd w:fill="FAFAFA" w:val="clear"/>
          </w:tcPr>
          <w:p>
            <w:r>
              <w:rPr>
                <w:sz w:val="17"/>
              </w:rPr>
              <w:t>1,941</w:t>
            </w:r>
          </w:p>
        </w:tc>
        <w:tc>
          <w:tcPr>
            <w:tcW w:type="dxa" w:w="1440"/>
            <w:shd w:fill="FAFAFA" w:val="clear"/>
          </w:tcPr>
          <w:p>
            <w:r>
              <w:rPr>
                <w:b/>
                <w:sz w:val="17"/>
              </w:rPr>
              <w:t>2,112</w:t>
            </w:r>
          </w:p>
        </w:tc>
        <w:tc>
          <w:tcPr>
            <w:tcW w:type="dxa" w:w="1440"/>
            <w:shd w:fill="FAFAFA" w:val="clear"/>
          </w:tcPr>
          <w:p>
            <w:r>
              <w:rPr>
                <w:sz w:val="17"/>
              </w:rPr>
              <w:t>2,284</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1,912</w:t>
            </w:r>
          </w:p>
        </w:tc>
        <w:tc>
          <w:tcPr>
            <w:tcW w:type="dxa" w:w="1440"/>
            <w:shd w:fill="FAFAFA" w:val="clear"/>
          </w:tcPr>
          <w:p>
            <w:r>
              <w:rPr>
                <w:b/>
                <w:sz w:val="17"/>
              </w:rPr>
              <w:t>2,110</w:t>
            </w:r>
          </w:p>
        </w:tc>
        <w:tc>
          <w:tcPr>
            <w:tcW w:type="dxa" w:w="1440"/>
            <w:shd w:fill="FAFAFA" w:val="clear"/>
          </w:tcPr>
          <w:p>
            <w:r>
              <w:rPr>
                <w:sz w:val="17"/>
              </w:rPr>
              <w:t>2,308</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1,886</w:t>
            </w:r>
          </w:p>
        </w:tc>
        <w:tc>
          <w:tcPr>
            <w:tcW w:type="dxa" w:w="1440"/>
            <w:shd w:fill="FAFAFA" w:val="clear"/>
          </w:tcPr>
          <w:p>
            <w:r>
              <w:rPr>
                <w:b/>
                <w:sz w:val="17"/>
              </w:rPr>
              <w:t>2,107</w:t>
            </w:r>
          </w:p>
        </w:tc>
        <w:tc>
          <w:tcPr>
            <w:tcW w:type="dxa" w:w="1440"/>
            <w:shd w:fill="FAFAFA" w:val="clear"/>
          </w:tcPr>
          <w:p>
            <w:r>
              <w:rPr>
                <w:sz w:val="17"/>
              </w:rPr>
              <w:t>2,328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2026-09-15</w:t>
            </w:r>
          </w:p>
        </w:tc>
        <w:tc>
          <w:tcPr>
            <w:tcW w:type="dxa" w:w="1440"/>
            <w:shd w:fill="FAFAFA" w:val="clear"/>
          </w:tcPr>
          <w:p>
            <w:r>
              <w:rPr>
                <w:sz w:val="17"/>
              </w:rPr>
              <w:t>1,862</w:t>
            </w:r>
          </w:p>
        </w:tc>
        <w:tc>
          <w:tcPr>
            <w:tcW w:type="dxa" w:w="1440"/>
            <w:shd w:fill="FAFAFA" w:val="clear"/>
          </w:tcPr>
          <w:p>
            <w:r>
              <w:rPr>
                <w:b/>
                <w:sz w:val="17"/>
              </w:rPr>
              <w:t>2,104</w:t>
            </w:r>
          </w:p>
        </w:tc>
        <w:tc>
          <w:tcPr>
            <w:tcW w:type="dxa" w:w="1440"/>
            <w:shd w:fill="FAFAFA" w:val="clear"/>
          </w:tcPr>
          <w:p>
            <w:r>
              <w:rPr>
                <w:sz w:val="17"/>
              </w:rPr>
              <w:t>2,345</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2026-09-16</w:t>
            </w:r>
          </w:p>
        </w:tc>
        <w:tc>
          <w:tcPr>
            <w:tcW w:type="dxa" w:w="1440"/>
            <w:shd w:fill="FAFAFA" w:val="clear"/>
          </w:tcPr>
          <w:p>
            <w:r>
              <w:rPr>
                <w:sz w:val="17"/>
              </w:rPr>
              <w:t>1,839</w:t>
            </w:r>
          </w:p>
        </w:tc>
        <w:tc>
          <w:tcPr>
            <w:tcW w:type="dxa" w:w="1440"/>
            <w:shd w:fill="FAFAFA" w:val="clear"/>
          </w:tcPr>
          <w:p>
            <w:r>
              <w:rPr>
                <w:b/>
                <w:sz w:val="17"/>
              </w:rPr>
              <w:t>2,100</w:t>
            </w:r>
          </w:p>
        </w:tc>
        <w:tc>
          <w:tcPr>
            <w:tcW w:type="dxa" w:w="1440"/>
            <w:shd w:fill="FAFAFA" w:val="clear"/>
          </w:tcPr>
          <w:p>
            <w:r>
              <w:rPr>
                <w:sz w:val="17"/>
              </w:rPr>
              <w:t>2,361</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2026-09-17</w:t>
            </w:r>
          </w:p>
        </w:tc>
        <w:tc>
          <w:tcPr>
            <w:tcW w:type="dxa" w:w="1440"/>
            <w:shd w:fill="FAFAFA" w:val="clear"/>
          </w:tcPr>
          <w:p>
            <w:r>
              <w:rPr>
                <w:sz w:val="17"/>
              </w:rPr>
              <w:t>1,818</w:t>
            </w:r>
          </w:p>
        </w:tc>
        <w:tc>
          <w:tcPr>
            <w:tcW w:type="dxa" w:w="1440"/>
            <w:shd w:fill="FAFAFA" w:val="clear"/>
          </w:tcPr>
          <w:p>
            <w:r>
              <w:rPr>
                <w:b/>
                <w:sz w:val="17"/>
              </w:rPr>
              <w:t>2,097</w:t>
            </w:r>
          </w:p>
        </w:tc>
        <w:tc>
          <w:tcPr>
            <w:tcW w:type="dxa" w:w="1440"/>
            <w:shd w:fill="FAFAFA" w:val="clear"/>
          </w:tcPr>
          <w:p>
            <w:r>
              <w:rPr>
                <w:sz w:val="17"/>
              </w:rPr>
              <w:t>2,375</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2026-09-18</w:t>
            </w:r>
          </w:p>
        </w:tc>
        <w:tc>
          <w:tcPr>
            <w:tcW w:type="dxa" w:w="1440"/>
            <w:shd w:fill="FAFAFA" w:val="clear"/>
          </w:tcPr>
          <w:p>
            <w:r>
              <w:rPr>
                <w:sz w:val="17"/>
              </w:rPr>
              <w:t>1,799</w:t>
            </w:r>
          </w:p>
        </w:tc>
        <w:tc>
          <w:tcPr>
            <w:tcW w:type="dxa" w:w="1440"/>
            <w:shd w:fill="FAFAFA" w:val="clear"/>
          </w:tcPr>
          <w:p>
            <w:r>
              <w:rPr>
                <w:b/>
                <w:sz w:val="17"/>
              </w:rPr>
              <w:t>2,093</w:t>
            </w:r>
          </w:p>
        </w:tc>
        <w:tc>
          <w:tcPr>
            <w:tcW w:type="dxa" w:w="1440"/>
            <w:shd w:fill="FAFAFA" w:val="clear"/>
          </w:tcPr>
          <w:p>
            <w:r>
              <w:rPr>
                <w:sz w:val="17"/>
              </w:rPr>
              <w:t>2,388</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2026-09-21</w:t>
            </w:r>
          </w:p>
        </w:tc>
        <w:tc>
          <w:tcPr>
            <w:tcW w:type="dxa" w:w="1440"/>
            <w:shd w:fill="FAFAFA" w:val="clear"/>
          </w:tcPr>
          <w:p>
            <w:r>
              <w:rPr>
                <w:sz w:val="17"/>
              </w:rPr>
              <w:t>1,780</w:t>
            </w:r>
          </w:p>
        </w:tc>
        <w:tc>
          <w:tcPr>
            <w:tcW w:type="dxa" w:w="1440"/>
            <w:shd w:fill="FAFAFA" w:val="clear"/>
          </w:tcPr>
          <w:p>
            <w:r>
              <w:rPr>
                <w:b/>
                <w:sz w:val="17"/>
              </w:rPr>
              <w:t>2,090</w:t>
            </w:r>
          </w:p>
        </w:tc>
        <w:tc>
          <w:tcPr>
            <w:tcW w:type="dxa" w:w="1440"/>
            <w:shd w:fill="FAFAFA" w:val="clear"/>
          </w:tcPr>
          <w:p>
            <w:r>
              <w:rPr>
                <w:sz w:val="17"/>
              </w:rPr>
              <w:t>2,400</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13,94 milliards FCFA, un niveau modeste sur la BRVM qui reflète la taille moyenne de l'entreprise dans le secteur de la distribution de matériaux. Le BPA de 3 FCFA par action est extrêmement faible, traduisant une capacité bénéficiaire très limitée. Le PER de 624,8x est considérablement supérieur à la moyenne du marché BRVM (8-12x), indiquant une valorisation extrêmement exigeante qui ne se justifie pas par les bénéfices actuels. En revanche, le P/B de 0,78x signale que le marché valorise l'action en dessous de sa valeur comptable, ce qui pourrait représenter une opportunité pour les investisseurs à long terme si les actifs sont de qualité. L'EV/EBITDA de 24,6x, bien au-dessus du seuil de 15x, confirme que la valeur d'entreprise est très élevée par rapport à la capacité opérationnelle, suggérant une surévaluation relative du titre sur le plan fondamental.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remarquable de +35,81%, passant d'un plus bas de 1 300 FCFA à un plus haut de 2 400 FCFA, avant de se stabiliser autour de 2 105 FCFA. La dernière séance montre un repli de -3,22%, signalant une possible consolidation après ce rallye haussier. La moyenne du cours sur la période (1 816 FCFA) est inférieure à la médiane (1 880 FCFA), indiquant une distribution légèrement asymétrique avec des valeurs extrêmes à la hausse. L'écart-type de 243 FCFA (CV=13,4%) révèle une dispersion modérée des prix autour de la moyenne. Le kurtosis de -0,672 (mésokurtique) suggère l'absence de risques de pics extrêmes, tandis que le skewness de -0,087 confirme une distribution quasi symétrique. La volatilité annualisée de 51,3% classe BNBC parmi les titres à très haute volatilité, ce qui implique un risque significatif pour les investisseurs malgré la tendance haussière observée.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2 105 FCFA se positionne au-dessus de la MM20 (2 097,5 FCFA) et nettement au-dessus de la MM50 (1 989,7 FCFA), confirmant une tendance haussière à moyen terme. L'écart positif entre le prix et les moyennes mobiles valide la dynamique positive, justifiant la décision d'achat.</w:t>
      </w:r>
    </w:p>
    <w:p>
      <w:pPr>
        <w:spacing w:after="120" w:line="276" w:lineRule="auto"/>
      </w:pPr>
      <w:r>
        <w:t>**Bandes de Bollinger :** Le prix se situe à 2 105 FCFA, entre la borne supérieure (2 384,82 FCFA) et la borne inférieure (1 810,18 FCFA), dans la zone médiane du canal. Cette position neutre indique une volatilité modérée sans signal directionnel fort, d'où la décision neutre.</w:t>
      </w:r>
    </w:p>
    <w:p>
      <w:pPr>
        <w:spacing w:after="120" w:line="276" w:lineRule="auto"/>
      </w:pPr>
      <w:r>
        <w:t>**MACD :** La valeur du MACD (73,656) est légèrement inférieure à son signal (74,028), suggérant un affaiblissement du momentum haussier. Cette divergence négative, bien que minime, indique une possible correction à court terme, justifiant la décision de vente.</w:t>
      </w:r>
    </w:p>
    <w:p>
      <w:pPr>
        <w:spacing w:after="120" w:line="276" w:lineRule="auto"/>
      </w:pPr>
      <w:r>
        <w:t>**RSI :** À 58,219, le RSI se situe dans la zone neutre (30-70), sans signal de surachat ni de survente. Cette valeur indique que le titre dispose encore d'une marge de progression avant d'atteindre des conditions de surachat, d'où la décision neutre.</w:t>
      </w:r>
    </w:p>
    <w:p>
      <w:pPr>
        <w:spacing w:after="120" w:line="276" w:lineRule="auto"/>
      </w:pPr>
      <w:r>
        <w:t>**Stochastique :** Le %K (28,049) est inférieur au %D (41,88), indiquant une dynamique baissière à court terme. Le croisement potentiel des deux lignes pourrait signaler un retournement, mais la configuration actuelle reste neutre.</w:t>
      </w:r>
    </w:p>
    <w:p>
      <w:pPr>
        <w:spacing w:after="120" w:line="276" w:lineRule="auto"/>
      </w:pPr>
      <w:r>
        <w:t>**Conclusion technique :** Les indicateurs techniques présentent un signal mitigé avec une prédominance de la tendance haussière (MM) mais des signes d'essoufflement à court terme (MACD, Stochastique). La prudence est recommandée dans l'attente d'une confirmation directionnelle claire.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avec un résultat net de seulement 22,32 millions FCFA, soit une marge nette de 0,05%. Le ROE s'établit à 0,13% et le ROA à 0,05%, des niveaux extrêmement faibles qui traduisent une rentabilité anémique. Le BFR de 29,373 milliards FCFA est particulièrement préoccupant, avec un délai clients de 104 jours et une durée de stockage de 339 jours, indiquant une immobilisation importante de capital. La trésorerie nette est fortement négative à -16,689 milliards FCFA, créant un risque de liquidité majeur. Le rapport du T1 2026 (daté du 31 décembre 2026) montre un chiffre d'affaires stable à 11,194 milliards FCFA (-0,12%) mais un retour à un résultat net positif de 65,57 millions FCFA, contre une perte de -16,15 millions au T1 2025, soit une amélioration de +506%. Cette performance est attribuée à l'intégration de la division Équipement, encore en phase de montée en puissance. Sur la base de ce trimestre, on estime que l'exercice 2026 pourrait générer un résultat net annuel compris entre 200 et 300 millions FCFA si la tendance se maintient, mais la prudence reste de mise compte tenu de la faiblesse structurelle de la rentabilité et des défis de trésorerie persistants.</w:t>
      </w:r>
    </w:p>
    <w:p>
      <w:pPr>
        <w:spacing w:after="120" w:line="276" w:lineRule="auto"/>
      </w:pPr>
      <w:r>
        <w:t>---</w:t>
      </w:r>
    </w:p>
    <w:p>
      <w:pPr>
        <w:spacing w:after="120" w:line="276" w:lineRule="auto"/>
      </w:pPr>
      <w:r>
        <w:t>### PARTIE 4 : CONCLUSION D'INVESTISSEMENT</w:t>
      </w:r>
    </w:p>
    <w:p>
      <w:pPr>
        <w:spacing w:after="120" w:line="276" w:lineRule="auto"/>
      </w:pPr>
      <w:r>
        <w:t>La valorisation de BNBC présente une contradiction majeure : un PER extrêmement élevé (624,8x) suggère une surévaluation, tandis que le P/B de 0,78x indique une décote par rapport à l'actif net comptable. Le comportement du cours montre une tendance haussière de +35,81% sur 100 jours, mais avec une volatilité très élevée (51,3%) qui expose à des retournements brutaux. Les signaux techniques sont mitigés, avec des moyennes mobiles haussières mais un MACD et un Stochastique en perte de vitesse. Fondamentalement, l'entreprise affiche une rentabilité quasi nulle (ROE de 0,13%) et une trésorerie fortement négative, malgré des capitaux propres solides de 17,77 milliards FCFA. Les prédictions IA pour les 10 prochains jours (2 121 à 2 107 FCFA) suggèrent une stabilisation du cours autour de 2 100-2 120 FCFA, confirmant la phase de consolidation technique. La recommandation finale est **CONSERVER**, avec un niveau de confiance **Moyen** et un risque global **Élevé**. L'horizon d'investissement optimal serait le **moyen terme (3-12 mois)**, en attendant une confirmation de l'amélioration de la rentabilité à travers les prochains rapports trimestriels et une résolution des problèmes de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5,979 titres</w:t>
            </w:r>
          </w:p>
        </w:tc>
        <w:tc>
          <w:tcPr>
            <w:tcW w:type="dxa" w:w="2268"/>
            <w:shd w:fill="FFF2CC" w:val="clear"/>
          </w:tcPr>
          <w:p>
            <w:r>
              <w:rPr>
                <w:b/>
                <w:color w:val="503200"/>
                <w:sz w:val="16"/>
              </w:rPr>
              <w:t xml:space="preserve">Cours actuel : </w:t>
            </w:r>
            <w:r>
              <w:rPr>
                <w:color w:val="000000"/>
                <w:sz w:val="17"/>
              </w:rPr>
              <w:t>10,240 FCFA</w:t>
            </w:r>
          </w:p>
          <w:p>
            <w:r>
              <w:rPr>
                <w:b/>
                <w:color w:val="503200"/>
                <w:sz w:val="16"/>
              </w:rPr>
              <w:t xml:space="preserve">Var. 100 jours : </w:t>
            </w:r>
            <w:r>
              <w:rPr>
                <w:b/>
                <w:color w:val="007800"/>
                <w:sz w:val="17"/>
              </w:rPr>
              <w:t>+37.45%</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6.58% (Moyenne) — μ=8,942 FCFA, σ=589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β=-0.3481 (Contre-cyclique) — Cov=-0.000013, Var(idx)=0.000037, ρ=-0.123,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9,467</w:t>
            </w:r>
          </w:p>
        </w:tc>
        <w:tc>
          <w:tcPr>
            <w:tcW w:type="dxa" w:w="1440"/>
            <w:shd w:fill="FFDCE0" w:val="clear"/>
          </w:tcPr>
          <w:p>
            <w:r>
              <w:rPr>
                <w:b/>
                <w:sz w:val="17"/>
              </w:rPr>
              <w:t>9,806</w:t>
            </w:r>
          </w:p>
        </w:tc>
        <w:tc>
          <w:tcPr>
            <w:tcW w:type="dxa" w:w="1440"/>
            <w:shd w:fill="FFDCE0" w:val="clear"/>
          </w:tcPr>
          <w:p>
            <w:r>
              <w:rPr>
                <w:sz w:val="17"/>
              </w:rPr>
              <w:t>10,145</w:t>
            </w:r>
          </w:p>
        </w:tc>
        <w:tc>
          <w:tcPr>
            <w:tcW w:type="dxa" w:w="1440"/>
            <w:shd w:fill="FFDCE0" w:val="clear"/>
          </w:tcPr>
          <w:p>
            <w:r>
              <w:rPr>
                <w:b/>
                <w:color w:val="C00000"/>
                <w:sz w:val="17"/>
              </w:rPr>
              <w:t>-4.2%</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9,094</w:t>
            </w:r>
          </w:p>
        </w:tc>
        <w:tc>
          <w:tcPr>
            <w:tcW w:type="dxa" w:w="1440"/>
            <w:shd w:fill="FFDCE0" w:val="clear"/>
          </w:tcPr>
          <w:p>
            <w:r>
              <w:rPr>
                <w:b/>
                <w:sz w:val="17"/>
              </w:rPr>
              <w:t>9,562</w:t>
            </w:r>
          </w:p>
        </w:tc>
        <w:tc>
          <w:tcPr>
            <w:tcW w:type="dxa" w:w="1440"/>
            <w:shd w:fill="FFDCE0" w:val="clear"/>
          </w:tcPr>
          <w:p>
            <w:r>
              <w:rPr>
                <w:sz w:val="17"/>
              </w:rPr>
              <w:t>10,030</w:t>
            </w:r>
          </w:p>
        </w:tc>
        <w:tc>
          <w:tcPr>
            <w:tcW w:type="dxa" w:w="1440"/>
            <w:shd w:fill="FFDCE0" w:val="clear"/>
          </w:tcPr>
          <w:p>
            <w:r>
              <w:rPr>
                <w:b/>
                <w:color w:val="C00000"/>
                <w:sz w:val="17"/>
              </w:rPr>
              <w:t>-6.6%</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8,797</w:t>
            </w:r>
          </w:p>
        </w:tc>
        <w:tc>
          <w:tcPr>
            <w:tcW w:type="dxa" w:w="1440"/>
            <w:shd w:fill="FFDCE0" w:val="clear"/>
          </w:tcPr>
          <w:p>
            <w:r>
              <w:rPr>
                <w:b/>
                <w:sz w:val="17"/>
              </w:rPr>
              <w:t>9,358</w:t>
            </w:r>
          </w:p>
        </w:tc>
        <w:tc>
          <w:tcPr>
            <w:tcW w:type="dxa" w:w="1440"/>
            <w:shd w:fill="FFDCE0" w:val="clear"/>
          </w:tcPr>
          <w:p>
            <w:r>
              <w:rPr>
                <w:sz w:val="17"/>
              </w:rPr>
              <w:t>9,919</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8,557</w:t>
            </w:r>
          </w:p>
        </w:tc>
        <w:tc>
          <w:tcPr>
            <w:tcW w:type="dxa" w:w="1440"/>
            <w:shd w:fill="FFDCE0" w:val="clear"/>
          </w:tcPr>
          <w:p>
            <w:r>
              <w:rPr>
                <w:b/>
                <w:sz w:val="17"/>
              </w:rPr>
              <w:t>9,193</w:t>
            </w:r>
          </w:p>
        </w:tc>
        <w:tc>
          <w:tcPr>
            <w:tcW w:type="dxa" w:w="1440"/>
            <w:shd w:fill="FFDCE0" w:val="clear"/>
          </w:tcPr>
          <w:p>
            <w:r>
              <w:rPr>
                <w:sz w:val="17"/>
              </w:rPr>
              <w:t>9,830</w:t>
            </w:r>
          </w:p>
        </w:tc>
        <w:tc>
          <w:tcPr>
            <w:tcW w:type="dxa" w:w="1440"/>
            <w:shd w:fill="FFDCE0" w:val="clear"/>
          </w:tcPr>
          <w:p>
            <w:r>
              <w:rPr>
                <w:b/>
                <w:color w:val="C00000"/>
                <w:sz w:val="17"/>
              </w:rPr>
              <w:t>-10.2%</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8,347</w:t>
            </w:r>
          </w:p>
        </w:tc>
        <w:tc>
          <w:tcPr>
            <w:tcW w:type="dxa" w:w="1440"/>
            <w:shd w:fill="FFDCE0" w:val="clear"/>
          </w:tcPr>
          <w:p>
            <w:r>
              <w:rPr>
                <w:b/>
                <w:sz w:val="17"/>
              </w:rPr>
              <w:t>9,047</w:t>
            </w:r>
          </w:p>
        </w:tc>
        <w:tc>
          <w:tcPr>
            <w:tcW w:type="dxa" w:w="1440"/>
            <w:shd w:fill="FFDCE0" w:val="clear"/>
          </w:tcPr>
          <w:p>
            <w:r>
              <w:rPr>
                <w:sz w:val="17"/>
              </w:rPr>
              <w:t>9,748</w:t>
            </w:r>
          </w:p>
        </w:tc>
        <w:tc>
          <w:tcPr>
            <w:tcW w:type="dxa" w:w="1440"/>
            <w:shd w:fill="FFDCE0" w:val="clear"/>
          </w:tcPr>
          <w:p>
            <w:r>
              <w:rPr>
                <w:b/>
                <w:color w:val="C00000"/>
                <w:sz w:val="17"/>
              </w:rPr>
              <w:t>-11.6%</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8,157</w:t>
            </w:r>
          </w:p>
        </w:tc>
        <w:tc>
          <w:tcPr>
            <w:tcW w:type="dxa" w:w="1440"/>
            <w:shd w:fill="FFDCE0" w:val="clear"/>
          </w:tcPr>
          <w:p>
            <w:r>
              <w:rPr>
                <w:b/>
                <w:sz w:val="17"/>
              </w:rPr>
              <w:t>8,913</w:t>
            </w:r>
          </w:p>
        </w:tc>
        <w:tc>
          <w:tcPr>
            <w:tcW w:type="dxa" w:w="1440"/>
            <w:shd w:fill="FFDCE0" w:val="clear"/>
          </w:tcPr>
          <w:p>
            <w:r>
              <w:rPr>
                <w:sz w:val="17"/>
              </w:rPr>
              <w:t>9,668</w:t>
            </w:r>
          </w:p>
        </w:tc>
        <w:tc>
          <w:tcPr>
            <w:tcW w:type="dxa" w:w="1440"/>
            <w:shd w:fill="FFDCE0" w:val="clear"/>
          </w:tcPr>
          <w:p>
            <w:r>
              <w:rPr>
                <w:b/>
                <w:color w:val="C00000"/>
                <w:sz w:val="17"/>
              </w:rPr>
              <w:t>-13.0%</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7,982</w:t>
            </w:r>
          </w:p>
        </w:tc>
        <w:tc>
          <w:tcPr>
            <w:tcW w:type="dxa" w:w="1440"/>
            <w:shd w:fill="FFDCE0" w:val="clear"/>
          </w:tcPr>
          <w:p>
            <w:r>
              <w:rPr>
                <w:b/>
                <w:sz w:val="17"/>
              </w:rPr>
              <w:t>8,787</w:t>
            </w:r>
          </w:p>
        </w:tc>
        <w:tc>
          <w:tcPr>
            <w:tcW w:type="dxa" w:w="1440"/>
            <w:shd w:fill="FFDCE0" w:val="clear"/>
          </w:tcPr>
          <w:p>
            <w:r>
              <w:rPr>
                <w:sz w:val="17"/>
              </w:rPr>
              <w:t>9,591</w:t>
            </w:r>
          </w:p>
        </w:tc>
        <w:tc>
          <w:tcPr>
            <w:tcW w:type="dxa" w:w="1440"/>
            <w:shd w:fill="FFDCE0" w:val="clear"/>
          </w:tcPr>
          <w:p>
            <w:r>
              <w:rPr>
                <w:b/>
                <w:color w:val="C00000"/>
                <w:sz w:val="17"/>
              </w:rPr>
              <w:t>-14.2%</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7,820</w:t>
            </w:r>
          </w:p>
        </w:tc>
        <w:tc>
          <w:tcPr>
            <w:tcW w:type="dxa" w:w="1440"/>
            <w:shd w:fill="FFDCE0" w:val="clear"/>
          </w:tcPr>
          <w:p>
            <w:r>
              <w:rPr>
                <w:b/>
                <w:sz w:val="17"/>
              </w:rPr>
              <w:t>8,668</w:t>
            </w:r>
          </w:p>
        </w:tc>
        <w:tc>
          <w:tcPr>
            <w:tcW w:type="dxa" w:w="1440"/>
            <w:shd w:fill="FFDCE0" w:val="clear"/>
          </w:tcPr>
          <w:p>
            <w:r>
              <w:rPr>
                <w:sz w:val="17"/>
              </w:rPr>
              <w:t>9,517</w:t>
            </w:r>
          </w:p>
        </w:tc>
        <w:tc>
          <w:tcPr>
            <w:tcW w:type="dxa" w:w="1440"/>
            <w:shd w:fill="FFDCE0" w:val="clear"/>
          </w:tcPr>
          <w:p>
            <w:r>
              <w:rPr>
                <w:b/>
                <w:color w:val="C00000"/>
                <w:sz w:val="17"/>
              </w:rPr>
              <w:t>-15.3%</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7,669</w:t>
            </w:r>
          </w:p>
        </w:tc>
        <w:tc>
          <w:tcPr>
            <w:tcW w:type="dxa" w:w="1440"/>
            <w:shd w:fill="FFDCE0" w:val="clear"/>
          </w:tcPr>
          <w:p>
            <w:r>
              <w:rPr>
                <w:b/>
                <w:sz w:val="17"/>
              </w:rPr>
              <w:t>8,558</w:t>
            </w:r>
          </w:p>
        </w:tc>
        <w:tc>
          <w:tcPr>
            <w:tcW w:type="dxa" w:w="1440"/>
            <w:shd w:fill="FFDCE0" w:val="clear"/>
          </w:tcPr>
          <w:p>
            <w:r>
              <w:rPr>
                <w:sz w:val="17"/>
              </w:rPr>
              <w:t>9,446</w:t>
            </w:r>
          </w:p>
        </w:tc>
        <w:tc>
          <w:tcPr>
            <w:tcW w:type="dxa" w:w="1440"/>
            <w:shd w:fill="FFDCE0" w:val="clear"/>
          </w:tcPr>
          <w:p>
            <w:r>
              <w:rPr>
                <w:b/>
                <w:color w:val="C00000"/>
                <w:sz w:val="17"/>
              </w:rPr>
              <w:t>-16.4%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7,528</w:t>
            </w:r>
          </w:p>
        </w:tc>
        <w:tc>
          <w:tcPr>
            <w:tcW w:type="dxa" w:w="1440"/>
            <w:shd w:fill="FFDCE0" w:val="clear"/>
          </w:tcPr>
          <w:p>
            <w:r>
              <w:rPr>
                <w:b/>
                <w:sz w:val="17"/>
              </w:rPr>
              <w:t>8,453</w:t>
            </w:r>
          </w:p>
        </w:tc>
        <w:tc>
          <w:tcPr>
            <w:tcW w:type="dxa" w:w="1440"/>
            <w:shd w:fill="FFDCE0" w:val="clear"/>
          </w:tcPr>
          <w:p>
            <w:r>
              <w:rPr>
                <w:sz w:val="17"/>
              </w:rPr>
              <w:t>9,378</w:t>
            </w:r>
          </w:p>
        </w:tc>
        <w:tc>
          <w:tcPr>
            <w:tcW w:type="dxa" w:w="1440"/>
            <w:shd w:fill="FFDCE0" w:val="clear"/>
          </w:tcPr>
          <w:p>
            <w:r>
              <w:rPr>
                <w:b/>
                <w:color w:val="C00000"/>
                <w:sz w:val="17"/>
              </w:rPr>
              <w:t>-17.5%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structuré et professionnel pour l'action BOAB,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415,35 milliards FCFA, ce qui en fait une valeur de première importance sur la BRVM, probablement l'une des plus fortes capitalisations du marché. Avec un BPA de 496 FCFA, le titre se négocie à un PER de 20,7x, un niveau nettement supérieur à la moyenne historique de la BRVM (8-12x). Ce ratio élevé suggère que le marché anticipe une croissance future des bénéfices, mais expose également le titre à un risque de correction si ces attentes ne sont pas satisfaites. Le P/B de 3,53x confirme cette prime, le marché valorisant la banque bien au-delà de sa valeur comptable (2-4x étant déjà une prime de croissance). Enfin, l'EV/EBITDA de 20,9x (&gt;15x) est très exigeant, indiquant que la valeur totale de l'entreprise (capitalisation + dette) est élevée par rapport à sa capacité opérationnelle à générer du cash. Ces ratios, dans leur ensemble, pointent vers une valorisation qui intègre déjà des perspectives de croissance soutenues.</w:t>
      </w:r>
    </w:p>
    <w:p>
      <w:pPr>
        <w:spacing w:after="120" w:line="276" w:lineRule="auto"/>
      </w:pPr>
      <w:r>
        <w:t>### PARTIE 1 : ANALYSE DU COURS — STATISTIQUES ET ÉVOLUTION (100 derniers jours)</w:t>
      </w:r>
    </w:p>
    <w:p>
      <w:pPr>
        <w:spacing w:after="120" w:line="276" w:lineRule="auto"/>
      </w:pPr>
      <w:r>
        <w:t>Sur les 100 derniers jours, l'action BOAB a connu une progression spectaculaire de +37,45%, passant d'un plus bas de 7 400 FCFA à un plus haut de 10 350 FCFA, pour clôturer à 10 240 FCFA. La légère baisse de -0,58% lors de la dernière séance pourrait marquer une pause après une forte ascension. La moyenne (8 942 FCFA) étant inférieure à la médiane (8 818 FCFA) et au cours actuel, cela confirme une distribution asymétrique positive (skewness de 0.440), avec une concentration des prix vers le bas de la fourchette et une queue de distribution vers les sommets. L'écart-type de 592 FCFA (CV=6,6%) indique une dispersion modérée autour de la moyenne. Le kurtosis proche de 1 (0.958) suggère une distribution mésokurtique, avec un risque de mouvements extrêmes similaire à une distribution normale. La volatilité annualisée de 27,1% classe le titre dans la catégorie des valeurs à volatilité modérée à élevée, ce qui est cohérent avec la forte tendance haussière observée.</w:t>
      </w:r>
    </w:p>
    <w:p>
      <w:pPr>
        <w:spacing w:after="120" w:line="276" w:lineRule="auto"/>
      </w:pPr>
      <w:r>
        <w:t>### PARTIE 2 : ANALYSE TECHNIQUE DÉTAILLÉE</w:t>
      </w:r>
    </w:p>
    <w:p>
      <w:pPr>
        <w:spacing w:after="120" w:line="276" w:lineRule="auto"/>
      </w:pPr>
      <w:r>
        <w:t>**Moyennes Mobiles:** Le cours actuel (10 240 FCFA) est nettement au-dessus de sa MM20 (9 616,25 FCFA) et de sa MM50 (9 128,3 FCFA). Cette configuration haussière, où les moyennes mobiles sont orientées à la hausse, confirme la solidité de la tendance de fond. La décision "Achat" est justifiée par cette dynamique positive.</w:t>
      </w:r>
    </w:p>
    <w:p>
      <w:pPr>
        <w:spacing w:after="120" w:line="276" w:lineRule="auto"/>
      </w:pPr>
      <w:r>
        <w:t>**Bandes de Bollinger:** Le cours se situe à 10 240 FCFA, en dessous de la borne supérieure (11 021,86 FCFA) mais bien au-dessus de la borne inférieure (8 210,64 FCFA). La position dans la moitié supérieure des bandes indique une pression acheteuse persistante. La décision "Neutre" suggère que le marché n'est pas encore en situation de surachat extrême, mais la proximité de la borne supérieure appelle à la prudence.</w:t>
      </w:r>
    </w:p>
    <w:p>
      <w:pPr>
        <w:spacing w:after="120" w:line="276" w:lineRule="auto"/>
      </w:pPr>
      <w:r>
        <w:t>**MACD:** Le MACD (402,031) est nettement supérieur à son signal (354,036), et les deux sont positifs. Cette configuration est un signal classique d'achat, indiquant que le momentum haussier est fort et s'accélère. La décision "Achat" est donc cohérente avec la dynamique positive des moyennes mobiles.</w:t>
      </w:r>
    </w:p>
    <w:p>
      <w:pPr>
        <w:spacing w:after="120" w:line="276" w:lineRule="auto"/>
      </w:pPr>
      <w:r>
        <w:t>**RSI:** Le RSI est à 74,324, ce qui place le titre en zone de surachat (au-dessus de 70). Cela signifie que le mouvement haussier a été rapide et que le titre est techniquement "surchauffé". La décision "Vente" est un signal de prudence, suggérant qu'un repli technique ou une consolidation est probable à court terme pour "digérer" cette surchauffe.</w:t>
      </w:r>
    </w:p>
    <w:p>
      <w:pPr>
        <w:spacing w:after="120" w:line="276" w:lineRule="auto"/>
      </w:pPr>
      <w:r>
        <w:t>**Stochastique:** Le %K (91,2) et le %D (95,991) sont tous deux à des niveaux extrêmement élevés, bien au-delà de la zone de surachat (80). Bien que le %K soit inférieur au %D, ce qui pourrait indiquer un début de retournement, les deux valeurs restent très élevées. La décision "Vente" est justifiée par ces conditions de surachat extrême, qui précèdent souvent une correction.</w:t>
      </w:r>
    </w:p>
    <w:p>
      <w:pPr>
        <w:spacing w:after="120" w:line="276" w:lineRule="auto"/>
      </w:pPr>
      <w:r>
        <w:t>**Conclusion technique:** Les indicateurs de tendance (MM, MACD) sont résolument haussiers, mais les oscillateurs de momentum (RSI, Stochastique) sont en zone de surachat critique. Cette divergence est un signal fort de prudence. La tendance de fond reste positive, mais le risque d'un repli technique à court terme est élevé. La décision "Neutre" des bandes de Bollinger renforce cette idée d'une possible phase de consolidation avant la poursuite de la tendance.</w:t>
      </w:r>
    </w:p>
    <w:p>
      <w:pPr>
        <w:spacing w:after="120" w:line="276" w:lineRule="auto"/>
      </w:pPr>
      <w:r>
        <w:t>### PARTIE 3 : ANALYSE FONDAMENTALE (SECTION CRITIQUE)</w:t>
      </w:r>
    </w:p>
    <w:p>
      <w:pPr>
        <w:spacing w:after="120" w:line="276" w:lineRule="auto"/>
      </w:pPr>
      <w:r>
        <w:t>En 2025, les données financières structurées de BOAB font état d'un Produit Net Bancaire (PNB) de 51,274 milliards FCFA et d'un résultat net de 20,107 milliards FCFA. La banque affiche une rentabilité financière (ROE) de 17,11%, un niveau jugé excellent (&gt;15%), et une rentabilité économique (ROA) de 2,08%. Le coefficient d'exploitation de 49,53% témoigne d'une excellente maîtrise des charges, un point fort pour une banque. Le ratio de transformation est sain, avec des dépôts clients (711,642 Mds FCFA) qui financent largement les crédits à la clientèle (391,724 Mds FCFA). Cependant, le coût du risque, à 22,50% des charges financières, est un point de vigilance. Les rapports trimestriels de 2025 confirment cette dynamique : le T3 2025 (rapport du 30/09/2025) montre un PNB en hausse de 9% et un résultat net en progression de 13% sur un an, malgré une contraction du bilan. Le rapport du S1 2025 (30/06/2025) indiquait déjà une amélioration du coefficient d'exploitation à 46,1%. Enfin, le rapport du T1 2026 (daté de 2026) confirme la tendance avec un PNB en hausse de 11% à 12,329 milliards FCFA, porté par les commissions (+18,9%). Sur la base de ces rapports trimestriels, on estime que l'exercice 2026 devrait voir une nouvelle progression du PNB et du résultat net, portée par la croissance des revenus de services et une gestion rigoureuse des coûts. La banque semble avoir réussi à améliorer sa rentabilité en privilégiant la qualité à la croissance volumique, malgré un contexte de contraction de ses crédits et dépôts.</w:t>
      </w:r>
    </w:p>
    <w:p>
      <w:pPr>
        <w:spacing w:after="120" w:line="276" w:lineRule="auto"/>
      </w:pPr>
      <w:r>
        <w:t>### PARTIE 4 : CONCLUSION D'INVESTISSEMENT</w:t>
      </w:r>
    </w:p>
    <w:p>
      <w:pPr>
        <w:spacing w:after="120" w:line="276" w:lineRule="auto"/>
      </w:pPr>
      <w:r>
        <w:t>La valorisation de BOAB (PER 20,7x, P/B 3,53x) est exigeante, intégrant des attentes de croissance fortes. Le comportement du cours sur 100 jours est très haussier, mais la volatilité (27,1%) et les statistiques suggèrent un risque de retournement après une telle progression. Les signaux techniques sont contradictoires : la tendance (MM, MACD) est positive, mais les oscillateurs (RSI, Stochastique) crient au surachat, annonçant probablement une consolidation à court terme. Les fondamentaux, eux, sont solides, avec une banque performante (ROE &gt;17%, coefficient d'exploitation &lt;50%) et des perspectives de croissance des revenus confirmées par les rapports trimestriels de 2025 et 2026. Les prédictions IA pour les 10 prochains jours (baisse de 10 240 à 9 047 FCFA) confirment l'analyse technique d'un repli imminent. La convergence entre les signaux de surachat technique, la valorisation élevée et les prédictions IA suggère une pause dans la tendance haussière. Par conséquent, la recommandation est de **CONSERVER** le titre pour les investisseurs déjà en position, et d'attendre un repli technique vers les 9 000-9 500 FCFA pour les nouveaux entrants. Le niveau de confiance est **Moyen** et le risque global est **Élevé** à court terme en raison de la surchauffe technique. L'horizon d'investissement optimal serait le **moyen terme (3-12 mois)**, après une phase de correction, pour profiter de la solidité des fondamentaux.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6,833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+56.69%</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17.28% (Élevée) — μ=6,346 FCFA, σ=1,097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β=0.1497 (Défensif) — Cov=0.000005, Var(idx)=0.000037, ρ=0.043,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8,215</w:t>
            </w:r>
          </w:p>
        </w:tc>
        <w:tc>
          <w:tcPr>
            <w:tcW w:type="dxa" w:w="1440"/>
            <w:shd w:fill="FFDCE0" w:val="clear"/>
          </w:tcPr>
          <w:p>
            <w:r>
              <w:rPr>
                <w:b/>
                <w:sz w:val="17"/>
              </w:rPr>
              <w:t>8,550</w:t>
            </w:r>
          </w:p>
        </w:tc>
        <w:tc>
          <w:tcPr>
            <w:tcW w:type="dxa" w:w="1440"/>
            <w:shd w:fill="FFDCE0" w:val="clear"/>
          </w:tcPr>
          <w:p>
            <w:r>
              <w:rPr>
                <w:sz w:val="17"/>
              </w:rPr>
              <w:t>8,886</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7,837</w:t>
            </w:r>
          </w:p>
        </w:tc>
        <w:tc>
          <w:tcPr>
            <w:tcW w:type="dxa" w:w="1440"/>
            <w:shd w:fill="FFDCE0" w:val="clear"/>
          </w:tcPr>
          <w:p>
            <w:r>
              <w:rPr>
                <w:b/>
                <w:sz w:val="17"/>
              </w:rPr>
              <w:t>8,298</w:t>
            </w:r>
          </w:p>
        </w:tc>
        <w:tc>
          <w:tcPr>
            <w:tcW w:type="dxa" w:w="1440"/>
            <w:shd w:fill="FFDCE0" w:val="clear"/>
          </w:tcPr>
          <w:p>
            <w:r>
              <w:rPr>
                <w:sz w:val="17"/>
              </w:rPr>
              <w:t>8,758</w:t>
            </w:r>
          </w:p>
        </w:tc>
        <w:tc>
          <w:tcPr>
            <w:tcW w:type="dxa" w:w="1440"/>
            <w:shd w:fill="FFDCE0" w:val="clear"/>
          </w:tcPr>
          <w:p>
            <w:r>
              <w:rPr>
                <w:b/>
                <w:color w:val="C00000"/>
                <w:sz w:val="17"/>
              </w:rPr>
              <w:t>-6.8%</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7,557</w:t>
            </w:r>
          </w:p>
        </w:tc>
        <w:tc>
          <w:tcPr>
            <w:tcW w:type="dxa" w:w="1440"/>
            <w:shd w:fill="FFDCE0" w:val="clear"/>
          </w:tcPr>
          <w:p>
            <w:r>
              <w:rPr>
                <w:b/>
                <w:sz w:val="17"/>
              </w:rPr>
              <w:t>8,108</w:t>
            </w:r>
          </w:p>
        </w:tc>
        <w:tc>
          <w:tcPr>
            <w:tcW w:type="dxa" w:w="1440"/>
            <w:shd w:fill="FFDCE0" w:val="clear"/>
          </w:tcPr>
          <w:p>
            <w:r>
              <w:rPr>
                <w:sz w:val="17"/>
              </w:rPr>
              <w:t>8,660</w:t>
            </w:r>
          </w:p>
        </w:tc>
        <w:tc>
          <w:tcPr>
            <w:tcW w:type="dxa" w:w="1440"/>
            <w:shd w:fill="FFDCE0" w:val="clear"/>
          </w:tcPr>
          <w:p>
            <w:r>
              <w:rPr>
                <w:b/>
                <w:color w:val="C00000"/>
                <w:sz w:val="17"/>
              </w:rPr>
              <w:t>-8.9%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7,346</w:t>
            </w:r>
          </w:p>
        </w:tc>
        <w:tc>
          <w:tcPr>
            <w:tcW w:type="dxa" w:w="1440"/>
            <w:shd w:fill="FFDCE0" w:val="clear"/>
          </w:tcPr>
          <w:p>
            <w:r>
              <w:rPr>
                <w:b/>
                <w:sz w:val="17"/>
              </w:rPr>
              <w:t>7,972</w:t>
            </w:r>
          </w:p>
        </w:tc>
        <w:tc>
          <w:tcPr>
            <w:tcW w:type="dxa" w:w="1440"/>
            <w:shd w:fill="FFDCE0" w:val="clear"/>
          </w:tcPr>
          <w:p>
            <w:r>
              <w:rPr>
                <w:sz w:val="17"/>
              </w:rPr>
              <w:t>8,598</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7,172</w:t>
            </w:r>
          </w:p>
        </w:tc>
        <w:tc>
          <w:tcPr>
            <w:tcW w:type="dxa" w:w="1440"/>
            <w:shd w:fill="FFDCE0" w:val="clear"/>
          </w:tcPr>
          <w:p>
            <w:r>
              <w:rPr>
                <w:b/>
                <w:sz w:val="17"/>
              </w:rPr>
              <w:t>7,861</w:t>
            </w:r>
          </w:p>
        </w:tc>
        <w:tc>
          <w:tcPr>
            <w:tcW w:type="dxa" w:w="1440"/>
            <w:shd w:fill="FFDCE0" w:val="clear"/>
          </w:tcPr>
          <w:p>
            <w:r>
              <w:rPr>
                <w:sz w:val="17"/>
              </w:rPr>
              <w:t>8,551</w:t>
            </w:r>
          </w:p>
        </w:tc>
        <w:tc>
          <w:tcPr>
            <w:tcW w:type="dxa" w:w="1440"/>
            <w:shd w:fill="FFDCE0" w:val="clear"/>
          </w:tcPr>
          <w:p>
            <w:r>
              <w:rPr>
                <w:b/>
                <w:color w:val="C00000"/>
                <w:sz w:val="17"/>
              </w:rPr>
              <w:t>-11.7%</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7,016</w:t>
            </w:r>
          </w:p>
        </w:tc>
        <w:tc>
          <w:tcPr>
            <w:tcW w:type="dxa" w:w="1440"/>
            <w:shd w:fill="FFDCE0" w:val="clear"/>
          </w:tcPr>
          <w:p>
            <w:r>
              <w:rPr>
                <w:b/>
                <w:sz w:val="17"/>
              </w:rPr>
              <w:t>7,762</w:t>
            </w:r>
          </w:p>
        </w:tc>
        <w:tc>
          <w:tcPr>
            <w:tcW w:type="dxa" w:w="1440"/>
            <w:shd w:fill="FFDCE0" w:val="clear"/>
          </w:tcPr>
          <w:p>
            <w:r>
              <w:rPr>
                <w:sz w:val="17"/>
              </w:rPr>
              <w:t>8,508</w:t>
            </w:r>
          </w:p>
        </w:tc>
        <w:tc>
          <w:tcPr>
            <w:tcW w:type="dxa" w:w="1440"/>
            <w:shd w:fill="FFDCE0" w:val="clear"/>
          </w:tcPr>
          <w:p>
            <w:r>
              <w:rPr>
                <w:b/>
                <w:color w:val="C00000"/>
                <w:sz w:val="17"/>
              </w:rPr>
              <w:t>-12.8%</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6,873</w:t>
            </w:r>
          </w:p>
        </w:tc>
        <w:tc>
          <w:tcPr>
            <w:tcW w:type="dxa" w:w="1440"/>
            <w:shd w:fill="FFDCE0" w:val="clear"/>
          </w:tcPr>
          <w:p>
            <w:r>
              <w:rPr>
                <w:b/>
                <w:sz w:val="17"/>
              </w:rPr>
              <w:t>7,669</w:t>
            </w:r>
          </w:p>
        </w:tc>
        <w:tc>
          <w:tcPr>
            <w:tcW w:type="dxa" w:w="1440"/>
            <w:shd w:fill="FFDCE0" w:val="clear"/>
          </w:tcPr>
          <w:p>
            <w:r>
              <w:rPr>
                <w:sz w:val="17"/>
              </w:rPr>
              <w:t>8,465</w:t>
            </w:r>
          </w:p>
        </w:tc>
        <w:tc>
          <w:tcPr>
            <w:tcW w:type="dxa" w:w="1440"/>
            <w:shd w:fill="FFDCE0" w:val="clear"/>
          </w:tcPr>
          <w:p>
            <w:r>
              <w:rPr>
                <w:b/>
                <w:color w:val="C00000"/>
                <w:sz w:val="17"/>
              </w:rPr>
              <w:t>-13.8%</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6,738</w:t>
            </w:r>
          </w:p>
        </w:tc>
        <w:tc>
          <w:tcPr>
            <w:tcW w:type="dxa" w:w="1440"/>
            <w:shd w:fill="FFDCE0" w:val="clear"/>
          </w:tcPr>
          <w:p>
            <w:r>
              <w:rPr>
                <w:b/>
                <w:sz w:val="17"/>
              </w:rPr>
              <w:t>7,580</w:t>
            </w:r>
          </w:p>
        </w:tc>
        <w:tc>
          <w:tcPr>
            <w:tcW w:type="dxa" w:w="1440"/>
            <w:shd w:fill="FFDCE0" w:val="clear"/>
          </w:tcPr>
          <w:p>
            <w:r>
              <w:rPr>
                <w:sz w:val="17"/>
              </w:rPr>
              <w:t>8,421</w:t>
            </w:r>
          </w:p>
        </w:tc>
        <w:tc>
          <w:tcPr>
            <w:tcW w:type="dxa" w:w="1440"/>
            <w:shd w:fill="FFDCE0" w:val="clear"/>
          </w:tcPr>
          <w:p>
            <w:r>
              <w:rPr>
                <w:b/>
                <w:color w:val="C00000"/>
                <w:sz w:val="17"/>
              </w:rPr>
              <w:t>-14.8%</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6,611</w:t>
            </w:r>
          </w:p>
        </w:tc>
        <w:tc>
          <w:tcPr>
            <w:tcW w:type="dxa" w:w="1440"/>
            <w:shd w:fill="FFDCE0" w:val="clear"/>
          </w:tcPr>
          <w:p>
            <w:r>
              <w:rPr>
                <w:b/>
                <w:sz w:val="17"/>
              </w:rPr>
              <w:t>7,494</w:t>
            </w:r>
          </w:p>
        </w:tc>
        <w:tc>
          <w:tcPr>
            <w:tcW w:type="dxa" w:w="1440"/>
            <w:shd w:fill="FFDCE0" w:val="clear"/>
          </w:tcPr>
          <w:p>
            <w:r>
              <w:rPr>
                <w:sz w:val="17"/>
              </w:rPr>
              <w:t>8,376</w:t>
            </w:r>
          </w:p>
        </w:tc>
        <w:tc>
          <w:tcPr>
            <w:tcW w:type="dxa" w:w="1440"/>
            <w:shd w:fill="FFDCE0" w:val="clear"/>
          </w:tcPr>
          <w:p>
            <w:r>
              <w:rPr>
                <w:b/>
                <w:color w:val="C00000"/>
                <w:sz w:val="17"/>
              </w:rPr>
              <w:t>-15.8%</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6,491</w:t>
            </w:r>
          </w:p>
        </w:tc>
        <w:tc>
          <w:tcPr>
            <w:tcW w:type="dxa" w:w="1440"/>
            <w:shd w:fill="FFDCE0" w:val="clear"/>
          </w:tcPr>
          <w:p>
            <w:r>
              <w:rPr>
                <w:b/>
                <w:sz w:val="17"/>
              </w:rPr>
              <w:t>7,411</w:t>
            </w:r>
          </w:p>
        </w:tc>
        <w:tc>
          <w:tcPr>
            <w:tcW w:type="dxa" w:w="1440"/>
            <w:shd w:fill="FFDCE0" w:val="clear"/>
          </w:tcPr>
          <w:p>
            <w:r>
              <w:rPr>
                <w:sz w:val="17"/>
              </w:rPr>
              <w:t>8,330</w:t>
            </w:r>
          </w:p>
        </w:tc>
        <w:tc>
          <w:tcPr>
            <w:tcW w:type="dxa" w:w="1440"/>
            <w:shd w:fill="FFDCE0" w:val="clear"/>
          </w:tcPr>
          <w:p>
            <w:r>
              <w:rPr>
                <w:b/>
                <w:color w:val="C00000"/>
                <w:sz w:val="17"/>
              </w:rPr>
              <w:t>-16.7%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05 septembre 2026**</w:t>
        <w:br/>
        <w:t>**Cours de référence : 8 900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391,60 milliards FCFA, ce qui en fait l'une des valeurs significatives de la BRVM. Avec un BPA de 438 FCFA, le titre se négocie à un PER de 20,3x, nettement supérieur à la moyenne historique de la BRVM (8-12x). Ce niveau de valorisation suggère que le marché intègre des attentes de croissance future élevées, mais expose également le titre à un risque de correction si ces attentes ne se matérialisent pas. Le P/B de 3,10x confirme cette prime de croissance accordée par le marché, le cours se négociant à plus de trois fois la valeur comptable des actifs. Enfin, l'EV/EBITDA de 9,4x, bien que dans la fourchette raisonnable (5-10x), indique que la valeur totale de l'entreprise (dette incluse) reste élevée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connu une progression spectaculaire de +56,69%, passant d'un plus bas de 5 235 FCFA à un plus haut de 9 090 FCFA, avec un cours actuel de 8 900 FCFA, proche de son plus haut. La variation de +0,23% sur la dernière séance indique une stabilisation après cette forte hausse. La moyenne du cours sur la période (6 346 FCFA) est nettement inférieure à la médiane (5 688 FCFA), et le skewness positif de 1.068 confirme une distribution asymétrique avec une majorité de journées sous la moyenne, mais des épisodes de hausse très marqués. L'écart-type de 1 102 FCFA (CV=17,4%) montre une dispersion modérée, tandis que le kurtosis de 0.058 (mésokurtique) indique une distribution proche de la normale, sans risque de pics extrêmes. La volatilité annualisée de 33,6% classe le titre comme très volatil, un niveau élevé qui reflète l'ampleur du mouvement haussier récent.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(8 900 FCFA) évolue nettement au-dessus de la MM20 (8 056,75 FCFA) et de la MM50 (7 193,1 FCFA), dans une configuration de tendance haussière claire. L'écart important entre le cours et les moyennes suggère une dynamique positive soutenue, mais aussi un potentiel de consolidation. La décision d'achat est justifiée par la tendance haussière de fond.</w:t>
      </w:r>
    </w:p>
    <w:p>
      <w:pPr>
        <w:spacing w:after="120" w:line="276" w:lineRule="auto"/>
      </w:pPr>
      <w:r>
        <w:t>**Bandes de Bollinger** : Le cours se situe dans la partie supérieure des bandes, entre la borne supérieure (9 680,35 FCFA) et la moyenne. La borne supérieure n'est pas encore atteinte, ce qui laisse une marge de progression théorique. La décision neutre est cohérente avec une position qui n'est pas encore en zone de surachat extrême, mais qui nécessite une vigilance accrue.</w:t>
      </w:r>
    </w:p>
    <w:p>
      <w:pPr>
        <w:spacing w:after="120" w:line="276" w:lineRule="auto"/>
      </w:pPr>
      <w:r>
        <w:t>**MACD** : Le MACD (553,541) est nettement supérieur à son signal (500,611), avec un écart positif qui se creuse. Cette configuration indique un momentum haussier puissant et confirme la tendance de fond. La décision d'achat est justifiée par la vigueur du mouvement.</w:t>
      </w:r>
    </w:p>
    <w:p>
      <w:pPr>
        <w:spacing w:after="120" w:line="276" w:lineRule="auto"/>
      </w:pPr>
      <w:r>
        <w:t>**RSI** : Le RSI à 81,746 est en zone de surachat très prononcée (&gt;70). Cette valeur extrême signale que le titre est techniquement survendu à la hausse et qu'un repli technique est probable à court terme. La décision de vente est un signal d'alerte fort.</w:t>
      </w:r>
    </w:p>
    <w:p>
      <w:pPr>
        <w:spacing w:after="120" w:line="276" w:lineRule="auto"/>
      </w:pPr>
      <w:r>
        <w:t>**Stochastique** : Le %K (89,385) et le %D (90,206) sont tous deux en zone de surachat extrême (&gt;80). Cette configuration indique que le mouvement haussier est arrivé à son terme à court terme, avec un risque élevé de retournement. La décision de vente est justifiée.</w:t>
      </w:r>
    </w:p>
    <w:p>
      <w:pPr>
        <w:spacing w:after="120" w:line="276" w:lineRule="auto"/>
      </w:pPr>
      <w:r>
        <w:t>**Conclusion technique** : Les indicateurs de tendance (MM, MACD) sont positifs et confirment la dynamique haussière, mais les oscillateurs (RSI, Stochastique) sont en zone de surachat extrême, signalant un risque imminent de correction technique. La configuration est donc contrastée : la tendance de fond reste haussière, mais le timing d'entrée est défavorable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montrent un PNB de 57,820 milliards FCFA, quasi stable par rapport à 2024 (+0,6%), et un résultat net de 19,252 milliards FCFA, en baisse de -14,1% par rapport à 2024 (22,419 milliards). Cette baisse s'explique par un coût du risque qui a quasiment doublé, passant de -4,303 à -8,355 milliards FCFA. Le ROE ressort à 15,22% et le ROA à 1,68%, des niveaux corrects pour le secteur bancaire régional. Le coefficient d'exploitation de 47,19% témoigne d'une excellente maîtrise des charges, et la banque affiche une marge nette de 33,30%. Le total bilan atteint 1 148,675 milliards FCFA, avec des dépôts clientèle en hausse de 7,9% (877,822 milliards) et des créances sur la clientèle en recul de -19,3% (474,064 milliards). **Les rapports trimestriels 2026** montrent une évolution contrastée : le T1 2026 (rapport du 31/03/2026) enregistre un PNB de 12,694 milliards (-10,75% vs T1 2025) et un résultat net de 4,520 milliards (-12,99%). Cependant, le S1 2026 (rapport du 30/06/2026) révèle une amélioration spectaculaire : le résultat net atteint 10,770 milliards (+31,0% vs S1 2025), porté par une normalisation du coût du risque (-2,396 milliards vs -6,876 milliards). **On estime que** si cette tendance se poursuit, l'exercice 2026 pourrait voir un résultat net supérieur à celui de 2025, malgré un PNB en légère contraction. La banque reste solide avec un ratio de solvabilité de 112,38% et une capacité de remboursement de 5,79 ans. Le dividende 2025 a été fixé à 397 FCFA par action, offrant un rendement d'environ 4,5% au cours actuel.</w:t>
      </w:r>
    </w:p>
    <w:p>
      <w:pPr>
        <w:spacing w:after="120" w:line="276" w:lineRule="auto"/>
      </w:pPr>
      <w:r>
        <w:t>---</w:t>
      </w:r>
    </w:p>
    <w:p>
      <w:pPr>
        <w:spacing w:after="120" w:line="276" w:lineRule="auto"/>
      </w:pPr>
      <w:r>
        <w:t>### PARTIE 4 : CONCLUSION D'INVESTISSEMENT</w:t>
      </w:r>
    </w:p>
    <w:p>
      <w:pPr>
        <w:spacing w:after="120" w:line="276" w:lineRule="auto"/>
      </w:pPr>
      <w:r>
        <w:t>La valorisation de BOABF (PER 20,3x, P/B 3,10x) est exigeante et intègre des attentes de croissance qui ne sont pas encore visibles dans les fondamentaux. Le comportement du cours montre une tendance haussière spectaculaire (+56,69% sur 100 jours), mais avec une volatilité élevée (33,6%) et des statistiques indiquant une distribution asymétrique. Les signaux techniques sont contrastés : la tendance (MM, MACD) reste positive, mais les oscillateurs (RSI 81,7, Stochastique 89,4) sont en surachat extrême, signalant un risque élevé de correction. Les fondamentaux montrent une banque solide (ROE 15,2%, coefficient d'exploitation 47,2%) mais avec une activité en stagnation (PNB 2025 +0,6%) et une amélioration de la rentabilité 2026 tirée par la normalisation du coût du risque, non par une croissance commerciale. Les prédictions IA (baisse de 8 550 à 7 861 FCFA sur 10 jours) confirment le scénario de correction technique. La convergence des signaux techniques de surachat et des prédictions IA suggère un repli imminent. **Recommandation : VENTE** à court terme pour profiter de la surchauffe technique, avec un niveau de confiance **Moyen** et un risque global **Élevé**. L'horizon optimal serait de racheter la valeur après une correction vers les 7 500-8 000 FCFA, en réévaluant les fondamentaux à ce moment.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11,724 titres</w:t>
            </w:r>
          </w:p>
        </w:tc>
        <w:tc>
          <w:tcPr>
            <w:tcW w:type="dxa" w:w="2268"/>
            <w:shd w:fill="FFF2CC" w:val="clear"/>
          </w:tcPr>
          <w:p>
            <w:r>
              <w:rPr>
                <w:b/>
                <w:color w:val="503200"/>
                <w:sz w:val="16"/>
              </w:rPr>
              <w:t xml:space="preserve">Cours actuel : </w:t>
            </w:r>
            <w:r>
              <w:rPr>
                <w:color w:val="000000"/>
                <w:sz w:val="17"/>
              </w:rPr>
              <w:t>12,495 FCFA</w:t>
            </w:r>
          </w:p>
          <w:p>
            <w:r>
              <w:rPr>
                <w:b/>
                <w:color w:val="503200"/>
                <w:sz w:val="16"/>
              </w:rPr>
              <w:t xml:space="preserve">Var. 100 jours : </w:t>
            </w:r>
            <w:r>
              <w:rPr>
                <w:b/>
                <w:color w:val="007800"/>
                <w:sz w:val="17"/>
              </w:rPr>
              <w:t>+47.00%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15.52% (Élevée) — μ=9,961 FCFA, σ=1,546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β=0.0001 (Défensif) — Cov=0.000000, Var(idx)=0.000037, ρ=0.000,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11,724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11,391</w:t>
            </w:r>
          </w:p>
        </w:tc>
        <w:tc>
          <w:tcPr>
            <w:tcW w:type="dxa" w:w="1440"/>
            <w:shd w:fill="FFDCE0" w:val="clear"/>
          </w:tcPr>
          <w:p>
            <w:r>
              <w:rPr>
                <w:b/>
                <w:sz w:val="17"/>
              </w:rPr>
              <w:t>11,819</w:t>
            </w:r>
          </w:p>
        </w:tc>
        <w:tc>
          <w:tcPr>
            <w:tcW w:type="dxa" w:w="1440"/>
            <w:shd w:fill="FFDCE0" w:val="clear"/>
          </w:tcPr>
          <w:p>
            <w:r>
              <w:rPr>
                <w:sz w:val="17"/>
              </w:rPr>
              <w:t>12,247</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10,749</w:t>
            </w:r>
          </w:p>
        </w:tc>
        <w:tc>
          <w:tcPr>
            <w:tcW w:type="dxa" w:w="1440"/>
            <w:shd w:fill="FFDCE0" w:val="clear"/>
          </w:tcPr>
          <w:p>
            <w:r>
              <w:rPr>
                <w:b/>
                <w:sz w:val="17"/>
              </w:rPr>
              <w:t>11,329</w:t>
            </w:r>
          </w:p>
        </w:tc>
        <w:tc>
          <w:tcPr>
            <w:tcW w:type="dxa" w:w="1440"/>
            <w:shd w:fill="FFDCE0" w:val="clear"/>
          </w:tcPr>
          <w:p>
            <w:r>
              <w:rPr>
                <w:sz w:val="17"/>
              </w:rPr>
              <w:t>11,909</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10,157</w:t>
            </w:r>
          </w:p>
        </w:tc>
        <w:tc>
          <w:tcPr>
            <w:tcW w:type="dxa" w:w="1440"/>
            <w:shd w:fill="FFDCE0" w:val="clear"/>
          </w:tcPr>
          <w:p>
            <w:r>
              <w:rPr>
                <w:b/>
                <w:sz w:val="17"/>
              </w:rPr>
              <w:t>10,837</w:t>
            </w:r>
          </w:p>
        </w:tc>
        <w:tc>
          <w:tcPr>
            <w:tcW w:type="dxa" w:w="1440"/>
            <w:shd w:fill="FFDCE0" w:val="clear"/>
          </w:tcPr>
          <w:p>
            <w:r>
              <w:rPr>
                <w:sz w:val="17"/>
              </w:rPr>
              <w:t>11,516</w:t>
            </w:r>
          </w:p>
        </w:tc>
        <w:tc>
          <w:tcPr>
            <w:tcW w:type="dxa" w:w="1440"/>
            <w:shd w:fill="FFDCE0" w:val="clear"/>
          </w:tcPr>
          <w:p>
            <w:r>
              <w:rPr>
                <w:b/>
                <w:color w:val="C00000"/>
                <w:sz w:val="17"/>
              </w:rPr>
              <w:t>-13.3%</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9,650</w:t>
            </w:r>
          </w:p>
        </w:tc>
        <w:tc>
          <w:tcPr>
            <w:tcW w:type="dxa" w:w="1440"/>
            <w:shd w:fill="FFDCE0" w:val="clear"/>
          </w:tcPr>
          <w:p>
            <w:r>
              <w:rPr>
                <w:b/>
                <w:sz w:val="17"/>
              </w:rPr>
              <w:t>10,403</w:t>
            </w:r>
          </w:p>
        </w:tc>
        <w:tc>
          <w:tcPr>
            <w:tcW w:type="dxa" w:w="1440"/>
            <w:shd w:fill="FFDCE0" w:val="clear"/>
          </w:tcPr>
          <w:p>
            <w:r>
              <w:rPr>
                <w:sz w:val="17"/>
              </w:rPr>
              <w:t>11,157</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9,216</w:t>
            </w:r>
          </w:p>
        </w:tc>
        <w:tc>
          <w:tcPr>
            <w:tcW w:type="dxa" w:w="1440"/>
            <w:shd w:fill="FFDCE0" w:val="clear"/>
          </w:tcPr>
          <w:p>
            <w:r>
              <w:rPr>
                <w:b/>
                <w:sz w:val="17"/>
              </w:rPr>
              <w:t>10,028</w:t>
            </w:r>
          </w:p>
        </w:tc>
        <w:tc>
          <w:tcPr>
            <w:tcW w:type="dxa" w:w="1440"/>
            <w:shd w:fill="FFDCE0" w:val="clear"/>
          </w:tcPr>
          <w:p>
            <w:r>
              <w:rPr>
                <w:sz w:val="17"/>
              </w:rPr>
              <w:t>10,840</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8,843</w:t>
            </w:r>
          </w:p>
        </w:tc>
        <w:tc>
          <w:tcPr>
            <w:tcW w:type="dxa" w:w="1440"/>
            <w:shd w:fill="FFDCE0" w:val="clear"/>
          </w:tcPr>
          <w:p>
            <w:r>
              <w:rPr>
                <w:b/>
                <w:sz w:val="17"/>
              </w:rPr>
              <w:t>9,704</w:t>
            </w:r>
          </w:p>
        </w:tc>
        <w:tc>
          <w:tcPr>
            <w:tcW w:type="dxa" w:w="1440"/>
            <w:shd w:fill="FFDCE0" w:val="clear"/>
          </w:tcPr>
          <w:p>
            <w:r>
              <w:rPr>
                <w:sz w:val="17"/>
              </w:rPr>
              <w:t>10,565</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8,520</w:t>
            </w:r>
          </w:p>
        </w:tc>
        <w:tc>
          <w:tcPr>
            <w:tcW w:type="dxa" w:w="1440"/>
            <w:shd w:fill="FFDCE0" w:val="clear"/>
          </w:tcPr>
          <w:p>
            <w:r>
              <w:rPr>
                <w:b/>
                <w:sz w:val="17"/>
              </w:rPr>
              <w:t>9,422</w:t>
            </w:r>
          </w:p>
        </w:tc>
        <w:tc>
          <w:tcPr>
            <w:tcW w:type="dxa" w:w="1440"/>
            <w:shd w:fill="FFDCE0" w:val="clear"/>
          </w:tcPr>
          <w:p>
            <w:r>
              <w:rPr>
                <w:sz w:val="17"/>
              </w:rPr>
              <w:t>10,325</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8,236</w:t>
            </w:r>
          </w:p>
        </w:tc>
        <w:tc>
          <w:tcPr>
            <w:tcW w:type="dxa" w:w="1440"/>
            <w:shd w:fill="FFDCE0" w:val="clear"/>
          </w:tcPr>
          <w:p>
            <w:r>
              <w:rPr>
                <w:b/>
                <w:sz w:val="17"/>
              </w:rPr>
              <w:t>9,175</w:t>
            </w:r>
          </w:p>
        </w:tc>
        <w:tc>
          <w:tcPr>
            <w:tcW w:type="dxa" w:w="1440"/>
            <w:shd w:fill="FFDCE0" w:val="clear"/>
          </w:tcPr>
          <w:p>
            <w:r>
              <w:rPr>
                <w:sz w:val="17"/>
              </w:rPr>
              <w:t>10,115</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7,985</w:t>
            </w:r>
          </w:p>
        </w:tc>
        <w:tc>
          <w:tcPr>
            <w:tcW w:type="dxa" w:w="1440"/>
            <w:shd w:fill="FFDCE0" w:val="clear"/>
          </w:tcPr>
          <w:p>
            <w:r>
              <w:rPr>
                <w:b/>
                <w:sz w:val="17"/>
              </w:rPr>
              <w:t>8,958</w:t>
            </w:r>
          </w:p>
        </w:tc>
        <w:tc>
          <w:tcPr>
            <w:tcW w:type="dxa" w:w="1440"/>
            <w:shd w:fill="FFDCE0" w:val="clear"/>
          </w:tcPr>
          <w:p>
            <w:r>
              <w:rPr>
                <w:sz w:val="17"/>
              </w:rPr>
              <w:t>9,931</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7,761</w:t>
            </w:r>
          </w:p>
        </w:tc>
        <w:tc>
          <w:tcPr>
            <w:tcW w:type="dxa" w:w="1440"/>
            <w:shd w:fill="FFDCE0" w:val="clear"/>
          </w:tcPr>
          <w:p>
            <w:r>
              <w:rPr>
                <w:b/>
                <w:sz w:val="17"/>
              </w:rPr>
              <w:t>8,765</w:t>
            </w:r>
          </w:p>
        </w:tc>
        <w:tc>
          <w:tcPr>
            <w:tcW w:type="dxa" w:w="1440"/>
            <w:shd w:fill="FFDCE0" w:val="clear"/>
          </w:tcPr>
          <w:p>
            <w:r>
              <w:rPr>
                <w:sz w:val="17"/>
              </w:rPr>
              <w:t>9,768</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499,80 milliards FCFA, positionnant la banque parmi les poids lourds de la BRVM. Avec un BPA de 888 FCFA, le PER de 14,1x se situe au-dessus de la moyenne historique de la place (~8-12x), indiquant que le marché intègre déjà des perspectives de croissance soutenue. Le P/B de 3,92x confirme cette prime, le cours se négociant près de quatre fois la valeur comptable des actifs, ce qui reflète la confiance des investisseurs dans la création de valeur future. En revanche, l'EV/EBITDA de 27,4x apparaît particulièrement exigeant, signalant une valorisation qui anticipe une amélioration significative de la rentabilité opérationnelle. Cette combinaison suggère que le titre n'est pas bon marché, mais que le marché récompense une qualité de bilan et une dynamique de croissance perçues comme supérieures à la moyenne du marché régional.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BOAC a enregistré une progression spectaculaire de +47,00%, passant d'un plus bas de 8 400 FCFA à un plus haut de 13 450 FCFA, avant de clôturer à 12 495 FCFA, en légère baisse de -0,04% sur la dernière séance. La moyenne du cours sur la période (9 961 FCFA) est nettement supérieure à la médiane (9 200 FCFA), et le mode se situe à 8 500 FCFA, traduisant une distribution asymétrique positive (skewness de 1,002) où le titre a passé la majorité du temps à des niveaux bas avant une accélération récente. L'écart-type de 1 554 FCFA (CV de 15,6%) indique une dispersion modérée, tandis que le kurtosis de -0,520 (mésokurtique) suggère l'absence de mouvements extrêmes inhabituels. La volatilité annualisée de 25,8% classe le titre dans une zone modérée, cohérente avec un marché en phase de rattrapage haussier soutenu par des fondamentaux solides.</w:t>
      </w:r>
    </w:p>
    <w:p>
      <w:pPr>
        <w:spacing w:after="120" w:line="276" w:lineRule="auto" w:before="240"/>
      </w:pPr>
      <w:r>
        <w:rPr>
          <w:b/>
          <w:color w:val="003366"/>
          <w:sz w:val="24"/>
        </w:rPr>
        <w:t>**PARTIE 2 : ANALYSE TECHNIQUE DÉTAILLÉE**</w:t>
      </w:r>
    </w:p>
    <w:p>
      <w:pPr>
        <w:spacing w:after="120" w:line="276" w:lineRule="auto"/>
      </w:pPr>
      <w:r>
        <w:t>Les **Moyennes Mobiles** MM20 (12 677 FCFA) et MM50 (11 103 FCFA) sont toutes deux inférieures au cours actuel de 12 495 FCFA, avec une MM20 au-dessus de la MM50, configuration typique d'une tendance haussière de moyen terme. Le signal d'achat est justifié par cette structure positive et le fait que le cours évolue au-dessus de ses principaux supports dynamiques.</w:t>
      </w:r>
    </w:p>
    <w:p>
      <w:pPr>
        <w:spacing w:after="120" w:line="276" w:lineRule="auto"/>
      </w:pPr>
      <w:r>
        <w:t>Les **Bandes de Bollinger** encadrent le cours entre une borne supérieure à 13 638 FCFA et une borne inférieure à 11 717 FCFA. Le prix se situe dans la partie médiane-haute de l'enveloppe, indiquant une volatilité normale sans condition de surachat extrême. La décision neutre reflète un équilibre temporaire après la forte progression récente.</w:t>
      </w:r>
    </w:p>
    <w:p>
      <w:pPr>
        <w:spacing w:after="120" w:line="276" w:lineRule="auto"/>
      </w:pPr>
      <w:r>
        <w:t>Le **MACD** affiche une valeur de 369,216 inférieure à son signal (524,385), générant un signal de vente. Cette divergence négative récente suggère un essoufflement du momentum haussier à court terme, même si les valeurs restent positives, indiquant que la tendance de fond demeure constructive.</w:t>
      </w:r>
    </w:p>
    <w:p>
      <w:pPr>
        <w:spacing w:after="120" w:line="276" w:lineRule="auto"/>
      </w:pPr>
      <w:r>
        <w:t>Le **RSI** à 18,021 est en zone de survente sévère (largement sous le seuil de 30), signalant une correction technique brutale après la hausse. La décision d'achat repose sur la probabilité d'un rebond technique imminent, le marché ayant probablement sur-réagi à la baisse.</w:t>
      </w:r>
    </w:p>
    <w:p>
      <w:pPr>
        <w:spacing w:after="120" w:line="276" w:lineRule="auto"/>
      </w:pPr>
      <w:r>
        <w:t>Le **Stochastique** (%K=17,316, %D=17,605) confirme cette lecture, les deux lignes évoluant en territoire de survente sans croisement haussier clair. La décision d'achat anticipe un potentiel retournement, mais la prudence reste de mise tant que %K ne croise pas %D à la hausse.</w:t>
      </w:r>
    </w:p>
    <w:p>
      <w:pPr>
        <w:spacing w:after="120" w:line="276" w:lineRule="auto"/>
      </w:pPr>
      <w:r>
        <w:t>En conclusion technique, les indicateurs sont partagés : la tendance de fond (MM) reste positive, mais les oscillateurs (RSI, Stochastique) signalent une correction profonde, tandis que le MACD confirme un ralentissement du momentum. Le scénario le plus probable est une phase de consolidation ou un rebond technique à court terme avant la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BOAC affiche un Produit Net Bancaire de 73,545 milliards FCFA, en hausse de +1,1% par rapport à 2024 (72,724 milliards), et un résultat net de 35,540 milliards FCFA, en progression de +10,9% (contre 32,045 milliards en 2024). La rentabilité reste exceptionnelle avec un ROE de 27,91% et un ROA de 3,22%, tandis que le coefficient d'exploitation de 36,70% témoigne d'une excellente maîtrise des charges. Le coût du risque s'améliore nettement (-4,902 milliards contre -6,791 milliards en 2024, soit -27,8%), même si les créances en souffrance ont bondi de +52,1% sur l'année, un point de vigilance. La structure de bilan est solide : les dépôts clientèle atteignent 850,548 milliards FCFA contre 430,433 milliards de crédits, soit un ratio de transformation de 50,6%, reflétant une liquidité abondante. Les rapports trimestriels 2025 confirment cette trajectoire : le T1 2025 affichait un PNB de 18,392 milliards (+4,93%) et un résultat net de 10,70 milliards (+14,59%), tandis que le T1 2026 (rapport du 31 mars 2026) montre un PNB de 18,960 milliards (+3,09%) mais un coût du risque en forte hausse (+314,75%). Sur la base de ces données, on estime que l'exercice 2026 pourrait voir un PNB autour de 75-76 milliards FCFA, mais avec un résultat net potentiellement stable ou en légère baisse si la dégradation du coût du risque se confirme. La banque a distribué 684 FCFA par action au titre de 2024 (taux de distribution de 65%), et le dividende 2025 devrait être au moins maintenu voire augmenté compte tenu de la hausse du résultat net.</w:t>
      </w:r>
    </w:p>
    <w:p>
      <w:pPr>
        <w:spacing w:after="120" w:line="276" w:lineRule="auto" w:before="240"/>
      </w:pPr>
      <w:r>
        <w:rPr>
          <w:b/>
          <w:color w:val="003366"/>
          <w:sz w:val="24"/>
        </w:rPr>
        <w:t>**PARTIE 4 : CONCLUSION D'INVESTISSEMENT**</w:t>
      </w:r>
    </w:p>
    <w:p>
      <w:pPr>
        <w:spacing w:after="120" w:line="276" w:lineRule="auto"/>
      </w:pPr>
      <w:r>
        <w:t>La valorisation actuelle de BOAC (PER 14,1x, P/B 3,92x, EV/EBITDA 27,4x) apparaît exigeante, intégrant une prime de croissance qui devra être justifiée par les résultats futurs. Le comportement du cours sur 100 jours (+47%) montre une dynamique haussière puissante, mais les statistiques révèlent une asymétrie positive avec une volatilité modérée (25,8%) qui appelle à la prudence après une telle progression. Les signaux techniques sont mitigés : la tendance de fond reste haussière (MM), mais les oscillateurs en survente (RSI 18, Stochastique 17) et le MACD négatif suggèrent une correction en cours, potentiellement temporaire. Les fondamentaux demeurent solides avec un ROE de 27,9%, un coefficient d'exploitation de 36,7% et une amélioration du coût du risque en 2025, même si la hausse des créances en souffrance et la dégradation du coût du risque au T1 2026 constituent des signaux d'alerte. Les prédictions IA (baisse continue de 11 819 à 10 028 FCFA sur 10 jours) confirment le scénario de correction technique. La convergence entre la surévaluation relative, les signaux techniques baissiers à court terme et les prédictions IA conduit à une recommandation de **CONSERVER**, avec un niveau de confiance **Moyen** et un risque global **Moyen**. L'horizon d'investissement optimal serait le **moyen terme (3-12 mois)** pour laisser le temps à la correction de se résorber et aux fondamentaux de rattraper la valorisation, en surveillant attentivement l'évolution du coût du risque et la politique de dividende.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6,283 titres</w:t>
            </w:r>
          </w:p>
        </w:tc>
        <w:tc>
          <w:tcPr>
            <w:tcW w:type="dxa" w:w="2268"/>
            <w:shd w:fill="FFF2CC" w:val="clear"/>
          </w:tcPr>
          <w:p>
            <w:r>
              <w:rPr>
                <w:b/>
                <w:color w:val="503200"/>
                <w:sz w:val="16"/>
              </w:rPr>
              <w:t xml:space="preserve">Cours actuel : </w:t>
            </w:r>
            <w:r>
              <w:rPr>
                <w:color w:val="000000"/>
                <w:sz w:val="17"/>
              </w:rPr>
              <w:t>6,870 FCFA</w:t>
            </w:r>
          </w:p>
          <w:p>
            <w:r>
              <w:rPr>
                <w:b/>
                <w:color w:val="503200"/>
                <w:sz w:val="16"/>
              </w:rPr>
              <w:t xml:space="preserve">Var. 100 jours : </w:t>
            </w:r>
            <w:r>
              <w:rPr>
                <w:b/>
                <w:color w:val="007800"/>
                <w:sz w:val="17"/>
              </w:rPr>
              <w:t>+50.00%</w:t>
            </w:r>
          </w:p>
          <w:p>
            <w:r>
              <w:rPr>
                <w:b/>
                <w:color w:val="503200"/>
                <w:sz w:val="16"/>
              </w:rPr>
              <w:t xml:space="preserve">Plus haut 100j : </w:t>
            </w:r>
            <w:r>
              <w:rPr>
                <w:color w:val="000000"/>
                <w:sz w:val="17"/>
              </w:rPr>
              <w:t>6,870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12.77% (Moyenne) — μ=5,257 FCFA, σ=671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β=0.3372 (Défensif) — Cov=0.000012, Var(idx)=0.000037, ρ=0.095,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6,698</w:t>
            </w:r>
          </w:p>
        </w:tc>
        <w:tc>
          <w:tcPr>
            <w:tcW w:type="dxa" w:w="1440"/>
            <w:shd w:fill="FAFAFA" w:val="clear"/>
          </w:tcPr>
          <w:p>
            <w:r>
              <w:rPr>
                <w:b/>
                <w:sz w:val="17"/>
              </w:rPr>
              <w:t>6,951</w:t>
            </w:r>
          </w:p>
        </w:tc>
        <w:tc>
          <w:tcPr>
            <w:tcW w:type="dxa" w:w="1440"/>
            <w:shd w:fill="FAFAFA" w:val="clear"/>
          </w:tcPr>
          <w:p>
            <w:r>
              <w:rPr>
                <w:sz w:val="17"/>
              </w:rPr>
              <w:t>7,205</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6,427</w:t>
            </w:r>
          </w:p>
        </w:tc>
        <w:tc>
          <w:tcPr>
            <w:tcW w:type="dxa" w:w="1440"/>
            <w:shd w:fill="FAFAFA" w:val="clear"/>
          </w:tcPr>
          <w:p>
            <w:r>
              <w:rPr>
                <w:b/>
                <w:sz w:val="17"/>
              </w:rPr>
              <w:t>6,776</w:t>
            </w:r>
          </w:p>
        </w:tc>
        <w:tc>
          <w:tcPr>
            <w:tcW w:type="dxa" w:w="1440"/>
            <w:shd w:fill="FAFAFA" w:val="clear"/>
          </w:tcPr>
          <w:p>
            <w:r>
              <w:rPr>
                <w:sz w:val="17"/>
              </w:rPr>
              <w:t>7,125</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6,130</w:t>
            </w:r>
          </w:p>
        </w:tc>
        <w:tc>
          <w:tcPr>
            <w:tcW w:type="dxa" w:w="1440"/>
            <w:shd w:fill="FFDCE0" w:val="clear"/>
          </w:tcPr>
          <w:p>
            <w:r>
              <w:rPr>
                <w:b/>
                <w:sz w:val="17"/>
              </w:rPr>
              <w:t>6,543</w:t>
            </w:r>
          </w:p>
        </w:tc>
        <w:tc>
          <w:tcPr>
            <w:tcW w:type="dxa" w:w="1440"/>
            <w:shd w:fill="FFDCE0" w:val="clear"/>
          </w:tcPr>
          <w:p>
            <w:r>
              <w:rPr>
                <w:sz w:val="17"/>
              </w:rPr>
              <w:t>6,955</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5,884</w:t>
            </w:r>
          </w:p>
        </w:tc>
        <w:tc>
          <w:tcPr>
            <w:tcW w:type="dxa" w:w="1440"/>
            <w:shd w:fill="FFDCE0" w:val="clear"/>
          </w:tcPr>
          <w:p>
            <w:r>
              <w:rPr>
                <w:b/>
                <w:sz w:val="17"/>
              </w:rPr>
              <w:t>6,346</w:t>
            </w:r>
          </w:p>
        </w:tc>
        <w:tc>
          <w:tcPr>
            <w:tcW w:type="dxa" w:w="1440"/>
            <w:shd w:fill="FFDCE0" w:val="clear"/>
          </w:tcPr>
          <w:p>
            <w:r>
              <w:rPr>
                <w:sz w:val="17"/>
              </w:rPr>
              <w:t>6,808</w:t>
            </w:r>
          </w:p>
        </w:tc>
        <w:tc>
          <w:tcPr>
            <w:tcW w:type="dxa" w:w="1440"/>
            <w:shd w:fill="FFDCE0" w:val="clear"/>
          </w:tcPr>
          <w:p>
            <w:r>
              <w:rPr>
                <w:b/>
                <w:color w:val="C00000"/>
                <w:sz w:val="17"/>
              </w:rPr>
              <w:t>-7.6%</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5,689</w:t>
            </w:r>
          </w:p>
        </w:tc>
        <w:tc>
          <w:tcPr>
            <w:tcW w:type="dxa" w:w="1440"/>
            <w:shd w:fill="FFDCE0" w:val="clear"/>
          </w:tcPr>
          <w:p>
            <w:r>
              <w:rPr>
                <w:b/>
                <w:sz w:val="17"/>
              </w:rPr>
              <w:t>6,193</w:t>
            </w:r>
          </w:p>
        </w:tc>
        <w:tc>
          <w:tcPr>
            <w:tcW w:type="dxa" w:w="1440"/>
            <w:shd w:fill="FFDCE0" w:val="clear"/>
          </w:tcPr>
          <w:p>
            <w:r>
              <w:rPr>
                <w:sz w:val="17"/>
              </w:rPr>
              <w:t>6,697</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5,527</w:t>
            </w:r>
          </w:p>
        </w:tc>
        <w:tc>
          <w:tcPr>
            <w:tcW w:type="dxa" w:w="1440"/>
            <w:shd w:fill="FFDCE0" w:val="clear"/>
          </w:tcPr>
          <w:p>
            <w:r>
              <w:rPr>
                <w:b/>
                <w:sz w:val="17"/>
              </w:rPr>
              <w:t>6,069</w:t>
            </w:r>
          </w:p>
        </w:tc>
        <w:tc>
          <w:tcPr>
            <w:tcW w:type="dxa" w:w="1440"/>
            <w:shd w:fill="FFDCE0" w:val="clear"/>
          </w:tcPr>
          <w:p>
            <w:r>
              <w:rPr>
                <w:sz w:val="17"/>
              </w:rPr>
              <w:t>6,610</w:t>
            </w:r>
          </w:p>
        </w:tc>
        <w:tc>
          <w:tcPr>
            <w:tcW w:type="dxa" w:w="1440"/>
            <w:shd w:fill="FFDCE0" w:val="clear"/>
          </w:tcPr>
          <w:p>
            <w:r>
              <w:rPr>
                <w:b/>
                <w:color w:val="C00000"/>
                <w:sz w:val="17"/>
              </w:rPr>
              <w:t>-11.7%</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5,385</w:t>
            </w:r>
          </w:p>
        </w:tc>
        <w:tc>
          <w:tcPr>
            <w:tcW w:type="dxa" w:w="1440"/>
            <w:shd w:fill="FFDCE0" w:val="clear"/>
          </w:tcPr>
          <w:p>
            <w:r>
              <w:rPr>
                <w:b/>
                <w:sz w:val="17"/>
              </w:rPr>
              <w:t>5,959</w:t>
            </w:r>
          </w:p>
        </w:tc>
        <w:tc>
          <w:tcPr>
            <w:tcW w:type="dxa" w:w="1440"/>
            <w:shd w:fill="FFDCE0" w:val="clear"/>
          </w:tcPr>
          <w:p>
            <w:r>
              <w:rPr>
                <w:sz w:val="17"/>
              </w:rPr>
              <w:t>6,533</w:t>
            </w:r>
          </w:p>
        </w:tc>
        <w:tc>
          <w:tcPr>
            <w:tcW w:type="dxa" w:w="1440"/>
            <w:shd w:fill="FFDCE0" w:val="clear"/>
          </w:tcPr>
          <w:p>
            <w:r>
              <w:rPr>
                <w:b/>
                <w:color w:val="C00000"/>
                <w:sz w:val="17"/>
              </w:rPr>
              <w:t>-13.3%</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5,256</w:t>
            </w:r>
          </w:p>
        </w:tc>
        <w:tc>
          <w:tcPr>
            <w:tcW w:type="dxa" w:w="1440"/>
            <w:shd w:fill="FFDCE0" w:val="clear"/>
          </w:tcPr>
          <w:p>
            <w:r>
              <w:rPr>
                <w:b/>
                <w:sz w:val="17"/>
              </w:rPr>
              <w:t>5,860</w:t>
            </w:r>
          </w:p>
        </w:tc>
        <w:tc>
          <w:tcPr>
            <w:tcW w:type="dxa" w:w="1440"/>
            <w:shd w:fill="FFDCE0" w:val="clear"/>
          </w:tcPr>
          <w:p>
            <w:r>
              <w:rPr>
                <w:sz w:val="17"/>
              </w:rPr>
              <w:t>6,463</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5,137</w:t>
            </w:r>
          </w:p>
        </w:tc>
        <w:tc>
          <w:tcPr>
            <w:tcW w:type="dxa" w:w="1440"/>
            <w:shd w:fill="FFDCE0" w:val="clear"/>
          </w:tcPr>
          <w:p>
            <w:r>
              <w:rPr>
                <w:b/>
                <w:sz w:val="17"/>
              </w:rPr>
              <w:t>5,767</w:t>
            </w:r>
          </w:p>
        </w:tc>
        <w:tc>
          <w:tcPr>
            <w:tcW w:type="dxa" w:w="1440"/>
            <w:shd w:fill="FFDCE0" w:val="clear"/>
          </w:tcPr>
          <w:p>
            <w:r>
              <w:rPr>
                <w:sz w:val="17"/>
              </w:rPr>
              <w:t>6,397</w:t>
            </w:r>
          </w:p>
        </w:tc>
        <w:tc>
          <w:tcPr>
            <w:tcW w:type="dxa" w:w="1440"/>
            <w:shd w:fill="FFDCE0" w:val="clear"/>
          </w:tcPr>
          <w:p>
            <w:r>
              <w:rPr>
                <w:b/>
                <w:color w:val="C00000"/>
                <w:sz w:val="17"/>
              </w:rPr>
              <w:t>-16.1%</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5,027</w:t>
            </w:r>
          </w:p>
        </w:tc>
        <w:tc>
          <w:tcPr>
            <w:tcW w:type="dxa" w:w="1440"/>
            <w:shd w:fill="FFDCE0" w:val="clear"/>
          </w:tcPr>
          <w:p>
            <w:r>
              <w:rPr>
                <w:b/>
                <w:sz w:val="17"/>
              </w:rPr>
              <w:t>5,681</w:t>
            </w:r>
          </w:p>
        </w:tc>
        <w:tc>
          <w:tcPr>
            <w:tcW w:type="dxa" w:w="1440"/>
            <w:shd w:fill="FFDCE0" w:val="clear"/>
          </w:tcPr>
          <w:p>
            <w:r>
              <w:rPr>
                <w:sz w:val="17"/>
              </w:rPr>
              <w:t>6,335</w:t>
            </w:r>
          </w:p>
        </w:tc>
        <w:tc>
          <w:tcPr>
            <w:tcW w:type="dxa" w:w="1440"/>
            <w:shd w:fill="FFDCE0" w:val="clear"/>
          </w:tcPr>
          <w:p>
            <w:r>
              <w:rPr>
                <w:b/>
                <w:color w:val="C00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188,58 milliards FCFA, ce qui positionne la banque parmi les valeurs moyennes du compartiment financier de la BRVM. Avec un BPA de 404 FCFA, chaque action génère un bénéfice substantiel, justifiant un PER de 17,0x. Ce niveau est nettement supérieur à la moyenne historique du marché (~8-12x), indiquant que les investisseurs acceptent de payer une prime significative, probablement en raison de la qualité perçue de l'actif et de ses perspectives de croissance. Le P/B de 3,79x confirme cette prime, le marché valorisant le titre près de quatre fois sa valeur comptable, signe d'une forte confiance dans la création de valeur future. Enfin, un EV/EBITDA de 9,3x, dans la fourchette haute des standards, suggère une valorisation qui intègre déjà une partie des bonnes performances opérationnelles, laissant moins de marge de sécurité à l'achat.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performance spectaculaire de +50%, avec une dernière séance en hausse de +7,34%, clôturant à son plus haut niveau sur la période (6 870 FCFA). Cette dynamique haussière s'est déroulée dans un range de trading très large, allant de 4 425 à 6 870 FCFA. L'analyse statistique révèle une moyenne de 5 257 FCFA, inférieure à la médiane de 4 980 FCFA, ce qui, combiné à un skewness positif de 0.706, indique une distribution asymétrique avec une queue de distribution vers les hausses récentes. L'écart-type de 675 FCFA (CV=12,8%) montre une dispersion modérée des prix autour de la moyenne. Le kurtosis de -0.748 (mésokurtique) suggère l'absence de pics extrêmes ou de valeurs aberrantes dans la distribution. La volatilité annualisée de 33,9% classe le titre comme très volatil, un niveau élevé qui reflète un risque important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Le cours actuel (6 870 FCFA) se situe nettement au-dessus de la MM20 (6 344,25 FCFA) et de la MM50 (5 799,8 FCFA). Cette configuration haussière, où le prix est supérieur à ses moyennes mobiles clés, confirme une tendance de fond positive et justifie la décision d'achat. La pente ascendante des moyennes mobiles renforce ce signal.</w:t>
      </w:r>
    </w:p>
    <w:p>
      <w:pPr>
        <w:spacing w:after="120" w:line="276" w:lineRule="auto"/>
      </w:pPr>
      <w:r>
        <w:t>**Bandes de Bollinger**: Le prix évolue près de la borne supérieure (6 916,67 FCFA), indiquant une pression acheteuse soutenue et une volatilité élevée. Bien que le titre ne soit pas en situation de surachat extrême, sa proximité avec la borne supérieure suggère une possible consolidation à court terme. La décision est neutre, car le prix est dans la bande mais à sa limite haute.</w:t>
      </w:r>
    </w:p>
    <w:p>
      <w:pPr>
        <w:spacing w:after="120" w:line="276" w:lineRule="auto"/>
      </w:pPr>
      <w:r>
        <w:t>**MACD**: Le MACD (249,981) est inférieur à son signal (254,355), indiquant un momentum baissier à très court terme. Cette divergence, après une forte hausse, signale un possible ralentissement ou une correction technique. La décision de vente est basée sur ce croisement baissier, qui précède souvent un repli.</w:t>
      </w:r>
    </w:p>
    <w:p>
      <w:pPr>
        <w:spacing w:after="120" w:line="276" w:lineRule="auto"/>
      </w:pPr>
      <w:r>
        <w:t>**RSI**: Le RSI à 74,377 est en zone de surachat (&gt;70). Cela signifie que le titre a fortement monté et qu'une correction est statistiquement probable. La décision de vente est justifiée par ce niveau extrême, qui suggère que le potentiel de hausse à court terme est limité.</w:t>
      </w:r>
    </w:p>
    <w:p>
      <w:pPr>
        <w:spacing w:after="120" w:line="276" w:lineRule="auto"/>
      </w:pPr>
      <w:r>
        <w:t>**Stochastique**: Le %K (100,0) est très supérieur au %D (68,225), confirmant une position de surachat extrême. Le titre est à son plus haut sur la période, et ce niveau indique que l'élan acheteur est épuisé à court terme. La décision de vente est cohérente avec ce signal de retournement potentiel.</w:t>
      </w:r>
    </w:p>
    <w:p>
      <w:pPr>
        <w:spacing w:after="120" w:line="276" w:lineRule="auto"/>
      </w:pPr>
      <w:r>
        <w:t>**Conclusion technique**: Les indicateurs de tendance (MM) sont positifs, mais tous les oscillateurs de momentum (RSI, Stochastique, MACD) sont en zone de surachat ou montrent des signes de faiblesse. Cette divergence entre la tendance et le momentum suggère une forte probabilité de consolidation ou de correction à court terme avant une éventuelle reprise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font état d'un Produit Net Bancaire (PNB) de 37,996 milliards FCFA, en croissance de 5,08%, et d'un résultat net de 11,081 milliards FCFA. La banque affiche une rentabilité exceptionnelle avec un ROE de 22,24% et un ROA de 1,87%. Le coefficient d'exploitation de 63,14% reste élevé, indiquant une efficacité opérationnelle perfectible. Le coût du risque, à 43,39% des charges financières, est un point de vigilance, signalant une dégradation de la qualité du portefeuille de crédits. Les dépôts clientèle (502,89 Mds) sont près de deux fois supérieurs aux créances sur la clientèle (253,65 Mds), ce qui démontre une forte capacité de transformation mais aussi une possible difficulté à placer ses ressources. Les rapports trimestriels de 2025 confirment cette dynamique : le T1 2025 (rapport du 31/03/2025) montrait un PNB en baisse de 3,11% mais un résultat net en hausse de 91,18%. Le S1 2025 (rapport du 30/06/2025) a enregistré une croissance du PNB de 2,7% et une hausse de 28,8% du résultat net. Enfin, le rapport du 3ème trimestre 2025 (30/09/2025) indique un PNB cumulé de 28,52 milliards (+5,8%) et un résultat net de 9,16 milliards (+26,2%). Sur la base de ces rapports, on estime que l'exercice 2025 devrait clôturer avec un résultat net supérieur à 11 milliards FCFA, confirmant la tendance haussière. La solidité financière est réelle, mais le coût du risque et l'efficacité opérationnelle restent des défis à surveiller.</w:t>
      </w:r>
    </w:p>
    <w:p>
      <w:pPr>
        <w:spacing w:after="120" w:line="276" w:lineRule="auto" w:before="240"/>
      </w:pPr>
      <w:r>
        <w:rPr>
          <w:b/>
          <w:color w:val="003366"/>
          <w:sz w:val="24"/>
        </w:rPr>
        <w:t>**PARTIE 4 : CONCLUSION D'INVESTISSEMENT**</w:t>
      </w:r>
    </w:p>
    <w:p>
      <w:pPr>
        <w:spacing w:after="120" w:line="276" w:lineRule="auto"/>
      </w:pPr>
      <w:r>
        <w:t>La valorisation de BOAM (PER 17x, P/B 3,79x) est exigeante et intègre déjà des attentes élevées de croissance, ce qui limite le potentiel de hausse à court terme. Le comportement du cours, avec une hausse de +50% en 100 jours et une volatilité annualisée de 33,9%, reflète un enthousiasme marqué, mais les statistiques (skewness positif, kurtosis plat) suggèrent un mouvement potentiellement excessif. Les signaux techniques sont partagés : la tendance de fond (MM) reste haussière, mais tous les oscillateurs (RSI, Stochastique, MACD) sont en surachat, signalant un risque élevé de correction. Les fondamentaux sont solides, avec une croissance du PNB et du résultat net en 2025, mais le coût du risque et le coefficient d'exploitation doivent être surveillés. Les prédictions IA (J+1 à J+10) prévoient un repli du cours vers 6 193 FCFA, confirmant les signaux techniques de surachat. En synthèse, la convergence entre les signaux techniques de surachat et les prédictions IA suggère une pause dans la dynamique haussière. **Recommandation : CONSERVER**. Les investisseurs détenant le titre pourraient prendre des bénéfices partiels, tandis que les nouveaux entrants devraient attendre une correction vers les 6 000-6 200 FCFA pour initier une position. Niveau de confiance : Moyen. Risque global : Élevé. Horizon d'investissement optimal : Moyen terme (3-12 mois), en attendant une meilleure point d'entrée.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10,101 titres</w:t>
            </w:r>
          </w:p>
        </w:tc>
        <w:tc>
          <w:tcPr>
            <w:tcW w:type="dxa" w:w="2268"/>
            <w:shd w:fill="FFF2CC" w:val="clear"/>
          </w:tcPr>
          <w:p>
            <w:r>
              <w:rPr>
                <w:b/>
                <w:color w:val="503200"/>
                <w:sz w:val="16"/>
              </w:rPr>
              <w:t xml:space="preserve">Cours actuel : </w:t>
            </w:r>
            <w:r>
              <w:rPr>
                <w:color w:val="000000"/>
                <w:sz w:val="17"/>
              </w:rPr>
              <w:t>5,445 FCFA</w:t>
            </w:r>
          </w:p>
          <w:p>
            <w:r>
              <w:rPr>
                <w:b/>
                <w:color w:val="503200"/>
                <w:sz w:val="16"/>
              </w:rPr>
              <w:t xml:space="preserve">Var. 100 jours : </w:t>
            </w:r>
            <w:r>
              <w:rPr>
                <w:b/>
                <w:color w:val="007800"/>
                <w:sz w:val="17"/>
              </w:rPr>
              <w:t>+88.08%</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2,830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18.99% (Élevée) — μ=4,310 FCFA, σ=818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β=0.2960 (Défensif) — Cov=0.000011, Var(idx)=0.000037, ρ=0.072,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5,278</w:t>
            </w:r>
          </w:p>
        </w:tc>
        <w:tc>
          <w:tcPr>
            <w:tcW w:type="dxa" w:w="1440"/>
            <w:shd w:fill="FAFAFA" w:val="clear"/>
          </w:tcPr>
          <w:p>
            <w:r>
              <w:rPr>
                <w:b/>
                <w:sz w:val="17"/>
              </w:rPr>
              <w:t>5,419</w:t>
            </w:r>
          </w:p>
        </w:tc>
        <w:tc>
          <w:tcPr>
            <w:tcW w:type="dxa" w:w="1440"/>
            <w:shd w:fill="FAFAFA" w:val="clear"/>
          </w:tcPr>
          <w:p>
            <w:r>
              <w:rPr>
                <w:sz w:val="17"/>
              </w:rPr>
              <w:t>5,560</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5,210</w:t>
            </w:r>
          </w:p>
        </w:tc>
        <w:tc>
          <w:tcPr>
            <w:tcW w:type="dxa" w:w="1440"/>
            <w:shd w:fill="FAFAFA" w:val="clear"/>
          </w:tcPr>
          <w:p>
            <w:r>
              <w:rPr>
                <w:b/>
                <w:sz w:val="17"/>
              </w:rPr>
              <w:t>5,409</w:t>
            </w:r>
          </w:p>
        </w:tc>
        <w:tc>
          <w:tcPr>
            <w:tcW w:type="dxa" w:w="1440"/>
            <w:shd w:fill="FAFAFA" w:val="clear"/>
          </w:tcPr>
          <w:p>
            <w:r>
              <w:rPr>
                <w:sz w:val="17"/>
              </w:rPr>
              <w:t>5,608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2026-09-10</w:t>
            </w:r>
          </w:p>
        </w:tc>
        <w:tc>
          <w:tcPr>
            <w:tcW w:type="dxa" w:w="1440"/>
            <w:shd w:fill="FAFAFA" w:val="clear"/>
          </w:tcPr>
          <w:p>
            <w:r>
              <w:rPr>
                <w:sz w:val="17"/>
              </w:rPr>
              <w:t>5,152</w:t>
            </w:r>
          </w:p>
        </w:tc>
        <w:tc>
          <w:tcPr>
            <w:tcW w:type="dxa" w:w="1440"/>
            <w:shd w:fill="FAFAFA" w:val="clear"/>
          </w:tcPr>
          <w:p>
            <w:r>
              <w:rPr>
                <w:b/>
                <w:sz w:val="17"/>
              </w:rPr>
              <w:t>5,395</w:t>
            </w:r>
          </w:p>
        </w:tc>
        <w:tc>
          <w:tcPr>
            <w:tcW w:type="dxa" w:w="1440"/>
            <w:shd w:fill="FAFAFA" w:val="clear"/>
          </w:tcPr>
          <w:p>
            <w:r>
              <w:rPr>
                <w:sz w:val="17"/>
              </w:rPr>
              <w:t>5,638</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5,101</w:t>
            </w:r>
          </w:p>
        </w:tc>
        <w:tc>
          <w:tcPr>
            <w:tcW w:type="dxa" w:w="1440"/>
            <w:shd w:fill="FAFAFA" w:val="clear"/>
          </w:tcPr>
          <w:p>
            <w:r>
              <w:rPr>
                <w:b/>
                <w:sz w:val="17"/>
              </w:rPr>
              <w:t>5,381</w:t>
            </w:r>
          </w:p>
        </w:tc>
        <w:tc>
          <w:tcPr>
            <w:tcW w:type="dxa" w:w="1440"/>
            <w:shd w:fill="FAFAFA" w:val="clear"/>
          </w:tcPr>
          <w:p>
            <w:r>
              <w:rPr>
                <w:sz w:val="17"/>
              </w:rPr>
              <w:t>5,661</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5,055</w:t>
            </w:r>
          </w:p>
        </w:tc>
        <w:tc>
          <w:tcPr>
            <w:tcW w:type="dxa" w:w="1440"/>
            <w:shd w:fill="FAFAFA" w:val="clear"/>
          </w:tcPr>
          <w:p>
            <w:r>
              <w:rPr>
                <w:b/>
                <w:sz w:val="17"/>
              </w:rPr>
              <w:t>5,368</w:t>
            </w:r>
          </w:p>
        </w:tc>
        <w:tc>
          <w:tcPr>
            <w:tcW w:type="dxa" w:w="1440"/>
            <w:shd w:fill="FAFAFA" w:val="clear"/>
          </w:tcPr>
          <w:p>
            <w:r>
              <w:rPr>
                <w:sz w:val="17"/>
              </w:rPr>
              <w:t>5,680</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2026-09-15</w:t>
            </w:r>
          </w:p>
        </w:tc>
        <w:tc>
          <w:tcPr>
            <w:tcW w:type="dxa" w:w="1440"/>
            <w:shd w:fill="FAFAFA" w:val="clear"/>
          </w:tcPr>
          <w:p>
            <w:r>
              <w:rPr>
                <w:sz w:val="17"/>
              </w:rPr>
              <w:t>5,013</w:t>
            </w:r>
          </w:p>
        </w:tc>
        <w:tc>
          <w:tcPr>
            <w:tcW w:type="dxa" w:w="1440"/>
            <w:shd w:fill="FAFAFA" w:val="clear"/>
          </w:tcPr>
          <w:p>
            <w:r>
              <w:rPr>
                <w:b/>
                <w:sz w:val="17"/>
              </w:rPr>
              <w:t>5,354</w:t>
            </w:r>
          </w:p>
        </w:tc>
        <w:tc>
          <w:tcPr>
            <w:tcW w:type="dxa" w:w="1440"/>
            <w:shd w:fill="FAFAFA" w:val="clear"/>
          </w:tcPr>
          <w:p>
            <w:r>
              <w:rPr>
                <w:sz w:val="17"/>
              </w:rPr>
              <w:t>5,696</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2026-09-16</w:t>
            </w:r>
          </w:p>
        </w:tc>
        <w:tc>
          <w:tcPr>
            <w:tcW w:type="dxa" w:w="1440"/>
            <w:shd w:fill="FAFAFA" w:val="clear"/>
          </w:tcPr>
          <w:p>
            <w:r>
              <w:rPr>
                <w:sz w:val="17"/>
              </w:rPr>
              <w:t>4,973</w:t>
            </w:r>
          </w:p>
        </w:tc>
        <w:tc>
          <w:tcPr>
            <w:tcW w:type="dxa" w:w="1440"/>
            <w:shd w:fill="FAFAFA" w:val="clear"/>
          </w:tcPr>
          <w:p>
            <w:r>
              <w:rPr>
                <w:b/>
                <w:sz w:val="17"/>
              </w:rPr>
              <w:t>5,341</w:t>
            </w:r>
          </w:p>
        </w:tc>
        <w:tc>
          <w:tcPr>
            <w:tcW w:type="dxa" w:w="1440"/>
            <w:shd w:fill="FAFAFA" w:val="clear"/>
          </w:tcPr>
          <w:p>
            <w:r>
              <w:rPr>
                <w:sz w:val="17"/>
              </w:rPr>
              <w:t>5,709</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4,936</w:t>
            </w:r>
          </w:p>
        </w:tc>
        <w:tc>
          <w:tcPr>
            <w:tcW w:type="dxa" w:w="1440"/>
            <w:shd w:fill="FFDCE0" w:val="clear"/>
          </w:tcPr>
          <w:p>
            <w:r>
              <w:rPr>
                <w:b/>
                <w:sz w:val="17"/>
              </w:rPr>
              <w:t>5,328</w:t>
            </w:r>
          </w:p>
        </w:tc>
        <w:tc>
          <w:tcPr>
            <w:tcW w:type="dxa" w:w="1440"/>
            <w:shd w:fill="FFDCE0" w:val="clear"/>
          </w:tcPr>
          <w:p>
            <w:r>
              <w:rPr>
                <w:sz w:val="17"/>
              </w:rPr>
              <w:t>5,720</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4,900</w:t>
            </w:r>
          </w:p>
        </w:tc>
        <w:tc>
          <w:tcPr>
            <w:tcW w:type="dxa" w:w="1440"/>
            <w:shd w:fill="FFDCE0" w:val="clear"/>
          </w:tcPr>
          <w:p>
            <w:r>
              <w:rPr>
                <w:b/>
                <w:sz w:val="17"/>
              </w:rPr>
              <w:t>5,315</w:t>
            </w:r>
          </w:p>
        </w:tc>
        <w:tc>
          <w:tcPr>
            <w:tcW w:type="dxa" w:w="1440"/>
            <w:shd w:fill="FFDCE0" w:val="clear"/>
          </w:tcPr>
          <w:p>
            <w:r>
              <w:rPr>
                <w:sz w:val="17"/>
              </w:rPr>
              <w:t>5,730</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4,866</w:t>
            </w:r>
          </w:p>
        </w:tc>
        <w:tc>
          <w:tcPr>
            <w:tcW w:type="dxa" w:w="1440"/>
            <w:shd w:fill="FFDCE0" w:val="clear"/>
          </w:tcPr>
          <w:p>
            <w:r>
              <w:rPr>
                <w:b/>
                <w:sz w:val="17"/>
              </w:rPr>
              <w:t>5,302</w:t>
            </w:r>
          </w:p>
        </w:tc>
        <w:tc>
          <w:tcPr>
            <w:tcW w:type="dxa" w:w="1440"/>
            <w:shd w:fill="FFDCE0" w:val="clear"/>
          </w:tcPr>
          <w:p>
            <w:r>
              <w:rPr>
                <w:sz w:val="17"/>
              </w:rPr>
              <w:t>5,739</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113,26 milliards FCFA, un niveau significatif pour une banque de taille moyenne sur la BRVM. Le BPA de 20 FCFA par action est extrêmement faible, traduisant une rentabilité nette très dégradée. Le PER de 276,9x est considérablement supérieur à la moyenne de la BRVM (8-12x), indiquant que les investisseurs paient un prix très élevé pour des bénéfices actuels quasi inexistants. Le P/B de 3,14x suggère que le marché valorise la banque à plus de trois fois sa valeur comptable, une prime de croissance qui semble difficile à justifier au regard des fondamentaux récents. Enfin, l'EV/EBITDA de 40,9x, très supérieur au seuil exigeant de 15x, confirme une valorisation extrêmement tendue qui ne laisse que très peu de marge d'erreur à la société pour redresser ses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+88,08%, avec une légère baisse de -0,09% lors de la dernière séance, pour atteindre 5 445 FCFA. Le titre a évolué dans une fourchette très large, entre un plus bas de 2 830 FCFA et un plus haut de 5 645 FCFA, illustrant un mouvement haussier puissant. La moyenne du cours sur la période (4 310 FCFA) est supérieure à la médiane (4 118 FCFA), ce qui, combiné à un skewness positif (0,145), suggère une distribution légèrement asymétrique avec des extrêmes hauts. L'écart-type de 823 FCFA (CV de 19,1%) indique une dispersion modérée des prix autour de la moyenne. Le kurtosis négatif (-1,490) signale une distribution platykurtique, avec moins de pics extrêmes que la normale. La volatilité annualisée de 39,4% classe le titre comme très volatil, un niveau élevé qui reflète l'incertitude et le fort appétit spéculatif autour de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(5 445 FCFA) se positionne nettement au-dessus de la MM20 (5 305,25 FCFA) et de la MM50 (5 041,4 FCFA). Cette configuration haussière, où les moyennes sont orientées à la hausse, confirme la tendance positive de fond et justifie le signal d'achat.</w:t>
      </w:r>
    </w:p>
    <w:p>
      <w:pPr>
        <w:spacing w:after="120" w:line="276" w:lineRule="auto"/>
      </w:pPr>
      <w:r>
        <w:t>**Bandes de Bollinger** : Le prix se situe à 5 445 FCFA, proche de la borne supérieure (5 637,24 FCFA) mais sans la toucher. Cela indique une pression acheteuse soutenue sans condition de surachat extrême. La largeur des bandes reflète une volatilité élevée. La décision est neutre, le marché laissant la place à une possible poursuite ou à un repli.</w:t>
      </w:r>
    </w:p>
    <w:p>
      <w:pPr>
        <w:spacing w:after="120" w:line="276" w:lineRule="auto"/>
      </w:pPr>
      <w:r>
        <w:t>**MACD** : La valeur du MACD (124,259) est passée sous sa ligne de signal (134,512), générant un signal de vente à court terme. Cette divergence négative suggère un essoufflement du momentum haussier, même si les deux lignes restent en territoire positif, indiquant que la tendance de fond demeure haussière.</w:t>
      </w:r>
    </w:p>
    <w:p>
      <w:pPr>
        <w:spacing w:after="120" w:line="276" w:lineRule="auto"/>
      </w:pPr>
      <w:r>
        <w:t>**RSI** : Avec une valeur de 68,323, le RSI est en zone neutre-haute, proche du seuil de surachat (70). Cela indique que le titre a fortement monté mais n'est pas encore en situation de surachat extrême, laissant une marge de manœuvre avant un éventuel retournement. La décision est neutre.</w:t>
      </w:r>
    </w:p>
    <w:p>
      <w:pPr>
        <w:spacing w:after="120" w:line="276" w:lineRule="auto"/>
      </w:pPr>
      <w:r>
        <w:t>**Stochastique** : Les valeurs de %K (59,596) et %D (60,067) sont proches et en zone neutre. L'absence de croisement directionnel clair et leur niveau médian ne fournissent pas de signal fort. La décision est neutre, indiquant une phase de consolidation potentielle après la forte hausse.</w:t>
      </w:r>
    </w:p>
    <w:p>
      <w:pPr>
        <w:spacing w:after="120" w:line="276" w:lineRule="auto"/>
      </w:pPr>
      <w:r>
        <w:t>**Conclusion technique** : Les indicateurs de tendance (MM) sont positifs, mais les oscillateurs de momentum (MACD, RSI, Stochastique) montrent des signes de ralentissement ou de neutralité. Cette divergence suggère que la tendance haussière de fond est intacte, mais qu'un repli technique ou une phase de consolidation est probable à court terme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BOAN révèlent une situation très dégradée. Le Produit Net Bancaire (PNB) s'établit à 21,125 milliards FCFA, en légère baisse de -1,2% par rapport à 2024. Le résultat net s'effondre à 409 millions FCFA, contre 5 002 millions en 2024, soit une chute vertigineuse de 91,8%. Cette dégringolade est principalement due à une hausse massive du coût du risque (+121,5% au S2 2025), incluant une provision exceptionnelle de 4,8 milliards FCFA, et à une augmentation des charges générales. En conséquence, le ROE chute à 1,13% et le ROA à 0,14%, des niveaux très faibles. Le coefficient d'exploitation se dégrade à 74,4%, bien au-dessus du seuil d'efficacité de 60%. Le ratio de solvabilité reste conforme à 14,06%, et les dépôts progressent de +4% à 189,9 milliards FCFA, surperformant un secteur en stagnation. Cependant, les crédits à la clientèle se contractent fortement (-20,9% à 128,4 milliards FCFA), reflétant une politique de réduction sélective des risques. **Les rapports trimestriels de 2025** (T1, S1, 9 mois) confirment une dégradation progressive tout au long de l'année. **Le rapport d'activité du T1 2026**, daté du 31 mars 2026, marque un tournant net : le PNB progresse de +7,9% à 5 170 millions FCFA, le résultat net bondit de +28,9% à 1 467,3 millions FCFA, et le coefficient d'exploitation s'améliore fortement à 56,2%. Sur la base de ce trimestre, on estime que l'exercice 2026 pourrait voir un redressement significatif de la rentabilité, avec un objectif budgétaire de résultat avant impôts de 7,28 milliards FCFA, soit une multiplication par six par rapport à 2025. La recommandation fondamentale est de conserver le titre, car la banque traverse une phase difficile mais montre des signes de rebond crédibles, soutenus par un plan stratégique et un environnement macroéconomique nigérien en amélioration.</w:t>
      </w:r>
    </w:p>
    <w:p>
      <w:pPr>
        <w:spacing w:after="120" w:line="276" w:lineRule="auto"/>
      </w:pPr>
      <w:r>
        <w:t>---</w:t>
      </w:r>
    </w:p>
    <w:p>
      <w:pPr>
        <w:spacing w:after="120" w:line="276" w:lineRule="auto"/>
      </w:pPr>
      <w:r>
        <w:t>### PARTIE 4 : CONCLUSION D'INVESTISSEMENT</w:t>
      </w:r>
    </w:p>
    <w:p>
      <w:pPr>
        <w:spacing w:after="120" w:line="276" w:lineRule="auto"/>
      </w:pPr>
      <w:r>
        <w:t>La valorisation de BOAN (PER de 276,9x, P/B de 3,14x) est extrêmement exigeante et reflète une anticipation de redressement très optimiste, contrastant avec la faiblesse des bénéfices actuels. Le comportement du cours sur 100 jours est spectaculairement haussier (+88%), mais la volatilité annualisée de 39,4% et les statistiques de distribution (kurtosis platykurtique) signalent un risque élevé. Les signaux techniques sont mitigés : la tendance de fond (MM) est positive, mais les oscillateurs (MACD, RSI, Stochastique) montrent un essoufflement, suggérant une consolidation à court terme. Les fondamentaux de 2025 sont très dégradés, mais les résultats du T1 2026 indiquent un début de redressement opérationnel. Les prédictions IA sur 10 jours (baisse progressive de 5 419 à 5 368 FCFA) confirment l'hypothèse d'un repli technique après la forte hausse. En synthèse, la convergence entre le signal de vente technique à court terme et la prédiction IA suggère une pause dans la dynamique haussière, tandis que les fondamentaux, bien qu'en amélioration, ne justifient pas les niveaux de valorisation actuels. Par conséquent, la recommandation est **CONSERVER**, avec un niveau de confiance **Moyen** et un risque global **Élevé**. L'horizon d'investissement optimal serait à **moyen terme (3-12 mois)**, en attendant une confirmation plus solide du redressement des résultats et une stabilisation du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10,096 titres</w:t>
            </w:r>
          </w:p>
        </w:tc>
        <w:tc>
          <w:tcPr>
            <w:tcW w:type="dxa" w:w="2268"/>
            <w:shd w:fill="FFF2CC" w:val="clear"/>
          </w:tcPr>
          <w:p>
            <w:r>
              <w:rPr>
                <w:b/>
                <w:color w:val="503200"/>
                <w:sz w:val="16"/>
              </w:rPr>
              <w:t xml:space="preserve">Cours actuel : </w:t>
            </w:r>
            <w:r>
              <w:rPr>
                <w:color w:val="000000"/>
                <w:sz w:val="17"/>
              </w:rPr>
              <w:t>8,265 FCFA</w:t>
            </w:r>
          </w:p>
          <w:p>
            <w:r>
              <w:rPr>
                <w:b/>
                <w:color w:val="503200"/>
                <w:sz w:val="16"/>
              </w:rPr>
              <w:t xml:space="preserve">Var. 100 jours : </w:t>
            </w:r>
            <w:r>
              <w:rPr>
                <w:b/>
                <w:color w:val="007800"/>
                <w:sz w:val="17"/>
              </w:rPr>
              <w:t>+22.81%</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5.61% (Moyenne) — μ=7,512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β=0.2808 (Défensif) — Cov=0.000010, Var(idx)=0.000037, ρ=0.110,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10,096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7,822</w:t>
            </w:r>
          </w:p>
        </w:tc>
        <w:tc>
          <w:tcPr>
            <w:tcW w:type="dxa" w:w="1440"/>
            <w:shd w:fill="FFDCE0" w:val="clear"/>
          </w:tcPr>
          <w:p>
            <w:r>
              <w:rPr>
                <w:b/>
                <w:sz w:val="17"/>
              </w:rPr>
              <w:t>8,041</w:t>
            </w:r>
          </w:p>
        </w:tc>
        <w:tc>
          <w:tcPr>
            <w:tcW w:type="dxa" w:w="1440"/>
            <w:shd w:fill="FFDCE0" w:val="clear"/>
          </w:tcPr>
          <w:p>
            <w:r>
              <w:rPr>
                <w:sz w:val="17"/>
              </w:rPr>
              <w:t>8,259</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7,592</w:t>
            </w:r>
          </w:p>
        </w:tc>
        <w:tc>
          <w:tcPr>
            <w:tcW w:type="dxa" w:w="1440"/>
            <w:shd w:fill="FFDCE0" w:val="clear"/>
          </w:tcPr>
          <w:p>
            <w:r>
              <w:rPr>
                <w:b/>
                <w:sz w:val="17"/>
              </w:rPr>
              <w:t>7,895</w:t>
            </w:r>
          </w:p>
        </w:tc>
        <w:tc>
          <w:tcPr>
            <w:tcW w:type="dxa" w:w="1440"/>
            <w:shd w:fill="FFDCE0" w:val="clear"/>
          </w:tcPr>
          <w:p>
            <w:r>
              <w:rPr>
                <w:sz w:val="17"/>
              </w:rPr>
              <w:t>8,198</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7,389</w:t>
            </w:r>
          </w:p>
        </w:tc>
        <w:tc>
          <w:tcPr>
            <w:tcW w:type="dxa" w:w="1440"/>
            <w:shd w:fill="FFDCE0" w:val="clear"/>
          </w:tcPr>
          <w:p>
            <w:r>
              <w:rPr>
                <w:b/>
                <w:sz w:val="17"/>
              </w:rPr>
              <w:t>7,754</w:t>
            </w:r>
          </w:p>
        </w:tc>
        <w:tc>
          <w:tcPr>
            <w:tcW w:type="dxa" w:w="1440"/>
            <w:shd w:fill="FFDCE0" w:val="clear"/>
          </w:tcPr>
          <w:p>
            <w:r>
              <w:rPr>
                <w:sz w:val="17"/>
              </w:rPr>
              <w:t>8,119</w:t>
            </w:r>
          </w:p>
        </w:tc>
        <w:tc>
          <w:tcPr>
            <w:tcW w:type="dxa" w:w="1440"/>
            <w:shd w:fill="FFDCE0" w:val="clear"/>
          </w:tcPr>
          <w:p>
            <w:r>
              <w:rPr>
                <w:b/>
                <w:color w:val="C00000"/>
                <w:sz w:val="17"/>
              </w:rPr>
              <w:t>-6.2%</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7,212</w:t>
            </w:r>
          </w:p>
        </w:tc>
        <w:tc>
          <w:tcPr>
            <w:tcW w:type="dxa" w:w="1440"/>
            <w:shd w:fill="FFDCE0" w:val="clear"/>
          </w:tcPr>
          <w:p>
            <w:r>
              <w:rPr>
                <w:b/>
                <w:sz w:val="17"/>
              </w:rPr>
              <w:t>7,626</w:t>
            </w:r>
          </w:p>
        </w:tc>
        <w:tc>
          <w:tcPr>
            <w:tcW w:type="dxa" w:w="1440"/>
            <w:shd w:fill="FFDCE0" w:val="clear"/>
          </w:tcPr>
          <w:p>
            <w:r>
              <w:rPr>
                <w:sz w:val="17"/>
              </w:rPr>
              <w:t>8,041</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7,052</w:t>
            </w:r>
          </w:p>
        </w:tc>
        <w:tc>
          <w:tcPr>
            <w:tcW w:type="dxa" w:w="1440"/>
            <w:shd w:fill="FFDCE0" w:val="clear"/>
          </w:tcPr>
          <w:p>
            <w:r>
              <w:rPr>
                <w:b/>
                <w:sz w:val="17"/>
              </w:rPr>
              <w:t>7,508</w:t>
            </w:r>
          </w:p>
        </w:tc>
        <w:tc>
          <w:tcPr>
            <w:tcW w:type="dxa" w:w="1440"/>
            <w:shd w:fill="FFDCE0" w:val="clear"/>
          </w:tcPr>
          <w:p>
            <w:r>
              <w:rPr>
                <w:sz w:val="17"/>
              </w:rPr>
              <w:t>7,964</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6,904</w:t>
            </w:r>
          </w:p>
        </w:tc>
        <w:tc>
          <w:tcPr>
            <w:tcW w:type="dxa" w:w="1440"/>
            <w:shd w:fill="FFDCE0" w:val="clear"/>
          </w:tcPr>
          <w:p>
            <w:r>
              <w:rPr>
                <w:b/>
                <w:sz w:val="17"/>
              </w:rPr>
              <w:t>7,396</w:t>
            </w:r>
          </w:p>
        </w:tc>
        <w:tc>
          <w:tcPr>
            <w:tcW w:type="dxa" w:w="1440"/>
            <w:shd w:fill="FFDCE0" w:val="clear"/>
          </w:tcPr>
          <w:p>
            <w:r>
              <w:rPr>
                <w:sz w:val="17"/>
              </w:rPr>
              <w:t>7,889</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6,767</w:t>
            </w:r>
          </w:p>
        </w:tc>
        <w:tc>
          <w:tcPr>
            <w:tcW w:type="dxa" w:w="1440"/>
            <w:shd w:fill="FFDCE0" w:val="clear"/>
          </w:tcPr>
          <w:p>
            <w:r>
              <w:rPr>
                <w:b/>
                <w:sz w:val="17"/>
              </w:rPr>
              <w:t>7,291</w:t>
            </w:r>
          </w:p>
        </w:tc>
        <w:tc>
          <w:tcPr>
            <w:tcW w:type="dxa" w:w="1440"/>
            <w:shd w:fill="FFDCE0" w:val="clear"/>
          </w:tcPr>
          <w:p>
            <w:r>
              <w:rPr>
                <w:sz w:val="17"/>
              </w:rPr>
              <w:t>7,815</w:t>
            </w:r>
          </w:p>
        </w:tc>
        <w:tc>
          <w:tcPr>
            <w:tcW w:type="dxa" w:w="1440"/>
            <w:shd w:fill="FFDCE0" w:val="clear"/>
          </w:tcPr>
          <w:p>
            <w:r>
              <w:rPr>
                <w:b/>
                <w:color w:val="C00000"/>
                <w:sz w:val="17"/>
              </w:rPr>
              <w:t>-11.8%</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6,640</w:t>
            </w:r>
          </w:p>
        </w:tc>
        <w:tc>
          <w:tcPr>
            <w:tcW w:type="dxa" w:w="1440"/>
            <w:shd w:fill="FFDCE0" w:val="clear"/>
          </w:tcPr>
          <w:p>
            <w:r>
              <w:rPr>
                <w:b/>
                <w:sz w:val="17"/>
              </w:rPr>
              <w:t>7,192</w:t>
            </w:r>
          </w:p>
        </w:tc>
        <w:tc>
          <w:tcPr>
            <w:tcW w:type="dxa" w:w="1440"/>
            <w:shd w:fill="FFDCE0" w:val="clear"/>
          </w:tcPr>
          <w:p>
            <w:r>
              <w:rPr>
                <w:sz w:val="17"/>
              </w:rPr>
              <w:t>7,745</w:t>
            </w:r>
          </w:p>
        </w:tc>
        <w:tc>
          <w:tcPr>
            <w:tcW w:type="dxa" w:w="1440"/>
            <w:shd w:fill="FFDCE0" w:val="clear"/>
          </w:tcPr>
          <w:p>
            <w:r>
              <w:rPr>
                <w:b/>
                <w:color w:val="C00000"/>
                <w:sz w:val="17"/>
              </w:rPr>
              <w:t>-13.0%</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6,520</w:t>
            </w:r>
          </w:p>
        </w:tc>
        <w:tc>
          <w:tcPr>
            <w:tcW w:type="dxa" w:w="1440"/>
            <w:shd w:fill="FFDCE0" w:val="clear"/>
          </w:tcPr>
          <w:p>
            <w:r>
              <w:rPr>
                <w:b/>
                <w:sz w:val="17"/>
              </w:rPr>
              <w:t>7,099</w:t>
            </w:r>
          </w:p>
        </w:tc>
        <w:tc>
          <w:tcPr>
            <w:tcW w:type="dxa" w:w="1440"/>
            <w:shd w:fill="FFDCE0" w:val="clear"/>
          </w:tcPr>
          <w:p>
            <w:r>
              <w:rPr>
                <w:sz w:val="17"/>
              </w:rPr>
              <w:t>7,677</w:t>
            </w:r>
          </w:p>
        </w:tc>
        <w:tc>
          <w:tcPr>
            <w:tcW w:type="dxa" w:w="1440"/>
            <w:shd w:fill="FFDCE0" w:val="clear"/>
          </w:tcPr>
          <w:p>
            <w:r>
              <w:rPr>
                <w:b/>
                <w:color w:val="C00000"/>
                <w:sz w:val="17"/>
              </w:rPr>
              <w:t>-14.1%</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6,408</w:t>
            </w:r>
          </w:p>
        </w:tc>
        <w:tc>
          <w:tcPr>
            <w:tcW w:type="dxa" w:w="1440"/>
            <w:shd w:fill="FFDCE0" w:val="clear"/>
          </w:tcPr>
          <w:p>
            <w:r>
              <w:rPr>
                <w:b/>
                <w:sz w:val="17"/>
              </w:rPr>
              <w:t>7,010</w:t>
            </w:r>
          </w:p>
        </w:tc>
        <w:tc>
          <w:tcPr>
            <w:tcW w:type="dxa" w:w="1440"/>
            <w:shd w:fill="FFDCE0" w:val="clear"/>
          </w:tcPr>
          <w:p>
            <w:r>
              <w:rPr>
                <w:sz w:val="17"/>
              </w:rPr>
              <w:t>7,613</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297,54 milliards FCFA, ce qui positionne la banque parmi les valeurs de premier plan sur la BRVM. Avec un BPA de 608 FCFA, chaque action génère un bénéfice substantiel. Le PER de 13,6x est légèrement supérieur à la moyenne historique de la BRVM (8-12x), indiquant que le marché accorde une prime de croissance à la valeur, mais celle-ci reste modérée et justifiable. Le P/B de 3,08x confirme cette prime, le marché valorisant la banque à plus de trois fois sa valeur comptable, signe de la confiance dans sa capacité à générer de la valeur. Enfin, un EV/EBITDA de 8,8x, dans la fourchette raisonnable de 5-10x, suggère que la valorisation globale de l'entreprise, rapportée à sa rentabilité opérationnelle, n'apparaît pas excessive.</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de +22,81%, avec une légère progression de +0,30% lors de la dernière séance. Le titre a évolué dans une fourchette de 6 730 FCFA (plus bas) à 8 500 FCFA (plus haut), démontrant une dynamique haussière soutenue. La moyenne du cours sur la période est de 7 512 FCFA, très proche de la médiane (7 448 FCFA), ce qui indique une distribution des prix relativement symétrique, confirmée par un skewness de 0,255. L'écart-type de 423 FCFA, soit un coefficient de variation de 5,6%, révèle une dispersion modérée des prix autour de la moyenne. Le kurtosis de -0,168 (mésokurtique) suggère l'absence de mouvements extrêmes ou de "pics" de prix, indiquant un comportement de trading sans événements statistiquement anormaux. La volatilité annualisée de 24,5% classe le titre dans une catégorie de risque modéré, ce qui est cohérent avec une tendance haussière mais non explosive.</w:t>
      </w:r>
    </w:p>
    <w:p>
      <w:pPr>
        <w:spacing w:after="120" w:line="276" w:lineRule="auto"/>
      </w:pPr>
      <w:r>
        <w:t>### PARTIE 2 : ANALYSE TECHNIQUE DÉTAILLÉE</w:t>
      </w:r>
    </w:p>
    <w:p>
      <w:pPr>
        <w:spacing w:after="120" w:line="276" w:lineRule="auto"/>
      </w:pPr>
      <w:r>
        <w:t>**Moyennes Mobiles** : Le cours actuel de 8 265 FCFA est nettement supérieur à la MM20 (8 063,25 FCFA) et à la MM50 (7 737,6 FCFA). Cette configuration haussière, où le prix se situe au-dessus des deux moyennes, confirme la solidité de la tendance à court et moyen terme. La décision d'**Achat** est donc justifiée par cette dynamique positive.</w:t>
      </w:r>
    </w:p>
    <w:p>
      <w:pPr>
        <w:spacing w:after="120" w:line="276" w:lineRule="auto"/>
      </w:pPr>
      <w:r>
        <w:t>**Bandes de Bollinger** : Le prix se situe à 8 265 FCFA, entre la borne inférieure (7 467,18 FCFA) et la borne supérieure (8 659,32 FCFA), mais plus proche de cette dernière. Cela indique une pression acheteuse soutenue sans pour autant être en situation de surachat extrême. La décision est **Neutre**, car le titre n'a pas encore touché la borne supérieure, laissant un potentiel de hausse avant une éventuelle correction.</w:t>
      </w:r>
    </w:p>
    <w:p>
      <w:pPr>
        <w:spacing w:after="120" w:line="276" w:lineRule="auto"/>
      </w:pPr>
      <w:r>
        <w:t>**MACD** : La valeur du MACD (168,49) est inférieure à son signal (171,71), indiquant un momentum haussier qui s'essouffle à très court terme. Cette configuration, bien que toujours positive, suggère un possible ralentissement de la dynamique. La décision de **Vente** est émise sur ce signal de croisement baissier, qui peut précéder une consolidation ou un repli technique.</w:t>
      </w:r>
    </w:p>
    <w:p>
      <w:pPr>
        <w:spacing w:after="120" w:line="276" w:lineRule="auto"/>
      </w:pPr>
      <w:r>
        <w:t>**RSI** : Avec une valeur de 71,04, le RSI entre en zone de surachat (au-dessus de 70). Cela signifie que le titre a fortement monté et qu'il est statistiquement susceptible d'une correction ou d'une pause dans sa progression. La décision de **Vente** est donc logique, signalant une prudence pour les acheteurs à court terme.</w:t>
      </w:r>
    </w:p>
    <w:p>
      <w:pPr>
        <w:spacing w:after="120" w:line="276" w:lineRule="auto"/>
      </w:pPr>
      <w:r>
        <w:t>**Stochastique** : Les valeurs de %K (66,43) et %D (68,10) sont en territoire neutre mais élevé. Le %K étant inférieur au %D, on observe un croisement baissier potentiel, indiquant un affaiblissement de la dynamique haussière. La décision **Neutre** reflète l'absence de signal fort, mais suggère une vigilance quant à un possible retournement.</w:t>
      </w:r>
    </w:p>
    <w:p>
      <w:pPr>
        <w:spacing w:after="120" w:line="276" w:lineRule="auto"/>
      </w:pPr>
      <w:r>
        <w:t>**Conclusion technique** : Les indicateurs de tendance (MM) sont clairement haussiers, mais les oscillateurs de momentum (RSI, MACD, Stochastique) signalent une fatigue du mouvement à court terme. Le titre est suracheté et pourrait entamer une phase de consolidation ou de léger repli avant de potentiellement reprendre sa tendance haussière. La prudence est donc de mise pour les nouveaux achats à ces niveaux.</w:t>
      </w:r>
    </w:p>
    <w:p>
      <w:pPr>
        <w:spacing w:after="120" w:line="276" w:lineRule="auto"/>
      </w:pPr>
      <w:r>
        <w:t>### PARTIE 3 : ANALYSE FONDAMENTALE (SECTION CRITIQUE)</w:t>
      </w:r>
    </w:p>
    <w:p>
      <w:pPr>
        <w:spacing w:after="120" w:line="276" w:lineRule="auto"/>
      </w:pPr>
      <w:r>
        <w:t>En se basant sur les données financières structurées de l'exercice 2025, la banque BOAS affiche une santé financière robuste. Le Produit Net Bancaire (PNB) s'établit à 51,926 milliards FCFA, générant un résultat net de 21,905 milliards FCFA. Cette performance se traduit par un ROE exceptionnel de 22,69% et un ROA solide de 2,62%, tous deux bien au-dessus des seuils d'excellence. L'efficacité opérationnelle est remarquable, avec un coefficient d'exploitation de 44,02%, signe d'une excellente maîtrise des charges. Le coût du risque, à 23,31% des charges financières, est un point de vigilance, indiquant un risque de crédit significatif, mais les rapports trimestriels de 2025 montrent une tendance à l'amélioration. Les rapports narratifs confirment cette trajectoire : le rapport du T3 2025 (daté du 30/09/2025) fait état d'un PNB cumulé de 37,44 milliards FCFA (+6,71%) et d'un résultat net de 16,37 milliards FCFA (+10,01%). Le rapport du S1 2025 (30/06/2025) montrait déjà une croissance du résultat net de +12,7%. Sur la base de ces tendances, on estime que l'exercice 2026 devrait poursuivre cette dynamique positive. Le rapport du T1 2026 (daté du 31/03/2026) confirme cette projection avec un PNB de 12,58 milliards FCFA (+6,8%) et un résultat net de 5,741 milliards FCFA (+9,8%), soutenus par une collecte de dépôts vigoureuse (+13,6%). La banque démontre une capacité à croître de manière rentable, avec une amélioration continue de son efficacité, malgré un coût du risque à surveiller.</w:t>
      </w:r>
    </w:p>
    <w:p>
      <w:pPr>
        <w:spacing w:after="120" w:line="276" w:lineRule="auto"/>
      </w:pPr>
      <w:r>
        <w:t>### PARTIE 4 : CONCLUSION D'INVESTISSEMENT</w:t>
      </w:r>
    </w:p>
    <w:p>
      <w:pPr>
        <w:spacing w:after="120" w:line="276" w:lineRule="auto"/>
      </w:pPr>
      <w:r>
        <w:t>La valorisation de BOAS (PER de 13,6x, P/B de 3,08x) est attrayante pour un profil de croissance, mais le comportement récent du cours (+22,81% en 100 jours) et les statistiques (volatilité modérée de 24,5%) suggèrent une dynamique positive. Cependant, les signaux techniques sont partagés : la tendance de fond est haussière (MM), mais les indicateurs de momentum (RSI à 71, MACD) signalent un surachat à court terme, laissant présager une consolidation. Les fondamentaux, eux, sont d'une grande solidité, avec une croissance soutenue du PNB et du résultat net, une excellente rentabilité (ROE &gt; 22%) et une efficacité opérationnelle en amélioration constante. Les prédictions IA pour les 10 prochains jours (chute de 8 265 à 7 508 FCFA) confirment l'hypothèse d'une correction technique à court terme. En synthèse, la convergence entre les signaux techniques de surachat et les prédictions IA suggère une pause dans la hausse, mais les fondamentaux solides et la valorisation raisonnable plaident pour une poursuite de la tendance haussière à moyen terme. **Recommandation finale : CONSERVER**. Le niveau de confiance est **Moyen**, le risque global est **Moyen**. L'horizon d'investissement optimal serait à **moyen terme (3-12 mois)**, en attendant une possible correction pour renforcer la position, ou une confirmation de la poursuite de la tendance haussière après consolidation.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2,186 titres</w:t>
            </w:r>
          </w:p>
        </w:tc>
        <w:tc>
          <w:tcPr>
            <w:tcW w:type="dxa" w:w="2268"/>
            <w:shd w:fill="FFF2CC" w:val="clear"/>
          </w:tcPr>
          <w:p>
            <w:r>
              <w:rPr>
                <w:b/>
                <w:color w:val="503200"/>
                <w:sz w:val="16"/>
              </w:rPr>
              <w:t xml:space="preserve">Cours actuel : </w:t>
            </w:r>
            <w:r>
              <w:rPr>
                <w:color w:val="000000"/>
                <w:sz w:val="17"/>
              </w:rPr>
              <w:t>3,525 FCFA</w:t>
            </w:r>
          </w:p>
          <w:p>
            <w:r>
              <w:rPr>
                <w:b/>
                <w:color w:val="503200"/>
                <w:sz w:val="16"/>
              </w:rPr>
              <w:t xml:space="preserve">Var. 100 jours : </w:t>
            </w:r>
            <w:r>
              <w:rPr>
                <w:b/>
                <w:color w:val="B40000"/>
                <w:sz w:val="17"/>
              </w:rPr>
              <w:t>-15.87%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μ=3,734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β=0.2683 (Défensif) — Cov=0.000010, Var(idx)=0.000037, ρ=0.053,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2026-09-08</w:t>
            </w:r>
          </w:p>
        </w:tc>
        <w:tc>
          <w:tcPr>
            <w:tcW w:type="dxa" w:w="1440"/>
            <w:shd w:fill="C6EFCE" w:val="clear"/>
          </w:tcPr>
          <w:p>
            <w:r>
              <w:rPr>
                <w:sz w:val="17"/>
              </w:rPr>
              <w:t>3,561</w:t>
            </w:r>
          </w:p>
        </w:tc>
        <w:tc>
          <w:tcPr>
            <w:tcW w:type="dxa" w:w="1440"/>
            <w:shd w:fill="C6EFCE" w:val="clear"/>
          </w:tcPr>
          <w:p>
            <w:r>
              <w:rPr>
                <w:b/>
                <w:sz w:val="17"/>
              </w:rPr>
              <w:t>3,681</w:t>
            </w:r>
          </w:p>
        </w:tc>
        <w:tc>
          <w:tcPr>
            <w:tcW w:type="dxa" w:w="1440"/>
            <w:shd w:fill="C6EFCE" w:val="clear"/>
          </w:tcPr>
          <w:p>
            <w:r>
              <w:rPr>
                <w:sz w:val="17"/>
              </w:rPr>
              <w:t>3,800</w:t>
            </w:r>
          </w:p>
        </w:tc>
        <w:tc>
          <w:tcPr>
            <w:tcW w:type="dxa" w:w="1440"/>
            <w:shd w:fill="C6EFCE" w:val="clear"/>
          </w:tcPr>
          <w:p>
            <w:r>
              <w:rPr>
                <w:b/>
                <w:color w:val="008000"/>
                <w:sz w:val="17"/>
              </w:rPr>
              <w:t>+4.4%</w:t>
            </w:r>
          </w:p>
        </w:tc>
      </w:tr>
      <w:tr>
        <w:tc>
          <w:tcPr>
            <w:tcW w:type="dxa" w:w="1440"/>
            <w:shd w:fill="C6EFCE" w:val="clear"/>
          </w:tcPr>
          <w:p>
            <w:r>
              <w:rPr>
                <w:sz w:val="17"/>
              </w:rPr>
              <w:t>J+2  ⭐⭐⭐</w:t>
            </w:r>
          </w:p>
        </w:tc>
        <w:tc>
          <w:tcPr>
            <w:tcW w:type="dxa" w:w="1440"/>
            <w:shd w:fill="C6EFCE" w:val="clear"/>
          </w:tcPr>
          <w:p>
            <w:r>
              <w:rPr>
                <w:sz w:val="17"/>
              </w:rPr>
              <w:t>2026-09-09</w:t>
            </w:r>
          </w:p>
        </w:tc>
        <w:tc>
          <w:tcPr>
            <w:tcW w:type="dxa" w:w="1440"/>
            <w:shd w:fill="C6EFCE" w:val="clear"/>
          </w:tcPr>
          <w:p>
            <w:r>
              <w:rPr>
                <w:sz w:val="17"/>
              </w:rPr>
              <w:t>3,651</w:t>
            </w:r>
          </w:p>
        </w:tc>
        <w:tc>
          <w:tcPr>
            <w:tcW w:type="dxa" w:w="1440"/>
            <w:shd w:fill="C6EFCE" w:val="clear"/>
          </w:tcPr>
          <w:p>
            <w:r>
              <w:rPr>
                <w:b/>
                <w:sz w:val="17"/>
              </w:rPr>
              <w:t>3,827</w:t>
            </w:r>
          </w:p>
        </w:tc>
        <w:tc>
          <w:tcPr>
            <w:tcW w:type="dxa" w:w="1440"/>
            <w:shd w:fill="C6EFCE" w:val="clear"/>
          </w:tcPr>
          <w:p>
            <w:r>
              <w:rPr>
                <w:sz w:val="17"/>
              </w:rPr>
              <w:t>4,003</w:t>
            </w:r>
          </w:p>
        </w:tc>
        <w:tc>
          <w:tcPr>
            <w:tcW w:type="dxa" w:w="1440"/>
            <w:shd w:fill="C6EFCE" w:val="clear"/>
          </w:tcPr>
          <w:p>
            <w:r>
              <w:rPr>
                <w:b/>
                <w:color w:val="008000"/>
                <w:sz w:val="17"/>
              </w:rPr>
              <w:t>+8.6%</w:t>
            </w:r>
          </w:p>
        </w:tc>
      </w:tr>
      <w:tr>
        <w:tc>
          <w:tcPr>
            <w:tcW w:type="dxa" w:w="1440"/>
            <w:shd w:fill="C6EFCE" w:val="clear"/>
          </w:tcPr>
          <w:p>
            <w:r>
              <w:rPr>
                <w:sz w:val="17"/>
              </w:rPr>
              <w:t>J+3  ⭐⭐⭐</w:t>
            </w:r>
          </w:p>
        </w:tc>
        <w:tc>
          <w:tcPr>
            <w:tcW w:type="dxa" w:w="1440"/>
            <w:shd w:fill="C6EFCE" w:val="clear"/>
          </w:tcPr>
          <w:p>
            <w:r>
              <w:rPr>
                <w:sz w:val="17"/>
              </w:rPr>
              <w:t>2026-09-10</w:t>
            </w:r>
          </w:p>
        </w:tc>
        <w:tc>
          <w:tcPr>
            <w:tcW w:type="dxa" w:w="1440"/>
            <w:shd w:fill="C6EFCE" w:val="clear"/>
          </w:tcPr>
          <w:p>
            <w:r>
              <w:rPr>
                <w:sz w:val="17"/>
              </w:rPr>
              <w:t>3,779</w:t>
            </w:r>
          </w:p>
        </w:tc>
        <w:tc>
          <w:tcPr>
            <w:tcW w:type="dxa" w:w="1440"/>
            <w:shd w:fill="C6EFCE" w:val="clear"/>
          </w:tcPr>
          <w:p>
            <w:r>
              <w:rPr>
                <w:b/>
                <w:sz w:val="17"/>
              </w:rPr>
              <w:t>4,004</w:t>
            </w:r>
          </w:p>
        </w:tc>
        <w:tc>
          <w:tcPr>
            <w:tcW w:type="dxa" w:w="1440"/>
            <w:shd w:fill="C6EFCE" w:val="clear"/>
          </w:tcPr>
          <w:p>
            <w:r>
              <w:rPr>
                <w:sz w:val="17"/>
              </w:rPr>
              <w:t>4,230</w:t>
            </w:r>
          </w:p>
        </w:tc>
        <w:tc>
          <w:tcPr>
            <w:tcW w:type="dxa" w:w="1440"/>
            <w:shd w:fill="C6EFCE" w:val="clear"/>
          </w:tcPr>
          <w:p>
            <w:r>
              <w:rPr>
                <w:b/>
                <w:color w:val="008000"/>
                <w:sz w:val="17"/>
              </w:rPr>
              <w:t>+13.6%</w:t>
            </w:r>
          </w:p>
        </w:tc>
      </w:tr>
      <w:tr>
        <w:tc>
          <w:tcPr>
            <w:tcW w:type="dxa" w:w="1440"/>
            <w:shd w:fill="C6EFCE" w:val="clear"/>
          </w:tcPr>
          <w:p>
            <w:r>
              <w:rPr>
                <w:sz w:val="17"/>
              </w:rPr>
              <w:t>J+4  Moyenne</w:t>
            </w:r>
          </w:p>
        </w:tc>
        <w:tc>
          <w:tcPr>
            <w:tcW w:type="dxa" w:w="1440"/>
            <w:shd w:fill="C6EFCE" w:val="clear"/>
          </w:tcPr>
          <w:p>
            <w:r>
              <w:rPr>
                <w:sz w:val="17"/>
              </w:rPr>
              <w:t>2026-09-11</w:t>
            </w:r>
          </w:p>
        </w:tc>
        <w:tc>
          <w:tcPr>
            <w:tcW w:type="dxa" w:w="1440"/>
            <w:shd w:fill="C6EFCE" w:val="clear"/>
          </w:tcPr>
          <w:p>
            <w:r>
              <w:rPr>
                <w:sz w:val="17"/>
              </w:rPr>
              <w:t>3,934</w:t>
            </w:r>
          </w:p>
        </w:tc>
        <w:tc>
          <w:tcPr>
            <w:tcW w:type="dxa" w:w="1440"/>
            <w:shd w:fill="C6EFCE" w:val="clear"/>
          </w:tcPr>
          <w:p>
            <w:r>
              <w:rPr>
                <w:b/>
                <w:sz w:val="17"/>
              </w:rPr>
              <w:t>4,207</w:t>
            </w:r>
          </w:p>
        </w:tc>
        <w:tc>
          <w:tcPr>
            <w:tcW w:type="dxa" w:w="1440"/>
            <w:shd w:fill="C6EFCE" w:val="clear"/>
          </w:tcPr>
          <w:p>
            <w:r>
              <w:rPr>
                <w:sz w:val="17"/>
              </w:rPr>
              <w:t>4,480</w:t>
            </w:r>
          </w:p>
        </w:tc>
        <w:tc>
          <w:tcPr>
            <w:tcW w:type="dxa" w:w="1440"/>
            <w:shd w:fill="C6EFCE" w:val="clear"/>
          </w:tcPr>
          <w:p>
            <w:r>
              <w:rPr>
                <w:b/>
                <w:color w:val="008000"/>
                <w:sz w:val="17"/>
              </w:rPr>
              <w:t>+19.3%</w:t>
            </w:r>
          </w:p>
        </w:tc>
      </w:tr>
      <w:tr>
        <w:tc>
          <w:tcPr>
            <w:tcW w:type="dxa" w:w="1440"/>
            <w:shd w:fill="C6EFCE" w:val="clear"/>
          </w:tcPr>
          <w:p>
            <w:r>
              <w:rPr>
                <w:sz w:val="17"/>
              </w:rPr>
              <w:t>J+5  Moyenne</w:t>
            </w:r>
          </w:p>
        </w:tc>
        <w:tc>
          <w:tcPr>
            <w:tcW w:type="dxa" w:w="1440"/>
            <w:shd w:fill="C6EFCE" w:val="clear"/>
          </w:tcPr>
          <w:p>
            <w:r>
              <w:rPr>
                <w:sz w:val="17"/>
              </w:rPr>
              <w:t>2026-09-14</w:t>
            </w:r>
          </w:p>
        </w:tc>
        <w:tc>
          <w:tcPr>
            <w:tcW w:type="dxa" w:w="1440"/>
            <w:shd w:fill="C6EFCE" w:val="clear"/>
          </w:tcPr>
          <w:p>
            <w:r>
              <w:rPr>
                <w:sz w:val="17"/>
              </w:rPr>
              <w:t>4,114</w:t>
            </w:r>
          </w:p>
        </w:tc>
        <w:tc>
          <w:tcPr>
            <w:tcW w:type="dxa" w:w="1440"/>
            <w:shd w:fill="C6EFCE" w:val="clear"/>
          </w:tcPr>
          <w:p>
            <w:r>
              <w:rPr>
                <w:b/>
                <w:sz w:val="17"/>
              </w:rPr>
              <w:t>4,436</w:t>
            </w:r>
          </w:p>
        </w:tc>
        <w:tc>
          <w:tcPr>
            <w:tcW w:type="dxa" w:w="1440"/>
            <w:shd w:fill="C6EFCE" w:val="clear"/>
          </w:tcPr>
          <w:p>
            <w:r>
              <w:rPr>
                <w:sz w:val="17"/>
              </w:rPr>
              <w:t>4,758</w:t>
            </w:r>
          </w:p>
        </w:tc>
        <w:tc>
          <w:tcPr>
            <w:tcW w:type="dxa" w:w="1440"/>
            <w:shd w:fill="C6EFCE" w:val="clear"/>
          </w:tcPr>
          <w:p>
            <w:r>
              <w:rPr>
                <w:b/>
                <w:color w:val="008000"/>
                <w:sz w:val="17"/>
              </w:rPr>
              <w:t>+25.8%</w:t>
            </w:r>
          </w:p>
        </w:tc>
      </w:tr>
      <w:tr>
        <w:tc>
          <w:tcPr>
            <w:tcW w:type="dxa" w:w="1440"/>
            <w:shd w:fill="C6EFCE" w:val="clear"/>
          </w:tcPr>
          <w:p>
            <w:r>
              <w:rPr>
                <w:sz w:val="17"/>
              </w:rPr>
              <w:t>J+6  Moyenne</w:t>
            </w:r>
          </w:p>
        </w:tc>
        <w:tc>
          <w:tcPr>
            <w:tcW w:type="dxa" w:w="1440"/>
            <w:shd w:fill="C6EFCE" w:val="clear"/>
          </w:tcPr>
          <w:p>
            <w:r>
              <w:rPr>
                <w:sz w:val="17"/>
              </w:rPr>
              <w:t>2026-09-15</w:t>
            </w:r>
          </w:p>
        </w:tc>
        <w:tc>
          <w:tcPr>
            <w:tcW w:type="dxa" w:w="1440"/>
            <w:shd w:fill="C6EFCE" w:val="clear"/>
          </w:tcPr>
          <w:p>
            <w:r>
              <w:rPr>
                <w:sz w:val="17"/>
              </w:rPr>
              <w:t>4,324</w:t>
            </w:r>
          </w:p>
        </w:tc>
        <w:tc>
          <w:tcPr>
            <w:tcW w:type="dxa" w:w="1440"/>
            <w:shd w:fill="C6EFCE" w:val="clear"/>
          </w:tcPr>
          <w:p>
            <w:r>
              <w:rPr>
                <w:b/>
                <w:sz w:val="17"/>
              </w:rPr>
              <w:t>4,698</w:t>
            </w:r>
          </w:p>
        </w:tc>
        <w:tc>
          <w:tcPr>
            <w:tcW w:type="dxa" w:w="1440"/>
            <w:shd w:fill="C6EFCE" w:val="clear"/>
          </w:tcPr>
          <w:p>
            <w:r>
              <w:rPr>
                <w:sz w:val="17"/>
              </w:rPr>
              <w:t>5,071</w:t>
            </w:r>
          </w:p>
        </w:tc>
        <w:tc>
          <w:tcPr>
            <w:tcW w:type="dxa" w:w="1440"/>
            <w:shd w:fill="C6EFCE" w:val="clear"/>
          </w:tcPr>
          <w:p>
            <w:r>
              <w:rPr>
                <w:b/>
                <w:color w:val="008000"/>
                <w:sz w:val="17"/>
              </w:rPr>
              <w:t>+33.3%</w:t>
            </w:r>
          </w:p>
        </w:tc>
      </w:tr>
      <w:tr>
        <w:tc>
          <w:tcPr>
            <w:tcW w:type="dxa" w:w="1440"/>
            <w:shd w:fill="C6EFCE" w:val="clear"/>
          </w:tcPr>
          <w:p>
            <w:r>
              <w:rPr>
                <w:sz w:val="17"/>
              </w:rPr>
              <w:t>J+7  Moyenne</w:t>
            </w:r>
          </w:p>
        </w:tc>
        <w:tc>
          <w:tcPr>
            <w:tcW w:type="dxa" w:w="1440"/>
            <w:shd w:fill="C6EFCE" w:val="clear"/>
          </w:tcPr>
          <w:p>
            <w:r>
              <w:rPr>
                <w:sz w:val="17"/>
              </w:rPr>
              <w:t>2026-09-16</w:t>
            </w:r>
          </w:p>
        </w:tc>
        <w:tc>
          <w:tcPr>
            <w:tcW w:type="dxa" w:w="1440"/>
            <w:shd w:fill="C6EFCE" w:val="clear"/>
          </w:tcPr>
          <w:p>
            <w:r>
              <w:rPr>
                <w:sz w:val="17"/>
              </w:rPr>
              <w:t>4,571</w:t>
            </w:r>
          </w:p>
        </w:tc>
        <w:tc>
          <w:tcPr>
            <w:tcW w:type="dxa" w:w="1440"/>
            <w:shd w:fill="C6EFCE" w:val="clear"/>
          </w:tcPr>
          <w:p>
            <w:r>
              <w:rPr>
                <w:b/>
                <w:sz w:val="17"/>
              </w:rPr>
              <w:t>5,000</w:t>
            </w:r>
          </w:p>
        </w:tc>
        <w:tc>
          <w:tcPr>
            <w:tcW w:type="dxa" w:w="1440"/>
            <w:shd w:fill="C6EFCE" w:val="clear"/>
          </w:tcPr>
          <w:p>
            <w:r>
              <w:rPr>
                <w:sz w:val="17"/>
              </w:rPr>
              <w:t>5,430</w:t>
            </w:r>
          </w:p>
        </w:tc>
        <w:tc>
          <w:tcPr>
            <w:tcW w:type="dxa" w:w="1440"/>
            <w:shd w:fill="C6EFCE" w:val="clear"/>
          </w:tcPr>
          <w:p>
            <w:r>
              <w:rPr>
                <w:b/>
                <w:color w:val="008000"/>
                <w:sz w:val="17"/>
              </w:rPr>
              <w:t>+41.9%</w:t>
            </w:r>
          </w:p>
        </w:tc>
      </w:tr>
      <w:tr>
        <w:tc>
          <w:tcPr>
            <w:tcW w:type="dxa" w:w="1440"/>
            <w:shd w:fill="C6EFCE" w:val="clear"/>
          </w:tcPr>
          <w:p>
            <w:r>
              <w:rPr>
                <w:sz w:val="17"/>
              </w:rPr>
              <w:t>J+8  Moyenne</w:t>
            </w:r>
          </w:p>
        </w:tc>
        <w:tc>
          <w:tcPr>
            <w:tcW w:type="dxa" w:w="1440"/>
            <w:shd w:fill="C6EFCE" w:val="clear"/>
          </w:tcPr>
          <w:p>
            <w:r>
              <w:rPr>
                <w:sz w:val="17"/>
              </w:rPr>
              <w:t>2026-09-17</w:t>
            </w:r>
          </w:p>
        </w:tc>
        <w:tc>
          <w:tcPr>
            <w:tcW w:type="dxa" w:w="1440"/>
            <w:shd w:fill="C6EFCE" w:val="clear"/>
          </w:tcPr>
          <w:p>
            <w:r>
              <w:rPr>
                <w:sz w:val="17"/>
              </w:rPr>
              <w:t>4,866</w:t>
            </w:r>
          </w:p>
        </w:tc>
        <w:tc>
          <w:tcPr>
            <w:tcW w:type="dxa" w:w="1440"/>
            <w:shd w:fill="C6EFCE" w:val="clear"/>
          </w:tcPr>
          <w:p>
            <w:r>
              <w:rPr>
                <w:b/>
                <w:sz w:val="17"/>
              </w:rPr>
              <w:t>5,359</w:t>
            </w:r>
          </w:p>
        </w:tc>
        <w:tc>
          <w:tcPr>
            <w:tcW w:type="dxa" w:w="1440"/>
            <w:shd w:fill="C6EFCE" w:val="clear"/>
          </w:tcPr>
          <w:p>
            <w:r>
              <w:rPr>
                <w:sz w:val="17"/>
              </w:rPr>
              <w:t>5,851</w:t>
            </w:r>
          </w:p>
        </w:tc>
        <w:tc>
          <w:tcPr>
            <w:tcW w:type="dxa" w:w="1440"/>
            <w:shd w:fill="C6EFCE" w:val="clear"/>
          </w:tcPr>
          <w:p>
            <w:r>
              <w:rPr>
                <w:b/>
                <w:color w:val="008000"/>
                <w:sz w:val="17"/>
              </w:rPr>
              <w:t>+52.0%</w:t>
            </w:r>
          </w:p>
        </w:tc>
      </w:tr>
      <w:tr>
        <w:tc>
          <w:tcPr>
            <w:tcW w:type="dxa" w:w="1440"/>
            <w:shd w:fill="C6EFCE" w:val="clear"/>
          </w:tcPr>
          <w:p>
            <w:r>
              <w:rPr>
                <w:sz w:val="17"/>
              </w:rPr>
              <w:t>J+9  Moyenne</w:t>
            </w:r>
          </w:p>
        </w:tc>
        <w:tc>
          <w:tcPr>
            <w:tcW w:type="dxa" w:w="1440"/>
            <w:shd w:fill="C6EFCE" w:val="clear"/>
          </w:tcPr>
          <w:p>
            <w:r>
              <w:rPr>
                <w:sz w:val="17"/>
              </w:rPr>
              <w:t>2026-09-18</w:t>
            </w:r>
          </w:p>
        </w:tc>
        <w:tc>
          <w:tcPr>
            <w:tcW w:type="dxa" w:w="1440"/>
            <w:shd w:fill="C6EFCE" w:val="clear"/>
          </w:tcPr>
          <w:p>
            <w:r>
              <w:rPr>
                <w:sz w:val="17"/>
              </w:rPr>
              <w:t>5,199</w:t>
            </w:r>
          </w:p>
        </w:tc>
        <w:tc>
          <w:tcPr>
            <w:tcW w:type="dxa" w:w="1440"/>
            <w:shd w:fill="C6EFCE" w:val="clear"/>
          </w:tcPr>
          <w:p>
            <w:r>
              <w:rPr>
                <w:b/>
                <w:sz w:val="17"/>
              </w:rPr>
              <w:t>5,760</w:t>
            </w:r>
          </w:p>
        </w:tc>
        <w:tc>
          <w:tcPr>
            <w:tcW w:type="dxa" w:w="1440"/>
            <w:shd w:fill="C6EFCE" w:val="clear"/>
          </w:tcPr>
          <w:p>
            <w:r>
              <w:rPr>
                <w:sz w:val="17"/>
              </w:rPr>
              <w:t>6,322</w:t>
            </w:r>
          </w:p>
        </w:tc>
        <w:tc>
          <w:tcPr>
            <w:tcW w:type="dxa" w:w="1440"/>
            <w:shd w:fill="C6EFCE" w:val="clear"/>
          </w:tcPr>
          <w:p>
            <w:r>
              <w:rPr>
                <w:b/>
                <w:color w:val="008000"/>
                <w:sz w:val="17"/>
              </w:rPr>
              <w:t>+63.4%</w:t>
            </w:r>
          </w:p>
        </w:tc>
      </w:tr>
      <w:tr>
        <w:tc>
          <w:tcPr>
            <w:tcW w:type="dxa" w:w="1440"/>
            <w:shd w:fill="C6EFCE" w:val="clear"/>
          </w:tcPr>
          <w:p>
            <w:r>
              <w:rPr>
                <w:sz w:val="17"/>
              </w:rPr>
              <w:t>J+10  Moyenne</w:t>
            </w:r>
          </w:p>
        </w:tc>
        <w:tc>
          <w:tcPr>
            <w:tcW w:type="dxa" w:w="1440"/>
            <w:shd w:fill="C6EFCE" w:val="clear"/>
          </w:tcPr>
          <w:p>
            <w:r>
              <w:rPr>
                <w:sz w:val="17"/>
              </w:rPr>
              <w:t>2026-09-21</w:t>
            </w:r>
          </w:p>
        </w:tc>
        <w:tc>
          <w:tcPr>
            <w:tcW w:type="dxa" w:w="1440"/>
            <w:shd w:fill="C6EFCE" w:val="clear"/>
          </w:tcPr>
          <w:p>
            <w:r>
              <w:rPr>
                <w:sz w:val="17"/>
              </w:rPr>
              <w:t>5,556</w:t>
            </w:r>
          </w:p>
        </w:tc>
        <w:tc>
          <w:tcPr>
            <w:tcW w:type="dxa" w:w="1440"/>
            <w:shd w:fill="C6EFCE" w:val="clear"/>
          </w:tcPr>
          <w:p>
            <w:r>
              <w:rPr>
                <w:b/>
                <w:sz w:val="17"/>
              </w:rPr>
              <w:t>6,193</w:t>
            </w:r>
          </w:p>
        </w:tc>
        <w:tc>
          <w:tcPr>
            <w:tcW w:type="dxa" w:w="1440"/>
            <w:shd w:fill="C6EFCE" w:val="clear"/>
          </w:tcPr>
          <w:p>
            <w:r>
              <w:rPr>
                <w:sz w:val="17"/>
              </w:rPr>
              <w:t>6,829</w:t>
            </w:r>
          </w:p>
        </w:tc>
        <w:tc>
          <w:tcPr>
            <w:tcW w:type="dxa" w:w="1440"/>
            <w:shd w:fill="C6EFCE" w:val="clear"/>
          </w:tcPr>
          <w:p>
            <w:r>
              <w:rPr>
                <w:b/>
                <w:color w:val="008000"/>
                <w:sz w:val="17"/>
              </w:rPr>
              <w:t>+75.7%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Septembre 2026**</w:t>
        <w:br/>
        <w:t>**Marché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20,87 milliards FCFA, un niveau modeste qui la classe parmi les valeurs de taille moyenne sur la BRVM. Le BPA de 243 FCFA indique que chaque action génère un bénéfice de ce montant, mais il est essentiel de noter que ce chiffre est basé sur les données 2025. Le PER de 14,5x est supérieur à la moyenne historique de la BRVM (8-12x), ce qui suggère que les investisseurs paient une prime relative pour ce titre, malgré des fondamentaux contrastés. Le P/B de 2,23x confirme cette prime, le marché valorisant la société à plus du double de sa valeur comptable, ce qui est souvent le signe d'attentes de croissance future. Enfin, l'EV/EBITDA de 7,4x indique que la valeur totale de l'entreprise (dette incluse) représente 7,4 fois son potentiel opérationnel, un niveau jugé raisonnable et cohérent avec une entreprise industrielle en phase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-15,87%, avec une légère contraction de -0,42% lors de la dernière séance, portant le cours à 3 525 FCFA. Le titre a évolué dans une fourchette large de 3 350 FCFA (plus bas) à 4 500 FCFA (plus haut), illustrant une forte amplitude de trading. La moyenne du cours sur la période est de 3 734 FCFA, tandis que la médiane est de 3 650 FCFA ; l'écart entre ces deux valeurs, couplé à un skewness positif de 0,946, indique une distribution asymétrique avec des journées plus fréquentes sous la moyenne, ce qui reflète une pression vendeuse dominante. L'écart-type de 271 FCFA (CV=7,3%) montre une dispersion modérée autour de la moyenne, et le kurtosis de 0,410 suggère une distribution proche de la normale, sans risque de pics extrêmes. La volatilité annualisée de 48,8% est élevée, positionnant CABC comme un titre risqué, sujet à des variations de prix importantes, ce qui est cohérent avec la tendance baissière observée.</w:t>
      </w:r>
    </w:p>
    <w:p>
      <w:pPr>
        <w:spacing w:after="120" w:line="276" w:lineRule="auto"/>
      </w:pPr>
      <w:r>
        <w:t>---</w:t>
      </w:r>
    </w:p>
    <w:p>
      <w:pPr>
        <w:spacing w:after="120" w:line="276" w:lineRule="auto"/>
      </w:pPr>
      <w:r>
        <w:t>### PARTIE 2 : ANALYSE TECHNIQUE DÉTAILLÉE</w:t>
      </w:r>
    </w:p>
    <w:p>
      <w:pPr>
        <w:spacing w:after="120" w:line="276" w:lineRule="auto"/>
      </w:pPr>
      <w:r>
        <w:t>**Moyennes Mobiles** : La MM20 à 3 547 FCFA et la MM50 à 3 747 FCFA sont toutes deux supérieures au cours actuel de 3 525 FCFA. Cette configuration, où le prix évolue sous ses moyennes mobiles, confirme une tendance baissière à court et moyen terme. La décision de "Vente" est justifiée par cette dynamique négative, le titre n'ayant pas réussi à se maintenir au-dessus de ces niveaux de support dynamiques.</w:t>
      </w:r>
    </w:p>
    <w:p>
      <w:pPr>
        <w:spacing w:after="120" w:line="276" w:lineRule="auto"/>
      </w:pPr>
      <w:r>
        <w:t>**Bandes de Bollinger** : Le cours se situe à 3 525 FCFA, entre la borne inférieure à 3 407,8 FCFA et la borne supérieure à 3 686,7 FCFA. La position du prix, plus proche de la borne inférieure, indique une pression vendeuse persistante, mais sans sortie du canal, ce qui explique la décision "Neutre". La largeur des bandes reflète la volatilité élevée du titre, mais le fait que le cours n'ait pas cassé la borne inférieure pourrait signaler un potentiel de rebond technique.</w:t>
      </w:r>
    </w:p>
    <w:p>
      <w:pPr>
        <w:spacing w:after="120" w:line="276" w:lineRule="auto"/>
      </w:pPr>
      <w:r>
        <w:t>**MACD** : Le MACD affiche une valeur de -45,864, tandis que sa ligne de signal est à -54,205. Le MACD est négatif mais se situe au-dessus de sa ligne de signal, ce qui indique un ralentissement de la dynamique baissière et une possible inversion de tendance à venir. La décision "Achat" est basée sur ce croisement haussier naissant, suggérant que le momentum négatif s'estompe.</w:t>
      </w:r>
    </w:p>
    <w:p>
      <w:pPr>
        <w:spacing w:after="120" w:line="276" w:lineRule="auto"/>
      </w:pPr>
      <w:r>
        <w:t>**RSI** : Avec une valeur de 40,506, le RSI se situe en zone neutre, loin des seuils de surachat (70) et de survente (30). Cela indique que le titre n'est ni survendu ni suracheté, laissant place à une certaine indécision chez les investisseurs. La décision "Neutre" est donc cohérente, le RSI ne fournissant pas de signal directionnel fort.</w:t>
      </w:r>
    </w:p>
    <w:p>
      <w:pPr>
        <w:spacing w:after="120" w:line="276" w:lineRule="auto"/>
      </w:pPr>
      <w:r>
        <w:t>**Stochastique** : Le %K à 14,286 et le %D à 20,635 sont tous deux en zone de survente (&lt;20). Le croisement du %K sous le %D, bien que les deux soient à des niveaux bas, suggère une pression vendeuse extrême. Cependant, cette situation est souvent un précurseur de retournement haussier, d'où la décision "Achat" qui anticipe un possible rebond technique.</w:t>
      </w:r>
    </w:p>
    <w:p>
      <w:pPr>
        <w:spacing w:after="120" w:line="276" w:lineRule="auto"/>
      </w:pPr>
      <w:r>
        <w:t>**Conclusion technique** : Les indicateurs sont partagés, avec une tendance de fond baissière (MM) mais des signaux de retournement à court terme (MACD, Stochastique). Le RSI neutre et les bandes de Bollinger sans cassure ajoutent à l'incertitude. La convergence des signaux d'achat sur les oscillateurs suggère qu'un rebond technique est possible, mais il devra surmonter la résistance des moyennes mobiles pour confirmer un changement de tendance.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CABC a réalisé un chiffre d'affaires de 21,263 milliards FCFA, en croissance de +11,2% par rapport à 2024, avec un résultat net de 1,439 milliard FCFA. La marge nette s'établit à 6,77%, le ROE à 15,40% (excellent, &gt;15%) et le ROA à 6,10%. Cependant, ces chiffres annuels contrastent fortement avec les rapports narratifs. Le rapport annuel 2025 (analysé par Mistral le 15 mars 2026) fait état d'une **perte nette de 1,704 milliard FCFA**, tandis que le rapport 2024 mentionnait également une perte de 1,225 milliard FCFA. Cette divergence majeure entre les données structurées (bénéfice) et les rapports (pertes) suggère des incohérences dans les sources, probablement dues à des ajustements comptables ou à des différences de périmètre. Par ailleurs, le rapport du 3ème trimestre 2025 (daté du 30 septembre 2025) indique un résultat net cumulé de 1,329 milliard FCFA sur 9 mois, en hausse de +26%, ce qui est plus cohérent avec un retour à la profitabilité. En tant qu'entreprise industrielle, CABC présente un délai clients élevé de 144,7 jours et une durée de stockage de 152,1 jours, signalant un risque de trésorerie et une immobilisation de capital. Le BFR est positif à 7,186 milliards FCFA, et les flux opérationnels sont négatifs (-819,66 millions FCFA), malgré une trésorerie nette de 5,139 milliards FCFA. La structure financière reste saine avec un ratio d'endettement de 60,4% et une solvabilité générale de 165,5%. Sur la base des rapports trimestriels, on estime que l'exercice 2026 pourrait voir une amélioration de la rentabilité, mais la volatilité des cours des métaux et la pression sur les marges restent des risques majeurs. La recommandation fondamentale est de **CONSERVER** avec une surveillance accrue, étant donné les signaux contradictoires et la nécessité de clarifier les résultats annuels.</w:t>
      </w:r>
    </w:p>
    <w:p>
      <w:pPr>
        <w:spacing w:after="120" w:line="276" w:lineRule="auto"/>
      </w:pPr>
      <w:r>
        <w:t>---</w:t>
      </w:r>
    </w:p>
    <w:p>
      <w:pPr>
        <w:spacing w:after="120" w:line="276" w:lineRule="auto"/>
      </w:pPr>
      <w:r>
        <w:t>### PARTIE 4 : CONCLUSION D'INVESTISSEMENT</w:t>
      </w:r>
    </w:p>
    <w:p>
      <w:pPr>
        <w:spacing w:after="120" w:line="276" w:lineRule="auto"/>
      </w:pPr>
      <w:r>
        <w:t>La valorisation de CABC (PER de 14,5x, P/B de 2,23x) suggère que le titre n'est pas bon marché, les investisseurs payant une prime malgré des performances financières incertaines et des pertes passées. Le comportement du cours sur 100 jours est baissier (-15,87%), avec une volatilité élevée (48,8%) et une distribution asymétrique qui indique une pression vendeuse persistante, bien que des signes de stabilisation apparaissent. Les signaux techniques sont mitigés : la tendance de fond reste négative (MM), mais les oscillateurs (MACD, Stochastique) pointent vers un possible rebond à court terme. Fondamentalement, la société affiche une croissance du chiffre d'affaires et un ROE solide selon les données 2025, mais les rapports narratifs font état de pertes, créant une ambiguïté majeure. Les prédictions IA pour les 10 prochains jours ouvrables anticipent une hausse progressive du cours jusqu'à 4 436 FCFA, ce qui contredit la tendance baissière récente et suggère un fort potentiel de rebond. En synthèse, la convergence entre les signaux techniques de retournement et les prédictions IA est positive, mais elle est contrebalancée par les incertitudes fondamentales. Par conséquent, la recommandation finale est **CONSERVER** avec un niveau de confiance **Moyen** et un risque global **Élevé**. L'horizon d'investissement optimal serait le **moyen terme (3-12 mois)**, en attendant une clarification des résultats financiers et une confirmation de la reprise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1065.60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1,481 titres</w:t>
            </w:r>
          </w:p>
        </w:tc>
        <w:tc>
          <w:tcPr>
            <w:tcW w:type="dxa" w:w="2268"/>
            <w:shd w:fill="FFF2CC" w:val="clear"/>
          </w:tcPr>
          <w:p>
            <w:r>
              <w:rPr>
                <w:b/>
                <w:color w:val="503200"/>
                <w:sz w:val="16"/>
              </w:rPr>
              <w:t xml:space="preserve">Cours actuel : </w:t>
            </w:r>
            <w:r>
              <w:rPr>
                <w:color w:val="000000"/>
                <w:sz w:val="17"/>
              </w:rPr>
              <w:t>33,300 FCFA</w:t>
            </w:r>
          </w:p>
          <w:p>
            <w:r>
              <w:rPr>
                <w:b/>
                <w:color w:val="503200"/>
                <w:sz w:val="16"/>
              </w:rPr>
              <w:t xml:space="preserve">Var. 100 jours : </w:t>
            </w:r>
            <w:r>
              <w:rPr>
                <w:b/>
                <w:color w:val="007800"/>
                <w:sz w:val="17"/>
              </w:rPr>
              <w:t>+118.86%</w:t>
            </w:r>
          </w:p>
          <w:p>
            <w:r>
              <w:rPr>
                <w:b/>
                <w:color w:val="503200"/>
                <w:sz w:val="16"/>
              </w:rPr>
              <w:t xml:space="preserve">Plus haut 100j : </w:t>
            </w:r>
            <w:r>
              <w:rPr>
                <w:color w:val="000000"/>
                <w:sz w:val="17"/>
              </w:rPr>
              <w:t>33,450 FCFA</w:t>
            </w:r>
          </w:p>
          <w:p>
            <w:r>
              <w:rPr>
                <w:b/>
                <w:color w:val="503200"/>
                <w:sz w:val="16"/>
              </w:rPr>
              <w:t xml:space="preserve">Plus bas 100j : </w:t>
            </w:r>
            <w:r>
              <w:rPr>
                <w:color w:val="000000"/>
                <w:sz w:val="17"/>
              </w:rPr>
              <w:t>15,215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21.58% (Élevée) — μ=23,695 FCFA, σ=5,114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β=0.7605 (Défensif) — Cov=0.000028, Var(idx)=0.000037, ρ=0.172,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29,925</w:t>
            </w:r>
          </w:p>
        </w:tc>
        <w:tc>
          <w:tcPr>
            <w:tcW w:type="dxa" w:w="1440"/>
            <w:shd w:fill="FFDCE0" w:val="clear"/>
          </w:tcPr>
          <w:p>
            <w:r>
              <w:rPr>
                <w:b/>
                <w:sz w:val="17"/>
              </w:rPr>
              <w:t>30,802</w:t>
            </w:r>
          </w:p>
        </w:tc>
        <w:tc>
          <w:tcPr>
            <w:tcW w:type="dxa" w:w="1440"/>
            <w:shd w:fill="FFDCE0" w:val="clear"/>
          </w:tcPr>
          <w:p>
            <w:r>
              <w:rPr>
                <w:sz w:val="17"/>
              </w:rPr>
              <w:t>31,680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27,345</w:t>
            </w:r>
          </w:p>
        </w:tc>
        <w:tc>
          <w:tcPr>
            <w:tcW w:type="dxa" w:w="1440"/>
            <w:shd w:fill="FFDCE0" w:val="clear"/>
          </w:tcPr>
          <w:p>
            <w:r>
              <w:rPr>
                <w:b/>
                <w:sz w:val="17"/>
              </w:rPr>
              <w:t>28,492</w:t>
            </w:r>
          </w:p>
        </w:tc>
        <w:tc>
          <w:tcPr>
            <w:tcW w:type="dxa" w:w="1440"/>
            <w:shd w:fill="FFDCE0" w:val="clear"/>
          </w:tcPr>
          <w:p>
            <w:r>
              <w:rPr>
                <w:sz w:val="17"/>
              </w:rPr>
              <w:t>29,640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25,056</w:t>
            </w:r>
          </w:p>
        </w:tc>
        <w:tc>
          <w:tcPr>
            <w:tcW w:type="dxa" w:w="1440"/>
            <w:shd w:fill="FFDCE0" w:val="clear"/>
          </w:tcPr>
          <w:p>
            <w:r>
              <w:rPr>
                <w:b/>
                <w:sz w:val="17"/>
              </w:rPr>
              <w:t>26,355</w:t>
            </w:r>
          </w:p>
        </w:tc>
        <w:tc>
          <w:tcPr>
            <w:tcW w:type="dxa" w:w="1440"/>
            <w:shd w:fill="FFDCE0" w:val="clear"/>
          </w:tcPr>
          <w:p>
            <w:r>
              <w:rPr>
                <w:sz w:val="17"/>
              </w:rPr>
              <w:t>27,655</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22,990</w:t>
            </w:r>
          </w:p>
        </w:tc>
        <w:tc>
          <w:tcPr>
            <w:tcW w:type="dxa" w:w="1440"/>
            <w:shd w:fill="FFDCE0" w:val="clear"/>
          </w:tcPr>
          <w:p>
            <w:r>
              <w:rPr>
                <w:b/>
                <w:sz w:val="17"/>
              </w:rPr>
              <w:t>24,379</w:t>
            </w:r>
          </w:p>
        </w:tc>
        <w:tc>
          <w:tcPr>
            <w:tcW w:type="dxa" w:w="1440"/>
            <w:shd w:fill="FFDCE0" w:val="clear"/>
          </w:tcPr>
          <w:p>
            <w:r>
              <w:rPr>
                <w:sz w:val="17"/>
              </w:rPr>
              <w:t>25,767</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21,115</w:t>
            </w:r>
          </w:p>
        </w:tc>
        <w:tc>
          <w:tcPr>
            <w:tcW w:type="dxa" w:w="1440"/>
            <w:shd w:fill="FFDCE0" w:val="clear"/>
          </w:tcPr>
          <w:p>
            <w:r>
              <w:rPr>
                <w:b/>
                <w:sz w:val="17"/>
              </w:rPr>
              <w:t>22,550</w:t>
            </w:r>
          </w:p>
        </w:tc>
        <w:tc>
          <w:tcPr>
            <w:tcW w:type="dxa" w:w="1440"/>
            <w:shd w:fill="FFDCE0" w:val="clear"/>
          </w:tcPr>
          <w:p>
            <w:r>
              <w:rPr>
                <w:sz w:val="17"/>
              </w:rPr>
              <w:t>23,986</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19,404</w:t>
            </w:r>
          </w:p>
        </w:tc>
        <w:tc>
          <w:tcPr>
            <w:tcW w:type="dxa" w:w="1440"/>
            <w:shd w:fill="FFDCE0" w:val="clear"/>
          </w:tcPr>
          <w:p>
            <w:r>
              <w:rPr>
                <w:b/>
                <w:sz w:val="17"/>
              </w:rPr>
              <w:t>20,859</w:t>
            </w:r>
          </w:p>
        </w:tc>
        <w:tc>
          <w:tcPr>
            <w:tcW w:type="dxa" w:w="1440"/>
            <w:shd w:fill="FFDCE0" w:val="clear"/>
          </w:tcPr>
          <w:p>
            <w:r>
              <w:rPr>
                <w:sz w:val="17"/>
              </w:rPr>
              <w:t>22,314</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17,841</w:t>
            </w:r>
          </w:p>
        </w:tc>
        <w:tc>
          <w:tcPr>
            <w:tcW w:type="dxa" w:w="1440"/>
            <w:shd w:fill="FFDCE0" w:val="clear"/>
          </w:tcPr>
          <w:p>
            <w:r>
              <w:rPr>
                <w:b/>
                <w:sz w:val="17"/>
              </w:rPr>
              <w:t>19,295</w:t>
            </w:r>
          </w:p>
        </w:tc>
        <w:tc>
          <w:tcPr>
            <w:tcW w:type="dxa" w:w="1440"/>
            <w:shd w:fill="FFDCE0" w:val="clear"/>
          </w:tcPr>
          <w:p>
            <w:r>
              <w:rPr>
                <w:sz w:val="17"/>
              </w:rPr>
              <w:t>20,748</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17,119</w:t>
            </w:r>
          </w:p>
        </w:tc>
        <w:tc>
          <w:tcPr>
            <w:tcW w:type="dxa" w:w="1440"/>
            <w:shd w:fill="FFDCE0" w:val="clear"/>
          </w:tcPr>
          <w:p>
            <w:r>
              <w:rPr>
                <w:b/>
                <w:sz w:val="17"/>
              </w:rPr>
              <w:t>18,618</w:t>
            </w:r>
          </w:p>
        </w:tc>
        <w:tc>
          <w:tcPr>
            <w:tcW w:type="dxa" w:w="1440"/>
            <w:shd w:fill="FFDCE0" w:val="clear"/>
          </w:tcPr>
          <w:p>
            <w:r>
              <w:rPr>
                <w:sz w:val="17"/>
              </w:rPr>
              <w:t>20,118</w:t>
            </w:r>
          </w:p>
        </w:tc>
        <w:tc>
          <w:tcPr>
            <w:tcW w:type="dxa" w:w="1440"/>
            <w:shd w:fill="FFDCE0" w:val="clear"/>
          </w:tcPr>
          <w:p>
            <w:r>
              <w:rPr>
                <w:b/>
                <w:color w:val="C00000"/>
                <w:sz w:val="17"/>
              </w:rPr>
              <w:t>-44.1%</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16,629</w:t>
            </w:r>
          </w:p>
        </w:tc>
        <w:tc>
          <w:tcPr>
            <w:tcW w:type="dxa" w:w="1440"/>
            <w:shd w:fill="FFDCE0" w:val="clear"/>
          </w:tcPr>
          <w:p>
            <w:r>
              <w:rPr>
                <w:b/>
                <w:sz w:val="17"/>
              </w:rPr>
              <w:t>18,183</w:t>
            </w:r>
          </w:p>
        </w:tc>
        <w:tc>
          <w:tcPr>
            <w:tcW w:type="dxa" w:w="1440"/>
            <w:shd w:fill="FFDCE0" w:val="clear"/>
          </w:tcPr>
          <w:p>
            <w:r>
              <w:rPr>
                <w:sz w:val="17"/>
              </w:rPr>
              <w:t>19,736</w:t>
            </w:r>
          </w:p>
        </w:tc>
        <w:tc>
          <w:tcPr>
            <w:tcW w:type="dxa" w:w="1440"/>
            <w:shd w:fill="FFDCE0" w:val="clear"/>
          </w:tcPr>
          <w:p>
            <w:r>
              <w:rPr>
                <w:b/>
                <w:color w:val="C00000"/>
                <w:sz w:val="17"/>
              </w:rPr>
              <w:t>-45.4%</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16,186</w:t>
            </w:r>
          </w:p>
        </w:tc>
        <w:tc>
          <w:tcPr>
            <w:tcW w:type="dxa" w:w="1440"/>
            <w:shd w:fill="FFDCE0" w:val="clear"/>
          </w:tcPr>
          <w:p>
            <w:r>
              <w:rPr>
                <w:b/>
                <w:sz w:val="17"/>
              </w:rPr>
              <w:t>17,788</w:t>
            </w:r>
          </w:p>
        </w:tc>
        <w:tc>
          <w:tcPr>
            <w:tcW w:type="dxa" w:w="1440"/>
            <w:shd w:fill="FFDCE0" w:val="clear"/>
          </w:tcPr>
          <w:p>
            <w:r>
              <w:rPr>
                <w:sz w:val="17"/>
              </w:rPr>
              <w:t>19,390</w:t>
            </w:r>
          </w:p>
        </w:tc>
        <w:tc>
          <w:tcPr>
            <w:tcW w:type="dxa" w:w="1440"/>
            <w:shd w:fill="FFDCE0" w:val="clear"/>
          </w:tcPr>
          <w:p>
            <w:r>
              <w:rPr>
                <w:b/>
                <w:color w:val="C00000"/>
                <w:sz w:val="17"/>
              </w:rPr>
              <w:t>-46.6%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CBIBF s'établit à 1 065,60 milliards FCFA, ce qui positionne le titre parmi les valeurs les plus lourdes de la BRVM, lui conférant un poids significatif dans l'indice composite. Avec un BPA de 2 047 FCFA, chaque action génère un bénéfice substantiel, justifiant un PER de 16,3x. Ce niveau est nettement supérieur à la moyenne historique du marché BRVM (8-12x), indiquant que les investisseurs acceptent de payer une prime pour la qualité de l'actif, mais signalant aussi une valorisation exigeante qui laisse peu de marge d'erreur. L'EV/EBITDA de 12,1x, dans la fourchette haute de 10-15x, confirme cette perception d'une valorisation élevée par rapport à la capacité opérationnelle de la banque. En l'absence de données sur l'actif net comptable, le ratio P/B n'est pas calculable, mais l'ensemble des autres indicateurs suggère que le marché intègre déjà des perspectives de croissance soutenues.</w:t>
      </w:r>
    </w:p>
    <w:p>
      <w:pPr>
        <w:spacing w:after="120" w:line="276" w:lineRule="auto" w:before="240"/>
      </w:pPr>
      <w:r>
        <w:rPr>
          <w:b/>
          <w:color w:val="003366"/>
          <w:sz w:val="24"/>
        </w:rPr>
        <w:t>**PARTIE 1 : ANALYSE DU COURS — STATISTIQUES ET ÉVOLUTION (100 derniers jours)**</w:t>
      </w:r>
    </w:p>
    <w:p>
      <w:pPr>
        <w:spacing w:after="120" w:line="276" w:lineRule="auto"/>
      </w:pPr>
      <w:r>
        <w:t>Le titre CBIBF a connu une progression spectaculaire de +118,86% sur les 100 derniers jours, passant d'un plus bas de 15 215 FCFA à un plus haut de 33 450 FCFA, avec une légère consolidation de -0,45% lors de la dernière séance. Cette tendance fortement haussière s'accompagne d'une moyenne de 23 695 FCFA et d'une médiane de 22 298 FCFA, dont l'écart positif indique une asymétrie de distribution avec des valeurs extrêmes tirant la moyenne vers le haut. L'écart-type de 5 139 FCFA (CV=21,7%) révèle une dispersion modérée, tandis que le kurtosis de -1,187 (platykurtique) suggère une distribution aplatie avec peu de pics extrêmes, et le skewness de -0,060 confirme une symétrie quasi parfaite. La volatilité annualisée de 42,5% classe le titre dans la catégorie des valeurs à forte volatilité, ce qui implique un risque élevé mais aussi un potentiel de rendement important pour les investisseurs aguerris.</w:t>
      </w:r>
    </w:p>
    <w:p>
      <w:pPr>
        <w:spacing w:after="120" w:line="276" w:lineRule="auto" w:before="240"/>
      </w:pPr>
      <w:r>
        <w:rPr>
          <w:b/>
          <w:color w:val="003366"/>
          <w:sz w:val="24"/>
        </w:rPr>
        <w:t>**PARTIE 2 : ANALYSE TECHNIQUE DÉTAILLÉE**</w:t>
      </w:r>
    </w:p>
    <w:p>
      <w:pPr>
        <w:spacing w:after="120" w:line="276" w:lineRule="auto"/>
      </w:pPr>
      <w:r>
        <w:t>Les **Moyennes Mobiles** MM20 (29 893 FCFA) et MM50 (28 129,3 FCFA) sont toutes deux inférieures au cours actuel de 33 300 FCFA, confirmant une configuration haussière où le prix évolue au-dessus de ses moyennes. La MM20 étant supérieure à la MM50, la tendance de court terme est plus forte que la tendance de moyen terme, ce qui justifie la décision d'achat et indique une dynamique positive soutenue.</w:t>
      </w:r>
    </w:p>
    <w:p>
      <w:pPr>
        <w:spacing w:after="120" w:line="276" w:lineRule="auto"/>
      </w:pPr>
      <w:r>
        <w:t>Les **Bandes de Bollinger** montrent un cours à 33 300 FCFA, très proche de la borne supérieure à 33 375,9 FCFA, ce qui témoigne d'une pression acheteuse intense mais aussi d'une possible extension excessive. La décision "Neutre" reflète l'ambiguïté de cette position : le titre est dans la partie haute des bandes, suggérant une force, mais également une zone potentiellement surachetée où un repli technique est envisageable.</w:t>
      </w:r>
    </w:p>
    <w:p>
      <w:pPr>
        <w:spacing w:after="120" w:line="276" w:lineRule="auto"/>
      </w:pPr>
      <w:r>
        <w:t>Le **MACD** affiche une valeur de 1 395,0 contre un signal à 1 017,3, avec un écart positif de 377,7 points. Cette divergence positive indique un momentum haussier robuste qui se renforce, justifiant la décision d'achat. La dynamique actuelle suggère que la tendance haussière pourrait se poursuivre à court terme tant que le MACD reste au-dessus de sa ligne de signal.</w:t>
      </w:r>
    </w:p>
    <w:p>
      <w:pPr>
        <w:spacing w:after="120" w:line="276" w:lineRule="auto"/>
      </w:pPr>
      <w:r>
        <w:t>Le **RSI** à 84,2 est nettement au-dessus du seuil de surachat de 70, signalant une pression d'achat excessive qui a historiquement précédé des corrections. La décision de vente est donc justifiée, car le titre est dans une zone où les acheteurs sont épuisés et où un retour vers des niveaux plus raisonnables est statistiquement probable.</w:t>
      </w:r>
    </w:p>
    <w:p>
      <w:pPr>
        <w:spacing w:after="120" w:line="276" w:lineRule="auto"/>
      </w:pPr>
      <w:r>
        <w:t>Le **Stochastique** avec %K à 97,07 et %D à 99,02 confirme la situation de surachat extrême, les deux lignes étant proches de leur maximum absolu. La décision de vente est cohérente avec cette configuration, qui indique que le titre est fortement suracheté et qu'une consolidation technique est imminente.</w:t>
      </w:r>
    </w:p>
    <w:p>
      <w:pPr>
        <w:spacing w:after="120" w:line="276" w:lineRule="auto"/>
      </w:pPr>
      <w:r>
        <w:t>En conclusion technique, la convergence des indicateurs de surachat (RSI et Stochastique) avec la proximité de la borne supérieure de Bollinger contraste avec la tendance haussière confirmée par les moyennes mobiles et le MACD. Cette divergence entre la force de la tendance et les signaux d'épuisement suggère qu'un repli technique est probable à court terme, mais que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CBIBF affiche des résultats financiers solides avec un Produit Net Bancaire de 138,986 milliards FCFA et un résultat net de 65,495 milliards FCFA, en progression de 36,6% par rapport à 2024. Le coefficient d'exploitation de 36,4% témoigne d'une excellente maîtrise des charges, tandis que le coût du risque s'améliore significativement de 59,3% à 16,5 milliards FCFA, reflétant une meilleure qualité du portefeuille de crédits. La marge nette de 47,1% et le ROA de 2,18% confirment la rentabilité élevée de la banque, qui a su collecter 2 015 milliards FCFA de dépôts (+14,9%) pour financer 1 327 milliards FCFA de crédits nets (+5,4%). Le rapport du 3e trimestre 2025 (daté du 30/09/2025) montre une dynamique soutenue avec un PNB de 101,3 milliards FCFA (+9,65%) et un résultat net de 52,9 milliards FCFA (+6,25%), tandis que le rapport du 1er trimestre 2026 (daté du 31/03/2026) confirme l'accélération avec un PNB de 36,8 milliards FCFA (+28,5%) et un résultat net de 21,5 milliards FCFA (+22,2%). Sur la base de ces performances trimestrielles, on estime que l'exercice 2026 pourrait voir le PNB dépasser 160 milliards FCFA et le résultat net atteindre 75-80 milliards FCFA, confirmant la solidité du modèle d'affaires. La banque bénéficie d'une notation AA/AI avec perspective stable et d'une gouvernance renforcée, malgré un environnement économique et sécuritaire régional incertain.</w:t>
      </w:r>
    </w:p>
    <w:p>
      <w:pPr>
        <w:spacing w:after="120" w:line="276" w:lineRule="auto" w:before="240"/>
      </w:pPr>
      <w:r>
        <w:rPr>
          <w:b/>
          <w:color w:val="003366"/>
          <w:sz w:val="24"/>
        </w:rPr>
        <w:t>**PARTIE 4 : CONCLUSION D'INVESTISSEMENT**</w:t>
      </w:r>
    </w:p>
    <w:p>
      <w:pPr>
        <w:spacing w:after="120" w:line="276" w:lineRule="auto"/>
      </w:pPr>
      <w:r>
        <w:t>La valorisation de CBIBF (PER 16,3x, EV/EBITDA 12,1x) est exigeante mais justifiée par la qualité des fondamentaux, tandis que le comportement du cours (+118,86% en 100 jours) témoigne d'un momentum exceptionnel, bien que la volatilité élevée (42,5%) et les statistiques de distribution suggèrent un risque accru de correction. Les signaux techniques sont partagés : la tendance haussière (MM, MACD) s'oppose aux indicateurs de surachat (RSI 84,2, Stochastique 97,07), annonçant probablement une consolidation à court terme. Les fondamentaux restent excellents avec une croissance soutenue du PNB et du résultat net, une amélioration du coût du risque et une notation financière stable. Les prédictions IA pour les 10 prochains jours (de 30 802 à 22 550 FCFA) confirment cette anticipation de correction, suggérant un repli de 8% à 32% par rapport au cours actuel. La convergence entre les signaux techniques de surachat et les prédictions IA, contrastant avec la solidité fondamentale, conduit à une recommandation **CONSERVER** avec un niveau de confiance **Moyen** et un risque global **Élevé**. L'horizon d'investissement optimal serait le moyen terme (3-12 mois), idéalement en attendant un point d'entrée plus favorable après la correction technique anticipée, pour capitaliser sur la trajectoire de croissance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3,646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+6.75%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6.67% (Moyenne) — μ=1,614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β=0.9920 (Neutre (suit le marché)) — Cov=0.000036, Var(idx)=0.000037, ρ=0.194,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1,636</w:t>
            </w:r>
          </w:p>
        </w:tc>
        <w:tc>
          <w:tcPr>
            <w:tcW w:type="dxa" w:w="1440"/>
            <w:shd w:fill="FFDCE0" w:val="clear"/>
          </w:tcPr>
          <w:p>
            <w:r>
              <w:rPr>
                <w:b/>
                <w:sz w:val="17"/>
              </w:rPr>
              <w:t>1,695</w:t>
            </w:r>
          </w:p>
        </w:tc>
        <w:tc>
          <w:tcPr>
            <w:tcW w:type="dxa" w:w="1440"/>
            <w:shd w:fill="FFDCE0" w:val="clear"/>
          </w:tcPr>
          <w:p>
            <w:r>
              <w:rPr>
                <w:sz w:val="17"/>
              </w:rPr>
              <w:t>1,754</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1,590</w:t>
            </w:r>
          </w:p>
        </w:tc>
        <w:tc>
          <w:tcPr>
            <w:tcW w:type="dxa" w:w="1440"/>
            <w:shd w:fill="FFDCE0" w:val="clear"/>
          </w:tcPr>
          <w:p>
            <w:r>
              <w:rPr>
                <w:b/>
                <w:sz w:val="17"/>
              </w:rPr>
              <w:t>1,672</w:t>
            </w:r>
          </w:p>
        </w:tc>
        <w:tc>
          <w:tcPr>
            <w:tcW w:type="dxa" w:w="1440"/>
            <w:shd w:fill="FFDCE0" w:val="clear"/>
          </w:tcPr>
          <w:p>
            <w:r>
              <w:rPr>
                <w:sz w:val="17"/>
              </w:rPr>
              <w:t>1,755</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1,548</w:t>
            </w:r>
          </w:p>
        </w:tc>
        <w:tc>
          <w:tcPr>
            <w:tcW w:type="dxa" w:w="1440"/>
            <w:shd w:fill="FFDCE0" w:val="clear"/>
          </w:tcPr>
          <w:p>
            <w:r>
              <w:rPr>
                <w:b/>
                <w:sz w:val="17"/>
              </w:rPr>
              <w:t>1,648</w:t>
            </w:r>
          </w:p>
        </w:tc>
        <w:tc>
          <w:tcPr>
            <w:tcW w:type="dxa" w:w="1440"/>
            <w:shd w:fill="FFDCE0" w:val="clear"/>
          </w:tcPr>
          <w:p>
            <w:r>
              <w:rPr>
                <w:sz w:val="17"/>
              </w:rPr>
              <w:t>1,747</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1,510</w:t>
            </w:r>
          </w:p>
        </w:tc>
        <w:tc>
          <w:tcPr>
            <w:tcW w:type="dxa" w:w="1440"/>
            <w:shd w:fill="FFDCE0" w:val="clear"/>
          </w:tcPr>
          <w:p>
            <w:r>
              <w:rPr>
                <w:b/>
                <w:sz w:val="17"/>
              </w:rPr>
              <w:t>1,623</w:t>
            </w:r>
          </w:p>
        </w:tc>
        <w:tc>
          <w:tcPr>
            <w:tcW w:type="dxa" w:w="1440"/>
            <w:shd w:fill="FFDCE0" w:val="clear"/>
          </w:tcPr>
          <w:p>
            <w:r>
              <w:rPr>
                <w:sz w:val="17"/>
              </w:rPr>
              <w:t>1,735</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1,474</w:t>
            </w:r>
          </w:p>
        </w:tc>
        <w:tc>
          <w:tcPr>
            <w:tcW w:type="dxa" w:w="1440"/>
            <w:shd w:fill="FFDCE0" w:val="clear"/>
          </w:tcPr>
          <w:p>
            <w:r>
              <w:rPr>
                <w:b/>
                <w:sz w:val="17"/>
              </w:rPr>
              <w:t>1,599</w:t>
            </w:r>
          </w:p>
        </w:tc>
        <w:tc>
          <w:tcPr>
            <w:tcW w:type="dxa" w:w="1440"/>
            <w:shd w:fill="FFDCE0" w:val="clear"/>
          </w:tcPr>
          <w:p>
            <w:r>
              <w:rPr>
                <w:sz w:val="17"/>
              </w:rPr>
              <w:t>1,723</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1,441</w:t>
            </w:r>
          </w:p>
        </w:tc>
        <w:tc>
          <w:tcPr>
            <w:tcW w:type="dxa" w:w="1440"/>
            <w:shd w:fill="FFDCE0" w:val="clear"/>
          </w:tcPr>
          <w:p>
            <w:r>
              <w:rPr>
                <w:b/>
                <w:sz w:val="17"/>
              </w:rPr>
              <w:t>1,575</w:t>
            </w:r>
          </w:p>
        </w:tc>
        <w:tc>
          <w:tcPr>
            <w:tcW w:type="dxa" w:w="1440"/>
            <w:shd w:fill="FFDCE0" w:val="clear"/>
          </w:tcPr>
          <w:p>
            <w:r>
              <w:rPr>
                <w:sz w:val="17"/>
              </w:rPr>
              <w:t>1,709</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1,409</w:t>
            </w:r>
          </w:p>
        </w:tc>
        <w:tc>
          <w:tcPr>
            <w:tcW w:type="dxa" w:w="1440"/>
            <w:shd w:fill="FFDCE0" w:val="clear"/>
          </w:tcPr>
          <w:p>
            <w:r>
              <w:rPr>
                <w:b/>
                <w:sz w:val="17"/>
              </w:rPr>
              <w:t>1,552</w:t>
            </w:r>
          </w:p>
        </w:tc>
        <w:tc>
          <w:tcPr>
            <w:tcW w:type="dxa" w:w="1440"/>
            <w:shd w:fill="FFDCE0" w:val="clear"/>
          </w:tcPr>
          <w:p>
            <w:r>
              <w:rPr>
                <w:sz w:val="17"/>
              </w:rPr>
              <w:t>1,694</w:t>
            </w:r>
          </w:p>
        </w:tc>
        <w:tc>
          <w:tcPr>
            <w:tcW w:type="dxa" w:w="1440"/>
            <w:shd w:fill="FFDCE0" w:val="clear"/>
          </w:tcPr>
          <w:p>
            <w:r>
              <w:rPr>
                <w:b/>
                <w:color w:val="C00000"/>
                <w:sz w:val="17"/>
              </w:rPr>
              <w:t>-10.8%</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1,379</w:t>
            </w:r>
          </w:p>
        </w:tc>
        <w:tc>
          <w:tcPr>
            <w:tcW w:type="dxa" w:w="1440"/>
            <w:shd w:fill="FFDCE0" w:val="clear"/>
          </w:tcPr>
          <w:p>
            <w:r>
              <w:rPr>
                <w:b/>
                <w:sz w:val="17"/>
              </w:rPr>
              <w:t>1,529</w:t>
            </w:r>
          </w:p>
        </w:tc>
        <w:tc>
          <w:tcPr>
            <w:tcW w:type="dxa" w:w="1440"/>
            <w:shd w:fill="FFDCE0" w:val="clear"/>
          </w:tcPr>
          <w:p>
            <w:r>
              <w:rPr>
                <w:sz w:val="17"/>
              </w:rPr>
              <w:t>1,679</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1,350</w:t>
            </w:r>
          </w:p>
        </w:tc>
        <w:tc>
          <w:tcPr>
            <w:tcW w:type="dxa" w:w="1440"/>
            <w:shd w:fill="FFDCE0" w:val="clear"/>
          </w:tcPr>
          <w:p>
            <w:r>
              <w:rPr>
                <w:b/>
                <w:sz w:val="17"/>
              </w:rPr>
              <w:t>1,507</w:t>
            </w:r>
          </w:p>
        </w:tc>
        <w:tc>
          <w:tcPr>
            <w:tcW w:type="dxa" w:w="1440"/>
            <w:shd w:fill="FFDCE0" w:val="clear"/>
          </w:tcPr>
          <w:p>
            <w:r>
              <w:rPr>
                <w:sz w:val="17"/>
              </w:rPr>
              <w:t>1,664</w:t>
            </w:r>
          </w:p>
        </w:tc>
        <w:tc>
          <w:tcPr>
            <w:tcW w:type="dxa" w:w="1440"/>
            <w:shd w:fill="FFDCE0" w:val="clear"/>
          </w:tcPr>
          <w:p>
            <w:r>
              <w:rPr>
                <w:b/>
                <w:color w:val="C00000"/>
                <w:sz w:val="17"/>
              </w:rPr>
              <w:t>-13.4%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1,322</w:t>
            </w:r>
          </w:p>
        </w:tc>
        <w:tc>
          <w:tcPr>
            <w:tcW w:type="dxa" w:w="1440"/>
            <w:shd w:fill="FFDCE0" w:val="clear"/>
          </w:tcPr>
          <w:p>
            <w:r>
              <w:rPr>
                <w:b/>
                <w:sz w:val="17"/>
              </w:rPr>
              <w:t>1,485</w:t>
            </w:r>
          </w:p>
        </w:tc>
        <w:tc>
          <w:tcPr>
            <w:tcW w:type="dxa" w:w="1440"/>
            <w:shd w:fill="FFDCE0" w:val="clear"/>
          </w:tcPr>
          <w:p>
            <w:r>
              <w:rPr>
                <w:sz w:val="17"/>
              </w:rPr>
              <w:t>1,648</w:t>
            </w:r>
          </w:p>
        </w:tc>
        <w:tc>
          <w:tcPr>
            <w:tcW w:type="dxa" w:w="1440"/>
            <w:shd w:fill="FFDCE0" w:val="clear"/>
          </w:tcPr>
          <w:p>
            <w:r>
              <w:rPr>
                <w:b/>
                <w:color w:val="C00000"/>
                <w:sz w:val="17"/>
              </w:rPr>
              <w:t>-14.6%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315,59 milliards FCFA, un niveau qui la positionne parmi les valeurs moyennes du marché BRVM, reflétant son statut de leader sur le marché automobile ivoirien. Le BPA de 26 FCFA par action est relativement faible, ce qui explique le PER de 67,2x, un niveau extrêmement élevé comparé à la moyenne historique de la BRVM (8-12x). Les investisseurs paient donc une prime considérable pour chaque franc de bénéfice, anticipant une forte croissance future. Le P/B de 16,22x confirme cette vision, le marché valorisant l'actif net de la société plus de 16 fois sa valeur comptable, signe d'une confiance forte dans les actifs incorporels et la marque. Enfin, l'EV/EBITDA de 34,2x est également très exigeant, indiquant que la valeur totale de l'entreprise (capitalisation plus dette nette) est élevée par rapport à sa capacité opérationnelle. Ces ratios suggèrent une valorisation qui intègre des attentes de performance très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CFAC a enregistré une progression totale de +6,75%, avec une légère baisse de -0,29% lors de la dernière séance, s'établissant à 1 740 FCFA. Le titre a évolué dans une fourchette de 1 325 à 1 825 FCFA, démontrant une amplitude de 500 FCFA. La moyenne du cours sur la période est de 1 614 FCFA, très proche de la médiane (1 602 FCFA), ce qui indique une distribution relativement symétrique des prix, confirmée par un skewness de -0,378. L'écart-type de 108 FCFA (CV=6,7%) révèle une dispersion modérée autour de la moyenne. Le kurtosis de -0,377 (mésokurtique) suggère une absence de pics extrêmes, avec une distribution proche de la normale. La volatilité annualisée de 48,9% est très élevée (&gt;30%), indiquant un titre particulièrement risqué et sujet à de fortes fluctuations, malgré une tendance générale haussière sur la période analysée.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(1 740 FCFA) se situe au-dessus de la MM20 (1 701,25 FCFA) et de la MM50 (1 680,5 FCFA), ce qui confirme une tendance haussière à court et moyen terme. La configuration des MM, avec le cours au-dessus des deux moyennes, génère un signal d'achat cohérent, indiquant une dynamique positive soutenue.</w:t>
      </w:r>
    </w:p>
    <w:p>
      <w:pPr>
        <w:spacing w:after="120" w:line="276" w:lineRule="auto"/>
      </w:pPr>
      <w:r>
        <w:t>**Bandes de Bollinger :** Le prix se négocie à 1 740 FCFA, entre la borne supérieure (1 808,85 FCFA) et la borne inférieure (1 593,65 FCFA), mais plus proche de la borne supérieure. Cette position suggère une pression acheteuse persistante sans atteindre une zone de surachat extrême. La décision est neutre, le titre n'ayant pas encore touché les bornes, laissant présager une poursuite de la tendance ou un retour vers la moyenne.</w:t>
      </w:r>
    </w:p>
    <w:p>
      <w:pPr>
        <w:spacing w:after="120" w:line="276" w:lineRule="auto"/>
      </w:pPr>
      <w:r>
        <w:t>**MACD :** La valeur du MACD (22,903) est supérieure à son signal (19,979), indiquant un momentum haussier positif. Cette configuration est un signal d'achat classique, montrant que la dynamique de court terme est plus forte que la tendance moyenne, ce qui soutient la poursuite de la hausse.</w:t>
      </w:r>
    </w:p>
    <w:p>
      <w:pPr>
        <w:spacing w:after="120" w:line="276" w:lineRule="auto"/>
      </w:pPr>
      <w:r>
        <w:t>**RSI :** Le RSI à 59,26 est dans la zone neutre (30-70), indiquant un équilibre entre les forces acheteuses et vendeuses. Il n'y a pas de signal de surachat ou de survente, ce qui laisse une marge de manœuvre pour une potentielle appréciation du cours sans pression corrective immédiate.</w:t>
      </w:r>
    </w:p>
    <w:p>
      <w:pPr>
        <w:spacing w:after="120" w:line="276" w:lineRule="auto"/>
      </w:pPr>
      <w:r>
        <w:t>**Stochastique :** Le %K (84,85) et le %D (88,89) sont tous deux dans la zone de surachat (&gt;80), avec un %K en dessous du %D, suggérant un croisement baissier potentiel. Ce signal de vente indique que le mouvement haussier récent pourrait être épuisé à court terme, préfigurant une possible consolidation ou correction.</w:t>
      </w:r>
    </w:p>
    <w:p>
      <w:pPr>
        <w:spacing w:after="120" w:line="276" w:lineRule="auto"/>
      </w:pPr>
      <w:r>
        <w:t>**Conclusion technique :** La majorité des indicateurs (MM, MACD) sont positifs, soutenant une tendance haussière. Cependant, le Stochastique en zone de surachat et le RSI neutre appellent à la prudence. La convergence des signaux est mitigée, avec un biais haussier à moyen terme mais un risque de correction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2024, selon les données structurées officielles, CFAC a réalisé un chiffre d'affaires de 158,313 milliards FCFA, en baisse de -12,1% par rapport à 2023, avec un résultat net de 4,693 milliards FCFA (marge nette de 2,96%). La rentabilité des fonds propres (ROE) reste excellente à 24,13%, et le ROA est de 5,52%. En tant qu'entreprise de distribution automobile, l'analyse du BFR est cruciale : il est négatif à -3,482 milliards FCFA, ce qui est favorable, signifiant que l'entreprise finance son cycle d'exploitation grâce à ses fournisseurs (délai fournisseurs de 81,75 jours contre 36,64 jours pour les clients). Cependant, la durée de stockage de 88,35 jours est élevée, immobilisant du capital. Les rapports narratifs montrent une nette amélioration en 2025 : le rapport du T1 2025 (31 mars 2025) indique un résultat net de 3,836 milliards FCFA (+279,7%), le S1 2025 (30 juin 2025) un résultat net de 5,420 milliards FCFA (+152,7%), et le T3 2025 (30 septembre 2025) un résultat net de 1,489 milliard FCFA (+38,1%). Sur la base de ces performances trimestrielles, on estime que l'exercice 2025 devrait afficher une croissance significative du CA (estimé à plus de 180 milliards FCFA) et un résultat net annuel potentiellement supérieur à 10 milliards FCFA, marquant un redressement spectaculaire après l'exercice 2024 difficile. La société consolide sa position de leader avec plus de 41% de parts de marché.</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67x, P/B 16x), suggérant une surévaluation basée sur les bénéfices actuels, mais intégrant des attentes de croissance future. Le comportement du cours est haussier sur 100 jours avec une volatilité très élevée (48,9%), ce qui représente un risque significatif. Les signaux techniques sont mitigés : les moyennes mobiles et le MACD sont positifs, mais le stochastique en surachat suggère un repli à court terme. Les fondamentaux sont solides avec un ROE de 24%, un BFR négatif favorable, et un redressement spectaculaire de la rentabilité en 2025 (résultat net S1 2025 en hausse de 152,7%). Les prédictions IA pour les 10 prochains jours (baisse de 1740 à 1599 FCFA) contredisent la tendance haussière récente et confirment le signal de vente du stochastique, suggérant une consolidation technique. En synthèse, la convergence entre la valorisation élevée, le signal technique de surachat et les prédictions IA baissières indique un risque de correction à court terme. **Recommandation finale : CONSERVER.** Le niveau de confiance est **Moyen** et le niveau de risque est **Élevé**. L'horizon d'investissement optimal serait à **moyen terme (3-12 mois)**, en attendant une correction du cours pour envisager un renforcement, ou une confirmation de la croissance fondamentale pour justifier la prime de valorisation.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396.48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6,369 titres</w:t>
            </w:r>
          </w:p>
        </w:tc>
        <w:tc>
          <w:tcPr>
            <w:tcW w:type="dxa" w:w="2268"/>
            <w:shd w:fill="FFF2CC" w:val="clear"/>
          </w:tcPr>
          <w:p>
            <w:r>
              <w:rPr>
                <w:b/>
                <w:color w:val="503200"/>
                <w:sz w:val="16"/>
              </w:rPr>
              <w:t xml:space="preserve">Cours actuel : </w:t>
            </w:r>
            <w:r>
              <w:rPr>
                <w:color w:val="000000"/>
                <w:sz w:val="17"/>
              </w:rPr>
              <w:t>7,080 FCFA</w:t>
            </w:r>
          </w:p>
          <w:p>
            <w:r>
              <w:rPr>
                <w:b/>
                <w:color w:val="503200"/>
                <w:sz w:val="16"/>
              </w:rPr>
              <w:t xml:space="preserve">Var. 100 jours : </w:t>
            </w:r>
            <w:r>
              <w:rPr>
                <w:b/>
                <w:color w:val="007800"/>
                <w:sz w:val="17"/>
              </w:rPr>
              <w:t>+124.76%</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24.28% (Élevée) — μ=4,809 FCFA, σ=1,168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β=0.9597 (Neutre (suit le marché)) — Cov=0.000035, Var(idx)=0.000037, ρ=0.183,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6,185</w:t>
            </w:r>
          </w:p>
        </w:tc>
        <w:tc>
          <w:tcPr>
            <w:tcW w:type="dxa" w:w="1440"/>
            <w:shd w:fill="FFDCE0" w:val="clear"/>
          </w:tcPr>
          <w:p>
            <w:r>
              <w:rPr>
                <w:b/>
                <w:sz w:val="17"/>
              </w:rPr>
              <w:t>6,549</w:t>
            </w:r>
          </w:p>
        </w:tc>
        <w:tc>
          <w:tcPr>
            <w:tcW w:type="dxa" w:w="1440"/>
            <w:shd w:fill="FFDCE0" w:val="clear"/>
          </w:tcPr>
          <w:p>
            <w:r>
              <w:rPr>
                <w:sz w:val="17"/>
              </w:rPr>
              <w:t>6,913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5,582</w:t>
            </w:r>
          </w:p>
        </w:tc>
        <w:tc>
          <w:tcPr>
            <w:tcW w:type="dxa" w:w="1440"/>
            <w:shd w:fill="FFDCE0" w:val="clear"/>
          </w:tcPr>
          <w:p>
            <w:r>
              <w:rPr>
                <w:b/>
                <w:sz w:val="17"/>
              </w:rPr>
              <w:t>6,058</w:t>
            </w:r>
          </w:p>
        </w:tc>
        <w:tc>
          <w:tcPr>
            <w:tcW w:type="dxa" w:w="1440"/>
            <w:shd w:fill="FFDCE0" w:val="clear"/>
          </w:tcPr>
          <w:p>
            <w:r>
              <w:rPr>
                <w:sz w:val="17"/>
              </w:rPr>
              <w:t>6,534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5,064</w:t>
            </w:r>
          </w:p>
        </w:tc>
        <w:tc>
          <w:tcPr>
            <w:tcW w:type="dxa" w:w="1440"/>
            <w:shd w:fill="FFDCE0" w:val="clear"/>
          </w:tcPr>
          <w:p>
            <w:r>
              <w:rPr>
                <w:b/>
                <w:sz w:val="17"/>
              </w:rPr>
              <w:t>5,603</w:t>
            </w:r>
          </w:p>
        </w:tc>
        <w:tc>
          <w:tcPr>
            <w:tcW w:type="dxa" w:w="1440"/>
            <w:shd w:fill="FFDCE0" w:val="clear"/>
          </w:tcPr>
          <w:p>
            <w:r>
              <w:rPr>
                <w:sz w:val="17"/>
              </w:rPr>
              <w:t>6,143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4,607</w:t>
            </w:r>
          </w:p>
        </w:tc>
        <w:tc>
          <w:tcPr>
            <w:tcW w:type="dxa" w:w="1440"/>
            <w:shd w:fill="FFDCE0" w:val="clear"/>
          </w:tcPr>
          <w:p>
            <w:r>
              <w:rPr>
                <w:b/>
                <w:sz w:val="17"/>
              </w:rPr>
              <w:t>5,183</w:t>
            </w:r>
          </w:p>
        </w:tc>
        <w:tc>
          <w:tcPr>
            <w:tcW w:type="dxa" w:w="1440"/>
            <w:shd w:fill="FFDCE0" w:val="clear"/>
          </w:tcPr>
          <w:p>
            <w:r>
              <w:rPr>
                <w:sz w:val="17"/>
              </w:rPr>
              <w:t>5,759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4,199</w:t>
            </w:r>
          </w:p>
        </w:tc>
        <w:tc>
          <w:tcPr>
            <w:tcW w:type="dxa" w:w="1440"/>
            <w:shd w:fill="FFDCE0" w:val="clear"/>
          </w:tcPr>
          <w:p>
            <w:r>
              <w:rPr>
                <w:b/>
                <w:sz w:val="17"/>
              </w:rPr>
              <w:t>4,794</w:t>
            </w:r>
          </w:p>
        </w:tc>
        <w:tc>
          <w:tcPr>
            <w:tcW w:type="dxa" w:w="1440"/>
            <w:shd w:fill="FFDCE0" w:val="clear"/>
          </w:tcPr>
          <w:p>
            <w:r>
              <w:rPr>
                <w:sz w:val="17"/>
              </w:rPr>
              <w:t>5,390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3,831</w:t>
            </w:r>
          </w:p>
        </w:tc>
        <w:tc>
          <w:tcPr>
            <w:tcW w:type="dxa" w:w="1440"/>
            <w:shd w:fill="FFDCE0" w:val="clear"/>
          </w:tcPr>
          <w:p>
            <w:r>
              <w:rPr>
                <w:b/>
                <w:sz w:val="17"/>
              </w:rPr>
              <w:t>4,435</w:t>
            </w:r>
          </w:p>
        </w:tc>
        <w:tc>
          <w:tcPr>
            <w:tcW w:type="dxa" w:w="1440"/>
            <w:shd w:fill="FFDCE0" w:val="clear"/>
          </w:tcPr>
          <w:p>
            <w:r>
              <w:rPr>
                <w:sz w:val="17"/>
              </w:rPr>
              <w:t>5,038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3,499</w:t>
            </w:r>
          </w:p>
        </w:tc>
        <w:tc>
          <w:tcPr>
            <w:tcW w:type="dxa" w:w="1440"/>
            <w:shd w:fill="FFDCE0" w:val="clear"/>
          </w:tcPr>
          <w:p>
            <w:r>
              <w:rPr>
                <w:b/>
                <w:sz w:val="17"/>
              </w:rPr>
              <w:t>4,102</w:t>
            </w:r>
          </w:p>
        </w:tc>
        <w:tc>
          <w:tcPr>
            <w:tcW w:type="dxa" w:w="1440"/>
            <w:shd w:fill="FFDCE0" w:val="clear"/>
          </w:tcPr>
          <w:p>
            <w:r>
              <w:rPr>
                <w:sz w:val="17"/>
              </w:rPr>
              <w:t>4,705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3,198</w:t>
            </w:r>
          </w:p>
        </w:tc>
        <w:tc>
          <w:tcPr>
            <w:tcW w:type="dxa" w:w="1440"/>
            <w:shd w:fill="FFDCE0" w:val="clear"/>
          </w:tcPr>
          <w:p>
            <w:r>
              <w:rPr>
                <w:b/>
                <w:sz w:val="17"/>
              </w:rPr>
              <w:t>3,795</w:t>
            </w:r>
          </w:p>
        </w:tc>
        <w:tc>
          <w:tcPr>
            <w:tcW w:type="dxa" w:w="1440"/>
            <w:shd w:fill="FFDCE0" w:val="clear"/>
          </w:tcPr>
          <w:p>
            <w:r>
              <w:rPr>
                <w:sz w:val="17"/>
              </w:rPr>
              <w:t>4,391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2,925</w:t>
            </w:r>
          </w:p>
        </w:tc>
        <w:tc>
          <w:tcPr>
            <w:tcW w:type="dxa" w:w="1440"/>
            <w:shd w:fill="FFDCE0" w:val="clear"/>
          </w:tcPr>
          <w:p>
            <w:r>
              <w:rPr>
                <w:b/>
                <w:sz w:val="17"/>
              </w:rPr>
              <w:t>3,510</w:t>
            </w:r>
          </w:p>
        </w:tc>
        <w:tc>
          <w:tcPr>
            <w:tcW w:type="dxa" w:w="1440"/>
            <w:shd w:fill="FFDCE0" w:val="clear"/>
          </w:tcPr>
          <w:p>
            <w:r>
              <w:rPr>
                <w:sz w:val="17"/>
              </w:rPr>
              <w:t>4,095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2,676</w:t>
            </w:r>
          </w:p>
        </w:tc>
        <w:tc>
          <w:tcPr>
            <w:tcW w:type="dxa" w:w="1440"/>
            <w:shd w:fill="FFDCE0" w:val="clear"/>
          </w:tcPr>
          <w:p>
            <w:r>
              <w:rPr>
                <w:b/>
                <w:sz w:val="17"/>
              </w:rPr>
              <w:t>3,247</w:t>
            </w:r>
          </w:p>
        </w:tc>
        <w:tc>
          <w:tcPr>
            <w:tcW w:type="dxa" w:w="1440"/>
            <w:shd w:fill="FFDCE0" w:val="clear"/>
          </w:tcPr>
          <w:p>
            <w:r>
              <w:rPr>
                <w:sz w:val="17"/>
              </w:rPr>
              <w:t>3,817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396,48 milliards FCFA, ce qui positionne la société parmi les valeurs moyennes à grandes capitalisations de la BRVM, reflétant son statut de quasi-monopole dans la distribution d'électricité en Côte d'Ivoire. Le BPA de 234 FCFA indique que chaque action génère un bénéfice de ce montant, mais le PER de 30,2x est extrêmement élevé comparé à la moyenne historique de la BRVM (8-12x), signifiant que les investisseurs paient une prime très significative pour chaque franc de bénéfice, anticipant probablement une forte croissance future. Le P/B de 11,02x confirme cette exubérance, le marché valorisant le titre plus de 11 fois sa valeur comptable, ce qui traduit une confiance absolue dans la capacité de la société à générer de la valeur au-delà de ses actifs nets. Enfin, l'EV/EBITDA de 15,7x, bien que supérieur au seuil exigeant de 15x, indique que la valeur totale de l'entreprise (capitaux propres + dettes) reste relativement élevée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connu une appréciation spectaculaire de +124,76%, passant d'un plus bas de 3 000 FCFA à un plus haut de 7 190 FCFA, avec une dernière séance en hausse de +5,67% pour clôturer à 7 080 FCFA. Cette tendance fortement haussière s'accompagne de statistiques descriptives révélatrices : la moyenne de 4 809 FCFA est inférieure à la médiane de 5 000 FCFA, indiquant une distribution légèrement asymétrique positive où les valeurs extrêmes hautes (comme le cours actuel) tirent la moyenne vers le haut. L'écart-type de 1 174 FCFA avec un coefficient de variation de 24,4% témoigne d'une dispersion modérée des prix autour de la moyenne, tandis que le kurtosis de -0,765 (mésokurtique) et le skewness de 0,008 (symétrique) suggèrent une distribution proche de la normale, sans risque de pics extrêmes ni d'asymétrie marquée. La volatilité annualisée de 50,3% classe le titre dans la catégorie des valeurs à très forte volatilité, bien au-dessus du seuil de 30% considéré comme élevé, ce qui implique un risque substantiel pour les investisseurs malgré la performance impressionnante.</w:t>
      </w:r>
    </w:p>
    <w:p>
      <w:pPr>
        <w:spacing w:after="120" w:line="276" w:lineRule="auto" w:before="240"/>
      </w:pPr>
      <w:r>
        <w:rPr>
          <w:b/>
          <w:color w:val="003366"/>
          <w:sz w:val="24"/>
        </w:rPr>
        <w:t>**PARTIE 2 : ANALYSE TECHNIQUE DÉTAILLÉE**</w:t>
      </w:r>
    </w:p>
    <w:p>
      <w:pPr>
        <w:spacing w:after="120" w:line="276" w:lineRule="auto"/>
      </w:pPr>
      <w:r>
        <w:t>**Moyennes Mobiles** : Le cours actuel de 7 080 FCFA se positionne nettement au-dessus de la MM20 (6 383,5 FCFA) et de la MM50 (5 679,8 FCFA), confirmant une tendance haussière solide à court et moyen terme. L'écart positif entre le cours et les deux moyennes mobiles, couplé à l'écartement croissant entre MM20 et MM50, valide la dynamique ascendante et justifie la décision d'Achat, bien que l'éloignement du cours par rapport à ses moyennes puisse signaler une extension excessive.</w:t>
      </w:r>
    </w:p>
    <w:p>
      <w:pPr>
        <w:spacing w:after="120" w:line="276" w:lineRule="auto"/>
      </w:pPr>
      <w:r>
        <w:t>**Bandes de Bollinger** : Le prix à 7 080 FCFA se situe entre la borne supérieure (7 699,27 FCFA) et la borne inférieure (5 067,73 FCFA), mais plus près de la borne haute, indiquant une pression acheteuse soutenue. La largeur des bandes reflète la volatilité élevée du titre, et bien que le cours ne soit pas en zone de surachat extrême, la décision Neutre suggère que le marché attend une confirmation directionnelle avant de poursuivre le mouvement.</w:t>
      </w:r>
    </w:p>
    <w:p>
      <w:pPr>
        <w:spacing w:after="120" w:line="276" w:lineRule="auto"/>
      </w:pPr>
      <w:r>
        <w:t>**MACD** : La valeur du MACD (381,625) est légèrement inférieure à son signal (384,848), créant une divergence baissière naissante qui pourrait indiquer un ralentissement du momentum haussier. Cette configuration, bien que marginale, génère une décision de Vente, signalant que la dynamique positive s'essouffle et qu'une correction technique pourrait survenir à court terme.</w:t>
      </w:r>
    </w:p>
    <w:p>
      <w:pPr>
        <w:spacing w:after="120" w:line="276" w:lineRule="auto"/>
      </w:pPr>
      <w:r>
        <w:t>**RSI** : Avec une valeur de 71,324, le RSI entre en zone de surachat (au-delà de 70), indiquant que le titre a été trop acheté et qu'un repli technique est probable. Cette lecture confirme la décision de Vente, car la pression acheteuse excessive atteint ses limites et les investisseurs pourraient réaliser des profits.</w:t>
      </w:r>
    </w:p>
    <w:p>
      <w:pPr>
        <w:spacing w:after="120" w:line="276" w:lineRule="auto"/>
      </w:pPr>
      <w:r>
        <w:t>**Stochastique** : Le %K (86,747) et le %D (72,97) évoluent tous deux en zone de surachat, avec un écart positif indiquant une force relative persistante. Cependant, la proximité du %K avec le niveau 90 suggère une possible saturation acheteuse, et la décision de Vente reflète le risque de retournement imminent si les conditions de surachat se confirment.</w:t>
      </w:r>
    </w:p>
    <w:p>
      <w:pPr>
        <w:spacing w:after="120" w:line="276" w:lineRule="auto"/>
      </w:pPr>
      <w:r>
        <w:t>**Conclusion technique** : La convergence des indicateurs de momentum (RSI, Stochastique, MACD) vers des signaux de Vente, malgré une tendance haussière toujours intacte selon les moyennes mobiles, crée un conflit technique majeur. Le titre semble suracheté à court terme après une hausse de 124,76% en 100 jours, et une consolidation ou correction technique paraît probable avant la poursuite éventuelle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la CIEC affiche des données financières structurées solides avec un chiffre d'affaires de 302,320 milliards FCFA, en croissance de +14,8% par rapport à 2024 (263,294 milliards FCFA), et un résultat net de 13,127 milliards FCFA, en progression de 24,4% contre 10,526 milliards en 2024. La rentabilité des fonds propres (ROE) atteint un niveau excellent de 36,50%, tandis que le ROA reste faible à 0,65%, illustrant la lourdeur du bilan (2 018,446 milliards FCFA) typique du secteur électrique où les actifs de concession sont importants. En tant qu'entreprise non bancaire, l'analyse des délais d'exploitation révèle un délai clients élevé de 164 jours, indiquant un risque de trésorerie lié aux créances, mais un délai fournisseurs très favorable de 970 jours qui compense largement, résultant en un BFR négatif de -90,244 milliards FCFA, situation positive pour la trésorerie. Le rapport annuel 2025 (daté du 31 décembre 2025, analysé par DeepSeek le 21 mai 2026) confirme cette dynamique avec une croissance des ventes d'énergie de +8,3% en volume national et +21,7% à l'export, et une politique de dividende généreuse de 234 FCFA par action représentant 99,8% du résultat net. Le rapport du premier semestre 2025 (daté du 30 juin 2025) montre déjà une croissance du CA de +18,85% à 134,923 milliards FCFA et un résultat net de 5,096 milliards FCFA, suggérant une accélération au second semestre. Sur la base de ces tendances, on estime que l'exercice 2026 pourrait voir le CA dépasser 330 milliards FCFA et le résultat net atteindre 15 milliards FCFA, sous réserve de la stabilité du cadre réglementaire de la concession et de la maîtrise du risque de crédit client.</w:t>
      </w:r>
    </w:p>
    <w:p>
      <w:pPr>
        <w:spacing w:after="120" w:line="276" w:lineRule="auto" w:before="240"/>
      </w:pPr>
      <w:r>
        <w:rPr>
          <w:b/>
          <w:color w:val="003366"/>
          <w:sz w:val="24"/>
        </w:rPr>
        <w:t>**PARTIE 4 : CONCLUSION D'INVESTISSEMENT**</w:t>
      </w:r>
    </w:p>
    <w:p>
      <w:pPr>
        <w:spacing w:after="120" w:line="276" w:lineRule="auto"/>
      </w:pPr>
      <w:r>
        <w:t>La synthèse globale révèle une divergence frappante entre des fondamentaux solides mais modestes et une valorisation boursière extrêmement exigeante, avec un PER de 30,2x et un P/B de 11,02x qui suggèrent une surévaluation significative par rapport aux bénéfices et aux actifs. Le comportement du cours, avec une hausse de +124,76% en 100 jours et une volatilité annualisée de 50,3%, témoigne d'un enthousiasme spéculatif qui contraste avec la croissance fondamentale de 14,8% du CA et de 24,4% du résultat net. Les signaux techniques sont majoritairement vendeurs (RSI à 71,3 en surachat, MACD en divergence baissière, Stochastique à 86,7), indiquant un risque élevé de correction à court terme, tandis que les prédictions IA pour les 10 prochains jours ouvrables confirment cette anticipation avec une trajectoire baissière passant de 6 549 FCFA à 4 794 FCFA, soit une chute potentielle de 32%. Les fondamentaux restent néanmoins solides avec un ROE de 36,5%, un BFR négatif favorable et une politique de dividende attractive, mais la quasi-totalité du résultat distribué (99,8%) limite la capacité d'autofinancement. Sur la base de cette synthèse, la recommandation finale est **VENTE** pour les investisseurs à court terme, avec un niveau de confiance **Élevé** et un risque global **Élevé**, suggérant un horizon d'investissement optimal à moyen terme (3-12 mois) après une correction attendue vers des niveaux plus raisonnables de 4 500-5 000 FCFA, où le PER deviendrait plus conforme aux standards de la BRVM.</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963.39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3,911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+12.07%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2.67% (Faible) — μ=16,387 FCFA, σ=438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β=0.3717 (Défensif) — Cov=0.000014, Var(idx)=0.000037, ρ=0.129,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16,930</w:t>
            </w:r>
          </w:p>
        </w:tc>
        <w:tc>
          <w:tcPr>
            <w:tcW w:type="dxa" w:w="1440"/>
            <w:shd w:fill="FAFAFA" w:val="clear"/>
          </w:tcPr>
          <w:p>
            <w:r>
              <w:rPr>
                <w:b/>
                <w:sz w:val="17"/>
              </w:rPr>
              <w:t>17,364</w:t>
            </w:r>
          </w:p>
        </w:tc>
        <w:tc>
          <w:tcPr>
            <w:tcW w:type="dxa" w:w="1440"/>
            <w:shd w:fill="FAFAFA" w:val="clear"/>
          </w:tcPr>
          <w:p>
            <w:r>
              <w:rPr>
                <w:sz w:val="17"/>
              </w:rPr>
              <w:t>17,799</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16,718</w:t>
            </w:r>
          </w:p>
        </w:tc>
        <w:tc>
          <w:tcPr>
            <w:tcW w:type="dxa" w:w="1440"/>
            <w:shd w:fill="FAFAFA" w:val="clear"/>
          </w:tcPr>
          <w:p>
            <w:r>
              <w:rPr>
                <w:b/>
                <w:sz w:val="17"/>
              </w:rPr>
              <w:t>17,332</w:t>
            </w:r>
          </w:p>
        </w:tc>
        <w:tc>
          <w:tcPr>
            <w:tcW w:type="dxa" w:w="1440"/>
            <w:shd w:fill="FAFAFA" w:val="clear"/>
          </w:tcPr>
          <w:p>
            <w:r>
              <w:rPr>
                <w:sz w:val="17"/>
              </w:rPr>
              <w:t>17,946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2026-09-10</w:t>
            </w:r>
          </w:p>
        </w:tc>
        <w:tc>
          <w:tcPr>
            <w:tcW w:type="dxa" w:w="1440"/>
            <w:shd w:fill="FAFAFA" w:val="clear"/>
          </w:tcPr>
          <w:p>
            <w:r>
              <w:rPr>
                <w:sz w:val="17"/>
              </w:rPr>
              <w:t>16,548</w:t>
            </w:r>
          </w:p>
        </w:tc>
        <w:tc>
          <w:tcPr>
            <w:tcW w:type="dxa" w:w="1440"/>
            <w:shd w:fill="FAFAFA" w:val="clear"/>
          </w:tcPr>
          <w:p>
            <w:r>
              <w:rPr>
                <w:b/>
                <w:sz w:val="17"/>
              </w:rPr>
              <w:t>17,298</w:t>
            </w:r>
          </w:p>
        </w:tc>
        <w:tc>
          <w:tcPr>
            <w:tcW w:type="dxa" w:w="1440"/>
            <w:shd w:fill="FAFAFA" w:val="clear"/>
          </w:tcPr>
          <w:p>
            <w:r>
              <w:rPr>
                <w:sz w:val="17"/>
              </w:rPr>
              <w:t>18,048</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2026-09-11</w:t>
            </w:r>
          </w:p>
        </w:tc>
        <w:tc>
          <w:tcPr>
            <w:tcW w:type="dxa" w:w="1440"/>
            <w:shd w:fill="FAFAFA" w:val="clear"/>
          </w:tcPr>
          <w:p>
            <w:r>
              <w:rPr>
                <w:sz w:val="17"/>
              </w:rPr>
              <w:t>16,405</w:t>
            </w:r>
          </w:p>
        </w:tc>
        <w:tc>
          <w:tcPr>
            <w:tcW w:type="dxa" w:w="1440"/>
            <w:shd w:fill="FAFAFA" w:val="clear"/>
          </w:tcPr>
          <w:p>
            <w:r>
              <w:rPr>
                <w:b/>
                <w:sz w:val="17"/>
              </w:rPr>
              <w:t>17,270</w:t>
            </w:r>
          </w:p>
        </w:tc>
        <w:tc>
          <w:tcPr>
            <w:tcW w:type="dxa" w:w="1440"/>
            <w:shd w:fill="FAFAFA" w:val="clear"/>
          </w:tcPr>
          <w:p>
            <w:r>
              <w:rPr>
                <w:sz w:val="17"/>
              </w:rPr>
              <w:t>18,135</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2026-09-14</w:t>
            </w:r>
          </w:p>
        </w:tc>
        <w:tc>
          <w:tcPr>
            <w:tcW w:type="dxa" w:w="1440"/>
            <w:shd w:fill="FAFAFA" w:val="clear"/>
          </w:tcPr>
          <w:p>
            <w:r>
              <w:rPr>
                <w:sz w:val="17"/>
              </w:rPr>
              <w:t>16,279</w:t>
            </w:r>
          </w:p>
        </w:tc>
        <w:tc>
          <w:tcPr>
            <w:tcW w:type="dxa" w:w="1440"/>
            <w:shd w:fill="FAFAFA" w:val="clear"/>
          </w:tcPr>
          <w:p>
            <w:r>
              <w:rPr>
                <w:b/>
                <w:sz w:val="17"/>
              </w:rPr>
              <w:t>17,245</w:t>
            </w:r>
          </w:p>
        </w:tc>
        <w:tc>
          <w:tcPr>
            <w:tcW w:type="dxa" w:w="1440"/>
            <w:shd w:fill="FAFAFA" w:val="clear"/>
          </w:tcPr>
          <w:p>
            <w:r>
              <w:rPr>
                <w:sz w:val="17"/>
              </w:rPr>
              <w:t>18,210</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2026-09-15</w:t>
            </w:r>
          </w:p>
        </w:tc>
        <w:tc>
          <w:tcPr>
            <w:tcW w:type="dxa" w:w="1440"/>
            <w:shd w:fill="FAFAFA" w:val="clear"/>
          </w:tcPr>
          <w:p>
            <w:r>
              <w:rPr>
                <w:sz w:val="17"/>
              </w:rPr>
              <w:t>16,164</w:t>
            </w:r>
          </w:p>
        </w:tc>
        <w:tc>
          <w:tcPr>
            <w:tcW w:type="dxa" w:w="1440"/>
            <w:shd w:fill="FAFAFA" w:val="clear"/>
          </w:tcPr>
          <w:p>
            <w:r>
              <w:rPr>
                <w:b/>
                <w:sz w:val="17"/>
              </w:rPr>
              <w:t>17,220</w:t>
            </w:r>
          </w:p>
        </w:tc>
        <w:tc>
          <w:tcPr>
            <w:tcW w:type="dxa" w:w="1440"/>
            <w:shd w:fill="FAFAFA" w:val="clear"/>
          </w:tcPr>
          <w:p>
            <w:r>
              <w:rPr>
                <w:sz w:val="17"/>
              </w:rPr>
              <w:t>18,276</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2026-09-16</w:t>
            </w:r>
          </w:p>
        </w:tc>
        <w:tc>
          <w:tcPr>
            <w:tcW w:type="dxa" w:w="1440"/>
            <w:shd w:fill="FAFAFA" w:val="clear"/>
          </w:tcPr>
          <w:p>
            <w:r>
              <w:rPr>
                <w:sz w:val="17"/>
              </w:rPr>
              <w:t>16,057</w:t>
            </w:r>
          </w:p>
        </w:tc>
        <w:tc>
          <w:tcPr>
            <w:tcW w:type="dxa" w:w="1440"/>
            <w:shd w:fill="FAFAFA" w:val="clear"/>
          </w:tcPr>
          <w:p>
            <w:r>
              <w:rPr>
                <w:b/>
                <w:sz w:val="17"/>
              </w:rPr>
              <w:t>17,196</w:t>
            </w:r>
          </w:p>
        </w:tc>
        <w:tc>
          <w:tcPr>
            <w:tcW w:type="dxa" w:w="1440"/>
            <w:shd w:fill="FAFAFA" w:val="clear"/>
          </w:tcPr>
          <w:p>
            <w:r>
              <w:rPr>
                <w:sz w:val="17"/>
              </w:rPr>
              <w:t>18,335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2026-09-17</w:t>
            </w:r>
          </w:p>
        </w:tc>
        <w:tc>
          <w:tcPr>
            <w:tcW w:type="dxa" w:w="1440"/>
            <w:shd w:fill="FAFAFA" w:val="clear"/>
          </w:tcPr>
          <w:p>
            <w:r>
              <w:rPr>
                <w:sz w:val="17"/>
              </w:rPr>
              <w:t>15,956</w:t>
            </w:r>
          </w:p>
        </w:tc>
        <w:tc>
          <w:tcPr>
            <w:tcW w:type="dxa" w:w="1440"/>
            <w:shd w:fill="FAFAFA" w:val="clear"/>
          </w:tcPr>
          <w:p>
            <w:r>
              <w:rPr>
                <w:b/>
                <w:sz w:val="17"/>
              </w:rPr>
              <w:t>17,172</w:t>
            </w:r>
          </w:p>
        </w:tc>
        <w:tc>
          <w:tcPr>
            <w:tcW w:type="dxa" w:w="1440"/>
            <w:shd w:fill="FAFAFA" w:val="clear"/>
          </w:tcPr>
          <w:p>
            <w:r>
              <w:rPr>
                <w:sz w:val="17"/>
              </w:rPr>
              <w:t>18,388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15,860</w:t>
            </w:r>
          </w:p>
        </w:tc>
        <w:tc>
          <w:tcPr>
            <w:tcW w:type="dxa" w:w="1440"/>
            <w:shd w:fill="FFDCE0" w:val="clear"/>
          </w:tcPr>
          <w:p>
            <w:r>
              <w:rPr>
                <w:b/>
                <w:sz w:val="17"/>
              </w:rPr>
              <w:t>17,148</w:t>
            </w:r>
          </w:p>
        </w:tc>
        <w:tc>
          <w:tcPr>
            <w:tcW w:type="dxa" w:w="1440"/>
            <w:shd w:fill="FFDCE0" w:val="clear"/>
          </w:tcPr>
          <w:p>
            <w:r>
              <w:rPr>
                <w:sz w:val="17"/>
              </w:rPr>
              <w:t>18,437</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15,769</w:t>
            </w:r>
          </w:p>
        </w:tc>
        <w:tc>
          <w:tcPr>
            <w:tcW w:type="dxa" w:w="1440"/>
            <w:shd w:fill="FFDCE0" w:val="clear"/>
          </w:tcPr>
          <w:p>
            <w:r>
              <w:rPr>
                <w:b/>
                <w:sz w:val="17"/>
              </w:rPr>
              <w:t>17,125</w:t>
            </w:r>
          </w:p>
        </w:tc>
        <w:tc>
          <w:tcPr>
            <w:tcW w:type="dxa" w:w="1440"/>
            <w:shd w:fill="FFDCE0" w:val="clear"/>
          </w:tcPr>
          <w:p>
            <w:r>
              <w:rPr>
                <w:sz w:val="17"/>
              </w:rPr>
              <w:t>18,481</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963,39 milliards FCFA, ce qui en fait l'une des plus importantes capitalisations de la BRVM, reflétant son statut de banque systémique dans l'UEMOA. Avec un BPA de 1 153 FCFA, le PER de 15,2x se situe nettement au-dessus de la moyenne historique de la place (~8-12x), indiquant que le marché intègre déjà des perspectives de croissance soutenues et une prime de qualité. Le P/B de 4,41x confirme cette lecture, le cours se négociant à plus de quatre fois la valeur comptable des actifs, ce qui témoigne d'une forte confiance des investisseurs dans la capacité de la banque à générer de la valeur, mais laisse peu de marge de sécurité en cas de contre-performance. Enfin, l'EV/EBITDA de 14,7x, bien que dans la fourchette haute (10-15x), reste cohérent avec la rentabilité opérationnelle élevée de l'établissement, justifiant en partie cette valorisation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progression remarquable de +12,07%, avec une légère consolidation de -1,27% lors de la dernière séance, signe d'une prise de bénéfices après un rallye soutenu. Le cours a évolué dans un range de 15 520 à 17 725 FCFA, démontrant une tendance haussière dominante, le titre se négociant actuellement à proximité de ses plus hauts. La moyenne (16 387 FCFA) et la médiane (16 300 FCFA) sont très proches, indiquant une distribution relativement symétrique des prix, tandis que le mode à 16 300 FCFA confirme une concentration des échanges autour de ce niveau. L'écart-type de 440 FCFA (CV=2,7%) révèle une dispersion très faible, traduisant une stabilité relative des cours malgré la tendance haussière. Le kurtosis de 0,253 (mésokurtique) suggère une distribution proche de la normale, sans risque de variations extrêmes, et le skewness positif de 0,558 indique une asymétrie vers les rendements positifs, avec davantage de journées sous la moyenne mais des mouvements haussiers plus amples. La volatilité annualisée de 27,7% classe le titre dans la catégorie modérée (15-30%), offrant un équilibre acceptable entre risque et rendement pour un investisseur patient.</w:t>
      </w:r>
    </w:p>
    <w:p>
      <w:pPr>
        <w:spacing w:after="120" w:line="276" w:lineRule="auto" w:before="240"/>
      </w:pPr>
      <w:r>
        <w:rPr>
          <w:b/>
          <w:color w:val="003366"/>
          <w:sz w:val="24"/>
        </w:rPr>
        <w:t>**PARTIE 2 : ANALYSE TECHNIQUE DÉTAILLÉE**</w:t>
      </w:r>
    </w:p>
    <w:p>
      <w:pPr>
        <w:spacing w:after="120" w:line="276" w:lineRule="auto"/>
      </w:pPr>
      <w:r>
        <w:t>**Moyennes Mobiles** : Le cours actuel de 17 500 FCFA se positionne nettement au-dessus de la MM20 (16 694,75 FCFA) et de la MM50 (16 488,7 FCFA), confirmant une dynamique haussière solide. L'écart positif entre les deux moyennes mobiles (+206 FCFA) valide la tendance de fond, et la décision d'ACHAT est justifiée par cette configuration de marché favorable.</w:t>
      </w:r>
    </w:p>
    <w:p>
      <w:pPr>
        <w:spacing w:after="120" w:line="276" w:lineRule="auto"/>
      </w:pPr>
      <w:r>
        <w:t>**Bandes de Bollinger** : Le prix évolue à proximité de la borne supérieure (17 777 FCFA), indiquant une pression acheteuse soutenue. La largeur des bandes (2 165 FCFA entre les bornes) reflète une volatilité modérée, et bien que le cours ne soit pas en zone de surachat extrême, la décision NEUTRE s'explique par le risque de consolidation technique après cette progression rapide.</w:t>
      </w:r>
    </w:p>
    <w:p>
      <w:pPr>
        <w:spacing w:after="120" w:line="276" w:lineRule="auto"/>
      </w:pPr>
      <w:r>
        <w:t>**MACD** : La valeur positive du MACD (307,864) nettement supérieure à son signal (198,878) confirme un momentum haussier puissant. L'écart positif et croissant entre les deux lignes indique une accélération de la tendance, justifiant la décision d'ACHAT. Cette configuration suggère que la dynamique positive devrait se poursuivre à court terme.</w:t>
      </w:r>
    </w:p>
    <w:p>
      <w:pPr>
        <w:spacing w:after="120" w:line="276" w:lineRule="auto"/>
      </w:pPr>
      <w:r>
        <w:t>**RSI** : À 69,854, le RSI approche la zone de surachat (70), signalant une pression acheteuse intense mais pas encore excessive. La décision NEUTRE est prudente, car le titre pourrait entrer en zone de surachat dans les prochaines séances, augmentant le risque de correction technique.</w:t>
      </w:r>
    </w:p>
    <w:p>
      <w:pPr>
        <w:spacing w:after="120" w:line="276" w:lineRule="auto"/>
      </w:pPr>
      <w:r>
        <w:t>**Stochastique** : Le %K (81,633) sous le %D (93,878) indique un croisement baissier potentiel, signe d'un essoufflement du momentum haussier. La décision de VENTE reflète ce signal précoce de retournement, bien que le %K reste en zone élevée, suggérant une consolidation plutôt qu'un renversement majeur.</w:t>
      </w:r>
    </w:p>
    <w:p>
      <w:pPr>
        <w:spacing w:after="120" w:line="276" w:lineRule="auto"/>
      </w:pPr>
      <w:r>
        <w:t>**Conclusion technique** : La tendance de fond reste clairement haussière, portée par des moyennes mobiles et un MACD positifs. Cependant, la convergence des indicateurs de surachat (RSI proche de 70, stochastique en zone élevée) et la position du cours près de la borne supérieure de Bollinger suggèrent un risque de consolidation à court terme. L'avis global penche vers un ACHAT sur repli, en attendant un essoufflement des indicateurs pour renforcer les positions.</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exceptionnels, avec un Produit Net Bancaire de 132,725 milliards FCFA et un résultat net de 63,482 milliards FCFA, en progression de +8,5% par rapport à 2024. La rentabilité est remarquable, avec un ROE de 29,04% et un ROA de 3,09%, largement supérieurs aux seuils d'excellence du secteur bancaire. Le coefficient d'exploitation de 42,89% témoigne d'une maîtrise rigoureuse des charges, tandis que le coût du risque de 1,36% reflète une excellente qualité du portefeuille de crédits. La structure financière est solide, avec des dépôts clientèle de 1 626,223 milliards FCFA couvrant largement les créances clientèle de 1 050,803 milliards FCFA (ratio de transformation de 64,6%), démontrant une gestion prudente de la liquidité. Les rapports trimestriels 2025 confirment cette dynamique : le T3 2025 fait état d'un PNB de 96,4 milliards FCFA (+11,3%) et d'un résultat net de 44,4 milliards FCFA (+15,4%), avec un ROE de 29,7% et un coefficient d'exploitation amélioré à 44,7%. Sur la base de ces tendances, on estime que l'exercice 2026 pourrait voir le PNB atteindre environ 145-150 milliards FCFA et le résultat net dépasser 70 milliards FCFA, porté par la forte collecte de dépôts (+33,2% au T3 2025) et la baisse continue du coût du risque. Le rapport T1 2026 confirme cette trajectoire avec un PNB en hausse de 3,7% à 30,8 milliards FCFA, bien que le résultat net ait légèrement reculé de 1,6% à 13,0 milliards FCFA, illustrant un environnement macroéconomique plus complexe. La banque propose un dividende de 888 FCFA par action pour 2025, en hausse de 10,4% par rapport à 2024, portant le rendement à environ 5,1% au cours actuel.</w:t>
      </w:r>
    </w:p>
    <w:p>
      <w:pPr>
        <w:spacing w:after="120" w:line="276" w:lineRule="auto" w:before="240"/>
      </w:pPr>
      <w:r>
        <w:rPr>
          <w:b/>
          <w:color w:val="003366"/>
          <w:sz w:val="24"/>
        </w:rPr>
        <w:t>**PARTIE 4 : CONCLUSION D'INVESTISSEMENT**</w:t>
      </w:r>
    </w:p>
    <w:p>
      <w:pPr>
        <w:spacing w:after="120" w:line="276" w:lineRule="auto"/>
      </w:pPr>
      <w:r>
        <w:t>La valorisation d'ECOC, avec un PER de 15,2x et un P/B de 4,41x, reflète une prime substantielle par rapport au marché BRVM, justifiée par une rentabilité exceptionnelle (ROE de 29%) et une croissance soutenue du PNB, mais laissant peu de marge de sécurité. Le comportement du cours sur 100 jours (+12,07%) confirme la confiance des investisseurs, avec une volatilité modérée (27,7%) et une distribution statistique favorable (skewness positif), bien que le titre approche des zones de surachat technique. Les signaux techniques sont contrastés : les moyennes mobiles et le MACD restent positifs, mais le RSI proche de 70 et le stochastique en croisement baissier suggèrent une consolidation à court terme. Les fondamentaux demeurent solides, avec des ratios de rentabilité excellents, une qualité d'actifs maîtrisée et une politique de dividende généreuse (888 FCFA/action, rendement ~5,1%). Les prédictions IA indiquent une légère correction sur les 10 prochains jours (de 17 364 à 17 245 FCFA), cohérente avec les signaux techniques de surachat et la consolidation observée. En synthèse, la convergence entre la solidité fondamentale, la tendance haussière de fond et les perspectives de croissance justifie une recommandation d'**ACHAT** sur repli, avec un niveau de confiance **Élevé** et un risque global **Moyen**. L'horizon d'investissement optimal se situe à **moyen terme (3-12 mois)**, en capitalisant sur la poursuite de la stratégie de croissance et l'amélioration continue de l'efficacité opérationnelle.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1,502,648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+108.82%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37.77% (Élevée) — μ=47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β=2.7775 (Très agressif) — Cov=0.000101, Var(idx)=0.000037, ρ=0.404,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1,502,648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σ_j=4.16%/j (Modérée) — Vol. annualisée≈66.0%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62</w:t>
            </w:r>
          </w:p>
        </w:tc>
        <w:tc>
          <w:tcPr>
            <w:tcW w:type="dxa" w:w="1440"/>
            <w:shd w:fill="FFDCE0" w:val="clear"/>
          </w:tcPr>
          <w:p>
            <w:r>
              <w:rPr>
                <w:b/>
                <w:sz w:val="17"/>
              </w:rPr>
              <w:t>66</w:t>
            </w:r>
          </w:p>
        </w:tc>
        <w:tc>
          <w:tcPr>
            <w:tcW w:type="dxa" w:w="1440"/>
            <w:shd w:fill="FFDCE0" w:val="clear"/>
          </w:tcPr>
          <w:p>
            <w:r>
              <w:rPr>
                <w:sz w:val="17"/>
              </w:rPr>
              <w:t>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55</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46</w:t>
            </w:r>
          </w:p>
        </w:tc>
        <w:tc>
          <w:tcPr>
            <w:tcW w:type="dxa" w:w="1440"/>
            <w:shd w:fill="FFDCE0" w:val="clear"/>
          </w:tcPr>
          <w:p>
            <w:r>
              <w:rPr>
                <w:b/>
                <w:sz w:val="17"/>
              </w:rPr>
              <w:t>52</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41</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38</w:t>
            </w:r>
          </w:p>
        </w:tc>
        <w:tc>
          <w:tcPr>
            <w:tcW w:type="dxa" w:w="1440"/>
            <w:shd w:fill="FFDCE0" w:val="clear"/>
          </w:tcPr>
          <w:p>
            <w:r>
              <w:rPr>
                <w:b/>
                <w:sz w:val="17"/>
              </w:rPr>
              <w:t>44</w:t>
            </w:r>
          </w:p>
        </w:tc>
        <w:tc>
          <w:tcPr>
            <w:tcW w:type="dxa" w:w="1440"/>
            <w:shd w:fill="FFDCE0" w:val="clear"/>
          </w:tcPr>
          <w:p>
            <w:r>
              <w:rPr>
                <w:sz w:val="17"/>
              </w:rPr>
              <w:t>51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29</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environ 1 283,97 milliards FCFA, ce qui en fait l'une des plus importantes capitalisations de la BRVM, reflétant le statut de leader panafricain du groupe Ecobank. Avec un BPA de 19 FCFA, le titre se négocie à un PER de 3,7x, très inférieur à la moyenne historique de la BRVM (8-12x), ce qui suggère une sous-évaluation significative du titre par rapport à ses bénéfices. Le P/B de 0,80x indique que le marché valorise l'action en dessous de sa valeur comptable, une situation qui pourrait représenter une opportunité pour les investisseurs value. Enfin, l'EV/EBITDA de 5,1x se situe dans une fourchette raisonnable, confirmant une valorisation globale attractive qui ne reflète pas pleinement la solidité financière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connu une progression spectaculaire de +108,82%, passant d'un plus bas de 26 FCFA à un plus haut de 78 FCFA, avec un cours actuel de 71 FCFA. Cette tendance fortement haussière s'est accompagnée d'une stagnation à la dernière séance (variation J-1 de 0,00%). La moyenne du cours sur la période (47 FCFA) est nettement supérieure à la médiane (37 FCFA), indiquant une distribution asymétrique positive où les fortes hausses récentes tirent la moyenne vers le haut. L'écart-type de 18 FCFA, avec un coefficient de variation de 38%, témoigne d'une dispersion importante des prix. Le kurtosis négatif (-1,751) révèle une distribution platykurtique, avec moins de valeurs extrêmes que la normale, tandis que le skewness de 0,258 confirme une asymétrie modérée vers la droite. La volatilité annualisée de 66% classe le titre comme très volatil, un niveau élevé qui reflète l'ampleur du mouvement haussier récent.</w:t>
      </w:r>
    </w:p>
    <w:p>
      <w:pPr>
        <w:spacing w:after="120" w:line="276" w:lineRule="auto" w:before="240"/>
      </w:pPr>
      <w:r>
        <w:rPr>
          <w:b/>
          <w:color w:val="003366"/>
          <w:sz w:val="24"/>
        </w:rPr>
        <w:t>**PARTIE 2 : ANALYSE TECHNIQUE DÉTAILLÉE**</w:t>
      </w:r>
    </w:p>
    <w:p>
      <w:pPr>
        <w:spacing w:after="120" w:line="276" w:lineRule="auto"/>
      </w:pPr>
      <w:r>
        <w:t>Les moyennes mobiles MM20 (67,25 FCFA) et MM50 (63,76 FCFA) sont toutes deux inférieures au cours actuel de 71 FCFA, confirmant une dynamique haussière solide. Le croisement positif de la MM20 au-dessus de la MM50 et la position du cours au-dessus de ces deux moyennes génèrent un signal d'achat cohérent, indiquant que la tendance de fond reste résolument positive.</w:t>
      </w:r>
    </w:p>
    <w:p>
      <w:pPr>
        <w:spacing w:after="120" w:line="276" w:lineRule="auto"/>
      </w:pPr>
      <w:r>
        <w:t>Le cours se situe au-dessus de la borne supérieure des bandes de Bollinger (70,856 FCFA), ce qui est inhabituel et signale une condition de surachat temporaire. Cette sortie de canal suggère que le prix s'est éloigné de manière excessive de sa moyenne mobile, ce qui pourrait précéder un repli technique à court terme. La décision de vente associée à cet indicateur doit être interprétée comme un signal de prudence plutôt que comme un retournement de tendance.</w:t>
      </w:r>
    </w:p>
    <w:p>
      <w:pPr>
        <w:spacing w:after="120" w:line="276" w:lineRule="auto"/>
      </w:pPr>
      <w:r>
        <w:t>Le MACD affiche une valeur de 1,633, légèrement au-dessus de sa ligne de signal (1,563), confirmant un momentum haussier toujours actif. Bien que l'écart entre les deux lignes soit relativement modeste, la persistance du MACD en territoire positif et au-dessus de sa ligne de signal valide la poursuite de la tendance haussière à moyen terme.</w:t>
      </w:r>
    </w:p>
    <w:p>
      <w:pPr>
        <w:spacing w:after="120" w:line="276" w:lineRule="auto"/>
      </w:pPr>
      <w:r>
        <w:t>Le RSI à 63,636 se situe en zone neutre, en dessous du seuil de surachat de 70. Cette valeur indique que le titre dispose encore d'une marge de progression avant d'atteindre des conditions de surachat extrêmes, tout en confirmant la force relative du mouvement haussier actuel.</w:t>
      </w:r>
    </w:p>
    <w:p>
      <w:pPr>
        <w:spacing w:after="120" w:line="276" w:lineRule="auto"/>
      </w:pPr>
      <w:r>
        <w:t>L'indicateur stochastique affiche des valeurs extrêmes à 100% pour %K et %D, signalant une condition de surachat sévère. Cette configuration suggère que le mouvement haussier est arrivé à un point d'épuisement à court terme, augmentant la probabilité d'une consolidation ou d'un repli technique dans les prochaines séances.</w:t>
      </w:r>
    </w:p>
    <w:p>
      <w:pPr>
        <w:spacing w:after="120" w:line="276" w:lineRule="auto"/>
      </w:pPr>
      <w:r>
        <w:t>La synthèse technique révèle un conflit entre les indicateurs de tendance (MM, MACD) qui restent positifs et les oscillateurs de momentum (Bollinger, Stochastique) qui signalent un surachat extrême. Cette divergence suggère qu'une correction technique est probable à court terme, mais qu'elle s'inscrirait dans une tendance haussière de fond toujours intacte.</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d'ETIT révèlent une banque panafricaine de premier plan avec un Produit Net Bancaire de 1 424,261 milliards FCFA et un résultat net de 345,523 milliards FCFA. La rentabilité des fonds propres (ROE) atteint 21,62%, un niveau excellent qui dépasse largement le seuil de 15% considéré comme satisfaisant, tandis que le ROA de 1,80% reste dans la norme du secteur bancaire. Le coefficient d'exploitation de 27,35% est exceptionnellement bas, témoignant d'une efficacité opérationnelle remarquable, bien en dessous du seuil de 60% considéré comme acceptable pour une banque. Le ratio de solvabilité générale de 109,06% confirme la capacité de la banque à couvrir ses dettes par son actif total. Les rapports trimestriels de 2025 et 2026 confirment cette dynamique positive : le rapport du 3ème trimestre 2025 (daté du 30 septembre 2025) fait état d'un PNB de 1 029,2 milliards FCFA sur 9 mois (+15% en FCFA) et d'un résultat net de 267 milliards FCFA (+30%). Le rapport semestriel 2026 (arrêté au 30 juin 2026) montre une poursuite de la croissance avec un PNB de 721,3 milliards FCFA (+15%) et un résultat net de 166,7 milliards FCFA (+6%), malgré une hausse du coût du risque de 40%. Sur la base de ces tendances, on estime que l'exercice 2026 devrait confirmer la solidité du modèle économique d'ETIT, avec une croissance soutenue du PNB et une amélioration continue de l'efficacité opérationnelle, le coefficient d'exploitation s'étant amélioré à 48,4% au S1 2026.</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pour l'action ETIT. La valorisation (PER de 3,7x, P/B de 0,80x) indique une nette sous-évaluation du titre, renforcée par des fondamentaux solides (ROE de 21,62%, coefficient d'exploitation de 27,35% en 2025). Le comportement du cours sur 100 jours montre une tendance fortement haussière (+108,82%), mais avec une volatilité élevée (66%) et des statistiques suggérant une distribution atypique. Les signaux techniques sont mitigés : les moyennes mobiles et le MACD restent positifs, mais les bandes de Bollinger et le stochastique en surachat extrême signalent un risque de correction à court terme. Les prédictions IA pour les 10 prochains jours (baisse progressive de 66 à 48 FCFA) confirment cette anticipation de repli technique. Face à cette divergence entre des fondamentaux excellents et des signaux techniques de surachat, la recommandation est de **CONSERVER** le titre avec un niveau de confiance **Moyen** et un risque global **Élevé**. L'horizon d'investissement optimal serait le **moyen terme (3-12 mois)**, permettant d'absorber une éventuelle correction technique avant de bénéficier de la poursuite de la création de valeur fondamentale.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4,002 titres</w:t>
            </w:r>
          </w:p>
        </w:tc>
        <w:tc>
          <w:tcPr>
            <w:tcW w:type="dxa" w:w="2268"/>
            <w:shd w:fill="FFF2CC" w:val="clear"/>
          </w:tcPr>
          <w:p>
            <w:r>
              <w:rPr>
                <w:b/>
                <w:color w:val="503200"/>
                <w:sz w:val="16"/>
              </w:rPr>
              <w:t xml:space="preserve">Cours actuel : </w:t>
            </w:r>
            <w:r>
              <w:rPr>
                <w:color w:val="000000"/>
                <w:sz w:val="17"/>
              </w:rPr>
              <w:t>2,130 FCFA</w:t>
            </w:r>
          </w:p>
          <w:p>
            <w:r>
              <w:rPr>
                <w:b/>
                <w:color w:val="503200"/>
                <w:sz w:val="16"/>
              </w:rPr>
              <w:t xml:space="preserve">Var. 100 jours : </w:t>
            </w:r>
            <w:r>
              <w:rPr>
                <w:b/>
                <w:color w:val="B40000"/>
                <w:sz w:val="17"/>
              </w:rPr>
              <w:t>-7.19%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μ=2,142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β=0.6078 (Défensif) — Cov=0.000022, Var(idx)=0.000037, ρ=0.165,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2,067</w:t>
            </w:r>
          </w:p>
        </w:tc>
        <w:tc>
          <w:tcPr>
            <w:tcW w:type="dxa" w:w="1440"/>
            <w:shd w:fill="FAFAFA" w:val="clear"/>
          </w:tcPr>
          <w:p>
            <w:r>
              <w:rPr>
                <w:b/>
                <w:sz w:val="17"/>
              </w:rPr>
              <w:t>2,142</w:t>
            </w:r>
          </w:p>
        </w:tc>
        <w:tc>
          <w:tcPr>
            <w:tcW w:type="dxa" w:w="1440"/>
            <w:shd w:fill="FAFAFA" w:val="clear"/>
          </w:tcPr>
          <w:p>
            <w:r>
              <w:rPr>
                <w:sz w:val="17"/>
              </w:rPr>
              <w:t>2,216</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2,046</w:t>
            </w:r>
          </w:p>
        </w:tc>
        <w:tc>
          <w:tcPr>
            <w:tcW w:type="dxa" w:w="1440"/>
            <w:shd w:fill="FAFAFA" w:val="clear"/>
          </w:tcPr>
          <w:p>
            <w:r>
              <w:rPr>
                <w:b/>
                <w:sz w:val="17"/>
              </w:rPr>
              <w:t>2,151</w:t>
            </w:r>
          </w:p>
        </w:tc>
        <w:tc>
          <w:tcPr>
            <w:tcW w:type="dxa" w:w="1440"/>
            <w:shd w:fill="FAFAFA" w:val="clear"/>
          </w:tcPr>
          <w:p>
            <w:r>
              <w:rPr>
                <w:sz w:val="17"/>
              </w:rPr>
              <w:t>2,257</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2026-09-10</w:t>
            </w:r>
          </w:p>
        </w:tc>
        <w:tc>
          <w:tcPr>
            <w:tcW w:type="dxa" w:w="1440"/>
            <w:shd w:fill="FAFAFA" w:val="clear"/>
          </w:tcPr>
          <w:p>
            <w:r>
              <w:rPr>
                <w:sz w:val="17"/>
              </w:rPr>
              <w:t>2,032</w:t>
            </w:r>
          </w:p>
        </w:tc>
        <w:tc>
          <w:tcPr>
            <w:tcW w:type="dxa" w:w="1440"/>
            <w:shd w:fill="FAFAFA" w:val="clear"/>
          </w:tcPr>
          <w:p>
            <w:r>
              <w:rPr>
                <w:b/>
                <w:sz w:val="17"/>
              </w:rPr>
              <w:t>2,162</w:t>
            </w:r>
          </w:p>
        </w:tc>
        <w:tc>
          <w:tcPr>
            <w:tcW w:type="dxa" w:w="1440"/>
            <w:shd w:fill="FAFAFA" w:val="clear"/>
          </w:tcPr>
          <w:p>
            <w:r>
              <w:rPr>
                <w:sz w:val="17"/>
              </w:rPr>
              <w:t>2,292</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2,021</w:t>
            </w:r>
          </w:p>
        </w:tc>
        <w:tc>
          <w:tcPr>
            <w:tcW w:type="dxa" w:w="1440"/>
            <w:shd w:fill="FAFAFA" w:val="clear"/>
          </w:tcPr>
          <w:p>
            <w:r>
              <w:rPr>
                <w:b/>
                <w:sz w:val="17"/>
              </w:rPr>
              <w:t>2,172</w:t>
            </w:r>
          </w:p>
        </w:tc>
        <w:tc>
          <w:tcPr>
            <w:tcW w:type="dxa" w:w="1440"/>
            <w:shd w:fill="FAFAFA" w:val="clear"/>
          </w:tcPr>
          <w:p>
            <w:r>
              <w:rPr>
                <w:sz w:val="17"/>
              </w:rPr>
              <w:t>2,322</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2026-09-14</w:t>
            </w:r>
          </w:p>
        </w:tc>
        <w:tc>
          <w:tcPr>
            <w:tcW w:type="dxa" w:w="1440"/>
            <w:shd w:fill="C6EFCE" w:val="clear"/>
          </w:tcPr>
          <w:p>
            <w:r>
              <w:rPr>
                <w:sz w:val="17"/>
              </w:rPr>
              <w:t>2,012</w:t>
            </w:r>
          </w:p>
        </w:tc>
        <w:tc>
          <w:tcPr>
            <w:tcW w:type="dxa" w:w="1440"/>
            <w:shd w:fill="C6EFCE" w:val="clear"/>
          </w:tcPr>
          <w:p>
            <w:r>
              <w:rPr>
                <w:b/>
                <w:sz w:val="17"/>
              </w:rPr>
              <w:t>2,181</w:t>
            </w:r>
          </w:p>
        </w:tc>
        <w:tc>
          <w:tcPr>
            <w:tcW w:type="dxa" w:w="1440"/>
            <w:shd w:fill="C6EFCE" w:val="clear"/>
          </w:tcPr>
          <w:p>
            <w:r>
              <w:rPr>
                <w:sz w:val="17"/>
              </w:rPr>
              <w:t>2,351</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2026-09-15</w:t>
            </w:r>
          </w:p>
        </w:tc>
        <w:tc>
          <w:tcPr>
            <w:tcW w:type="dxa" w:w="1440"/>
            <w:shd w:fill="C6EFCE" w:val="clear"/>
          </w:tcPr>
          <w:p>
            <w:r>
              <w:rPr>
                <w:sz w:val="17"/>
              </w:rPr>
              <w:t>2,004</w:t>
            </w:r>
          </w:p>
        </w:tc>
        <w:tc>
          <w:tcPr>
            <w:tcW w:type="dxa" w:w="1440"/>
            <w:shd w:fill="C6EFCE" w:val="clear"/>
          </w:tcPr>
          <w:p>
            <w:r>
              <w:rPr>
                <w:b/>
                <w:sz w:val="17"/>
              </w:rPr>
              <w:t>2,191</w:t>
            </w:r>
          </w:p>
        </w:tc>
        <w:tc>
          <w:tcPr>
            <w:tcW w:type="dxa" w:w="1440"/>
            <w:shd w:fill="C6EFCE" w:val="clear"/>
          </w:tcPr>
          <w:p>
            <w:r>
              <w:rPr>
                <w:sz w:val="17"/>
              </w:rPr>
              <w:t>2,377</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2026-09-16</w:t>
            </w:r>
          </w:p>
        </w:tc>
        <w:tc>
          <w:tcPr>
            <w:tcW w:type="dxa" w:w="1440"/>
            <w:shd w:fill="C6EFCE" w:val="clear"/>
          </w:tcPr>
          <w:p>
            <w:r>
              <w:rPr>
                <w:sz w:val="17"/>
              </w:rPr>
              <w:t>1,998</w:t>
            </w:r>
          </w:p>
        </w:tc>
        <w:tc>
          <w:tcPr>
            <w:tcW w:type="dxa" w:w="1440"/>
            <w:shd w:fill="C6EFCE" w:val="clear"/>
          </w:tcPr>
          <w:p>
            <w:r>
              <w:rPr>
                <w:b/>
                <w:sz w:val="17"/>
              </w:rPr>
              <w:t>2,200</w:t>
            </w:r>
          </w:p>
        </w:tc>
        <w:tc>
          <w:tcPr>
            <w:tcW w:type="dxa" w:w="1440"/>
            <w:shd w:fill="C6EFCE" w:val="clear"/>
          </w:tcPr>
          <w:p>
            <w:r>
              <w:rPr>
                <w:sz w:val="17"/>
              </w:rPr>
              <w:t>2,403</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2026-09-17</w:t>
            </w:r>
          </w:p>
        </w:tc>
        <w:tc>
          <w:tcPr>
            <w:tcW w:type="dxa" w:w="1440"/>
            <w:shd w:fill="C6EFCE" w:val="clear"/>
          </w:tcPr>
          <w:p>
            <w:r>
              <w:rPr>
                <w:sz w:val="17"/>
              </w:rPr>
              <w:t>1,993</w:t>
            </w:r>
          </w:p>
        </w:tc>
        <w:tc>
          <w:tcPr>
            <w:tcW w:type="dxa" w:w="1440"/>
            <w:shd w:fill="C6EFCE" w:val="clear"/>
          </w:tcPr>
          <w:p>
            <w:r>
              <w:rPr>
                <w:b/>
                <w:sz w:val="17"/>
              </w:rPr>
              <w:t>2,210</w:t>
            </w:r>
          </w:p>
        </w:tc>
        <w:tc>
          <w:tcPr>
            <w:tcW w:type="dxa" w:w="1440"/>
            <w:shd w:fill="C6EFCE" w:val="clear"/>
          </w:tcPr>
          <w:p>
            <w:r>
              <w:rPr>
                <w:sz w:val="17"/>
              </w:rPr>
              <w:t>2,427</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2026-09-18</w:t>
            </w:r>
          </w:p>
        </w:tc>
        <w:tc>
          <w:tcPr>
            <w:tcW w:type="dxa" w:w="1440"/>
            <w:shd w:fill="C6EFCE" w:val="clear"/>
          </w:tcPr>
          <w:p>
            <w:r>
              <w:rPr>
                <w:sz w:val="17"/>
              </w:rPr>
              <w:t>1,988</w:t>
            </w:r>
          </w:p>
        </w:tc>
        <w:tc>
          <w:tcPr>
            <w:tcW w:type="dxa" w:w="1440"/>
            <w:shd w:fill="C6EFCE" w:val="clear"/>
          </w:tcPr>
          <w:p>
            <w:r>
              <w:rPr>
                <w:b/>
                <w:sz w:val="17"/>
              </w:rPr>
              <w:t>2,219</w:t>
            </w:r>
          </w:p>
        </w:tc>
        <w:tc>
          <w:tcPr>
            <w:tcW w:type="dxa" w:w="1440"/>
            <w:shd w:fill="C6EFCE" w:val="clear"/>
          </w:tcPr>
          <w:p>
            <w:r>
              <w:rPr>
                <w:sz w:val="17"/>
              </w:rPr>
              <w:t>2,450</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2026-09-21</w:t>
            </w:r>
          </w:p>
        </w:tc>
        <w:tc>
          <w:tcPr>
            <w:tcW w:type="dxa" w:w="1440"/>
            <w:shd w:fill="C6EFCE" w:val="clear"/>
          </w:tcPr>
          <w:p>
            <w:r>
              <w:rPr>
                <w:sz w:val="17"/>
              </w:rPr>
              <w:t>1,984</w:t>
            </w:r>
          </w:p>
        </w:tc>
        <w:tc>
          <w:tcPr>
            <w:tcW w:type="dxa" w:w="1440"/>
            <w:shd w:fill="C6EFCE" w:val="clear"/>
          </w:tcPr>
          <w:p>
            <w:r>
              <w:rPr>
                <w:b/>
                <w:sz w:val="17"/>
              </w:rPr>
              <w:t>2,229</w:t>
            </w:r>
          </w:p>
        </w:tc>
        <w:tc>
          <w:tcPr>
            <w:tcW w:type="dxa" w:w="1440"/>
            <w:shd w:fill="C6EFCE" w:val="clear"/>
          </w:tcPr>
          <w:p>
            <w:r>
              <w:rPr>
                <w:sz w:val="17"/>
              </w:rPr>
              <w:t>2,474</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un rapport d'analyse structuré et professionnel pour l'action FTSC (FILTISAC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30,04 milliards FCFA positionne FILTISAC comme une valeur de taille moyenne sur la BRVM. Le titre se paie extrêmement cher sur la base de ses bénéfices, avec un PER de 64,5x, très supérieur à la moyenne du marché (8-12x). Ce niveau est d'autant plus préoccupant que le BPA n'est que de 33 FCFA, ce qui signifie que l'investisseur paie 64,5 fois le bénéfice annuel par action pour un rendement potentiel très faible. Le P/B de 1,91x indique que le marché valorise la société à près du double de sa valeur comptable, ce qui est élevé pour une entreprise dont la rentabilité est fragile. Enfin, l'EV/EBITDA de 37,9x est très exigeant, suggérant que la valeur totale de l'entreprise (capitalisation + dettes) est disproportionnée par rapport à sa capacité opérationnelle à générer des liquidités.</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7,19%, avec une dernière séance en recul de 0,93% à 2 130 FCFA. Le titre a évolué dans une fourchette de 1 910 à 2 430 FCFA, montrant une amplitude de plus de 27% entre le plus haut et le plus bas. La moyenne (2 142 FCFA) et la médiane (2 168 FCFA) sont très proches, et le skewness (-0.033) proche de zéro indique une distribution symétrique des prix, sans tendance directionnelle forte sur la période. L'écart-type de 129 FCFA (CV=6%) révèle une dispersion modérée autour de la moyenne. Le kurtosis négatif (-0.939) suggère une distribution plus plate que la normale, avec moins de valeurs extrêmes. La volatilité annualisée de 35,4% est élevée (&gt;30%), ce qui classe le titre comme risqué, avec des fluctuations de prix potentiellement fortes, malgré une distribution statistique relativement stable.</w:t>
      </w:r>
    </w:p>
    <w:p>
      <w:pPr>
        <w:spacing w:after="120" w:line="276" w:lineRule="auto"/>
      </w:pPr>
      <w:r>
        <w:t>### PARTIE 2 : ANALYSE TECHNIQUE DÉTAILLÉE</w:t>
      </w:r>
    </w:p>
    <w:p>
      <w:pPr>
        <w:spacing w:after="120" w:line="276" w:lineRule="auto"/>
      </w:pPr>
      <w:r>
        <w:t>**Moyennes Mobiles** : Le cours actuel (2 130 FCFA) est inférieur à la MM20 (2 157,25 FCFA) mais supérieur à la MM50 (2 051,7 FCFA). Cette configuration, avec une MM20 au-dessus de la MM50, suggère une tendance de fond haussière à moyen terme, mais un repli à court terme. La décision d'achat est probablement basée sur la tendance de moyen terme, mais le franchissement sous la MM20 est un signal de prudence.</w:t>
      </w:r>
    </w:p>
    <w:p>
      <w:pPr>
        <w:spacing w:after="120" w:line="276" w:lineRule="auto"/>
      </w:pPr>
      <w:r>
        <w:t>**Bandes de Bollinger** : Le prix (2 130 FCFA) se situe dans la partie inférieure des bandes, proche de la borne basse (2 104,988 FCFA) et sous la moyenne mobile. Cela indique une pression vendeuse à court terme. La largeur des bandes suggère une volatilité modérée. La décision "Neutre" est cohérente avec un prix qui n'est pas encore en situation de survente extrême, mais qui teste les supports inférieurs.</w:t>
      </w:r>
    </w:p>
    <w:p>
      <w:pPr>
        <w:spacing w:after="120" w:line="276" w:lineRule="auto"/>
      </w:pPr>
      <w:r>
        <w:t>**MACD** : La valeur du MACD (23,21) est inférieure à son signal (28,627), ce qui constitue un croisement baissier. Ce signal indique un ralentissement du momentum haussier et une possible poursuite de la baisse à court terme. La décision "Vente" est justifiée par cette dynamique négative.</w:t>
      </w:r>
    </w:p>
    <w:p>
      <w:pPr>
        <w:spacing w:after="120" w:line="276" w:lineRule="auto"/>
      </w:pPr>
      <w:r>
        <w:t>**RSI** : Avec une valeur de 47,06, le RSI se situe en zone neutre, entre 30 et 70. Il n'y a pas de pression d'achat ou de vente excessive. Le marché est dans une phase d'équilibre, sans signal directionnel fort. La décision "Neutre" est appropriée.</w:t>
      </w:r>
    </w:p>
    <w:p>
      <w:pPr>
        <w:spacing w:after="120" w:line="276" w:lineRule="auto"/>
      </w:pPr>
      <w:r>
        <w:t>**Stochastique** : Le %K (44,44) est inférieur au %D (58,70), indiquant une dynamique baissière à court terme. Bien que les deux lignes soient en zone neutre, le croisement baissier suggère que les vendeurs ont actuellement le dessus. La décision "Neutre" est cohérente, mais la configuration est légèrement négative.</w:t>
      </w:r>
    </w:p>
    <w:p>
      <w:pPr>
        <w:spacing w:after="120" w:line="276" w:lineRule="auto"/>
      </w:pPr>
      <w:r>
        <w:t>**Conclusion technique** : Les indicateurs techniques sont mitigés. La tendance de fond (MM50) est haussière, mais les signaux à court terme (MACD, Stochastique, position sous MM20) sont baissiers. Le RSI neutre et les bandes de Bollinger ne fournissent pas de signal fort. Le titre semble dans une phase de consolidation avec un biais négatif à court terme, mais sans cassure majeure des supports.</w:t>
      </w:r>
    </w:p>
    <w:p>
      <w:pPr>
        <w:spacing w:after="120" w:line="276" w:lineRule="auto"/>
      </w:pPr>
      <w:r>
        <w:t>### PARTIE 3 : ANALYSE FONDAMENTALE (SECTION CRITIQUE)</w:t>
      </w:r>
    </w:p>
    <w:p>
      <w:pPr>
        <w:spacing w:after="120" w:line="276" w:lineRule="auto"/>
      </w:pPr>
      <w:r>
        <w:t>En 2025, FILTISAC a réalisé un chiffre d'affaires de 32,109 milliards FCFA, en hausse de 4,6% par rapport à 2024, mais son résultat net s'effondre à 465,98 millions FCFA (marge nette de 1,45%), contre 18,6 milliards en 2024. Cette chute s'explique par l'absence de produits exceptionnels liés à la cession de filiales en 2024. La rentabilité des fonds propres (ROE) est très faible à 2,97%, et le ROA à 1,19%, indiquant une mauvaise efficacité opérationnelle. Le coefficient d'exploitation de 116,59% est un signal d'alarme majeur, car il signifie que les charges d'exploitation dépassent le chiffre d'affaires. La structure financière est fragile : la trésorerie nette est fortement négative (-11,528 milliards FCFA) suite au versement de dividendes massifs en 2024, et la capacité de remboursement est de 11,49 ans. Les délais de paiement clients (213 jours) et de stockage (214 jours) sont très élevés, immobilisant une part importante du capital et créant un besoin en fonds de roulement (BFR) de 11,529 milliards FCFA. Les rapports trimestriels de 2025 montrent une amélioration progressive du résultat d'exploitation, passant de -78 millions au T1 à -230 millions au T3, mais le résultat net reste déficitaire sur les neuf premiers mois. Le rapport du T1 2026, publié plus tard, indique une forte croissance du CA (+55% à 8,9 milliards FCFA) et un résultat d'exploitation positif, mais un résultat net encore déficitaire de -154 millions FCFA. Ces éléments suggèrent une amélioration de l'activité mais une rentabilité nette encore lointaine.</w:t>
      </w:r>
    </w:p>
    <w:p>
      <w:pPr>
        <w:spacing w:after="120" w:line="276" w:lineRule="auto"/>
      </w:pPr>
      <w:r>
        <w:t>### PARTIE 4 : CONCLUSION D'INVESTISSEMENT</w:t>
      </w:r>
    </w:p>
    <w:p>
      <w:pPr>
        <w:spacing w:after="120" w:line="276" w:lineRule="auto"/>
      </w:pPr>
      <w:r>
        <w:t>La valorisation boursière de FTSC est extrêmement exigeante (PER 64,5x, EV/EBITDA 37,9x) et ne reflète pas la dégradation de ses fondamentaux. Le comportement du cours sur 100 jours est baissier (-7,19%) avec une volatilité élevée (35,4%), indiquant un risque important. Les signaux techniques sont mitigés, avec une tendance de fond haussière mais des indicateurs à court terme baissiers (MACD, Stochastique). Les fondamentaux sont préoccupants : la rentabilité opérationnelle est structurellement faible, la trésorerie est exsangue, et le BFR est massif. Bien que le T1 2026 montre une forte croissance du CA, la rentabilité nette reste négative. Les prédictions IA sur 10 jours suggèrent une légère hausse du cours (jusqu'à 2 181 FCFA), ce qui contredit la tendance baissière récente et les signaux techniques à court terme. En synthèse, la valorisation est injustifiée, les fondamentaux sont fragiles et les signaux techniques sont incertains. La hausse prédite par l'IA semble être un rebond technique dans une tendance de fond baissière. Par conséquent, la recommandation est une **VENTE**, avec un niveau de confiance **Moyen** et un risque global **Élevé**. L'horizon d'investissement optimal serait de court terme (&lt;3 mois) pour les investisseurs cherchant à profiter d'un éventuel rebond, mais la tendance de fond reste négative pour le moyen et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4,307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+1.17%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4.88% (Faible) — μ=4,061 FCFA, σ=198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β=-0.0062 (Contre-cyclique) — Cov=-0.000000, Var(idx)=0.000037, ρ=-0.002,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3,820</w:t>
            </w:r>
          </w:p>
        </w:tc>
        <w:tc>
          <w:tcPr>
            <w:tcW w:type="dxa" w:w="1440"/>
            <w:shd w:fill="FAFAFA" w:val="clear"/>
          </w:tcPr>
          <w:p>
            <w:r>
              <w:rPr>
                <w:b/>
                <w:sz w:val="17"/>
              </w:rPr>
              <w:t>3,977</w:t>
            </w:r>
          </w:p>
        </w:tc>
        <w:tc>
          <w:tcPr>
            <w:tcW w:type="dxa" w:w="1440"/>
            <w:shd w:fill="FAFAFA" w:val="clear"/>
          </w:tcPr>
          <w:p>
            <w:r>
              <w:rPr>
                <w:sz w:val="17"/>
              </w:rPr>
              <w:t>4,133</w:t>
            </w:r>
          </w:p>
        </w:tc>
        <w:tc>
          <w:tcPr>
            <w:tcW w:type="dxa" w:w="1440"/>
            <w:shd w:fill="FAFAFA" w:val="clear"/>
          </w:tcPr>
          <w:p>
            <w:r>
              <w:rPr>
                <w:b/>
                <w:color w:val="008000"/>
                <w:sz w:val="17"/>
              </w:rPr>
              <w:t>+2.0%</w:t>
            </w:r>
          </w:p>
        </w:tc>
      </w:tr>
      <w:tr>
        <w:tc>
          <w:tcPr>
            <w:tcW w:type="dxa" w:w="1440"/>
            <w:shd w:fill="C6EFCE" w:val="clear"/>
          </w:tcPr>
          <w:p>
            <w:r>
              <w:rPr>
                <w:sz w:val="17"/>
              </w:rPr>
              <w:t>J+2  Moyenne</w:t>
            </w:r>
          </w:p>
        </w:tc>
        <w:tc>
          <w:tcPr>
            <w:tcW w:type="dxa" w:w="1440"/>
            <w:shd w:fill="C6EFCE" w:val="clear"/>
          </w:tcPr>
          <w:p>
            <w:r>
              <w:rPr>
                <w:sz w:val="17"/>
              </w:rPr>
              <w:t>2026-09-09</w:t>
            </w:r>
          </w:p>
        </w:tc>
        <w:tc>
          <w:tcPr>
            <w:tcW w:type="dxa" w:w="1440"/>
            <w:shd w:fill="C6EFCE" w:val="clear"/>
          </w:tcPr>
          <w:p>
            <w:r>
              <w:rPr>
                <w:sz w:val="17"/>
              </w:rPr>
              <w:t>3,762</w:t>
            </w:r>
          </w:p>
        </w:tc>
        <w:tc>
          <w:tcPr>
            <w:tcW w:type="dxa" w:w="1440"/>
            <w:shd w:fill="C6EFCE" w:val="clear"/>
          </w:tcPr>
          <w:p>
            <w:r>
              <w:rPr>
                <w:b/>
                <w:sz w:val="17"/>
              </w:rPr>
              <w:t>3,984</w:t>
            </w:r>
          </w:p>
        </w:tc>
        <w:tc>
          <w:tcPr>
            <w:tcW w:type="dxa" w:w="1440"/>
            <w:shd w:fill="C6EFCE" w:val="clear"/>
          </w:tcPr>
          <w:p>
            <w:r>
              <w:rPr>
                <w:sz w:val="17"/>
              </w:rPr>
              <w:t>4,206</w:t>
            </w:r>
          </w:p>
        </w:tc>
        <w:tc>
          <w:tcPr>
            <w:tcW w:type="dxa" w:w="1440"/>
            <w:shd w:fill="C6EFCE" w:val="clear"/>
          </w:tcPr>
          <w:p>
            <w:r>
              <w:rPr>
                <w:b/>
                <w:color w:val="008000"/>
                <w:sz w:val="17"/>
              </w:rPr>
              <w:t>+2.2%</w:t>
            </w:r>
          </w:p>
        </w:tc>
      </w:tr>
      <w:tr>
        <w:tc>
          <w:tcPr>
            <w:tcW w:type="dxa" w:w="1440"/>
            <w:shd w:fill="C6EFCE" w:val="clear"/>
          </w:tcPr>
          <w:p>
            <w:r>
              <w:rPr>
                <w:sz w:val="17"/>
              </w:rPr>
              <w:t>J+3  Moyenne</w:t>
            </w:r>
          </w:p>
        </w:tc>
        <w:tc>
          <w:tcPr>
            <w:tcW w:type="dxa" w:w="1440"/>
            <w:shd w:fill="C6EFCE" w:val="clear"/>
          </w:tcPr>
          <w:p>
            <w:r>
              <w:rPr>
                <w:sz w:val="17"/>
              </w:rPr>
              <w:t>2026-09-10</w:t>
            </w:r>
          </w:p>
        </w:tc>
        <w:tc>
          <w:tcPr>
            <w:tcW w:type="dxa" w:w="1440"/>
            <w:shd w:fill="C6EFCE" w:val="clear"/>
          </w:tcPr>
          <w:p>
            <w:r>
              <w:rPr>
                <w:sz w:val="17"/>
              </w:rPr>
              <w:t>3,724</w:t>
            </w:r>
          </w:p>
        </w:tc>
        <w:tc>
          <w:tcPr>
            <w:tcW w:type="dxa" w:w="1440"/>
            <w:shd w:fill="C6EFCE" w:val="clear"/>
          </w:tcPr>
          <w:p>
            <w:r>
              <w:rPr>
                <w:b/>
                <w:sz w:val="17"/>
              </w:rPr>
              <w:t>3,997</w:t>
            </w:r>
          </w:p>
        </w:tc>
        <w:tc>
          <w:tcPr>
            <w:tcW w:type="dxa" w:w="1440"/>
            <w:shd w:fill="C6EFCE" w:val="clear"/>
          </w:tcPr>
          <w:p>
            <w:r>
              <w:rPr>
                <w:sz w:val="17"/>
              </w:rPr>
              <w:t>4,269</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2026-09-11</w:t>
            </w:r>
          </w:p>
        </w:tc>
        <w:tc>
          <w:tcPr>
            <w:tcW w:type="dxa" w:w="1440"/>
            <w:shd w:fill="C6EFCE" w:val="clear"/>
          </w:tcPr>
          <w:p>
            <w:r>
              <w:rPr>
                <w:sz w:val="17"/>
              </w:rPr>
              <w:t>3,695</w:t>
            </w:r>
          </w:p>
        </w:tc>
        <w:tc>
          <w:tcPr>
            <w:tcW w:type="dxa" w:w="1440"/>
            <w:shd w:fill="C6EFCE" w:val="clear"/>
          </w:tcPr>
          <w:p>
            <w:r>
              <w:rPr>
                <w:b/>
                <w:sz w:val="17"/>
              </w:rPr>
              <w:t>4,011</w:t>
            </w:r>
          </w:p>
        </w:tc>
        <w:tc>
          <w:tcPr>
            <w:tcW w:type="dxa" w:w="1440"/>
            <w:shd w:fill="C6EFCE" w:val="clear"/>
          </w:tcPr>
          <w:p>
            <w:r>
              <w:rPr>
                <w:sz w:val="17"/>
              </w:rPr>
              <w:t>4,327</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2026-09-14</w:t>
            </w:r>
          </w:p>
        </w:tc>
        <w:tc>
          <w:tcPr>
            <w:tcW w:type="dxa" w:w="1440"/>
            <w:shd w:fill="C6EFCE" w:val="clear"/>
          </w:tcPr>
          <w:p>
            <w:r>
              <w:rPr>
                <w:sz w:val="17"/>
              </w:rPr>
              <w:t>3,667</w:t>
            </w:r>
          </w:p>
        </w:tc>
        <w:tc>
          <w:tcPr>
            <w:tcW w:type="dxa" w:w="1440"/>
            <w:shd w:fill="C6EFCE" w:val="clear"/>
          </w:tcPr>
          <w:p>
            <w:r>
              <w:rPr>
                <w:b/>
                <w:sz w:val="17"/>
              </w:rPr>
              <w:t>4,021</w:t>
            </w:r>
          </w:p>
        </w:tc>
        <w:tc>
          <w:tcPr>
            <w:tcW w:type="dxa" w:w="1440"/>
            <w:shd w:fill="C6EFCE" w:val="clear"/>
          </w:tcPr>
          <w:p>
            <w:r>
              <w:rPr>
                <w:sz w:val="17"/>
              </w:rPr>
              <w:t>4,375</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2026-09-15</w:t>
            </w:r>
          </w:p>
        </w:tc>
        <w:tc>
          <w:tcPr>
            <w:tcW w:type="dxa" w:w="1440"/>
            <w:shd w:fill="C6EFCE" w:val="clear"/>
          </w:tcPr>
          <w:p>
            <w:r>
              <w:rPr>
                <w:sz w:val="17"/>
              </w:rPr>
              <w:t>3,636</w:t>
            </w:r>
          </w:p>
        </w:tc>
        <w:tc>
          <w:tcPr>
            <w:tcW w:type="dxa" w:w="1440"/>
            <w:shd w:fill="C6EFCE" w:val="clear"/>
          </w:tcPr>
          <w:p>
            <w:r>
              <w:rPr>
                <w:b/>
                <w:sz w:val="17"/>
              </w:rPr>
              <w:t>4,024</w:t>
            </w:r>
          </w:p>
        </w:tc>
        <w:tc>
          <w:tcPr>
            <w:tcW w:type="dxa" w:w="1440"/>
            <w:shd w:fill="C6EFCE" w:val="clear"/>
          </w:tcPr>
          <w:p>
            <w:r>
              <w:rPr>
                <w:sz w:val="17"/>
              </w:rPr>
              <w:t>4,412</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2026-09-16</w:t>
            </w:r>
          </w:p>
        </w:tc>
        <w:tc>
          <w:tcPr>
            <w:tcW w:type="dxa" w:w="1440"/>
            <w:shd w:fill="C6EFCE" w:val="clear"/>
          </w:tcPr>
          <w:p>
            <w:r>
              <w:rPr>
                <w:sz w:val="17"/>
              </w:rPr>
              <w:t>3,609</w:t>
            </w:r>
          </w:p>
        </w:tc>
        <w:tc>
          <w:tcPr>
            <w:tcW w:type="dxa" w:w="1440"/>
            <w:shd w:fill="C6EFCE" w:val="clear"/>
          </w:tcPr>
          <w:p>
            <w:r>
              <w:rPr>
                <w:b/>
                <w:sz w:val="17"/>
              </w:rPr>
              <w:t>4,029</w:t>
            </w:r>
          </w:p>
        </w:tc>
        <w:tc>
          <w:tcPr>
            <w:tcW w:type="dxa" w:w="1440"/>
            <w:shd w:fill="C6EFCE" w:val="clear"/>
          </w:tcPr>
          <w:p>
            <w:r>
              <w:rPr>
                <w:sz w:val="17"/>
              </w:rPr>
              <w:t>4,449</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2026-09-17</w:t>
            </w:r>
          </w:p>
        </w:tc>
        <w:tc>
          <w:tcPr>
            <w:tcW w:type="dxa" w:w="1440"/>
            <w:shd w:fill="C6EFCE" w:val="clear"/>
          </w:tcPr>
          <w:p>
            <w:r>
              <w:rPr>
                <w:sz w:val="17"/>
              </w:rPr>
              <w:t>3,597</w:t>
            </w:r>
          </w:p>
        </w:tc>
        <w:tc>
          <w:tcPr>
            <w:tcW w:type="dxa" w:w="1440"/>
            <w:shd w:fill="C6EFCE" w:val="clear"/>
          </w:tcPr>
          <w:p>
            <w:r>
              <w:rPr>
                <w:b/>
                <w:sz w:val="17"/>
              </w:rPr>
              <w:t>4,048</w:t>
            </w:r>
          </w:p>
        </w:tc>
        <w:tc>
          <w:tcPr>
            <w:tcW w:type="dxa" w:w="1440"/>
            <w:shd w:fill="C6EFCE" w:val="clear"/>
          </w:tcPr>
          <w:p>
            <w:r>
              <w:rPr>
                <w:sz w:val="17"/>
              </w:rPr>
              <w:t>4,498</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2026-09-18</w:t>
            </w:r>
          </w:p>
        </w:tc>
        <w:tc>
          <w:tcPr>
            <w:tcW w:type="dxa" w:w="1440"/>
            <w:shd w:fill="C6EFCE" w:val="clear"/>
          </w:tcPr>
          <w:p>
            <w:r>
              <w:rPr>
                <w:sz w:val="17"/>
              </w:rPr>
              <w:t>3,592</w:t>
            </w:r>
          </w:p>
        </w:tc>
        <w:tc>
          <w:tcPr>
            <w:tcW w:type="dxa" w:w="1440"/>
            <w:shd w:fill="C6EFCE" w:val="clear"/>
          </w:tcPr>
          <w:p>
            <w:r>
              <w:rPr>
                <w:b/>
                <w:sz w:val="17"/>
              </w:rPr>
              <w:t>4,073</w:t>
            </w:r>
          </w:p>
        </w:tc>
        <w:tc>
          <w:tcPr>
            <w:tcW w:type="dxa" w:w="1440"/>
            <w:shd w:fill="C6EFCE" w:val="clear"/>
          </w:tcPr>
          <w:p>
            <w:r>
              <w:rPr>
                <w:sz w:val="17"/>
              </w:rPr>
              <w:t>4,554</w:t>
            </w:r>
          </w:p>
        </w:tc>
        <w:tc>
          <w:tcPr>
            <w:tcW w:type="dxa" w:w="1440"/>
            <w:shd w:fill="C6EFCE" w:val="clear"/>
          </w:tcPr>
          <w:p>
            <w:r>
              <w:rPr>
                <w:b/>
                <w:color w:val="008000"/>
                <w:sz w:val="17"/>
              </w:rPr>
              <w:t>+4.4%</w:t>
            </w:r>
          </w:p>
        </w:tc>
      </w:tr>
      <w:tr>
        <w:tc>
          <w:tcPr>
            <w:tcW w:type="dxa" w:w="1440"/>
            <w:shd w:fill="C6EFCE" w:val="clear"/>
          </w:tcPr>
          <w:p>
            <w:r>
              <w:rPr>
                <w:sz w:val="17"/>
              </w:rPr>
              <w:t>J+10  ⭐</w:t>
            </w:r>
          </w:p>
        </w:tc>
        <w:tc>
          <w:tcPr>
            <w:tcW w:type="dxa" w:w="1440"/>
            <w:shd w:fill="C6EFCE" w:val="clear"/>
          </w:tcPr>
          <w:p>
            <w:r>
              <w:rPr>
                <w:sz w:val="17"/>
              </w:rPr>
              <w:t>2026-09-21</w:t>
            </w:r>
          </w:p>
        </w:tc>
        <w:tc>
          <w:tcPr>
            <w:tcW w:type="dxa" w:w="1440"/>
            <w:shd w:fill="C6EFCE" w:val="clear"/>
          </w:tcPr>
          <w:p>
            <w:r>
              <w:rPr>
                <w:sz w:val="17"/>
              </w:rPr>
              <w:t>3,594</w:t>
            </w:r>
          </w:p>
        </w:tc>
        <w:tc>
          <w:tcPr>
            <w:tcW w:type="dxa" w:w="1440"/>
            <w:shd w:fill="C6EFCE" w:val="clear"/>
          </w:tcPr>
          <w:p>
            <w:r>
              <w:rPr>
                <w:b/>
                <w:sz w:val="17"/>
              </w:rPr>
              <w:t>4,105</w:t>
            </w:r>
          </w:p>
        </w:tc>
        <w:tc>
          <w:tcPr>
            <w:tcW w:type="dxa" w:w="1440"/>
            <w:shd w:fill="C6EFCE" w:val="clear"/>
          </w:tcPr>
          <w:p>
            <w:r>
              <w:rPr>
                <w:sz w:val="17"/>
              </w:rPr>
              <w:t>4,616</w:t>
            </w:r>
          </w:p>
        </w:tc>
        <w:tc>
          <w:tcPr>
            <w:tcW w:type="dxa" w:w="1440"/>
            <w:shd w:fill="C6EFCE" w:val="clear"/>
          </w:tcPr>
          <w:p>
            <w:r>
              <w:rPr>
                <w:b/>
                <w:color w:val="008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78 milliards FCFA, LNBB se positionne comme une valeur de taille moyenne sur la BRVM. Le BPA de 231 FCFA indique que chaque action a généré un bénéfice de 231 FCFA sur l'exercice 2025. Le PER de 16,9x est nettement supérieur à la moyenne historique de la BRVM (8-12x), ce qui suggère que le marché accorde une prime de croissance ou de stabilité à la valeur, malgré des résultats en baisse. Le P/B de 3,55x confirme cette prime, le titre se négociant bien au-dessus de sa valeur comptable (actif net). Enfin, l'EV/EBITDA de 9,9x se situe dans la fourchette haute des valeurs "raisonnables", indiquant que la valorisation de l'entreprise, rapportée à sa capacité opérationnelle, n'est pas particulièrement bon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affiche une variation totale de +1,17%, mais a subi une forte baisse de -3,70% lors de la dernière séance, s'établissant à 3 900 FCFA. Le titre a évolué dans un range de 3 825 FCFA (plus bas) à 4 560 FCFA (plus haut), montrant une amplitude de trading significative. La moyenne du cours sur la période est de 4 061 FCFA, supérieure à la médiane de 4 000 FCFA, ce qui, combiné à un skewness positif de 0,576, indique une distribution asymétrique avec des épisodes de hausse plus marqués mais moins fréquents. L'écart-type de 199 FCFA (CV=4,9%) révèle une dispersion relativement faible autour de la moyenne. Le kurtosis de -0,918 (mésokurtique) suggère l'absence de mouvements extrêmes fréquents. La volatilité annualisée de 36,6% classe le titre comme très volatil, un niveau élevé qui reflète une incertitude marquée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3 900 FCFA est inférieur à la MM20 (4 081,5 FCFA) et nettement sous la MM50 (4 215,8 FCFA). Cette configuration baissière, où le prix évolue sous ses moyennes clés, confirme une tendance de fond négative à court et moyen terme, justifiant la décision de "Vente".</w:t>
      </w:r>
    </w:p>
    <w:p>
      <w:pPr>
        <w:spacing w:after="120" w:line="276" w:lineRule="auto"/>
      </w:pPr>
      <w:r>
        <w:t>**Bandes de Bollinger**: Le prix se situe à 3 900 FCFA, proche de la borne inférieure (3 883,3 FCFA), indiquant que le titre est dans une zone de survente relative. La largeur des bandes suggère une volatilité encore élevée. Le fait que le prix teste la borne inférieure sans la casser franchement explique la décision "Neutre", avec un potentiel de rebond technique.</w:t>
      </w:r>
    </w:p>
    <w:p>
      <w:pPr>
        <w:spacing w:after="120" w:line="276" w:lineRule="auto"/>
      </w:pPr>
      <w:r>
        <w:t>**MACD**: La valeur du MACD (-65,6) est inférieure à son signal (-54,8), confirmant un momentum baissier. La divergence négative entre les deux lignes indique que la dynamique de vente est toujours dominante, justifiant la décision de "Vente".</w:t>
      </w:r>
    </w:p>
    <w:p>
      <w:pPr>
        <w:spacing w:after="120" w:line="276" w:lineRule="auto"/>
      </w:pPr>
      <w:r>
        <w:t>**RSI**: Avec une valeur de 36,0, le RSI se situe en zone neutre, mais proche de la zone de survente (30). Cela suggère que la pression vendeuse s'atténue, mais qu'aucun signal d'achat fort n'est encore déclenché. La décision "Neutre" est cohérente avec cette lecture.</w:t>
      </w:r>
    </w:p>
    <w:p>
      <w:pPr>
        <w:spacing w:after="120" w:line="276" w:lineRule="auto"/>
      </w:pPr>
      <w:r>
        <w:t>**Stochastique**: Le %K est à 0,0 et le %D à 18,5, ce qui place l'indicateur en profonde zone de survente. Un croisement haussier du %K au-dessus du %D serait un signal d'achat précoce. La décision "Achat" reflète ce potentiel de retournement technique imminent.</w:t>
      </w:r>
    </w:p>
    <w:p>
      <w:pPr>
        <w:spacing w:after="120" w:line="276" w:lineRule="auto"/>
      </w:pPr>
      <w:r>
        <w:t>**Conclusion technique**: Les indicateurs sont globalement baissiers à court terme (MM, MACD), mais les oscillateurs de retournement (Stochastique, et dans une moindre mesure RSI) signalent une condition de survente extrême. Le titre est à un point de décision charnière, avec un risque de continuation de la baisse si la borne des 3 825 FCFA est cassée, ou un potentiel de rebond technique si les acheteurs reviennent.</w:t>
      </w:r>
    </w:p>
    <w:p>
      <w:pPr>
        <w:spacing w:after="120" w:line="276" w:lineRule="auto"/>
      </w:pPr>
      <w:r>
        <w:t>---</w:t>
      </w:r>
    </w:p>
    <w:p>
      <w:pPr>
        <w:spacing w:after="120" w:line="276" w:lineRule="auto"/>
      </w:pPr>
      <w:r>
        <w:t>### PARTIE 3 : ANALYSE FONDAMENTALE (SECTION CRITIQUE)</w:t>
      </w:r>
    </w:p>
    <w:p>
      <w:pPr>
        <w:spacing w:after="120" w:line="276" w:lineRule="auto"/>
      </w:pPr>
      <w:r>
        <w:t>En 2025, la LNB a enregistré un chiffre d'affaires de 98,598 milliards FCFA, en baisse de -3,85% par rapport à 2024, et un résultat net de 4,622 milliards FCFA, en recul de -35,6%. Cette baisse de rentabilité s'explique par l'absence de produits exceptionnels (contre 3,1 Mds en 2024) et une concurrence déloyale accrue. Cependant, la structure financière reste très solide avec des capitaux propres de 21,954 milliards FCFA (autonomie financière de 67,3%), une trésorerie nette positive de 7,979 milliards FCFA et un endettement très faible (ratio d'endettement de 2,57%). La rentabilité des fonds propres (ROE) reste excellente à 21,05%, et le ROA est de 14,17%. Les rapports trimestriels de 2025 montrent une dégradation séquentielle (RN de 1,57 Md au T1, 841 M au S1, 1,034 Md au T3), mais le rapport annuel souligne une amélioration de la Valeur Ajoutée (+22%) et de l'EBE (+34%), signe d'une bonne maîtrise des charges. Le rapport S1 2026, publié en juillet 2026, indique un chiffre d'affaires en hausse de +4% à 49,937 milliards FCFA et un résultat net en progression de +60%, grâce aux revenus de partenariats et à la maîtrise des coûts. Sur cette base, on estime que l'exercice 2026 pourrait voir un rebond significatif du résultat net, potentiellement vers 6-7 milliards FCFA, si la tendance du S1 se confirme. La politique de dividende reste attractive avec un dividende de 173 FCFA brut par action proposé pour 2025, offrant un rendement d'environ 4,4% au cours actuel.</w:t>
      </w:r>
    </w:p>
    <w:p>
      <w:pPr>
        <w:spacing w:after="120" w:line="276" w:lineRule="auto"/>
      </w:pPr>
      <w:r>
        <w:t>---</w:t>
      </w:r>
    </w:p>
    <w:p>
      <w:pPr>
        <w:spacing w:after="120" w:line="276" w:lineRule="auto"/>
      </w:pPr>
      <w:r>
        <w:t>### PARTIE 4 : CONCLUSION D'INVESTISSEMENT</w:t>
      </w:r>
    </w:p>
    <w:p>
      <w:pPr>
        <w:spacing w:after="120" w:line="276" w:lineRule="auto"/>
      </w:pPr>
      <w:r>
        <w:t>La valorisation de LNBB (PER 16,9x, P/B 3,55x) apparaît exigeante, intégrant une prime pour sa position de monopole et sa politique de dividende généreuse, malgré des fondamentaux 2025 en repli. Le comportement du cours sur 100 jours montre une stabilité relative, mais la volatilité annualisée de 36,6% et la récente chute de -3,70% indiquent une nervosité persistante. Les signaux techniques sont partagés, avec une tendance baissière (MM, MACD) mais des conditions de survente extrême (Stochastique) suggérant un potentiel de rebond. Les fondamentaux, bien qu'en amélioration au S1 2026 (+60% du RN), doivent encore confirmer leur pérennité. Les prédictions IA pour les 10 prochains jours (3 977 à 4 021 FCFA) anticipent un rebond modéré, ce qui contredit la tendance technique baissière immédiate mais confirme le potentiel de retournement suggéré par les oscillateurs. En synthèse, la convergence entre l'amélioration fondamentale, le potentiel de rebond technique et les prédictions IA plaide pour une position d'attente active. La recommandation finale est **CONSERVER**, avec un niveau de confiance **Moyen** et un risque global **Élevé**. L'horizon d'investissement optimal serait à **moyen terme (3-12 mois)**, en attendant la confirmation des résultats annuels 2026 et une stabilisation du cours au-dessus de la MM20 pour 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5,239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+112.10%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17.73% (Élevée) — μ=2,127 FCFA, σ=377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β=-0.2268 (Contre-cyclique) — Cov=-0.000008, Var(idx)=0.000037, ρ=-0.041,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2,620</w:t>
            </w:r>
          </w:p>
        </w:tc>
        <w:tc>
          <w:tcPr>
            <w:tcW w:type="dxa" w:w="1440"/>
            <w:shd w:fill="FFDCE0" w:val="clear"/>
          </w:tcPr>
          <w:p>
            <w:r>
              <w:rPr>
                <w:b/>
                <w:sz w:val="17"/>
              </w:rPr>
              <w:t>2,756</w:t>
            </w:r>
          </w:p>
        </w:tc>
        <w:tc>
          <w:tcPr>
            <w:tcW w:type="dxa" w:w="1440"/>
            <w:shd w:fill="FFDCE0" w:val="clear"/>
          </w:tcPr>
          <w:p>
            <w:r>
              <w:rPr>
                <w:sz w:val="17"/>
              </w:rPr>
              <w:t>2,893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2,371</w:t>
            </w:r>
          </w:p>
        </w:tc>
        <w:tc>
          <w:tcPr>
            <w:tcW w:type="dxa" w:w="1440"/>
            <w:shd w:fill="FFDCE0" w:val="clear"/>
          </w:tcPr>
          <w:p>
            <w:r>
              <w:rPr>
                <w:b/>
                <w:sz w:val="17"/>
              </w:rPr>
              <w:t>2,550</w:t>
            </w:r>
          </w:p>
        </w:tc>
        <w:tc>
          <w:tcPr>
            <w:tcW w:type="dxa" w:w="1440"/>
            <w:shd w:fill="FFDCE0" w:val="clear"/>
          </w:tcPr>
          <w:p>
            <w:r>
              <w:rPr>
                <w:sz w:val="17"/>
              </w:rPr>
              <w:t>2,729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2,156</w:t>
            </w:r>
          </w:p>
        </w:tc>
        <w:tc>
          <w:tcPr>
            <w:tcW w:type="dxa" w:w="1440"/>
            <w:shd w:fill="FFDCE0" w:val="clear"/>
          </w:tcPr>
          <w:p>
            <w:r>
              <w:rPr>
                <w:b/>
                <w:sz w:val="17"/>
              </w:rPr>
              <w:t>2,359</w:t>
            </w:r>
          </w:p>
        </w:tc>
        <w:tc>
          <w:tcPr>
            <w:tcW w:type="dxa" w:w="1440"/>
            <w:shd w:fill="FFDCE0" w:val="clear"/>
          </w:tcPr>
          <w:p>
            <w:r>
              <w:rPr>
                <w:sz w:val="17"/>
              </w:rPr>
              <w:t>2,562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1,965</w:t>
            </w:r>
          </w:p>
        </w:tc>
        <w:tc>
          <w:tcPr>
            <w:tcW w:type="dxa" w:w="1440"/>
            <w:shd w:fill="FFDCE0" w:val="clear"/>
          </w:tcPr>
          <w:p>
            <w:r>
              <w:rPr>
                <w:b/>
                <w:sz w:val="17"/>
              </w:rPr>
              <w:t>2,182</w:t>
            </w:r>
          </w:p>
        </w:tc>
        <w:tc>
          <w:tcPr>
            <w:tcW w:type="dxa" w:w="1440"/>
            <w:shd w:fill="FFDCE0" w:val="clear"/>
          </w:tcPr>
          <w:p>
            <w:r>
              <w:rPr>
                <w:sz w:val="17"/>
              </w:rPr>
              <w:t>2,398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1,794</w:t>
            </w:r>
          </w:p>
        </w:tc>
        <w:tc>
          <w:tcPr>
            <w:tcW w:type="dxa" w:w="1440"/>
            <w:shd w:fill="FFDCE0" w:val="clear"/>
          </w:tcPr>
          <w:p>
            <w:r>
              <w:rPr>
                <w:b/>
                <w:sz w:val="17"/>
              </w:rPr>
              <w:t>2,018</w:t>
            </w:r>
          </w:p>
        </w:tc>
        <w:tc>
          <w:tcPr>
            <w:tcW w:type="dxa" w:w="1440"/>
            <w:shd w:fill="FFDCE0" w:val="clear"/>
          </w:tcPr>
          <w:p>
            <w:r>
              <w:rPr>
                <w:sz w:val="17"/>
              </w:rPr>
              <w:t>2,242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1,639</w:t>
            </w:r>
          </w:p>
        </w:tc>
        <w:tc>
          <w:tcPr>
            <w:tcW w:type="dxa" w:w="1440"/>
            <w:shd w:fill="FFDCE0" w:val="clear"/>
          </w:tcPr>
          <w:p>
            <w:r>
              <w:rPr>
                <w:b/>
                <w:sz w:val="17"/>
              </w:rPr>
              <w:t>1,867</w:t>
            </w:r>
          </w:p>
        </w:tc>
        <w:tc>
          <w:tcPr>
            <w:tcW w:type="dxa" w:w="1440"/>
            <w:shd w:fill="FFDCE0" w:val="clear"/>
          </w:tcPr>
          <w:p>
            <w:r>
              <w:rPr>
                <w:sz w:val="17"/>
              </w:rPr>
              <w:t>2,094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1,500</w:t>
            </w:r>
          </w:p>
        </w:tc>
        <w:tc>
          <w:tcPr>
            <w:tcW w:type="dxa" w:w="1440"/>
            <w:shd w:fill="FFDCE0" w:val="clear"/>
          </w:tcPr>
          <w:p>
            <w:r>
              <w:rPr>
                <w:b/>
                <w:sz w:val="17"/>
              </w:rPr>
              <w:t>1,727</w:t>
            </w:r>
          </w:p>
        </w:tc>
        <w:tc>
          <w:tcPr>
            <w:tcW w:type="dxa" w:w="1440"/>
            <w:shd w:fill="FFDCE0" w:val="clear"/>
          </w:tcPr>
          <w:p>
            <w:r>
              <w:rPr>
                <w:sz w:val="17"/>
              </w:rPr>
              <w:t>1,954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1,407</w:t>
            </w:r>
          </w:p>
        </w:tc>
        <w:tc>
          <w:tcPr>
            <w:tcW w:type="dxa" w:w="1440"/>
            <w:shd w:fill="FFDCE0" w:val="clear"/>
          </w:tcPr>
          <w:p>
            <w:r>
              <w:rPr>
                <w:b/>
                <w:sz w:val="17"/>
              </w:rPr>
              <w:t>1,638</w:t>
            </w:r>
          </w:p>
        </w:tc>
        <w:tc>
          <w:tcPr>
            <w:tcW w:type="dxa" w:w="1440"/>
            <w:shd w:fill="FFDCE0" w:val="clear"/>
          </w:tcPr>
          <w:p>
            <w:r>
              <w:rPr>
                <w:sz w:val="17"/>
              </w:rPr>
              <w:t>1,868</w:t>
            </w:r>
          </w:p>
        </w:tc>
        <w:tc>
          <w:tcPr>
            <w:tcW w:type="dxa" w:w="1440"/>
            <w:shd w:fill="FFDCE0" w:val="clear"/>
          </w:tcPr>
          <w:p>
            <w:r>
              <w:rPr>
                <w:b/>
                <w:color w:val="C00000"/>
                <w:sz w:val="17"/>
              </w:rPr>
              <w:t>-45.0%</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1,342</w:t>
            </w:r>
          </w:p>
        </w:tc>
        <w:tc>
          <w:tcPr>
            <w:tcW w:type="dxa" w:w="1440"/>
            <w:shd w:fill="FFDCE0" w:val="clear"/>
          </w:tcPr>
          <w:p>
            <w:r>
              <w:rPr>
                <w:b/>
                <w:sz w:val="17"/>
              </w:rPr>
              <w:t>1,577</w:t>
            </w:r>
          </w:p>
        </w:tc>
        <w:tc>
          <w:tcPr>
            <w:tcW w:type="dxa" w:w="1440"/>
            <w:shd w:fill="FFDCE0" w:val="clear"/>
          </w:tcPr>
          <w:p>
            <w:r>
              <w:rPr>
                <w:sz w:val="17"/>
              </w:rPr>
              <w:t>1,812</w:t>
            </w:r>
          </w:p>
        </w:tc>
        <w:tc>
          <w:tcPr>
            <w:tcW w:type="dxa" w:w="1440"/>
            <w:shd w:fill="FFDCE0" w:val="clear"/>
          </w:tcPr>
          <w:p>
            <w:r>
              <w:rPr>
                <w:b/>
                <w:color w:val="C00000"/>
                <w:sz w:val="17"/>
              </w:rPr>
              <w:t>-47.1%</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1,283</w:t>
            </w:r>
          </w:p>
        </w:tc>
        <w:tc>
          <w:tcPr>
            <w:tcW w:type="dxa" w:w="1440"/>
            <w:shd w:fill="FFDCE0" w:val="clear"/>
          </w:tcPr>
          <w:p>
            <w:r>
              <w:rPr>
                <w:b/>
                <w:sz w:val="17"/>
              </w:rPr>
              <w:t>1,522</w:t>
            </w:r>
          </w:p>
        </w:tc>
        <w:tc>
          <w:tcPr>
            <w:tcW w:type="dxa" w:w="1440"/>
            <w:shd w:fill="FFDCE0" w:val="clear"/>
          </w:tcPr>
          <w:p>
            <w:r>
              <w:rPr>
                <w:sz w:val="17"/>
              </w:rPr>
              <w:t>1,761</w:t>
            </w:r>
          </w:p>
        </w:tc>
        <w:tc>
          <w:tcPr>
            <w:tcW w:type="dxa" w:w="1440"/>
            <w:shd w:fill="FFDCE0" w:val="clear"/>
          </w:tcPr>
          <w:p>
            <w:r>
              <w:rPr>
                <w:b/>
                <w:color w:val="C00000"/>
                <w:sz w:val="17"/>
              </w:rPr>
              <w:t>-48.9%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38,04 milliards FCFA, ce qui la positionne comme une valeur de taille moyenne sur la BRVM. Avec un BPA de 160 FCFA, le PER de 18,7x est nettement supérieur à la moyenne historique du marché (8-12x), indiquant que les investisseurs paient une prime substantielle pour les bénéfices de la société. Le P/B de 6,61x confirme cette lecture, le marché valorisant le titre plus de six fois sa valeur comptable, ce qui reflète des attentes de croissance très élevées. Enfin, l'EV/EBITDA de 28,3x est particulièrement exigeant, signalant que la valeur d'entreprise intégrée par le marché dépasse largement la capacité opérationnelle actuelle de génération de cash-flow. L'ensemble de ces ratios suggère une valorisation riche qui laisse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NEIC a enregistré une progression spectaculaire de +112,10%, passant d'un plus bas de 1 370 FCFA à un plus haut de 3 000 FCFA, avant de clôturer à 2 980 FCFA, en léger repli de -0,67% sur la dernière séance. La moyenne de 2 127 FCFA est inférieure à la médiane de 2 182 FCFA, suggérant une distribution légèrement asymétrique avec une concentration des cours vers le bas de la fourchette avant l'accélération récente. L'écart-type de 379 FCFA (CV=17,8%) indique une dispersion modérée, tandis que le kurtosis de 0,579 (mésokurtique) et le skewness de 0,195 confirment une distribution proche de la normale, sans risque de pics extrêmes. La volatilité annualisée de 53,3% est élevée, témoignant d'un titre très spéculatif. La tendance générale est fortement haussière, mais la faiblesse du volume moyen (5 239 titres/jour) suggère un marché étroit où les mouvements de prix peuvent être amplifiés.</w:t>
      </w:r>
    </w:p>
    <w:p>
      <w:pPr>
        <w:spacing w:after="120" w:line="276" w:lineRule="auto" w:before="240"/>
      </w:pPr>
      <w:r>
        <w:rPr>
          <w:b/>
          <w:color w:val="003366"/>
          <w:sz w:val="24"/>
        </w:rPr>
        <w:t>**PARTIE 2 : ANALYSE TECHNIQUE DÉTAILLÉE**</w:t>
      </w:r>
    </w:p>
    <w:p>
      <w:pPr>
        <w:spacing w:after="120" w:line="276" w:lineRule="auto"/>
      </w:pPr>
      <w:r>
        <w:t>**Moyennes Mobiles** : Le cours actuel de 2 980 FCFA se situe nettement au-dessus de la MM20 (2 571,75 FCFA) et de la MM50 (2 369,9 FCFA), confirmant une tendance haussière solide. L'écart positif entre les deux moyennes et le cours indique un momentum positif, justifiant la décision d'Achat. La configuration est clairement bullish avec un alignement des prix au-dessus des moyennes.</w:t>
      </w:r>
    </w:p>
    <w:p>
      <w:pPr>
        <w:spacing w:after="120" w:line="276" w:lineRule="auto"/>
      </w:pPr>
      <w:r>
        <w:t>**Bandes de Bollinger** : Le prix évolue dans la partie supérieure des bandes, proche de la borne haute à 3 286 FCFA, avec une bande inférieure à 1 857 FCFA. L'écart important entre les bornes reflète une volatilité élevée. La décision Neutre s'explique par le fait que le cours, bien qu'en zone haute, n'a pas encore touché la borne supérieure, laissant une marge de progression avant une éventuelle correction.</w:t>
      </w:r>
    </w:p>
    <w:p>
      <w:pPr>
        <w:spacing w:after="120" w:line="276" w:lineRule="auto"/>
      </w:pPr>
      <w:r>
        <w:t>**MACD** : Le MACD (210,167) est nettement au-dessus de sa ligne de signal (162,308), avec un écart positif croissant de 47,86 points. Cette configuration indique un momentum haussier puissant et confirme la tendance ascendante. La décision d'Achat est justifiée par cette dynamique positive qui suggère une poursuite du mouvement.</w:t>
      </w:r>
    </w:p>
    <w:p>
      <w:pPr>
        <w:spacing w:after="120" w:line="276" w:lineRule="auto"/>
      </w:pPr>
      <w:r>
        <w:t>**RSI** : Le RSI à 96,53 est extrêmement élevé, bien au-delà du seuil de surachat de 70. Cette valeur indique une situation de surachat extrême, signalant que le titre est probablement survendu à la hausse et qu'une correction technique est imminente. La décision de Vente est parfaitement justifiée par ce niveau extrême.</w:t>
      </w:r>
    </w:p>
    <w:p>
      <w:pPr>
        <w:spacing w:after="120" w:line="276" w:lineRule="auto"/>
      </w:pPr>
      <w:r>
        <w:t>**Stochastique** : Le %K (97,56) et le %D (99,19) sont tous deux en zone de surachat très prononcée. Le %K est légèrement inférieur au %D, suggérant un début de croisement baissier potentiel. Cette configuration indique un épuisement probable du mouvement haussier, justifiant la décision de Vente.</w:t>
      </w:r>
    </w:p>
    <w:p>
      <w:pPr>
        <w:spacing w:after="120" w:line="276" w:lineRule="auto"/>
      </w:pPr>
      <w:r>
        <w:t>**Conclusion technique** : Les indicateurs de tendance (MM, MACD) sont positifs mais les oscillateurs (RSI, Stochastique) sont en surachat extrême, créant une divergence nette. Cette configuration suggère qu'une correction technique est hautement probable à court terme, malgré la tendance haussière sous-jacente. Le niveau des bandes de Bollinger confirme cette analyse avec un risque de retour vers la moyenne.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structurées contrastées : le chiffre d'affaires s'établit à 5,139 milliards FCFA, en baisse de -23,8% par rapport à l'exercice précédent, mais le résultat net ressort à 2,037 milliards FCFA, porté par un résultat exceptionnel. La marge nette atteint 39,6%, le ROE est excellent à 35,4% et le ROA à 27,3%, témoignant d'une forte rentabilité des capitaux propres et des actifs. La structure financière est très saine avec une autonomie financière de 77% et une trésorerie massive de 4,196 milliards FCFA. Cependant, le BFR positif de 1,498 milliard FCFA et le délai clients élevé de 154,7 jours constituent des points de vigilance. Le rapport du T3 2025 (daté du 30/09/2025) confirme la baisse du CA de -35% à 3,406 milliards FCFA, mais le bénéfice net de 1,596 milliard FCFA est largement tiré par la reprise de provision fiscale. Le rapport T1 2025 (31/03/2025) était catastrophique avec un CA de seulement 48,5 millions FCFA et une perte de -189,9 millions FCFA. Le rapport 2026 (T1) montre une amélioration avec un CA de 115,1 millions FCFA (+137%) mais une perte persistante de -168,9 millions FCFA. Les états financiers 2024 certifiés indiquaient une perte de -759 millions FCFA. On estime que l'exercice 2026 devrait rester déficitaire sur l'activité courante, la performance 2025 étant exceptionnelle et non récurrente.</w:t>
      </w:r>
    </w:p>
    <w:p>
      <w:pPr>
        <w:spacing w:after="120" w:line="276" w:lineRule="auto" w:before="240"/>
      </w:pPr>
      <w:r>
        <w:rPr>
          <w:b/>
          <w:color w:val="003366"/>
          <w:sz w:val="24"/>
        </w:rPr>
        <w:t>**PARTIE 4 : CONCLUSION D'INVESTISSEMENT**</w:t>
      </w:r>
    </w:p>
    <w:p>
      <w:pPr>
        <w:spacing w:after="120" w:line="276" w:lineRule="auto"/>
      </w:pPr>
      <w:r>
        <w:t>La valorisation de NEIC est extrêmement exigeante avec un PER de 18,7x, un P/B de 6,61x et un EV/EBITDA de 28,3x, nettement supérieurs aux moyennes du marché BRVM, indiquant une surévaluation relative. Le comportement du cours (+112% en 100 jours) avec une volatilité annualisée de 53,3% et des statistiques proches de la normale (kurtosis 0,579, skewness 0,195) révèle un titre très spéculatif. Les signaux techniques sont contradictoires : les MM et le MACD sont positifs, mais le RSI à 96,5 et le Stochastique à 97,6 signalent un surachat extrême avec un risque de correction imminent. Les fondamentaux montrent une société rentable en 2025 mais grâce à un effet exceptionnel, avec une activité commerciale en déclin (-23,8%) et des pertes récurrentes sur les trimestres récents. Les prédictions IA (2 756 FCFA à J+1, puis chute à 2 018 FCFA à J+10) confirment l'anticipation d'une correction sévère. La convergence des signaux de surachat technique et des prédictions IA baissières, contrastant avec une valorisation excessive, conduit à une recommandation de **VENTE** avec un niveau de confiance **Élevé** et un risque global **Élevé**. L'horizon d'investissement optimal est le court terme (&lt;3 mois) pour les investisseurs positionnés, avec un stop-loss recommandé sous les 2 500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615.52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2,423 titres</w:t>
            </w:r>
          </w:p>
        </w:tc>
        <w:tc>
          <w:tcPr>
            <w:tcW w:type="dxa" w:w="2268"/>
            <w:shd w:fill="FFF2CC" w:val="clear"/>
          </w:tcPr>
          <w:p>
            <w:r>
              <w:rPr>
                <w:b/>
                <w:color w:val="503200"/>
                <w:sz w:val="16"/>
              </w:rPr>
              <w:t xml:space="preserve">Cours actuel : </w:t>
            </w:r>
            <w:r>
              <w:rPr>
                <w:color w:val="000000"/>
                <w:sz w:val="17"/>
              </w:rPr>
              <w:t>24,885 FCFA</w:t>
            </w:r>
          </w:p>
          <w:p>
            <w:r>
              <w:rPr>
                <w:b/>
                <w:color w:val="503200"/>
                <w:sz w:val="16"/>
              </w:rPr>
              <w:t xml:space="preserve">Var. 100 jours : </w:t>
            </w:r>
            <w:r>
              <w:rPr>
                <w:b/>
                <w:color w:val="007800"/>
                <w:sz w:val="17"/>
              </w:rPr>
              <w:t>+75.56%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18.06% (Élevée) — μ=19,503 FCFA, σ=3,522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β=1.2240 (Agressif) — Cov=0.000045, Var(idx)=0.000037, ρ=0.298,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24,286</w:t>
            </w:r>
          </w:p>
        </w:tc>
        <w:tc>
          <w:tcPr>
            <w:tcW w:type="dxa" w:w="1440"/>
            <w:shd w:fill="FAFAFA" w:val="clear"/>
          </w:tcPr>
          <w:p>
            <w:r>
              <w:rPr>
                <w:b/>
                <w:sz w:val="17"/>
              </w:rPr>
              <w:t>24,976</w:t>
            </w:r>
          </w:p>
        </w:tc>
        <w:tc>
          <w:tcPr>
            <w:tcW w:type="dxa" w:w="1440"/>
            <w:shd w:fill="FAFAFA" w:val="clear"/>
          </w:tcPr>
          <w:p>
            <w:r>
              <w:rPr>
                <w:sz w:val="17"/>
              </w:rPr>
              <w:t>25,666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24,348</w:t>
            </w:r>
          </w:p>
        </w:tc>
        <w:tc>
          <w:tcPr>
            <w:tcW w:type="dxa" w:w="1440"/>
            <w:shd w:fill="FAFAFA" w:val="clear"/>
          </w:tcPr>
          <w:p>
            <w:r>
              <w:rPr>
                <w:b/>
                <w:sz w:val="17"/>
              </w:rPr>
              <w:t>25,338</w:t>
            </w:r>
          </w:p>
        </w:tc>
        <w:tc>
          <w:tcPr>
            <w:tcW w:type="dxa" w:w="1440"/>
            <w:shd w:fill="FAFAFA" w:val="clear"/>
          </w:tcPr>
          <w:p>
            <w:r>
              <w:rPr>
                <w:sz w:val="17"/>
              </w:rPr>
              <w:t>26,328</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2026-09-10</w:t>
            </w:r>
          </w:p>
        </w:tc>
        <w:tc>
          <w:tcPr>
            <w:tcW w:type="dxa" w:w="1440"/>
            <w:shd w:fill="C6EFCE" w:val="clear"/>
          </w:tcPr>
          <w:p>
            <w:r>
              <w:rPr>
                <w:sz w:val="17"/>
              </w:rPr>
              <w:t>24,462</w:t>
            </w:r>
          </w:p>
        </w:tc>
        <w:tc>
          <w:tcPr>
            <w:tcW w:type="dxa" w:w="1440"/>
            <w:shd w:fill="C6EFCE" w:val="clear"/>
          </w:tcPr>
          <w:p>
            <w:r>
              <w:rPr>
                <w:b/>
                <w:sz w:val="17"/>
              </w:rPr>
              <w:t>25,692</w:t>
            </w:r>
          </w:p>
        </w:tc>
        <w:tc>
          <w:tcPr>
            <w:tcW w:type="dxa" w:w="1440"/>
            <w:shd w:fill="C6EFCE" w:val="clear"/>
          </w:tcPr>
          <w:p>
            <w:r>
              <w:rPr>
                <w:sz w:val="17"/>
              </w:rPr>
              <w:t>26,922</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2026-09-11</w:t>
            </w:r>
          </w:p>
        </w:tc>
        <w:tc>
          <w:tcPr>
            <w:tcW w:type="dxa" w:w="1440"/>
            <w:shd w:fill="C6EFCE" w:val="clear"/>
          </w:tcPr>
          <w:p>
            <w:r>
              <w:rPr>
                <w:sz w:val="17"/>
              </w:rPr>
              <w:t>24,627</w:t>
            </w:r>
          </w:p>
        </w:tc>
        <w:tc>
          <w:tcPr>
            <w:tcW w:type="dxa" w:w="1440"/>
            <w:shd w:fill="C6EFCE" w:val="clear"/>
          </w:tcPr>
          <w:p>
            <w:r>
              <w:rPr>
                <w:b/>
                <w:sz w:val="17"/>
              </w:rPr>
              <w:t>26,067</w:t>
            </w:r>
          </w:p>
        </w:tc>
        <w:tc>
          <w:tcPr>
            <w:tcW w:type="dxa" w:w="1440"/>
            <w:shd w:fill="C6EFCE" w:val="clear"/>
          </w:tcPr>
          <w:p>
            <w:r>
              <w:rPr>
                <w:sz w:val="17"/>
              </w:rPr>
              <w:t>27,508</w:t>
            </w:r>
          </w:p>
        </w:tc>
        <w:tc>
          <w:tcPr>
            <w:tcW w:type="dxa" w:w="1440"/>
            <w:shd w:fill="C6EFCE" w:val="clear"/>
          </w:tcPr>
          <w:p>
            <w:r>
              <w:rPr>
                <w:b/>
                <w:color w:val="008000"/>
                <w:sz w:val="17"/>
              </w:rPr>
              <w:t>+4.8%</w:t>
            </w:r>
          </w:p>
        </w:tc>
      </w:tr>
      <w:tr>
        <w:tc>
          <w:tcPr>
            <w:tcW w:type="dxa" w:w="1440"/>
            <w:shd w:fill="C6EFCE" w:val="clear"/>
          </w:tcPr>
          <w:p>
            <w:r>
              <w:rPr>
                <w:sz w:val="17"/>
              </w:rPr>
              <w:t>J+5  Moyenne</w:t>
            </w:r>
          </w:p>
        </w:tc>
        <w:tc>
          <w:tcPr>
            <w:tcW w:type="dxa" w:w="1440"/>
            <w:shd w:fill="C6EFCE" w:val="clear"/>
          </w:tcPr>
          <w:p>
            <w:r>
              <w:rPr>
                <w:sz w:val="17"/>
              </w:rPr>
              <w:t>2026-09-14</w:t>
            </w:r>
          </w:p>
        </w:tc>
        <w:tc>
          <w:tcPr>
            <w:tcW w:type="dxa" w:w="1440"/>
            <w:shd w:fill="C6EFCE" w:val="clear"/>
          </w:tcPr>
          <w:p>
            <w:r>
              <w:rPr>
                <w:sz w:val="17"/>
              </w:rPr>
              <w:t>24,812</w:t>
            </w:r>
          </w:p>
        </w:tc>
        <w:tc>
          <w:tcPr>
            <w:tcW w:type="dxa" w:w="1440"/>
            <w:shd w:fill="C6EFCE" w:val="clear"/>
          </w:tcPr>
          <w:p>
            <w:r>
              <w:rPr>
                <w:b/>
                <w:sz w:val="17"/>
              </w:rPr>
              <w:t>26,446</w:t>
            </w:r>
          </w:p>
        </w:tc>
        <w:tc>
          <w:tcPr>
            <w:tcW w:type="dxa" w:w="1440"/>
            <w:shd w:fill="C6EFCE" w:val="clear"/>
          </w:tcPr>
          <w:p>
            <w:r>
              <w:rPr>
                <w:sz w:val="17"/>
              </w:rPr>
              <w:t>28,080</w:t>
            </w:r>
          </w:p>
        </w:tc>
        <w:tc>
          <w:tcPr>
            <w:tcW w:type="dxa" w:w="1440"/>
            <w:shd w:fill="C6EFCE" w:val="clear"/>
          </w:tcPr>
          <w:p>
            <w:r>
              <w:rPr>
                <w:b/>
                <w:color w:val="008000"/>
                <w:sz w:val="17"/>
              </w:rPr>
              <w:t>+6.3%</w:t>
            </w:r>
          </w:p>
        </w:tc>
      </w:tr>
      <w:tr>
        <w:tc>
          <w:tcPr>
            <w:tcW w:type="dxa" w:w="1440"/>
            <w:shd w:fill="C6EFCE" w:val="clear"/>
          </w:tcPr>
          <w:p>
            <w:r>
              <w:rPr>
                <w:sz w:val="17"/>
              </w:rPr>
              <w:t>J+6  Moyenne</w:t>
            </w:r>
          </w:p>
        </w:tc>
        <w:tc>
          <w:tcPr>
            <w:tcW w:type="dxa" w:w="1440"/>
            <w:shd w:fill="C6EFCE" w:val="clear"/>
          </w:tcPr>
          <w:p>
            <w:r>
              <w:rPr>
                <w:sz w:val="17"/>
              </w:rPr>
              <w:t>2026-09-15</w:t>
            </w:r>
          </w:p>
        </w:tc>
        <w:tc>
          <w:tcPr>
            <w:tcW w:type="dxa" w:w="1440"/>
            <w:shd w:fill="C6EFCE" w:val="clear"/>
          </w:tcPr>
          <w:p>
            <w:r>
              <w:rPr>
                <w:sz w:val="17"/>
              </w:rPr>
              <w:t>25,010</w:t>
            </w:r>
          </w:p>
        </w:tc>
        <w:tc>
          <w:tcPr>
            <w:tcW w:type="dxa" w:w="1440"/>
            <w:shd w:fill="C6EFCE" w:val="clear"/>
          </w:tcPr>
          <w:p>
            <w:r>
              <w:rPr>
                <w:b/>
                <w:sz w:val="17"/>
              </w:rPr>
              <w:t>26,825</w:t>
            </w:r>
          </w:p>
        </w:tc>
        <w:tc>
          <w:tcPr>
            <w:tcW w:type="dxa" w:w="1440"/>
            <w:shd w:fill="C6EFCE" w:val="clear"/>
          </w:tcPr>
          <w:p>
            <w:r>
              <w:rPr>
                <w:sz w:val="17"/>
              </w:rPr>
              <w:t>28,641</w:t>
            </w:r>
          </w:p>
        </w:tc>
        <w:tc>
          <w:tcPr>
            <w:tcW w:type="dxa" w:w="1440"/>
            <w:shd w:fill="C6EFCE" w:val="clear"/>
          </w:tcPr>
          <w:p>
            <w:r>
              <w:rPr>
                <w:b/>
                <w:color w:val="008000"/>
                <w:sz w:val="17"/>
              </w:rPr>
              <w:t>+7.8%</w:t>
            </w:r>
          </w:p>
        </w:tc>
      </w:tr>
      <w:tr>
        <w:tc>
          <w:tcPr>
            <w:tcW w:type="dxa" w:w="1440"/>
            <w:shd w:fill="C6EFCE" w:val="clear"/>
          </w:tcPr>
          <w:p>
            <w:r>
              <w:rPr>
                <w:sz w:val="17"/>
              </w:rPr>
              <w:t>J+7  Moyenne</w:t>
            </w:r>
          </w:p>
        </w:tc>
        <w:tc>
          <w:tcPr>
            <w:tcW w:type="dxa" w:w="1440"/>
            <w:shd w:fill="C6EFCE" w:val="clear"/>
          </w:tcPr>
          <w:p>
            <w:r>
              <w:rPr>
                <w:sz w:val="17"/>
              </w:rPr>
              <w:t>2026-09-16</w:t>
            </w:r>
          </w:p>
        </w:tc>
        <w:tc>
          <w:tcPr>
            <w:tcW w:type="dxa" w:w="1440"/>
            <w:shd w:fill="C6EFCE" w:val="clear"/>
          </w:tcPr>
          <w:p>
            <w:r>
              <w:rPr>
                <w:sz w:val="17"/>
              </w:rPr>
              <w:t>25,216</w:t>
            </w:r>
          </w:p>
        </w:tc>
        <w:tc>
          <w:tcPr>
            <w:tcW w:type="dxa" w:w="1440"/>
            <w:shd w:fill="C6EFCE" w:val="clear"/>
          </w:tcPr>
          <w:p>
            <w:r>
              <w:rPr>
                <w:b/>
                <w:sz w:val="17"/>
              </w:rPr>
              <w:t>27,205</w:t>
            </w:r>
          </w:p>
        </w:tc>
        <w:tc>
          <w:tcPr>
            <w:tcW w:type="dxa" w:w="1440"/>
            <w:shd w:fill="C6EFCE" w:val="clear"/>
          </w:tcPr>
          <w:p>
            <w:r>
              <w:rPr>
                <w:sz w:val="17"/>
              </w:rPr>
              <w:t>29,194</w:t>
            </w:r>
          </w:p>
        </w:tc>
        <w:tc>
          <w:tcPr>
            <w:tcW w:type="dxa" w:w="1440"/>
            <w:shd w:fill="C6EFCE" w:val="clear"/>
          </w:tcPr>
          <w:p>
            <w:r>
              <w:rPr>
                <w:b/>
                <w:color w:val="008000"/>
                <w:sz w:val="17"/>
              </w:rPr>
              <w:t>+9.3%</w:t>
            </w:r>
          </w:p>
        </w:tc>
      </w:tr>
      <w:tr>
        <w:tc>
          <w:tcPr>
            <w:tcW w:type="dxa" w:w="1440"/>
            <w:shd w:fill="C6EFCE" w:val="clear"/>
          </w:tcPr>
          <w:p>
            <w:r>
              <w:rPr>
                <w:sz w:val="17"/>
              </w:rPr>
              <w:t>J+8  Moyenne</w:t>
            </w:r>
          </w:p>
        </w:tc>
        <w:tc>
          <w:tcPr>
            <w:tcW w:type="dxa" w:w="1440"/>
            <w:shd w:fill="C6EFCE" w:val="clear"/>
          </w:tcPr>
          <w:p>
            <w:r>
              <w:rPr>
                <w:sz w:val="17"/>
              </w:rPr>
              <w:t>2026-09-17</w:t>
            </w:r>
          </w:p>
        </w:tc>
        <w:tc>
          <w:tcPr>
            <w:tcW w:type="dxa" w:w="1440"/>
            <w:shd w:fill="C6EFCE" w:val="clear"/>
          </w:tcPr>
          <w:p>
            <w:r>
              <w:rPr>
                <w:sz w:val="17"/>
              </w:rPr>
              <w:t>25,427</w:t>
            </w:r>
          </w:p>
        </w:tc>
        <w:tc>
          <w:tcPr>
            <w:tcW w:type="dxa" w:w="1440"/>
            <w:shd w:fill="C6EFCE" w:val="clear"/>
          </w:tcPr>
          <w:p>
            <w:r>
              <w:rPr>
                <w:b/>
                <w:sz w:val="17"/>
              </w:rPr>
              <w:t>27,583</w:t>
            </w:r>
          </w:p>
        </w:tc>
        <w:tc>
          <w:tcPr>
            <w:tcW w:type="dxa" w:w="1440"/>
            <w:shd w:fill="C6EFCE" w:val="clear"/>
          </w:tcPr>
          <w:p>
            <w:r>
              <w:rPr>
                <w:sz w:val="17"/>
              </w:rPr>
              <w:t>29,739</w:t>
            </w:r>
          </w:p>
        </w:tc>
        <w:tc>
          <w:tcPr>
            <w:tcW w:type="dxa" w:w="1440"/>
            <w:shd w:fill="C6EFCE" w:val="clear"/>
          </w:tcPr>
          <w:p>
            <w:r>
              <w:rPr>
                <w:b/>
                <w:color w:val="008000"/>
                <w:sz w:val="17"/>
              </w:rPr>
              <w:t>+10.8%</w:t>
            </w:r>
          </w:p>
        </w:tc>
      </w:tr>
      <w:tr>
        <w:tc>
          <w:tcPr>
            <w:tcW w:type="dxa" w:w="1440"/>
            <w:shd w:fill="C6EFCE" w:val="clear"/>
          </w:tcPr>
          <w:p>
            <w:r>
              <w:rPr>
                <w:sz w:val="17"/>
              </w:rPr>
              <w:t>J+9  Moyenne</w:t>
            </w:r>
          </w:p>
        </w:tc>
        <w:tc>
          <w:tcPr>
            <w:tcW w:type="dxa" w:w="1440"/>
            <w:shd w:fill="C6EFCE" w:val="clear"/>
          </w:tcPr>
          <w:p>
            <w:r>
              <w:rPr>
                <w:sz w:val="17"/>
              </w:rPr>
              <w:t>2026-09-18</w:t>
            </w:r>
          </w:p>
        </w:tc>
        <w:tc>
          <w:tcPr>
            <w:tcW w:type="dxa" w:w="1440"/>
            <w:shd w:fill="C6EFCE" w:val="clear"/>
          </w:tcPr>
          <w:p>
            <w:r>
              <w:rPr>
                <w:sz w:val="17"/>
              </w:rPr>
              <w:t>25,641</w:t>
            </w:r>
          </w:p>
        </w:tc>
        <w:tc>
          <w:tcPr>
            <w:tcW w:type="dxa" w:w="1440"/>
            <w:shd w:fill="C6EFCE" w:val="clear"/>
          </w:tcPr>
          <w:p>
            <w:r>
              <w:rPr>
                <w:b/>
                <w:sz w:val="17"/>
              </w:rPr>
              <w:t>27,959</w:t>
            </w:r>
          </w:p>
        </w:tc>
        <w:tc>
          <w:tcPr>
            <w:tcW w:type="dxa" w:w="1440"/>
            <w:shd w:fill="C6EFCE" w:val="clear"/>
          </w:tcPr>
          <w:p>
            <w:r>
              <w:rPr>
                <w:sz w:val="17"/>
              </w:rPr>
              <w:t>30,277</w:t>
            </w:r>
          </w:p>
        </w:tc>
        <w:tc>
          <w:tcPr>
            <w:tcW w:type="dxa" w:w="1440"/>
            <w:shd w:fill="C6EFCE" w:val="clear"/>
          </w:tcPr>
          <w:p>
            <w:r>
              <w:rPr>
                <w:b/>
                <w:color w:val="008000"/>
                <w:sz w:val="17"/>
              </w:rPr>
              <w:t>+12.4%</w:t>
            </w:r>
          </w:p>
        </w:tc>
      </w:tr>
      <w:tr>
        <w:tc>
          <w:tcPr>
            <w:tcW w:type="dxa" w:w="1440"/>
            <w:shd w:fill="C6EFCE" w:val="clear"/>
          </w:tcPr>
          <w:p>
            <w:r>
              <w:rPr>
                <w:sz w:val="17"/>
              </w:rPr>
              <w:t>J+10  Moyenne</w:t>
            </w:r>
          </w:p>
        </w:tc>
        <w:tc>
          <w:tcPr>
            <w:tcW w:type="dxa" w:w="1440"/>
            <w:shd w:fill="C6EFCE" w:val="clear"/>
          </w:tcPr>
          <w:p>
            <w:r>
              <w:rPr>
                <w:sz w:val="17"/>
              </w:rPr>
              <w:t>2026-09-21</w:t>
            </w:r>
          </w:p>
        </w:tc>
        <w:tc>
          <w:tcPr>
            <w:tcW w:type="dxa" w:w="1440"/>
            <w:shd w:fill="C6EFCE" w:val="clear"/>
          </w:tcPr>
          <w:p>
            <w:r>
              <w:rPr>
                <w:sz w:val="17"/>
              </w:rPr>
              <w:t>25,856</w:t>
            </w:r>
          </w:p>
        </w:tc>
        <w:tc>
          <w:tcPr>
            <w:tcW w:type="dxa" w:w="1440"/>
            <w:shd w:fill="C6EFCE" w:val="clear"/>
          </w:tcPr>
          <w:p>
            <w:r>
              <w:rPr>
                <w:b/>
                <w:sz w:val="17"/>
              </w:rPr>
              <w:t>28,332</w:t>
            </w:r>
          </w:p>
        </w:tc>
        <w:tc>
          <w:tcPr>
            <w:tcW w:type="dxa" w:w="1440"/>
            <w:shd w:fill="C6EFCE" w:val="clear"/>
          </w:tcPr>
          <w:p>
            <w:r>
              <w:rPr>
                <w:sz w:val="17"/>
              </w:rPr>
              <w:t>30,808</w:t>
            </w:r>
          </w:p>
        </w:tc>
        <w:tc>
          <w:tcPr>
            <w:tcW w:type="dxa" w:w="1440"/>
            <w:shd w:fill="C6EFCE" w:val="clear"/>
          </w:tcPr>
          <w:p>
            <w:r>
              <w:rPr>
                <w:b/>
                <w:color w:val="008000"/>
                <w:sz w:val="17"/>
              </w:rPr>
              <w:t>+13.9%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Absolument. Voici un rapport d'analyse structuré et professionnel pour l'action NSBC (NSIA Banque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615,52 milliards FCFA, ce qui en fait l'une des valeurs les plus lourdes et les plus liquides de la BRVM, reflétant son statut de leader bancaire régional. Avec un BPA de 1 646 FCFA, le PER de 15,1x se situe nettement au-dessus de la moyenne historique du marché (8-12x), indiquant que les investisseurs intègrent déjà une forte croissance future des bénéfices. Le P/B de 2,64x confirme cette prime, le marché valorisant la société à plus de 2,5 fois ses capitaux propres comptables, ce qui témoigne d'une grande confiance dans la création de valeur future. Enfin, un EV/EBITDA de 22,4x est particulièrement exigeant et signale que la valeur d'entreprise intègre des hypothèses de performance opérationnelle très soutenues. Ces ratios, bien que justifiés par la qualité de la banque, laissent peu de place à l'erreur et suggèrent une valorisation déjà généreuse.</w:t>
      </w:r>
    </w:p>
    <w:p>
      <w:pPr>
        <w:spacing w:after="120" w:line="276" w:lineRule="auto"/>
      </w:pPr>
      <w:r>
        <w:t>### PARTIE 1 : ANALYSE DU COURS — STATISTIQUES ET ÉVOLUTION (100 derniers jours)</w:t>
      </w:r>
    </w:p>
    <w:p>
      <w:pPr>
        <w:spacing w:after="120" w:line="276" w:lineRule="auto"/>
      </w:pPr>
      <w:r>
        <w:t>Sur les 100 derniers jours, l'action NSBC a connu une appréciation spectaculaire de +75,56%, avec une dernière séance en hausse de +7,49%, clôturant à un plus-haut absolu de 24 885 FCFA. Cette performance remarquable s'inscrit dans une tendance haussière extrêmement forte, le cours ayant plus que doublé depuis son plus bas de 13 810 FCFA sur la période. L'analyse des statistiques descriptives révèle une distribution des prix relativement concentrée autour de la moyenne (19 503 FCFA) et de la médiane (19 575 FCFA), qui sont très proches, indiquant une distribution symétrique. Le coefficient de variation de 18,1% montre une dispersion modérée des prix autour de la moyenne. Le kurtosis négatif (-1.184) indique une distribution "aplatie" avec moins de valeurs extrêmes que la normale, tandis que le skewness légèrement négatif (-0.423) suggère une asymétrie vers les valeurs basses, bien que la récente envolée du cours tende à la corriger. La volatilité annualisée de 39,4% est élevée, classant NSBC comme un titre à fort risque, ce qui est cohérent avec la dynamique haussière rapide observée.</w:t>
      </w:r>
    </w:p>
    <w:p>
      <w:pPr>
        <w:spacing w:after="120" w:line="276" w:lineRule="auto"/>
      </w:pPr>
      <w:r>
        <w:t>### PARTIE 2 : ANALYSE TECHNIQUE DÉTAILLÉE</w:t>
      </w:r>
    </w:p>
    <w:p>
      <w:pPr>
        <w:spacing w:after="120" w:line="276" w:lineRule="auto"/>
      </w:pPr>
      <w:r>
        <w:t>**Moyennes Mobiles** : Le cours actuel (24 885 FCFA) se situe nettement au-dessus de sa MM20 (23 122,5 FCFA) et de sa MM50 (22 464,3 FCFA). Cette configuration haussière, où les moyennes sont orientées à la hausse, confirme la vigueur de la tendance de fond. La décision d'**Achat** est justifiée par le franchissement de ces niveaux clés, qui agissent désormais comme des supports dynamiques.</w:t>
      </w:r>
    </w:p>
    <w:p>
      <w:pPr>
        <w:spacing w:after="120" w:line="276" w:lineRule="auto"/>
      </w:pPr>
      <w:r>
        <w:t>**Bandes de Bollinger** : Le cours a franchi la borne supérieure des bandes (24 165,5 FCFA), ce qui est un signal classique de surachat à court terme. Cette sortie de canal indique une pression d'achat extrême et une volatilité en expansion. La décision de **Vente** est ainsi motivée par la probabilité statistique d'un retour vers la moyenne (MM20) ou, à défaut, d'une consolidation avant la poursuite de la tendance.</w:t>
      </w:r>
    </w:p>
    <w:p>
      <w:pPr>
        <w:spacing w:after="120" w:line="276" w:lineRule="auto"/>
      </w:pPr>
      <w:r>
        <w:t>**MACD** : Le MACD (261,9) est nettement au-dessus de sa ligne de signal (195,7), affichant un écart positif et croissant. Cette configuration est un signal puissant de momentum haussier, indiquant que la dynamique d'achat s'accélère. La décision d'**Achat** est donc pleinement justifiée par cette divergence positive, qui suggère une poursuite du mouvement.</w:t>
      </w:r>
    </w:p>
    <w:p>
      <w:pPr>
        <w:spacing w:after="120" w:line="276" w:lineRule="auto"/>
      </w:pPr>
      <w:r>
        <w:t>**RSI** : Le RSI est à 77,4, une valeur qui entre en zone de surachat (au-delà de 70). Cela signifie que le titre est techniquement survendu à la hausse et qu'une correction ou une consolidation est probable à court terme. La décision de **Vente** est donc une alerte de prudence, signalant que le potentiel de hausse immédiat pourrait être limité.</w:t>
      </w:r>
    </w:p>
    <w:p>
      <w:pPr>
        <w:spacing w:after="120" w:line="276" w:lineRule="auto"/>
      </w:pPr>
      <w:r>
        <w:t>**Stochastique** : Le %K est à 100,0 et le %D à 87,3, tous deux profondément en zone de surachat. Cette configuration extrême indique que le mouvement haussier est arrivé à un point de tension maximal. La décision de **Vente** est justifiée par le risque élevé d'un croisement baissier, qui précéderait généralement une phase de correction.</w:t>
      </w:r>
    </w:p>
    <w:p>
      <w:pPr>
        <w:spacing w:after="120" w:line="276" w:lineRule="auto"/>
      </w:pPr>
      <w:r>
        <w:t>**Conclusion technique** : L'analyse technique révèle un signal fortement haussier sur le moyen terme (MM, MACD), mais tous les oscillateurs de court terme (RSI, Stochastique, Bandes de Bollinger) hurlent à la surachat. Cette divergence signale une extrême vigueur de la tendance, mais avec un risque de correction technique imminente. La prudence est donc de mise pour un nouvel achat à ces niveaux, tandis que les investisseurs existants pourraient être tentés de prendre des bénéfices.</w:t>
      </w:r>
    </w:p>
    <w:p>
      <w:pPr>
        <w:spacing w:after="120" w:line="276" w:lineRule="auto"/>
      </w:pPr>
      <w:r>
        <w:t>### PARTIE 3 : ANALYSE FONDAMENTALE (SECTION CRITIQUE)</w:t>
      </w:r>
    </w:p>
    <w:p>
      <w:pPr>
        <w:spacing w:after="120" w:line="276" w:lineRule="auto"/>
      </w:pPr>
      <w:r>
        <w:t>En 2025, NSBC affiche des fondamentaux solides avec un Produit Net Bancaire (PNB) de 112,928 milliards FCFA, en croissance de 15%, et un résultat net de 40,712 milliards FCFA, en hausse de 7% par rapport à 2024. La banque démontre une excellente efficacité opérationnelle avec un coefficient d'exploitation de 54,6% (inférieur au seuil de 60%), et une rentabilité des fonds propres (ROE) de 17,45%, un niveau jugé excellent. Cependant, le coût du risque s'est fortement dégradé, passant d'une reprise de +0,6 milliard FCFA en 2024 à une dotation de -8,5 milliards FCFA en 2025, signalant une détérioration de la qualité du portefeuille de crédits. Le ratio de transformation est sain, avec des dépôts clientèle (2 242 milliards FCFA) couvrant largement les créances sur la clientèle (1 818 milliards FCFA). Les rapports trimestriels de 2025 montrent une accélération progressive de la croissance, avec un PNB en hausse de 7% au T3 et de 15% sur l'année. Le rapport du T1 2026, daté du 31 mars 2026, est exceptionnel, avec un PNB en hausse de 28% à 28,6 milliards FCFA et un résultat net en progression de 53% à 10,9 milliards FCFA, porté par l'activité titres. Sur cette base, on estime que l'exercice 2026 pourrait voir le résultat net dépasser les 50 milliards FCFA, confirmant la dynamique de croissance soutenue de la banque.</w:t>
      </w:r>
    </w:p>
    <w:p>
      <w:pPr>
        <w:spacing w:after="120" w:line="276" w:lineRule="auto"/>
      </w:pPr>
      <w:r>
        <w:t>### PARTIE 4 : CONCLUSION D'INVESTISSEMENT</w:t>
      </w:r>
    </w:p>
    <w:p>
      <w:pPr>
        <w:spacing w:after="120" w:line="276" w:lineRule="auto"/>
      </w:pPr>
      <w:r>
        <w:t>La synthèse globale révèle une situation contrastée. La valorisation boursière (Partie 0) est exigeante, avec un PER de 15,1x et un EV/EBITDA de 22,4x, intégrant déjà des attentes de croissance élevées. Le comportement du cours (Partie 1) est extrêmement haussier avec une hausse de 75% en 100 jours, mais la volatilité élevée (39,4%) et les statistiques de distribution suggèrent un risque accru. Les signaux techniques (Partie 2) sont contradictoires : une tendance de fond haussière (MM, MACD) mais des indicateurs de surachat extrême à court terme (RSI, Stochastique, Bollinger), annonçant une probable consolidation. Enfin, les fondamentaux (Partie 3) sont robustes, avec une croissance soutenue du PNB et du résultat net, mais le coût du risque en hausse en 2025 et la dépendance croissante aux revenus de titres sont des points de vigilance. Les prédictions IA pour les 10 prochains jours (hausse de +6,3% jusqu'à 26 446 FCFA) confirment le momentum haussier à très court terme, mais semblent ignorer les signaux de surachat technique. Par conséquent, la recommandation finale est de **CONSERVER** pour les investisseurs déjà en position, avec un niveau de confiance **Moyen** et un risque global **Élevé**. Pour les nouveaux entrants, il serait prudent d'attendre une phase de correction technique pour initier une position, avec un horizon d'investissement à **moyen terme (3-12 mois)** pour bénéficier de la solide dynamique fondamentale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397.27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1,602 titres</w:t>
            </w:r>
          </w:p>
        </w:tc>
        <w:tc>
          <w:tcPr>
            <w:tcW w:type="dxa" w:w="2268"/>
            <w:shd w:fill="FFF2CC" w:val="clear"/>
          </w:tcPr>
          <w:p>
            <w:r>
              <w:rPr>
                <w:b/>
                <w:color w:val="503200"/>
                <w:sz w:val="16"/>
              </w:rPr>
              <w:t xml:space="preserve">Cours actuel : </w:t>
            </w:r>
            <w:r>
              <w:rPr>
                <w:color w:val="000000"/>
                <w:sz w:val="17"/>
              </w:rPr>
              <w:t>18,000 FCFA</w:t>
            </w:r>
          </w:p>
          <w:p>
            <w:r>
              <w:rPr>
                <w:b/>
                <w:color w:val="503200"/>
                <w:sz w:val="16"/>
              </w:rPr>
              <w:t xml:space="preserve">Var. 100 jours : </w:t>
            </w:r>
            <w:r>
              <w:rPr>
                <w:b/>
                <w:color w:val="007800"/>
                <w:sz w:val="17"/>
              </w:rPr>
              <w:t>+50.00%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13.78% (Moyenne) — μ=14,739 FCFA, σ=2,031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β=-0.1097 (Contre-cyclique) — Cov=-0.000004, Var(idx)=0.000037, ρ=-0.028,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16,099</w:t>
            </w:r>
          </w:p>
        </w:tc>
        <w:tc>
          <w:tcPr>
            <w:tcW w:type="dxa" w:w="1440"/>
            <w:shd w:fill="FFDCE0" w:val="clear"/>
          </w:tcPr>
          <w:p>
            <w:r>
              <w:rPr>
                <w:b/>
                <w:sz w:val="17"/>
              </w:rPr>
              <w:t>16,715</w:t>
            </w:r>
          </w:p>
        </w:tc>
        <w:tc>
          <w:tcPr>
            <w:tcW w:type="dxa" w:w="1440"/>
            <w:shd w:fill="FFDCE0" w:val="clear"/>
          </w:tcPr>
          <w:p>
            <w:r>
              <w:rPr>
                <w:sz w:val="17"/>
              </w:rPr>
              <w:t>17,330</w:t>
            </w:r>
          </w:p>
        </w:tc>
        <w:tc>
          <w:tcPr>
            <w:tcW w:type="dxa" w:w="1440"/>
            <w:shd w:fill="FFDCE0" w:val="clear"/>
          </w:tcPr>
          <w:p>
            <w:r>
              <w:rPr>
                <w:b/>
                <w:color w:val="C00000"/>
                <w:sz w:val="17"/>
              </w:rPr>
              <w:t>-7.1%</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15,898</w:t>
            </w:r>
          </w:p>
        </w:tc>
        <w:tc>
          <w:tcPr>
            <w:tcW w:type="dxa" w:w="1440"/>
            <w:shd w:fill="FFDCE0" w:val="clear"/>
          </w:tcPr>
          <w:p>
            <w:r>
              <w:rPr>
                <w:b/>
                <w:sz w:val="17"/>
              </w:rPr>
              <w:t>16,771</w:t>
            </w:r>
          </w:p>
        </w:tc>
        <w:tc>
          <w:tcPr>
            <w:tcW w:type="dxa" w:w="1440"/>
            <w:shd w:fill="FFDCE0" w:val="clear"/>
          </w:tcPr>
          <w:p>
            <w:r>
              <w:rPr>
                <w:sz w:val="17"/>
              </w:rPr>
              <w:t>17,645</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15,671</w:t>
            </w:r>
          </w:p>
        </w:tc>
        <w:tc>
          <w:tcPr>
            <w:tcW w:type="dxa" w:w="1440"/>
            <w:shd w:fill="FFDCE0" w:val="clear"/>
          </w:tcPr>
          <w:p>
            <w:r>
              <w:rPr>
                <w:b/>
                <w:sz w:val="17"/>
              </w:rPr>
              <w:t>16,738</w:t>
            </w:r>
          </w:p>
        </w:tc>
        <w:tc>
          <w:tcPr>
            <w:tcW w:type="dxa" w:w="1440"/>
            <w:shd w:fill="FFDCE0" w:val="clear"/>
          </w:tcPr>
          <w:p>
            <w:r>
              <w:rPr>
                <w:sz w:val="17"/>
              </w:rPr>
              <w:t>17,805</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15,453</w:t>
            </w:r>
          </w:p>
        </w:tc>
        <w:tc>
          <w:tcPr>
            <w:tcW w:type="dxa" w:w="1440"/>
            <w:shd w:fill="FFDCE0" w:val="clear"/>
          </w:tcPr>
          <w:p>
            <w:r>
              <w:rPr>
                <w:b/>
                <w:sz w:val="17"/>
              </w:rPr>
              <w:t>16,681</w:t>
            </w:r>
          </w:p>
        </w:tc>
        <w:tc>
          <w:tcPr>
            <w:tcW w:type="dxa" w:w="1440"/>
            <w:shd w:fill="FFDCE0" w:val="clear"/>
          </w:tcPr>
          <w:p>
            <w:r>
              <w:rPr>
                <w:sz w:val="17"/>
              </w:rPr>
              <w:t>17,909</w:t>
            </w:r>
          </w:p>
        </w:tc>
        <w:tc>
          <w:tcPr>
            <w:tcW w:type="dxa" w:w="1440"/>
            <w:shd w:fill="FFDCE0" w:val="clear"/>
          </w:tcPr>
          <w:p>
            <w:r>
              <w:rPr>
                <w:b/>
                <w:color w:val="C00000"/>
                <w:sz w:val="17"/>
              </w:rPr>
              <w:t>-7.3%</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15,254</w:t>
            </w:r>
          </w:p>
        </w:tc>
        <w:tc>
          <w:tcPr>
            <w:tcW w:type="dxa" w:w="1440"/>
            <w:shd w:fill="FFDCE0" w:val="clear"/>
          </w:tcPr>
          <w:p>
            <w:r>
              <w:rPr>
                <w:b/>
                <w:sz w:val="17"/>
              </w:rPr>
              <w:t>16,622</w:t>
            </w:r>
          </w:p>
        </w:tc>
        <w:tc>
          <w:tcPr>
            <w:tcW w:type="dxa" w:w="1440"/>
            <w:shd w:fill="FFDCE0" w:val="clear"/>
          </w:tcPr>
          <w:p>
            <w:r>
              <w:rPr>
                <w:sz w:val="17"/>
              </w:rPr>
              <w:t>17,990</w:t>
            </w:r>
          </w:p>
        </w:tc>
        <w:tc>
          <w:tcPr>
            <w:tcW w:type="dxa" w:w="1440"/>
            <w:shd w:fill="FFDCE0" w:val="clear"/>
          </w:tcPr>
          <w:p>
            <w:r>
              <w:rPr>
                <w:b/>
                <w:color w:val="C00000"/>
                <w:sz w:val="17"/>
              </w:rPr>
              <w:t>-7.7%</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15,072</w:t>
            </w:r>
          </w:p>
        </w:tc>
        <w:tc>
          <w:tcPr>
            <w:tcW w:type="dxa" w:w="1440"/>
            <w:shd w:fill="FFDCE0" w:val="clear"/>
          </w:tcPr>
          <w:p>
            <w:r>
              <w:rPr>
                <w:b/>
                <w:sz w:val="17"/>
              </w:rPr>
              <w:t>16,566</w:t>
            </w:r>
          </w:p>
        </w:tc>
        <w:tc>
          <w:tcPr>
            <w:tcW w:type="dxa" w:w="1440"/>
            <w:shd w:fill="FFDCE0" w:val="clear"/>
          </w:tcPr>
          <w:p>
            <w:r>
              <w:rPr>
                <w:sz w:val="17"/>
              </w:rPr>
              <w:t>18,059</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14,904</w:t>
            </w:r>
          </w:p>
        </w:tc>
        <w:tc>
          <w:tcPr>
            <w:tcW w:type="dxa" w:w="1440"/>
            <w:shd w:fill="FFDCE0" w:val="clear"/>
          </w:tcPr>
          <w:p>
            <w:r>
              <w:rPr>
                <w:b/>
                <w:sz w:val="17"/>
              </w:rPr>
              <w:t>16,512</w:t>
            </w:r>
          </w:p>
        </w:tc>
        <w:tc>
          <w:tcPr>
            <w:tcW w:type="dxa" w:w="1440"/>
            <w:shd w:fill="FFDCE0" w:val="clear"/>
          </w:tcPr>
          <w:p>
            <w:r>
              <w:rPr>
                <w:sz w:val="17"/>
              </w:rPr>
              <w:t>18,120</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14,747</w:t>
            </w:r>
          </w:p>
        </w:tc>
        <w:tc>
          <w:tcPr>
            <w:tcW w:type="dxa" w:w="1440"/>
            <w:shd w:fill="FFDCE0" w:val="clear"/>
          </w:tcPr>
          <w:p>
            <w:r>
              <w:rPr>
                <w:b/>
                <w:sz w:val="17"/>
              </w:rPr>
              <w:t>16,461</w:t>
            </w:r>
          </w:p>
        </w:tc>
        <w:tc>
          <w:tcPr>
            <w:tcW w:type="dxa" w:w="1440"/>
            <w:shd w:fill="FFDCE0" w:val="clear"/>
          </w:tcPr>
          <w:p>
            <w:r>
              <w:rPr>
                <w:sz w:val="17"/>
              </w:rPr>
              <w:t>18,175</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14,599</w:t>
            </w:r>
          </w:p>
        </w:tc>
        <w:tc>
          <w:tcPr>
            <w:tcW w:type="dxa" w:w="1440"/>
            <w:shd w:fill="FFDCE0" w:val="clear"/>
          </w:tcPr>
          <w:p>
            <w:r>
              <w:rPr>
                <w:b/>
                <w:sz w:val="17"/>
              </w:rPr>
              <w:t>16,412</w:t>
            </w:r>
          </w:p>
        </w:tc>
        <w:tc>
          <w:tcPr>
            <w:tcW w:type="dxa" w:w="1440"/>
            <w:shd w:fill="FFDCE0" w:val="clear"/>
          </w:tcPr>
          <w:p>
            <w:r>
              <w:rPr>
                <w:sz w:val="17"/>
              </w:rPr>
              <w:t>18,224</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14,459</w:t>
            </w:r>
          </w:p>
        </w:tc>
        <w:tc>
          <w:tcPr>
            <w:tcW w:type="dxa" w:w="1440"/>
            <w:shd w:fill="FFDCE0" w:val="clear"/>
          </w:tcPr>
          <w:p>
            <w:r>
              <w:rPr>
                <w:b/>
                <w:sz w:val="17"/>
              </w:rPr>
              <w:t>16,364</w:t>
            </w:r>
          </w:p>
        </w:tc>
        <w:tc>
          <w:tcPr>
            <w:tcW w:type="dxa" w:w="1440"/>
            <w:shd w:fill="FFDCE0" w:val="clear"/>
          </w:tcPr>
          <w:p>
            <w:r>
              <w:rPr>
                <w:sz w:val="17"/>
              </w:rPr>
              <w:t>18,268</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08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397,27 milliards FCFA, ce qui positionne le titre parmi les valeurs de première ligne de la BRVM. Avec un BPA de 835 FCFA, le PER de 21,6x est nettement supérieur à la moyenne historique du marché (8-12x), indiquant que les investisseurs intègrent des perspectives de croissance soutenue et une prime de qualité pour ce leader des biens de consommation. Le P/B de 13,43x confirme cette prime, le marché valorisant fortement les actifs de l'entreprise par rapport à leur valeur comptable. L'EV/EBITDA de 10,5x, bien que dans la fourchette haute, reste cohérent avec la capacité de l'entreprise à générer un EBITDA important (46,17 milliards FCFA), justifiant partiellement cette valorisation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+50%, clôturant à 18 000 FCFA, son plus haut niveau sur la période, avec une dernière séance en hausse de +6,51%. Le cours a évolué dans une fourchette large de 11 150 à 18 000 FCFA, démontrant une dynamique haussière soutenue. La moyenne (14 739 FCFA) étant inférieure à la médiane (15 175 FCFA), la distribution des prix est légèrement asymétrique, avec un skewness négatif (-0.322) indiquant une distribution quasi symétrique. L'écart-type de 2 041 FCFA (CV=13,8%) révèle une dispersion modérée des prix autour de la moyenne. Le kurtosis négatif (-1.477) signale une distribution platykurtique, avec moins de valeurs extrêmes que la normale. La volatilité annualisée de 37,7% classe le titre comme très volatil, reflétant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(18 000 FCFA) évolue nettement au-dessus de la MM20 (16 965 FCFA) et de la MM50 (16 504 FCFA), confirmant une tendance haussière solide. L'écart positif entre les deux moyennes indique une dynamique positive soutenue, justifiant la décision d'achat.</w:t>
      </w:r>
    </w:p>
    <w:p>
      <w:pPr>
        <w:spacing w:after="120" w:line="276" w:lineRule="auto"/>
      </w:pPr>
      <w:r>
        <w:t>**Bandes de Bollinger** : Le prix a franchi la borne supérieure (17 914 FCFA), signalant une condition de surachat temporaire. Cette sortie de bande suggère une volatilité accrue et un momentum très fort, mais appelle à la prudence quant à un possible repli technique à court terme.</w:t>
      </w:r>
    </w:p>
    <w:p>
      <w:pPr>
        <w:spacing w:after="120" w:line="276" w:lineRule="auto"/>
      </w:pPr>
      <w:r>
        <w:t>**MACD** : Le MACD (151,01) reste au-dessus de sa ligne de signal (135,42), confirmant la vigueur du momentum haussier. L'écart positif entre les deux lignes indique une pression acheteuse persistante, justifiant la décision d'achat.</w:t>
      </w:r>
    </w:p>
    <w:p>
      <w:pPr>
        <w:spacing w:after="120" w:line="276" w:lineRule="auto"/>
      </w:pPr>
      <w:r>
        <w:t>**RSI** : À 55,96, le RSI se situe en zone neutre, n'indiquant ni surachat ni survente. Cette valeur laisse une marge de progression avant d'atteindre la zone de surachat (&gt;70), tout en confirmant la tendance haussière sans excès.</w:t>
      </w:r>
    </w:p>
    <w:p>
      <w:pPr>
        <w:spacing w:after="120" w:line="276" w:lineRule="auto"/>
      </w:pPr>
      <w:r>
        <w:t>**Stochastique** : Le %K à 100% signale une condition de surachat extrême, tandis que le %D à 69,21% reste élevé. Le croisement potentiel de ces lignes pourrait annoncer un repli technique à court terme, justifiant la décision de vente.</w:t>
      </w:r>
    </w:p>
    <w:p>
      <w:pPr>
        <w:spacing w:after="120" w:line="276" w:lineRule="auto"/>
      </w:pPr>
      <w:r>
        <w:t>**Conclusion technique** : Les indicateurs de tendance (MM, MACD) sont positifs, mais les oscillateurs (Bollinger, Stochastique) signalent des conditions de surachat. Cette divergence suggère une possible consolidation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(+5,97% vs 2024), avec un résultat net de 18,43 milliards FCFA (+1,53%). La marge nette s'établit à 7,9%, le ROE à un niveau exceptionnel de 62,28% et le ROA à 9,7%, démontrant une excellente rentabilité. Le BFR de 22,63 milliards FCFA et le délai clients de 74 jours constituent des points de vigilance pour la trésorerie. L'endettement total de 160,37 milliards FCFA (ratio d'endettement de 135,85%) reste élevé, mais la couverture des intérêts à 473,6% est rassurante. Les rapports trimestriels montrent une trajectoire contrastée en 2025 : le T1 était en baisse de CA (-11%) mais avec une marge nette améliorée (10,1%), le S1 en stagnation avec une marge nette de 8,1%, et le T3 en légère croissance (+1,36%) mais avec une marge nette dégradée à 6,9%. Cependant, le rapport T1 2026 (publié en mai 2026) révèle une accélération spectaculaire : CA en hausse de +31% à 70,8 milliards FCFA et résultat net en progression de +37% à 7,5 milliards FCFA, avec une marge nette améliorée à 10,6%. Sur cette base, on estime que l'exercice 2026 pourrait dépasser 260 milliards FCFA de CA avec un résultat net supérieur à 25 milliards FCFA, confirmant la solidité fondamentale et les perspectives de croissance du leader ivoirien de l'agroalimentaire.</w:t>
      </w:r>
    </w:p>
    <w:p>
      <w:pPr>
        <w:spacing w:after="120" w:line="276" w:lineRule="auto"/>
      </w:pPr>
      <w:r>
        <w:t>---</w:t>
      </w:r>
    </w:p>
    <w:p>
      <w:pPr>
        <w:spacing w:after="120" w:line="276" w:lineRule="auto"/>
      </w:pPr>
      <w:r>
        <w:t>### PARTIE 4 : CONCLUSION D'INVESTISSEMENT</w:t>
      </w:r>
    </w:p>
    <w:p>
      <w:pPr>
        <w:spacing w:after="120" w:line="276" w:lineRule="auto"/>
      </w:pPr>
      <w:r>
        <w:t>La valorisation actuelle de NTLC (PER 21,6x, P/B 13,43x) apparaît exigeante, intégrant des attentes élevées de croissance que les performances récentes semblent justifier. Le comportement du cours (+50% sur 100 jours) reflète un fort momentum haussier, bien que la volatilité élevée (37,7%) et les conditions de surachat technique suggèrent un risque de consolidation à court terme. Les fondamentaux restent solides avec un ROE exceptionnel de 62,28%, une croissance du CA de +5,97% en 2025 et une accélération notable au T1 2026 (+31% de CA). Les prédictions IA indiquent un léger repli technique vers 16 622-16 715 FCFA sur les 10 prochains jours, suggérant une phase de consolidation après la forte hausse récente. Cette correction potentielle représenterait une opportunité d'achat pour les investisseurs de moyen terme. La convergence entre la solidité fondamentale, la dynamique commerciale positive et les perspectives de croissance soutenue justifie une recommandation **ACHAT**, avec un niveau de confiance **Élevé** et un risque global **Moyen** (volatilité et valorisation élevées). L'horizon d'investissement optimal serait le **moyen terme (3-12 mois)**, permettant de capter la poursuite de la croissance tout en absorbant la volatilité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5,004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+0.70%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μ=2,823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β=0.4694 (Défensif) — Cov=0.000017, Var(idx)=0.000037,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2,784</w:t>
            </w:r>
          </w:p>
        </w:tc>
        <w:tc>
          <w:tcPr>
            <w:tcW w:type="dxa" w:w="1440"/>
            <w:shd w:fill="FAFAFA" w:val="clear"/>
          </w:tcPr>
          <w:p>
            <w:r>
              <w:rPr>
                <w:b/>
                <w:sz w:val="17"/>
              </w:rPr>
              <w:t>2,880</w:t>
            </w:r>
          </w:p>
        </w:tc>
        <w:tc>
          <w:tcPr>
            <w:tcW w:type="dxa" w:w="1440"/>
            <w:shd w:fill="FAFAFA" w:val="clear"/>
          </w:tcPr>
          <w:p>
            <w:r>
              <w:rPr>
                <w:sz w:val="17"/>
              </w:rPr>
              <w:t>2,976</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2,737</w:t>
            </w:r>
          </w:p>
        </w:tc>
        <w:tc>
          <w:tcPr>
            <w:tcW w:type="dxa" w:w="1440"/>
            <w:shd w:fill="FAFAFA" w:val="clear"/>
          </w:tcPr>
          <w:p>
            <w:r>
              <w:rPr>
                <w:b/>
                <w:sz w:val="17"/>
              </w:rPr>
              <w:t>2,873</w:t>
            </w:r>
          </w:p>
        </w:tc>
        <w:tc>
          <w:tcPr>
            <w:tcW w:type="dxa" w:w="1440"/>
            <w:shd w:fill="FAFAFA" w:val="clear"/>
          </w:tcPr>
          <w:p>
            <w:r>
              <w:rPr>
                <w:sz w:val="17"/>
              </w:rPr>
              <w:t>3,008</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2026-09-10</w:t>
            </w:r>
          </w:p>
        </w:tc>
        <w:tc>
          <w:tcPr>
            <w:tcW w:type="dxa" w:w="1440"/>
            <w:shd w:fill="FAFAFA" w:val="clear"/>
          </w:tcPr>
          <w:p>
            <w:r>
              <w:rPr>
                <w:sz w:val="17"/>
              </w:rPr>
              <w:t>2,701</w:t>
            </w:r>
          </w:p>
        </w:tc>
        <w:tc>
          <w:tcPr>
            <w:tcW w:type="dxa" w:w="1440"/>
            <w:shd w:fill="FAFAFA" w:val="clear"/>
          </w:tcPr>
          <w:p>
            <w:r>
              <w:rPr>
                <w:b/>
                <w:sz w:val="17"/>
              </w:rPr>
              <w:t>2,867</w:t>
            </w:r>
          </w:p>
        </w:tc>
        <w:tc>
          <w:tcPr>
            <w:tcW w:type="dxa" w:w="1440"/>
            <w:shd w:fill="FAFAFA" w:val="clear"/>
          </w:tcPr>
          <w:p>
            <w:r>
              <w:rPr>
                <w:sz w:val="17"/>
              </w:rPr>
              <w:t>3,033</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2,670</w:t>
            </w:r>
          </w:p>
        </w:tc>
        <w:tc>
          <w:tcPr>
            <w:tcW w:type="dxa" w:w="1440"/>
            <w:shd w:fill="FAFAFA" w:val="clear"/>
          </w:tcPr>
          <w:p>
            <w:r>
              <w:rPr>
                <w:b/>
                <w:sz w:val="17"/>
              </w:rPr>
              <w:t>2,861</w:t>
            </w:r>
          </w:p>
        </w:tc>
        <w:tc>
          <w:tcPr>
            <w:tcW w:type="dxa" w:w="1440"/>
            <w:shd w:fill="FAFAFA" w:val="clear"/>
          </w:tcPr>
          <w:p>
            <w:r>
              <w:rPr>
                <w:sz w:val="17"/>
              </w:rPr>
              <w:t>3,052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2,642</w:t>
            </w:r>
          </w:p>
        </w:tc>
        <w:tc>
          <w:tcPr>
            <w:tcW w:type="dxa" w:w="1440"/>
            <w:shd w:fill="FAFAFA" w:val="clear"/>
          </w:tcPr>
          <w:p>
            <w:r>
              <w:rPr>
                <w:b/>
                <w:sz w:val="17"/>
              </w:rPr>
              <w:t>2,855</w:t>
            </w:r>
          </w:p>
        </w:tc>
        <w:tc>
          <w:tcPr>
            <w:tcW w:type="dxa" w:w="1440"/>
            <w:shd w:fill="FAFAFA" w:val="clear"/>
          </w:tcPr>
          <w:p>
            <w:r>
              <w:rPr>
                <w:sz w:val="17"/>
              </w:rPr>
              <w:t>3,069</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2026-09-15</w:t>
            </w:r>
          </w:p>
        </w:tc>
        <w:tc>
          <w:tcPr>
            <w:tcW w:type="dxa" w:w="1440"/>
            <w:shd w:fill="FAFAFA" w:val="clear"/>
          </w:tcPr>
          <w:p>
            <w:r>
              <w:rPr>
                <w:sz w:val="17"/>
              </w:rPr>
              <w:t>2,617</w:t>
            </w:r>
          </w:p>
        </w:tc>
        <w:tc>
          <w:tcPr>
            <w:tcW w:type="dxa" w:w="1440"/>
            <w:shd w:fill="FAFAFA" w:val="clear"/>
          </w:tcPr>
          <w:p>
            <w:r>
              <w:rPr>
                <w:b/>
                <w:sz w:val="17"/>
              </w:rPr>
              <w:t>2,850</w:t>
            </w:r>
          </w:p>
        </w:tc>
        <w:tc>
          <w:tcPr>
            <w:tcW w:type="dxa" w:w="1440"/>
            <w:shd w:fill="FAFAFA" w:val="clear"/>
          </w:tcPr>
          <w:p>
            <w:r>
              <w:rPr>
                <w:sz w:val="17"/>
              </w:rPr>
              <w:t>3,083</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2026-09-16</w:t>
            </w:r>
          </w:p>
        </w:tc>
        <w:tc>
          <w:tcPr>
            <w:tcW w:type="dxa" w:w="1440"/>
            <w:shd w:fill="FAFAFA" w:val="clear"/>
          </w:tcPr>
          <w:p>
            <w:r>
              <w:rPr>
                <w:sz w:val="17"/>
              </w:rPr>
              <w:t>2,593</w:t>
            </w:r>
          </w:p>
        </w:tc>
        <w:tc>
          <w:tcPr>
            <w:tcW w:type="dxa" w:w="1440"/>
            <w:shd w:fill="FAFAFA" w:val="clear"/>
          </w:tcPr>
          <w:p>
            <w:r>
              <w:rPr>
                <w:b/>
                <w:sz w:val="17"/>
              </w:rPr>
              <w:t>2,844</w:t>
            </w:r>
          </w:p>
        </w:tc>
        <w:tc>
          <w:tcPr>
            <w:tcW w:type="dxa" w:w="1440"/>
            <w:shd w:fill="FAFAFA" w:val="clear"/>
          </w:tcPr>
          <w:p>
            <w:r>
              <w:rPr>
                <w:sz w:val="17"/>
              </w:rPr>
              <w:t>3,096</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2026-09-17</w:t>
            </w:r>
          </w:p>
        </w:tc>
        <w:tc>
          <w:tcPr>
            <w:tcW w:type="dxa" w:w="1440"/>
            <w:shd w:fill="FAFAFA" w:val="clear"/>
          </w:tcPr>
          <w:p>
            <w:r>
              <w:rPr>
                <w:sz w:val="17"/>
              </w:rPr>
              <w:t>2,571</w:t>
            </w:r>
          </w:p>
        </w:tc>
        <w:tc>
          <w:tcPr>
            <w:tcW w:type="dxa" w:w="1440"/>
            <w:shd w:fill="FAFAFA" w:val="clear"/>
          </w:tcPr>
          <w:p>
            <w:r>
              <w:rPr>
                <w:b/>
                <w:sz w:val="17"/>
              </w:rPr>
              <w:t>2,839</w:t>
            </w:r>
          </w:p>
        </w:tc>
        <w:tc>
          <w:tcPr>
            <w:tcW w:type="dxa" w:w="1440"/>
            <w:shd w:fill="FAFAFA" w:val="clear"/>
          </w:tcPr>
          <w:p>
            <w:r>
              <w:rPr>
                <w:sz w:val="17"/>
              </w:rPr>
              <w:t>3,107</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2026-09-18</w:t>
            </w:r>
          </w:p>
        </w:tc>
        <w:tc>
          <w:tcPr>
            <w:tcW w:type="dxa" w:w="1440"/>
            <w:shd w:fill="FAFAFA" w:val="clear"/>
          </w:tcPr>
          <w:p>
            <w:r>
              <w:rPr>
                <w:sz w:val="17"/>
              </w:rPr>
              <w:t>2,550</w:t>
            </w:r>
          </w:p>
        </w:tc>
        <w:tc>
          <w:tcPr>
            <w:tcW w:type="dxa" w:w="1440"/>
            <w:shd w:fill="FAFAFA" w:val="clear"/>
          </w:tcPr>
          <w:p>
            <w:r>
              <w:rPr>
                <w:b/>
                <w:sz w:val="17"/>
              </w:rPr>
              <w:t>2,834</w:t>
            </w:r>
          </w:p>
        </w:tc>
        <w:tc>
          <w:tcPr>
            <w:tcW w:type="dxa" w:w="1440"/>
            <w:shd w:fill="FAFAFA" w:val="clear"/>
          </w:tcPr>
          <w:p>
            <w:r>
              <w:rPr>
                <w:sz w:val="17"/>
              </w:rPr>
              <w:t>3,117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2026-09-21</w:t>
            </w:r>
          </w:p>
        </w:tc>
        <w:tc>
          <w:tcPr>
            <w:tcW w:type="dxa" w:w="1440"/>
            <w:shd w:fill="FAFAFA" w:val="clear"/>
          </w:tcPr>
          <w:p>
            <w:r>
              <w:rPr>
                <w:sz w:val="17"/>
              </w:rPr>
              <w:t>2,530</w:t>
            </w:r>
          </w:p>
        </w:tc>
        <w:tc>
          <w:tcPr>
            <w:tcW w:type="dxa" w:w="1440"/>
            <w:shd w:fill="FAFAFA" w:val="clear"/>
          </w:tcPr>
          <w:p>
            <w:r>
              <w:rPr>
                <w:b/>
                <w:sz w:val="17"/>
              </w:rPr>
              <w:t>2,828</w:t>
            </w:r>
          </w:p>
        </w:tc>
        <w:tc>
          <w:tcPr>
            <w:tcW w:type="dxa" w:w="1440"/>
            <w:shd w:fill="FAFAFA" w:val="clear"/>
          </w:tcPr>
          <w:p>
            <w:r>
              <w:rPr>
                <w:sz w:val="17"/>
              </w:rPr>
              <w:t>3,127</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195,16 milliards FCFA positionne ONTBF comme une valeur de première ligne sur la BRVM, représentant un poids significatif dans l'indice composite. Avec un BPA de 234 FCFA, chaque action génère un bénéfice confortable qui soutient la politique de distribution. Le PER de 12,3x se situe légèrement au-dessus de la moyenne historique de la place (~8-12x), indiquant que le marché accorde une prime de croissance raisonnable à l'opérateur télécom, sans toutefois le surévaluer. Le P/B de 3,39x confirme cette lecture : les investisseurs valorisent les actifs nets à plus de trois fois leur valeur comptable, reflétant la confiance dans la capacité de l'entreprise à générer de la valeur au-delà de son bilan. Enfin, l'EV/EBITDA de 5,1x est particulièrement attractif, signalant que la valeur totale de l'entreprise (dette incluse) reste modérée par rapport à sa capacité opérationnelle de génération de cash, ce qui suggère une marge de progression potentielle.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ONTBF affiche une variation totale de +0,70%, avec un repli de -1,71% lors de la dernière séance, traduisant une consolidation après une période de stabilité. Le cours a évolué dans un range de 2 610 à 3 070 FCFA, démontrant une amplitude de trading de 460 FCFA, soit environ 15% du cours actuel de 2 870 FCFA. La moyenne de 2 823 FCFA et la médiane de 2 805 FCFA sont très proches, indiquant une distribution quasi symétrique des prix, confirmée par un skewness de 0,158. L'écart-type de 87 FCFA, avec un coefficient de variation de 3,1%, révèle une dispersion très faible des cours autour de la moyenne, signe d'une stabilité remarquable. Le kurtosis de -0,274 (mésokurtique) suggère l'absence de mouvements extrêmes ou de pics de volatilité inhabituels. La volatilité annualisée de 31,4% classe le titre dans la catégorie élevée (&gt;30%), ce qui contraste avec la stabilité observée à court terme et indique un risque potentiel sur des horizons plus longs.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2 888,25 FCFA se situe au-dessus du cours actuel (2 870 FCFA), tandis que la MM50 à 2 839,8 FCFA est en dessous. Cette configuration en "cavalier" suggère une tendance haussière de moyen terme, le cours évoluant au-dessus de sa moyenne longue. La décision d'Achat émise par cet indicateur reflète la dynamique positive initiée depuis plusieurs semaines, bien que le cours doive repasser au-dessus de la MM20 pour confirmer la reprise.</w:t>
      </w:r>
    </w:p>
    <w:p>
      <w:pPr>
        <w:spacing w:after="120" w:line="276" w:lineRule="auto"/>
      </w:pPr>
      <w:r>
        <w:t>**Bandes de Bollinger** : Le cours à 2 870 FCFA se positionne entre la borne inférieure à 2 805,7 FCFA et la borne supérieure à 2 970,8 FCFA, proche de la zone médiane. La largeur des bandes indique une volatilité modérée. La décision Neutre est justifiée par l'absence de pression directionnelle forte, le titre n'ayant touché ni la borne supérieure (surachat) ni la borne inférieure (survente). Une expansion des bandes serait nécessaire pour signaler un nouveau mouvement directionnel.</w:t>
      </w:r>
    </w:p>
    <w:p>
      <w:pPr>
        <w:spacing w:after="120" w:line="276" w:lineRule="auto"/>
      </w:pPr>
      <w:r>
        <w:t>**MACD** : La valeur du MACD à 9,461 est inférieure à son signal à 14,012, formant une divergence baissière. Cette configuration indique un affaiblissement du momentum haussier à court terme, le MACD évoluant sous sa ligne de signal. La décision de Vente reflète ce ralentissement, bien que les deux indicateurs restent en territoire positif, suggérant que la tendance de fond demeure constructive.</w:t>
      </w:r>
    </w:p>
    <w:p>
      <w:pPr>
        <w:spacing w:after="120" w:line="276" w:lineRule="auto"/>
      </w:pPr>
      <w:r>
        <w:t>**RSI** : À 46,341, le RSI se situe dans la zone neutre (30-70), indiquant un équilibre entre pressions acheteuses et vendeuses. Cette valeur ne signale ni surachat ni survente, laissant place à une évolution directionnelle dans les deux sens. La décision Neutre est cohérente avec l'absence de momentum clair, le RSI évoluant autour de sa zone médiane de 50.</w:t>
      </w:r>
    </w:p>
    <w:p>
      <w:pPr>
        <w:spacing w:after="120" w:line="276" w:lineRule="auto"/>
      </w:pPr>
      <w:r>
        <w:t>**Stochastique** : Le %K à 46,429 est nettement inférieur au %D à 70,443, formant un croisement baissier récent. Cette configuration suggère un essoufflement de la dynamique haussière à court terme, le %K ayant chuté sous le %D après avoir atteint des niveaux élevés. La décision Neutre tempère ce signal, le %K n'étant pas encore en zone de survente (&lt;20).</w:t>
      </w:r>
    </w:p>
    <w:p>
      <w:pPr>
        <w:spacing w:after="120" w:line="276" w:lineRule="auto"/>
      </w:pPr>
      <w:r>
        <w:t>**Conclusion technique** : La convergence des indicateurs est mitigée : les moyennes mobiles soutiennent une tendance haussière de fond, tandis que le MACD et le Stochastique signalent un essoufflement à court terme. Le RSI et les Bandes de Bollinger restent neutres, suggérant une phase de consolidation. Le titre semble en pause après sa progression, dans l'attente d'un nouveau catalyseur directionnel.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entreprise en croissance mais sous pression sur sa rentabilité. Le chiffre d'affaires s'établit à 146,177 milliards FCFA, en hausse de 3,1% par rapport à 2024 (141,84 milliards), confirmant la dynamique commerciale positive portée par le FTTH, l'Internet mobile et le Mobile Money. Le résultat net de 15,887 milliards FCFA enregistre toutefois un repli marqué de -26% par rapport aux 21,47 milliards de 2024, illustrant la compression des marges. La marge nette ressort à 10,87%, contre 15,1% en 2024, tandis que le ROE reste excellent à 27,61% (contre 34,3% en 2024), témoignant d'une rentabilité des fonds propres toujours élevée. Le ROA de 4,89% et la rotation des actifs de 44,99% confirment une utilisation efficace du bilan. Le coefficient d'exploitation de 67,07% reste élevé, reflétant la pression des charges opérationnelles (énergie, maintenance en zones sécuritaires, indemnités). La structure financière montre une dépendance accrue aux dettes (82,29% du bilan), avec un ratio d'endettement de 187%, mais une solvabilité générale de 121,52% reste positive. Les rapports trimestriels 2025 (T1, S1, 9 mois) confirment cette tendance : le CA progresse régulièrement (+4,3% au T1, +4,0% au S1, +3,1% sur 9 mois) mais le résultat net chute (-29% au T1, -17,8% au S1, -17,2% sur 9 mois). Le rapport du 1er trimestre 2026 montre une stabilisation avec un CA de 37,1 milliards (+2,7%) et une marge EBITDA maintenue à 41,3%. La recommandation fondamentale est CONSERVER : l'entreprise conserve des fondamentaux solides, une génération de cash importante (CAF de 46,95 milliards) et une politique de dividende attractive (166,08 FCFA/action proposé), mais la dégradation continue des marges et l'endettement croissant justifient une surveillance attentive.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ONTBF. La valorisation (PER 12,3x, P/B 3,39x, EV/EBITDA 5,1x) indique une décote relative par rapport au potentiel opérationnel, suggérant une sous-évaluation modérée. Le comportement du cours sur 100 jours montre une stabilité remarquable (CV 3,1%, distribution symétrique) mais une volatilité annualisée élevée (31,4%) qui invite à la prudence. Les signaux techniques sont mitigés : les moyennes mobiles soutiennent la tendance haussière, mais le MACD et le Stochastique signalent un essoufflement à court terme, avec un RSI neutre. Les fondamentaux, bien qu'en dégradation sur la rentabilité (-26% du résultat net en 2025), restent solides avec un ROE de 27,6%, une croissance du CA de 3,1% et une génération de cash robuste. Les prédictions IA pour les 10 prochains jours (2 855 à 2 880 FCFA) suggèrent une stabilisation autour des niveaux actuels, confirmant la phase de consolidation technique. La convergence entre la valorisation attractive, la solidité fondamentale relative et la stabilité du cours plaide pour une recommandation CONSERVER, avec un niveau de confiance Moyen et un risque global Moyen. L'horizon d'investissement optimal se situe à moyen terme (3-12 mois), en attendant une amélioration visible des marges et une clarification de l'environnement sécuritaire et réglementaire au Burkina Faso.</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3284.29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2,589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+47.40%</w:t>
            </w:r>
          </w:p>
          <w:p>
            <w:r>
              <w:rPr>
                <w:b/>
                <w:color w:val="503200"/>
                <w:sz w:val="16"/>
              </w:rPr>
              <w:t xml:space="preserve">Plus haut 100j : </w:t>
            </w:r>
            <w:r>
              <w:rPr>
                <w:color w:val="000000"/>
                <w:sz w:val="17"/>
              </w:rPr>
              <w:t>21,800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11.16% (Moyenne) — μ=16,694 FCFA, σ=1,863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β=1.2367 (Agressif) — Cov=0.000045, Var(idx)=0.000037, ρ=0.401,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20,299</w:t>
            </w:r>
          </w:p>
        </w:tc>
        <w:tc>
          <w:tcPr>
            <w:tcW w:type="dxa" w:w="1440"/>
            <w:shd w:fill="FFDCE0" w:val="clear"/>
          </w:tcPr>
          <w:p>
            <w:r>
              <w:rPr>
                <w:b/>
                <w:sz w:val="17"/>
              </w:rPr>
              <w:t>20,900</w:t>
            </w:r>
          </w:p>
        </w:tc>
        <w:tc>
          <w:tcPr>
            <w:tcW w:type="dxa" w:w="1440"/>
            <w:shd w:fill="FFDCE0" w:val="clear"/>
          </w:tcPr>
          <w:p>
            <w:r>
              <w:rPr>
                <w:sz w:val="17"/>
              </w:rPr>
              <w:t>21,502</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19,961</w:t>
            </w:r>
          </w:p>
        </w:tc>
        <w:tc>
          <w:tcPr>
            <w:tcW w:type="dxa" w:w="1440"/>
            <w:shd w:fill="FFDCE0" w:val="clear"/>
          </w:tcPr>
          <w:p>
            <w:r>
              <w:rPr>
                <w:b/>
                <w:sz w:val="17"/>
              </w:rPr>
              <w:t>20,808</w:t>
            </w:r>
          </w:p>
        </w:tc>
        <w:tc>
          <w:tcPr>
            <w:tcW w:type="dxa" w:w="1440"/>
            <w:shd w:fill="FFDCE0" w:val="clear"/>
          </w:tcPr>
          <w:p>
            <w:r>
              <w:rPr>
                <w:sz w:val="17"/>
              </w:rPr>
              <w:t>21,655</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19,634</w:t>
            </w:r>
          </w:p>
        </w:tc>
        <w:tc>
          <w:tcPr>
            <w:tcW w:type="dxa" w:w="1440"/>
            <w:shd w:fill="FFDCE0" w:val="clear"/>
          </w:tcPr>
          <w:p>
            <w:r>
              <w:rPr>
                <w:b/>
                <w:sz w:val="17"/>
              </w:rPr>
              <w:t>20,664</w:t>
            </w:r>
          </w:p>
        </w:tc>
        <w:tc>
          <w:tcPr>
            <w:tcW w:type="dxa" w:w="1440"/>
            <w:shd w:fill="FFDCE0" w:val="clear"/>
          </w:tcPr>
          <w:p>
            <w:r>
              <w:rPr>
                <w:sz w:val="17"/>
              </w:rPr>
              <w:t>21,694</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19,337</w:t>
            </w:r>
          </w:p>
        </w:tc>
        <w:tc>
          <w:tcPr>
            <w:tcW w:type="dxa" w:w="1440"/>
            <w:shd w:fill="FFDCE0" w:val="clear"/>
          </w:tcPr>
          <w:p>
            <w:r>
              <w:rPr>
                <w:b/>
                <w:sz w:val="17"/>
              </w:rPr>
              <w:t>20,518</w:t>
            </w:r>
          </w:p>
        </w:tc>
        <w:tc>
          <w:tcPr>
            <w:tcW w:type="dxa" w:w="1440"/>
            <w:shd w:fill="FFDCE0" w:val="clear"/>
          </w:tcPr>
          <w:p>
            <w:r>
              <w:rPr>
                <w:sz w:val="17"/>
              </w:rPr>
              <w:t>21,699</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19,066</w:t>
            </w:r>
          </w:p>
        </w:tc>
        <w:tc>
          <w:tcPr>
            <w:tcW w:type="dxa" w:w="1440"/>
            <w:shd w:fill="FFDCE0" w:val="clear"/>
          </w:tcPr>
          <w:p>
            <w:r>
              <w:rPr>
                <w:b/>
                <w:sz w:val="17"/>
              </w:rPr>
              <w:t>20,378</w:t>
            </w:r>
          </w:p>
        </w:tc>
        <w:tc>
          <w:tcPr>
            <w:tcW w:type="dxa" w:w="1440"/>
            <w:shd w:fill="FFDCE0" w:val="clear"/>
          </w:tcPr>
          <w:p>
            <w:r>
              <w:rPr>
                <w:sz w:val="17"/>
              </w:rPr>
              <w:t>21,689</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18,815</w:t>
            </w:r>
          </w:p>
        </w:tc>
        <w:tc>
          <w:tcPr>
            <w:tcW w:type="dxa" w:w="1440"/>
            <w:shd w:fill="FFDCE0" w:val="clear"/>
          </w:tcPr>
          <w:p>
            <w:r>
              <w:rPr>
                <w:b/>
                <w:sz w:val="17"/>
              </w:rPr>
              <w:t>20,242</w:t>
            </w:r>
          </w:p>
        </w:tc>
        <w:tc>
          <w:tcPr>
            <w:tcW w:type="dxa" w:w="1440"/>
            <w:shd w:fill="FFDCE0" w:val="clear"/>
          </w:tcPr>
          <w:p>
            <w:r>
              <w:rPr>
                <w:sz w:val="17"/>
              </w:rPr>
              <w:t>21,669</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18,581</w:t>
            </w:r>
          </w:p>
        </w:tc>
        <w:tc>
          <w:tcPr>
            <w:tcW w:type="dxa" w:w="1440"/>
            <w:shd w:fill="FFDCE0" w:val="clear"/>
          </w:tcPr>
          <w:p>
            <w:r>
              <w:rPr>
                <w:b/>
                <w:sz w:val="17"/>
              </w:rPr>
              <w:t>20,112</w:t>
            </w:r>
          </w:p>
        </w:tc>
        <w:tc>
          <w:tcPr>
            <w:tcW w:type="dxa" w:w="1440"/>
            <w:shd w:fill="FFDCE0" w:val="clear"/>
          </w:tcPr>
          <w:p>
            <w:r>
              <w:rPr>
                <w:sz w:val="17"/>
              </w:rPr>
              <w:t>21,644</w:t>
            </w:r>
          </w:p>
        </w:tc>
        <w:tc>
          <w:tcPr>
            <w:tcW w:type="dxa" w:w="1440"/>
            <w:shd w:fill="FFDCE0" w:val="clear"/>
          </w:tcPr>
          <w:p>
            <w:r>
              <w:rPr>
                <w:b/>
                <w:color w:val="C00000"/>
                <w:sz w:val="17"/>
              </w:rPr>
              <w:t>-7.7%</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18,360</w:t>
            </w:r>
          </w:p>
        </w:tc>
        <w:tc>
          <w:tcPr>
            <w:tcW w:type="dxa" w:w="1440"/>
            <w:shd w:fill="FFDCE0" w:val="clear"/>
          </w:tcPr>
          <w:p>
            <w:r>
              <w:rPr>
                <w:b/>
                <w:sz w:val="17"/>
              </w:rPr>
              <w:t>19,987</w:t>
            </w:r>
          </w:p>
        </w:tc>
        <w:tc>
          <w:tcPr>
            <w:tcW w:type="dxa" w:w="1440"/>
            <w:shd w:fill="FFDCE0" w:val="clear"/>
          </w:tcPr>
          <w:p>
            <w:r>
              <w:rPr>
                <w:sz w:val="17"/>
              </w:rPr>
              <w:t>21,614</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18,151</w:t>
            </w:r>
          </w:p>
        </w:tc>
        <w:tc>
          <w:tcPr>
            <w:tcW w:type="dxa" w:w="1440"/>
            <w:shd w:fill="FFDCE0" w:val="clear"/>
          </w:tcPr>
          <w:p>
            <w:r>
              <w:rPr>
                <w:b/>
                <w:sz w:val="17"/>
              </w:rPr>
              <w:t>19,866</w:t>
            </w:r>
          </w:p>
        </w:tc>
        <w:tc>
          <w:tcPr>
            <w:tcW w:type="dxa" w:w="1440"/>
            <w:shd w:fill="FFDCE0" w:val="clear"/>
          </w:tcPr>
          <w:p>
            <w:r>
              <w:rPr>
                <w:sz w:val="17"/>
              </w:rPr>
              <w:t>21,581</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17,952</w:t>
            </w:r>
          </w:p>
        </w:tc>
        <w:tc>
          <w:tcPr>
            <w:tcW w:type="dxa" w:w="1440"/>
            <w:shd w:fill="FFDCE0" w:val="clear"/>
          </w:tcPr>
          <w:p>
            <w:r>
              <w:rPr>
                <w:b/>
                <w:sz w:val="17"/>
              </w:rPr>
              <w:t>19,750</w:t>
            </w:r>
          </w:p>
        </w:tc>
        <w:tc>
          <w:tcPr>
            <w:tcW w:type="dxa" w:w="1440"/>
            <w:shd w:fill="FFDCE0" w:val="clear"/>
          </w:tcPr>
          <w:p>
            <w:r>
              <w:rPr>
                <w:sz w:val="17"/>
              </w:rPr>
              <w:t>21,547</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3 284,29 milliards FCFA, un niveau qui représente une part significative de la capitalisation totale de la BRVM, confirmant le statut de valeur phare et de pilier du marché régional. Avec un BPA de 1 114 FCFA, chaque action génère un bénéfice substantiel, mais le PER de 19,6x indique que les investisseurs paient une prime notable par rapport à la moyenne historique du marché BRVM (environ 8-12x). Cette prime reflète la qualité perçue de l'actif et ses perspectives de croissance, mais elle laisse peu de marge d'erreur en cas de déception. Le P/B de 4,64x confirme cette lecture : le marché valorise fortement l'entreprise au-dessus de sa valeur comptable, traduisant des attentes élevées de rentabilité future. Enfin, l'EV/EBITDA de 7,8x, situé dans une zone de 5-10x jugée raisonnable, tempère légèrement cette vision en indiquant que la valeur totale de l'entreprise (dette incluse) reste cohérente avec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ORAC a enregistré une performance spectaculaire de +47,40%, avec une dernière séance en hausse de +3,76%, clôturant à 21 800 FCFA. Le titre a évolué dans une fourchette de trading très large, entre un plus bas de 14 650 FCFA et un plus haut de 21 800 FCFA, démontrant une dynamique haussière extrêmement forte, le cours évoluant actuellement à son plus haut niveau. Les statistiques descriptives révèlent une distribution asymétrique positive (skewness de 1,485), indiquant que le titre a passé plus de journées sous sa moyenne (16 694 FCFA) que au-dessus, avec des épisodes de hausse marqués et concentrés. Le kurtosis excédentaire positif (1,217) confirme un risque de pics, avec des mouvements de prix plus extrêmes qu'une distribution normale. La volatilité annualisée de 29,6% classe le titre dans la catégorie des valeurs à volatilité élevée (&gt;30%), ce qui implique un risque significatif mais aussi un potentiel de rendement important. L'écart-type de 1 873 FCFA et le coefficient de variation de 11,2% illustrent une dispersion notable autour de la moyenne, cohérente avec la forte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 cours actuel de 21 800 FCFA se situe nettement au-dessus de la MM20 (19 883 FCFA) et de la MM50 (17 862,5 FCFA), confirmant une tendance haussière robuste à court et moyen terme. L'écart positif entre le cours et les moyennes mobiles, ainsi que leur orientation haussière, justifie la décision d'achat, le titre évoluant dans une configuration de marché favorable.</w:t>
      </w:r>
    </w:p>
    <w:p>
      <w:pPr>
        <w:spacing w:after="120" w:line="276" w:lineRule="auto"/>
      </w:pPr>
      <w:r>
        <w:t>**Bandes de Bollinger** : Le prix se positionne près de la borne supérieure (23 214,66 FCFA), indiquant une pression acheteuse soutenue. L'écart entre les bornes (16 551,34 FCFA à 23 214,66 FCFA) reflète une volatilité élevée. La décision est neutre, car si le titre est dans la partie haute des bandes, il n'a pas encore franchi la borne supérieure, ce qui pourrait signaler une poursuite de la tendance ou un retournement imminent.</w:t>
      </w:r>
    </w:p>
    <w:p>
      <w:pPr>
        <w:spacing w:after="120" w:line="276" w:lineRule="auto"/>
      </w:pPr>
      <w:r>
        <w:t>**MACD** : Le MACD (1 140,57) est supérieur à sa ligne de signal (1 102,73), avec une divergence positive qui indique un momentum haussier en phase d'accélération. La décision d'achat est justifiée par cette configuration, qui suggère que la dynamique positive pourrait se poursuivre à court terme.</w:t>
      </w:r>
    </w:p>
    <w:p>
      <w:pPr>
        <w:spacing w:after="120" w:line="276" w:lineRule="auto"/>
      </w:pPr>
      <w:r>
        <w:t>**RSI** : Le RSI s'établit à 76,55, une valeur nettement supérieure au seuil de 70, ce qui place le titre en zone de surachat. Cette situation signale un épuisement potentiel de la pression acheteuse et un risque accru de correction technique. La décision de vente est donc cohérente avec cette lecture, bien qu'un RSI élevé puisse persister en période de forte tendance haussière.</w:t>
      </w:r>
    </w:p>
    <w:p>
      <w:pPr>
        <w:spacing w:after="120" w:line="276" w:lineRule="auto"/>
      </w:pPr>
      <w:r>
        <w:t>**Stochastique** : Le %K (100,0) est extrêmement élevé et nettement au-dessus du %D (91,18), confirmant une condition de surachat extrême. Cette configuration indique que le titre est survendu d'un point de vue technique, avec un risque élevé de retournement. La décision de vente est justifiée par ce déséquilibre, qui suggère une consolidation ou une correction probable à court terme.</w:t>
      </w:r>
    </w:p>
    <w:p>
      <w:pPr>
        <w:spacing w:after="120" w:line="276" w:lineRule="auto"/>
      </w:pPr>
      <w:r>
        <w:t>**Conclusion technique** : Les indicateurs de tendance (MM, MACD) sont résolument haussiers, mais les oscillateurs (RSI, Stochastique) signalent des conditions de surachat extrêmes. Cette divergence entre la tendance et le momentum suggère qu'une consolidation ou une correction technique est probable à court terme, même si la tendance de fond reste positive. Les bandes de Bollinger, neutres, n'apportent pas de signal clair, laissant présager une période de volatilité accrue.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d'ORAC révèlent une performance financière solide. Le chiffre d'affaires consolidé s'établit à 1 197,1 milliards FCFA, en croissance de +10,4% par rapport à 2024 (1 084,1 milliards FCFA), tandis que le résultat net consolidé atteint 167,8 milliards FCFA (+6,1%). La rentabilité des fonds propres (ROE) est excellente à 23,7%, et la marge opérationnelle de 24,0% témoigne d'une bonne maîtrise opérationnelle. Le BFR négatif de -198 milliards FCFA est un signe très favorable pour une entreprise, indiquant que le groupe finance son cycle d'exploitation grâce à ses fournisseurs (délai fournisseurs de 210,87 jours, très élevé) et à sa trésorerie, tandis que le délai clients de 52,26 jours reste raisonnable. Le rapport annuel 2025 (publié en avril 2026) confirme ces chiffres et précise que le dividende proposé est de 800 FCFA brut par action, prélevé sur le report à nouveau. Les rapports trimestriels de 2025 montrent une croissance soutenue du CA (+9,9% au S1 et T3), mais une stagnation du résultat net (+0,5% au S1), due à une dégradation du résultat financier. Cependant, le rapport T1 2026 (publié en mai 2026) marque un net redressement avec un CA de 325,6 milliards FCFA (+14,8%) et un résultat net de 48,3 milliards FCFA (+25,2%), laissant entrevoir une accélération de la croissance pour l'exercice 2026. Sur la base de ce T1 2026, on peut estimer que le résultat net annuel 2026 pourrait dépasser 190 milliards FCFA, soit une progression de plus de 15% par rapport à 2025. Les risques identifiés incluent la pression fiscale et réglementaire, la concurrence et les tensions sécuritaires au Burkina Faso, mais la solidité du bilan et la génération de cash-flow (335,5 milliards FCFA de flux opérationnel) confèrent à l'entreprise une capacité de financement de ses investissements et de maintien d'une politique de dividende attractive.</w:t>
      </w:r>
    </w:p>
    <w:p>
      <w:pPr>
        <w:spacing w:after="120" w:line="276" w:lineRule="auto" w:before="240"/>
      </w:pPr>
      <w:r>
        <w:rPr>
          <w:b/>
          <w:color w:val="003366"/>
          <w:sz w:val="24"/>
        </w:rPr>
        <w:t>**PARTIE 4 : CONCLUSION D'INVESTISSEMENT**</w:t>
      </w:r>
    </w:p>
    <w:p>
      <w:pPr>
        <w:spacing w:after="120" w:line="276" w:lineRule="auto"/>
      </w:pPr>
      <w:r>
        <w:t>La valorisation d'ORAC (PER de 19,6x, P/B de 4,64x) est exigeante, intégrant des attentes élevées de croissance, mais l'EV/EBITDA de 7,8x reste raisonnable. Le comportement du cours sur 100 jours est extrêmement haussier (+47,4%), avec une volatilité élevée (29,6%) et une distribution asymétrique positive, mais le titre est désormais en zone de surachat technique. Les signaux techniques sont divergents : les moyennes mobiles et le MACD sont positifs, tandis que le RSI (76,55) et le stochastique (100) indiquent un risque de correction. Les fondamentaux sont solides, avec une croissance du CA de +10,4% en 2025, un ROE de 23,7%, et des perspectives 2026 prometteuses selon le T1 (+25,2% de résultat net). Les prédictions IA pour les 10 prochains jours suggèrent une légère baisse du cours (de 20 900 à 20 378 FCFA), confirmant le scénario de consolidation technique après la forte hausse. En synthèse, la convergence entre la valorisation élevée, les signaux techniques de surachat et la prédiction IA de repli à court terme, contrastant avec des fondamentaux excellents, conduit à une recommandation de **CONSERVER** pour les investisseurs en portefeuille, avec un niveau de confiance **Moyen** et un risque global **Élevé** à court terme. L'horizon d'investissement optimal est le **moyen terme (3-12 mois)**, en attendant une potentielle correction technique pour renforcer la position, ou une confirmation de la poursuite de la croissance des bénéfices pour justifier la prime de valorisation.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236.01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5,575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-4.36%</w:t>
            </w:r>
          </w:p>
          <w:p>
            <w:r>
              <w:rPr>
                <w:b/>
                <w:color w:val="503200"/>
                <w:sz w:val="16"/>
              </w:rPr>
              <w:t xml:space="preserve">Plus haut 100j : </w:t>
            </w:r>
            <w:r>
              <w:rPr>
                <w:color w:val="000000"/>
                <w:sz w:val="17"/>
              </w:rPr>
              <w:t>3,555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9.58% (Moyenne) — μ=2,917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β=0.3207 (Défensif) — Cov=0.000012, Var(idx)=0.000037, ρ=0.070,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3,209</w:t>
            </w:r>
          </w:p>
        </w:tc>
        <w:tc>
          <w:tcPr>
            <w:tcW w:type="dxa" w:w="1440"/>
            <w:shd w:fill="FFDCE0" w:val="clear"/>
          </w:tcPr>
          <w:p>
            <w:r>
              <w:rPr>
                <w:b/>
                <w:sz w:val="17"/>
              </w:rPr>
              <w:t>3,312</w:t>
            </w:r>
          </w:p>
        </w:tc>
        <w:tc>
          <w:tcPr>
            <w:tcW w:type="dxa" w:w="1440"/>
            <w:shd w:fill="FFDCE0" w:val="clear"/>
          </w:tcPr>
          <w:p>
            <w:r>
              <w:rPr>
                <w:sz w:val="17"/>
              </w:rPr>
              <w:t>3,416</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3,161</w:t>
            </w:r>
          </w:p>
        </w:tc>
        <w:tc>
          <w:tcPr>
            <w:tcW w:type="dxa" w:w="1440"/>
            <w:shd w:fill="FFDCE0" w:val="clear"/>
          </w:tcPr>
          <w:p>
            <w:r>
              <w:rPr>
                <w:b/>
                <w:sz w:val="17"/>
              </w:rPr>
              <w:t>3,308</w:t>
            </w:r>
          </w:p>
        </w:tc>
        <w:tc>
          <w:tcPr>
            <w:tcW w:type="dxa" w:w="1440"/>
            <w:shd w:fill="FFDCE0" w:val="clear"/>
          </w:tcPr>
          <w:p>
            <w:r>
              <w:rPr>
                <w:sz w:val="17"/>
              </w:rPr>
              <w:t>3,454</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3,120</w:t>
            </w:r>
          </w:p>
        </w:tc>
        <w:tc>
          <w:tcPr>
            <w:tcW w:type="dxa" w:w="1440"/>
            <w:shd w:fill="FFDCE0" w:val="clear"/>
          </w:tcPr>
          <w:p>
            <w:r>
              <w:rPr>
                <w:b/>
                <w:sz w:val="17"/>
              </w:rPr>
              <w:t>3,299</w:t>
            </w:r>
          </w:p>
        </w:tc>
        <w:tc>
          <w:tcPr>
            <w:tcW w:type="dxa" w:w="1440"/>
            <w:shd w:fill="FFDCE0" w:val="clear"/>
          </w:tcPr>
          <w:p>
            <w:r>
              <w:rPr>
                <w:sz w:val="17"/>
              </w:rPr>
              <w:t>3,478</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3,087</w:t>
            </w:r>
          </w:p>
        </w:tc>
        <w:tc>
          <w:tcPr>
            <w:tcW w:type="dxa" w:w="1440"/>
            <w:shd w:fill="FFDCE0" w:val="clear"/>
          </w:tcPr>
          <w:p>
            <w:r>
              <w:rPr>
                <w:b/>
                <w:sz w:val="17"/>
              </w:rPr>
              <w:t>3,293</w:t>
            </w:r>
          </w:p>
        </w:tc>
        <w:tc>
          <w:tcPr>
            <w:tcW w:type="dxa" w:w="1440"/>
            <w:shd w:fill="FFDCE0" w:val="clear"/>
          </w:tcPr>
          <w:p>
            <w:r>
              <w:rPr>
                <w:sz w:val="17"/>
              </w:rPr>
              <w:t>3,499</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3,058</w:t>
            </w:r>
          </w:p>
        </w:tc>
        <w:tc>
          <w:tcPr>
            <w:tcW w:type="dxa" w:w="1440"/>
            <w:shd w:fill="FFDCE0" w:val="clear"/>
          </w:tcPr>
          <w:p>
            <w:r>
              <w:rPr>
                <w:b/>
                <w:sz w:val="17"/>
              </w:rPr>
              <w:t>3,288</w:t>
            </w:r>
          </w:p>
        </w:tc>
        <w:tc>
          <w:tcPr>
            <w:tcW w:type="dxa" w:w="1440"/>
            <w:shd w:fill="FFDCE0" w:val="clear"/>
          </w:tcPr>
          <w:p>
            <w:r>
              <w:rPr>
                <w:sz w:val="17"/>
              </w:rPr>
              <w:t>3,518</w:t>
            </w:r>
          </w:p>
        </w:tc>
        <w:tc>
          <w:tcPr>
            <w:tcW w:type="dxa" w:w="1440"/>
            <w:shd w:fill="FFDCE0" w:val="clear"/>
          </w:tcPr>
          <w:p>
            <w:r>
              <w:rPr>
                <w:b/>
                <w:color w:val="C00000"/>
                <w:sz w:val="17"/>
              </w:rPr>
              <w:t>-3.3%</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3,032</w:t>
            </w:r>
          </w:p>
        </w:tc>
        <w:tc>
          <w:tcPr>
            <w:tcW w:type="dxa" w:w="1440"/>
            <w:shd w:fill="FFDCE0" w:val="clear"/>
          </w:tcPr>
          <w:p>
            <w:r>
              <w:rPr>
                <w:b/>
                <w:sz w:val="17"/>
              </w:rPr>
              <w:t>3,284</w:t>
            </w:r>
          </w:p>
        </w:tc>
        <w:tc>
          <w:tcPr>
            <w:tcW w:type="dxa" w:w="1440"/>
            <w:shd w:fill="FFDCE0" w:val="clear"/>
          </w:tcPr>
          <w:p>
            <w:r>
              <w:rPr>
                <w:sz w:val="17"/>
              </w:rPr>
              <w:t>3,536</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3,008</w:t>
            </w:r>
          </w:p>
        </w:tc>
        <w:tc>
          <w:tcPr>
            <w:tcW w:type="dxa" w:w="1440"/>
            <w:shd w:fill="FFDCE0" w:val="clear"/>
          </w:tcPr>
          <w:p>
            <w:r>
              <w:rPr>
                <w:b/>
                <w:sz w:val="17"/>
              </w:rPr>
              <w:t>3,280</w:t>
            </w:r>
          </w:p>
        </w:tc>
        <w:tc>
          <w:tcPr>
            <w:tcW w:type="dxa" w:w="1440"/>
            <w:shd w:fill="FFDCE0" w:val="clear"/>
          </w:tcPr>
          <w:p>
            <w:r>
              <w:rPr>
                <w:sz w:val="17"/>
              </w:rPr>
              <w:t>3,552</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2,986</w:t>
            </w:r>
          </w:p>
        </w:tc>
        <w:tc>
          <w:tcPr>
            <w:tcW w:type="dxa" w:w="1440"/>
            <w:shd w:fill="FFDCE0" w:val="clear"/>
          </w:tcPr>
          <w:p>
            <w:r>
              <w:rPr>
                <w:b/>
                <w:sz w:val="17"/>
              </w:rPr>
              <w:t>3,276</w:t>
            </w:r>
          </w:p>
        </w:tc>
        <w:tc>
          <w:tcPr>
            <w:tcW w:type="dxa" w:w="1440"/>
            <w:shd w:fill="FFDCE0" w:val="clear"/>
          </w:tcPr>
          <w:p>
            <w:r>
              <w:rPr>
                <w:sz w:val="17"/>
              </w:rPr>
              <w:t>3,567</w:t>
            </w:r>
          </w:p>
        </w:tc>
        <w:tc>
          <w:tcPr>
            <w:tcW w:type="dxa" w:w="1440"/>
            <w:shd w:fill="FFDCE0" w:val="clear"/>
          </w:tcPr>
          <w:p>
            <w:r>
              <w:rPr>
                <w:b/>
                <w:color w:val="C00000"/>
                <w:sz w:val="17"/>
              </w:rPr>
              <w:t>-3.6%</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2,965</w:t>
            </w:r>
          </w:p>
        </w:tc>
        <w:tc>
          <w:tcPr>
            <w:tcW w:type="dxa" w:w="1440"/>
            <w:shd w:fill="FFDCE0" w:val="clear"/>
          </w:tcPr>
          <w:p>
            <w:r>
              <w:rPr>
                <w:b/>
                <w:sz w:val="17"/>
              </w:rPr>
              <w:t>3,273</w:t>
            </w:r>
          </w:p>
        </w:tc>
        <w:tc>
          <w:tcPr>
            <w:tcW w:type="dxa" w:w="1440"/>
            <w:shd w:fill="FFDCE0" w:val="clear"/>
          </w:tcPr>
          <w:p>
            <w:r>
              <w:rPr>
                <w:sz w:val="17"/>
              </w:rPr>
              <w:t>3,581</w:t>
            </w:r>
          </w:p>
        </w:tc>
        <w:tc>
          <w:tcPr>
            <w:tcW w:type="dxa" w:w="1440"/>
            <w:shd w:fill="FFDCE0" w:val="clear"/>
          </w:tcPr>
          <w:p>
            <w:r>
              <w:rPr>
                <w:b/>
                <w:color w:val="C00000"/>
                <w:sz w:val="17"/>
              </w:rPr>
              <w:t>-3.7%</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2,946</w:t>
            </w:r>
          </w:p>
        </w:tc>
        <w:tc>
          <w:tcPr>
            <w:tcW w:type="dxa" w:w="1440"/>
            <w:shd w:fill="FFDCE0" w:val="clear"/>
          </w:tcPr>
          <w:p>
            <w:r>
              <w:rPr>
                <w:b/>
                <w:sz w:val="17"/>
              </w:rPr>
              <w:t>3,270</w:t>
            </w:r>
          </w:p>
        </w:tc>
        <w:tc>
          <w:tcPr>
            <w:tcW w:type="dxa" w:w="1440"/>
            <w:shd w:fill="FFDCE0" w:val="clear"/>
          </w:tcPr>
          <w:p>
            <w:r>
              <w:rPr>
                <w:sz w:val="17"/>
              </w:rPr>
              <w:t>3,594</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un rapport d'analyse structuré et professionnel pour l'action ORGT (Oragroup)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236,01 milliards FCFA, ce qui positionne le titre parmi les valeurs moyennes à grandes de la BRVM, lui conférant une liquidité et une visibilité non négligeables. Avec un BPA de 312 FCFA, le PER de 10,9x est en ligne avec la moyenne historique du marché (8-12x), indiquant une valorisation raisonnable pour un bénéfice par action en forte croissance. Le P/B de 2,09x montre que le marché valorise les capitaux propres de la banque avec une prime de croissance, un niveau considéré comme sain. En revanche, l'EV/EBITDA de 20,5x est nettement supérieur au seuil de 15x, signalant que la valeur d'entreprise (dette incluse) est exigeante par rapport à la capacité opérationnelle de la banque, ce qui peut refléter des attentes élevées ou une dette significative.</w:t>
      </w:r>
    </w:p>
    <w:p>
      <w:pPr>
        <w:spacing w:after="120" w:line="276" w:lineRule="auto"/>
      </w:pPr>
      <w:r>
        <w:t>### PARTIE 1 : ANALYSE DU COURS — STATISTIQUES ET ÉVOLUTION (100 derniers jours)</w:t>
      </w:r>
    </w:p>
    <w:p>
      <w:pPr>
        <w:spacing w:after="120" w:line="276" w:lineRule="auto"/>
      </w:pPr>
      <w:r>
        <w:t>Sur les 100 derniers jours, le cours d'ORGT affiche une variation totale de -4,36%, mais avec un rebond notable de +1,95% lors de la dernière séance, clôturant à 3 400 FCFA. Le titre a évolué dans un range de trading large, entre un plus bas de 2 435 FCFA et un plus haut de 3 555 FCFA, démontrant une forte amplitude de mouvement. La moyenne du cours sur la période est de 2 917 FCFA, significativement inférieure au prix actuel, ce qui souligne une tendance haussière récente. La médiane à 2 780 FCFA et le mode à 2 680 FCFA, tous deux inférieurs à la moyenne, confirment une distribution asymétrique positive (skewness de 0.385), avec une queue de distribution vers les hauts cours. L'écart-type de 281 FCFA (CV=9,6%) indique une dispersion modérée, tandis que le kurtosis négatif (-1.148) suggère une distribution aplatie, avec moins de risques de variations extrêmes que la normale. La volatilité annualisée de 44% est très élevée, classant ORGT comme un actif à haut risque.</w:t>
      </w:r>
    </w:p>
    <w:p>
      <w:pPr>
        <w:spacing w:after="120" w:line="276" w:lineRule="auto"/>
      </w:pPr>
      <w:r>
        <w:t>### PARTIE 2 : ANALYSE TECHNIQUE DÉTAILLÉE</w:t>
      </w:r>
    </w:p>
    <w:p>
      <w:pPr>
        <w:spacing w:after="120" w:line="276" w:lineRule="auto"/>
      </w:pPr>
      <w:r>
        <w:t>**Moyennes Mobiles** : Le cours actuel de 3 400 FCFA est nettement au-dessus de sa MM20 (3 156,75 FCFA) et de sa MM50 (2 936,8 FCFA). Cette configuration haussière, où le prix est soutenu par les moyennes mobiles courtes et longues, génère un signal d'**Achat**, indiquant une dynamique positive solide à court et moyen terme.</w:t>
      </w:r>
    </w:p>
    <w:p>
      <w:pPr>
        <w:spacing w:after="120" w:line="276" w:lineRule="auto"/>
      </w:pPr>
      <w:r>
        <w:t>**Bandes de Bollinger** : Le prix a franchi la borne supérieure des bandes (3 335,70 FCFA), ce qui est un signal classique de **Vente** ou de correction à court terme. Le cours étant en extension excessive, une consolidation ou un repli vers la moyenne mobile (MM20) est statistiquement probable, d'autant plus que la volatilité est élevée.</w:t>
      </w:r>
    </w:p>
    <w:p>
      <w:pPr>
        <w:spacing w:after="120" w:line="276" w:lineRule="auto"/>
      </w:pPr>
      <w:r>
        <w:t>**MACD** : Le MACD (96,96) est nettement supérieur à sa ligne de signal (87,32), avec un écart positif croissant. Cette configuration indique un momentum haussier fort, justifiant une décision d'**Achat**. La dynamique positive est confirmée, mais l'écart important peut aussi signaler une certaine exubérance.</w:t>
      </w:r>
    </w:p>
    <w:p>
      <w:pPr>
        <w:spacing w:after="120" w:line="276" w:lineRule="auto"/>
      </w:pPr>
      <w:r>
        <w:t>**RSI** : Le RSI est à 79,31, une valeur bien au-dessus du seuil de surachat de 70. Cela indique que le titre est survendu à la hausse et que le potentiel de hausse immédiat est limité. La décision associée est une **Vente**, car un retour à des niveaux plus neutres est attendu.</w:t>
      </w:r>
    </w:p>
    <w:p>
      <w:pPr>
        <w:spacing w:after="120" w:line="276" w:lineRule="auto"/>
      </w:pPr>
      <w:r>
        <w:t>**Stochastique** : Le %K et le %D sont tous deux à 100, un niveau extrême de surachat. Cette configuration suggère que le mouvement haussier est à son paroxysme et qu'un croisement baissier est imminent. La décision est donc une **Vente**, signalant un risque élevé de retournement à très court terme.</w:t>
      </w:r>
    </w:p>
    <w:p>
      <w:pPr>
        <w:spacing w:after="120" w:line="276" w:lineRule="auto"/>
      </w:pPr>
      <w:r>
        <w:t>**Conclusion technique** : Les indicateurs de tendance (MM, MACD) sont positifs, mais les oscillateurs de momentum (RSI, Stochastique) et la position par rapport aux bandes de Bollinger sont en zone de surachat extrême. Cette divergence signale une forte probabilité de consolidation ou de correction à court terme avant que la tendance haussière de fond ne puisse reprendre.</w:t>
      </w:r>
    </w:p>
    <w:p>
      <w:pPr>
        <w:spacing w:after="120" w:line="276" w:lineRule="auto"/>
      </w:pPr>
      <w:r>
        <w:t>### PARTIE 3 : ANALYSE FONDAMENTALE (SECTION CRITIQUE)</w:t>
      </w:r>
    </w:p>
    <w:p>
      <w:pPr>
        <w:spacing w:after="120" w:line="276" w:lineRule="auto"/>
      </w:pPr>
      <w:r>
        <w:t>En 2025, Oragroup a réalisé un redressement spectaculaire. Le Produit Net Bancaire (PNB) s'établit à 186,609 milliards FCFA, en baisse de -4,5% par rapport à 2024, mais le résultat net est revenu à un bénéfice de 21,643 milliards FCFA, contre une perte de -44,4 milliards en 2024. Cette performance s'explique par une réduction drastique du coût du risque (provisions) de 90% et une maîtrise des charges générales (-12%). Le coefficient d'exploitation s'améliore à 42,85%, ce qui est excellent pour une banque. Le ROE est très satisfaisant à 19,13%, et le ROA reste faible à 0,54%, typique du secteur bancaire. Les dépôts clientèle (3 088,7 Mds) financent largement les crédits à la clientèle (1 523,8 Mds), assurant une liquidité abondante. Les rapports trimestriels de 2025 montrent une amélioration continue, avec un résultat net de 19,6 milliards sur les 9 premiers mois. Le rapport du T1 2026 (publié en 2026) confirme la tendance avec un résultat net en hausse de 37% à 6,555 millions FCFA, malgré une légère baisse du PNB. Sur cette base, on estime que l'exercice 2026 devrait être de nouveau bénéficiaire, avec un PNB stable et une rentabilité soutenue par la faiblesse du coût du risque. La solidité financière est réelle, mais la baisse du PNB et l'absence de dividende restent des points de vigilance.</w:t>
      </w:r>
    </w:p>
    <w:p>
      <w:pPr>
        <w:spacing w:after="120" w:line="276" w:lineRule="auto"/>
      </w:pPr>
      <w:r>
        <w:t>### PARTIE 4 : CONCLUSION D'INVESTISSEMENT</w:t>
      </w:r>
    </w:p>
    <w:p>
      <w:pPr>
        <w:spacing w:after="120" w:line="276" w:lineRule="auto"/>
      </w:pPr>
      <w:r>
        <w:t>La valorisation d'ORGT est raisonnable (PER de 10,9x) mais l'EV/EBITDA est exigeant, ce qui tempère l'attrait. Le comportement du cours montre une forte dynamique haussière récente, mais avec une volatilité très élevée et des statistiques suggérant une distribution normale des rendements. Les signaux techniques sont extrêmement surachetés à court terme (RSI, Stochastique), indiquant un risque de correction, bien que la tendance de fond (MM, MACD) reste positive. Les fondamentaux sont solides, avec un retour à une forte rentabilité (ROE de 19,1%) et une amélioration de la qualité du bilan, mais la croissance du PNB est atone. Les prédictions IA pour les 10 prochains jours (baisse de 3 312 à 3 288 FCFA) confirment le scénario d'une consolidation technique après la récente hausse. En synthèse, les signaux sont mitigés : la valorisation et les fondamentaux sont corrects, mais le court terme est survendu. La recommandation est donc de **CONSERVER** le titre, avec un niveau de confiance **Moyen**. Le risque global est **Élevé** en raison de la volatilité. L'horizon d'investissement optimal serait à **moyen terme (3-12 mois)**, en attendant que la pression vendeuse à court terme se dissipe et que la dynamique de croissance du PNB se confirme.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135.73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3,697 titres</w:t>
            </w:r>
          </w:p>
        </w:tc>
        <w:tc>
          <w:tcPr>
            <w:tcW w:type="dxa" w:w="2268"/>
            <w:shd w:fill="FFF2CC" w:val="clear"/>
          </w:tcPr>
          <w:p>
            <w:r>
              <w:rPr>
                <w:b/>
                <w:color w:val="503200"/>
                <w:sz w:val="16"/>
              </w:rPr>
              <w:t xml:space="preserve">Cours actuel : </w:t>
            </w:r>
            <w:r>
              <w:rPr>
                <w:color w:val="000000"/>
                <w:sz w:val="17"/>
              </w:rPr>
              <w:t>8,780 FCFA</w:t>
            </w:r>
          </w:p>
          <w:p>
            <w:r>
              <w:rPr>
                <w:b/>
                <w:color w:val="503200"/>
                <w:sz w:val="16"/>
              </w:rPr>
              <w:t xml:space="preserve">Var. 100 jours : </w:t>
            </w:r>
            <w:r>
              <w:rPr>
                <w:b/>
                <w:color w:val="007800"/>
                <w:sz w:val="17"/>
              </w:rPr>
              <w:t>+3.29%</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6.72% (Moyenne) — μ=8,530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β=-0.2862 (Contre-cyclique) — Cov=-0.000010, Var(idx)=0.000037, ρ=-0.074,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2026-09-08</w:t>
            </w:r>
          </w:p>
        </w:tc>
        <w:tc>
          <w:tcPr>
            <w:tcW w:type="dxa" w:w="1440"/>
            <w:shd w:fill="C6EFCE" w:val="clear"/>
          </w:tcPr>
          <w:p>
            <w:r>
              <w:rPr>
                <w:sz w:val="17"/>
              </w:rPr>
              <w:t>8,671</w:t>
            </w:r>
          </w:p>
        </w:tc>
        <w:tc>
          <w:tcPr>
            <w:tcW w:type="dxa" w:w="1440"/>
            <w:shd w:fill="C6EFCE" w:val="clear"/>
          </w:tcPr>
          <w:p>
            <w:r>
              <w:rPr>
                <w:b/>
                <w:sz w:val="17"/>
              </w:rPr>
              <w:t>8,967</w:t>
            </w:r>
          </w:p>
        </w:tc>
        <w:tc>
          <w:tcPr>
            <w:tcW w:type="dxa" w:w="1440"/>
            <w:shd w:fill="C6EFCE" w:val="clear"/>
          </w:tcPr>
          <w:p>
            <w:r>
              <w:rPr>
                <w:sz w:val="17"/>
              </w:rPr>
              <w:t>9,262</w:t>
            </w:r>
          </w:p>
        </w:tc>
        <w:tc>
          <w:tcPr>
            <w:tcW w:type="dxa" w:w="1440"/>
            <w:shd w:fill="C6EFCE" w:val="clear"/>
          </w:tcPr>
          <w:p>
            <w:r>
              <w:rPr>
                <w:b/>
                <w:color w:val="008000"/>
                <w:sz w:val="17"/>
              </w:rPr>
              <w:t>+2.1%</w:t>
            </w:r>
          </w:p>
        </w:tc>
      </w:tr>
      <w:tr>
        <w:tc>
          <w:tcPr>
            <w:tcW w:type="dxa" w:w="1440"/>
            <w:shd w:fill="C6EFCE" w:val="clear"/>
          </w:tcPr>
          <w:p>
            <w:r>
              <w:rPr>
                <w:sz w:val="17"/>
              </w:rPr>
              <w:t>J+2  ⭐⭐⭐</w:t>
            </w:r>
          </w:p>
        </w:tc>
        <w:tc>
          <w:tcPr>
            <w:tcW w:type="dxa" w:w="1440"/>
            <w:shd w:fill="C6EFCE" w:val="clear"/>
          </w:tcPr>
          <w:p>
            <w:r>
              <w:rPr>
                <w:sz w:val="17"/>
              </w:rPr>
              <w:t>2026-09-09</w:t>
            </w:r>
          </w:p>
        </w:tc>
        <w:tc>
          <w:tcPr>
            <w:tcW w:type="dxa" w:w="1440"/>
            <w:shd w:fill="C6EFCE" w:val="clear"/>
          </w:tcPr>
          <w:p>
            <w:r>
              <w:rPr>
                <w:sz w:val="17"/>
              </w:rPr>
              <w:t>8,549</w:t>
            </w:r>
          </w:p>
        </w:tc>
        <w:tc>
          <w:tcPr>
            <w:tcW w:type="dxa" w:w="1440"/>
            <w:shd w:fill="C6EFCE" w:val="clear"/>
          </w:tcPr>
          <w:p>
            <w:r>
              <w:rPr>
                <w:b/>
                <w:sz w:val="17"/>
              </w:rPr>
              <w:t>8,967</w:t>
            </w:r>
          </w:p>
        </w:tc>
        <w:tc>
          <w:tcPr>
            <w:tcW w:type="dxa" w:w="1440"/>
            <w:shd w:fill="C6EFCE" w:val="clear"/>
          </w:tcPr>
          <w:p>
            <w:r>
              <w:rPr>
                <w:sz w:val="17"/>
              </w:rPr>
              <w:t>9,385</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2026-09-10</w:t>
            </w:r>
          </w:p>
        </w:tc>
        <w:tc>
          <w:tcPr>
            <w:tcW w:type="dxa" w:w="1440"/>
            <w:shd w:fill="C6EFCE" w:val="clear"/>
          </w:tcPr>
          <w:p>
            <w:r>
              <w:rPr>
                <w:sz w:val="17"/>
              </w:rPr>
              <w:t>8,480</w:t>
            </w:r>
          </w:p>
        </w:tc>
        <w:tc>
          <w:tcPr>
            <w:tcW w:type="dxa" w:w="1440"/>
            <w:shd w:fill="C6EFCE" w:val="clear"/>
          </w:tcPr>
          <w:p>
            <w:r>
              <w:rPr>
                <w:b/>
                <w:sz w:val="17"/>
              </w:rPr>
              <w:t>8,994</w:t>
            </w:r>
          </w:p>
        </w:tc>
        <w:tc>
          <w:tcPr>
            <w:tcW w:type="dxa" w:w="1440"/>
            <w:shd w:fill="C6EFCE" w:val="clear"/>
          </w:tcPr>
          <w:p>
            <w:r>
              <w:rPr>
                <w:sz w:val="17"/>
              </w:rPr>
              <w:t>9,508</w:t>
            </w:r>
          </w:p>
        </w:tc>
        <w:tc>
          <w:tcPr>
            <w:tcW w:type="dxa" w:w="1440"/>
            <w:shd w:fill="C6EFCE" w:val="clear"/>
          </w:tcPr>
          <w:p>
            <w:r>
              <w:rPr>
                <w:b/>
                <w:color w:val="008000"/>
                <w:sz w:val="17"/>
              </w:rPr>
              <w:t>+2.4%</w:t>
            </w:r>
          </w:p>
        </w:tc>
      </w:tr>
      <w:tr>
        <w:tc>
          <w:tcPr>
            <w:tcW w:type="dxa" w:w="1440"/>
            <w:shd w:fill="C6EFCE" w:val="clear"/>
          </w:tcPr>
          <w:p>
            <w:r>
              <w:rPr>
                <w:sz w:val="17"/>
              </w:rPr>
              <w:t>J+4  Moyenne</w:t>
            </w:r>
          </w:p>
        </w:tc>
        <w:tc>
          <w:tcPr>
            <w:tcW w:type="dxa" w:w="1440"/>
            <w:shd w:fill="C6EFCE" w:val="clear"/>
          </w:tcPr>
          <w:p>
            <w:r>
              <w:rPr>
                <w:sz w:val="17"/>
              </w:rPr>
              <w:t>2026-09-11</w:t>
            </w:r>
          </w:p>
        </w:tc>
        <w:tc>
          <w:tcPr>
            <w:tcW w:type="dxa" w:w="1440"/>
            <w:shd w:fill="C6EFCE" w:val="clear"/>
          </w:tcPr>
          <w:p>
            <w:r>
              <w:rPr>
                <w:sz w:val="17"/>
              </w:rPr>
              <w:t>8,427</w:t>
            </w:r>
          </w:p>
        </w:tc>
        <w:tc>
          <w:tcPr>
            <w:tcW w:type="dxa" w:w="1440"/>
            <w:shd w:fill="C6EFCE" w:val="clear"/>
          </w:tcPr>
          <w:p>
            <w:r>
              <w:rPr>
                <w:b/>
                <w:sz w:val="17"/>
              </w:rPr>
              <w:t>9,022</w:t>
            </w:r>
          </w:p>
        </w:tc>
        <w:tc>
          <w:tcPr>
            <w:tcW w:type="dxa" w:w="1440"/>
            <w:shd w:fill="C6EFCE" w:val="clear"/>
          </w:tcPr>
          <w:p>
            <w:r>
              <w:rPr>
                <w:sz w:val="17"/>
              </w:rPr>
              <w:t>9,617</w:t>
            </w:r>
          </w:p>
        </w:tc>
        <w:tc>
          <w:tcPr>
            <w:tcW w:type="dxa" w:w="1440"/>
            <w:shd w:fill="C6EFCE" w:val="clear"/>
          </w:tcPr>
          <w:p>
            <w:r>
              <w:rPr>
                <w:b/>
                <w:color w:val="008000"/>
                <w:sz w:val="17"/>
              </w:rPr>
              <w:t>+2.8%</w:t>
            </w:r>
          </w:p>
        </w:tc>
      </w:tr>
      <w:tr>
        <w:tc>
          <w:tcPr>
            <w:tcW w:type="dxa" w:w="1440"/>
            <w:shd w:fill="C6EFCE" w:val="clear"/>
          </w:tcPr>
          <w:p>
            <w:r>
              <w:rPr>
                <w:sz w:val="17"/>
              </w:rPr>
              <w:t>J+5  Moyenne</w:t>
            </w:r>
          </w:p>
        </w:tc>
        <w:tc>
          <w:tcPr>
            <w:tcW w:type="dxa" w:w="1440"/>
            <w:shd w:fill="C6EFCE" w:val="clear"/>
          </w:tcPr>
          <w:p>
            <w:r>
              <w:rPr>
                <w:sz w:val="17"/>
              </w:rPr>
              <w:t>2026-09-14</w:t>
            </w:r>
          </w:p>
        </w:tc>
        <w:tc>
          <w:tcPr>
            <w:tcW w:type="dxa" w:w="1440"/>
            <w:shd w:fill="C6EFCE" w:val="clear"/>
          </w:tcPr>
          <w:p>
            <w:r>
              <w:rPr>
                <w:sz w:val="17"/>
              </w:rPr>
              <w:t>8,382</w:t>
            </w:r>
          </w:p>
        </w:tc>
        <w:tc>
          <w:tcPr>
            <w:tcW w:type="dxa" w:w="1440"/>
            <w:shd w:fill="C6EFCE" w:val="clear"/>
          </w:tcPr>
          <w:p>
            <w:r>
              <w:rPr>
                <w:b/>
                <w:sz w:val="17"/>
              </w:rPr>
              <w:t>9,049</w:t>
            </w:r>
          </w:p>
        </w:tc>
        <w:tc>
          <w:tcPr>
            <w:tcW w:type="dxa" w:w="1440"/>
            <w:shd w:fill="C6EFCE" w:val="clear"/>
          </w:tcPr>
          <w:p>
            <w:r>
              <w:rPr>
                <w:sz w:val="17"/>
              </w:rPr>
              <w:t>9,716</w:t>
            </w:r>
          </w:p>
        </w:tc>
        <w:tc>
          <w:tcPr>
            <w:tcW w:type="dxa" w:w="1440"/>
            <w:shd w:fill="C6EFCE" w:val="clear"/>
          </w:tcPr>
          <w:p>
            <w:r>
              <w:rPr>
                <w:b/>
                <w:color w:val="008000"/>
                <w:sz w:val="17"/>
              </w:rPr>
              <w:t>+3.1%</w:t>
            </w:r>
          </w:p>
        </w:tc>
      </w:tr>
      <w:tr>
        <w:tc>
          <w:tcPr>
            <w:tcW w:type="dxa" w:w="1440"/>
            <w:shd w:fill="C6EFCE" w:val="clear"/>
          </w:tcPr>
          <w:p>
            <w:r>
              <w:rPr>
                <w:sz w:val="17"/>
              </w:rPr>
              <w:t>J+6  Moyenne</w:t>
            </w:r>
          </w:p>
        </w:tc>
        <w:tc>
          <w:tcPr>
            <w:tcW w:type="dxa" w:w="1440"/>
            <w:shd w:fill="C6EFCE" w:val="clear"/>
          </w:tcPr>
          <w:p>
            <w:r>
              <w:rPr>
                <w:sz w:val="17"/>
              </w:rPr>
              <w:t>2026-09-15</w:t>
            </w:r>
          </w:p>
        </w:tc>
        <w:tc>
          <w:tcPr>
            <w:tcW w:type="dxa" w:w="1440"/>
            <w:shd w:fill="C6EFCE" w:val="clear"/>
          </w:tcPr>
          <w:p>
            <w:r>
              <w:rPr>
                <w:sz w:val="17"/>
              </w:rPr>
              <w:t>8,342</w:t>
            </w:r>
          </w:p>
        </w:tc>
        <w:tc>
          <w:tcPr>
            <w:tcW w:type="dxa" w:w="1440"/>
            <w:shd w:fill="C6EFCE" w:val="clear"/>
          </w:tcPr>
          <w:p>
            <w:r>
              <w:rPr>
                <w:b/>
                <w:sz w:val="17"/>
              </w:rPr>
              <w:t>9,075</w:t>
            </w:r>
          </w:p>
        </w:tc>
        <w:tc>
          <w:tcPr>
            <w:tcW w:type="dxa" w:w="1440"/>
            <w:shd w:fill="C6EFCE" w:val="clear"/>
          </w:tcPr>
          <w:p>
            <w:r>
              <w:rPr>
                <w:sz w:val="17"/>
              </w:rPr>
              <w:t>9,808</w:t>
            </w:r>
          </w:p>
        </w:tc>
        <w:tc>
          <w:tcPr>
            <w:tcW w:type="dxa" w:w="1440"/>
            <w:shd w:fill="C6EFCE" w:val="clear"/>
          </w:tcPr>
          <w:p>
            <w:r>
              <w:rPr>
                <w:b/>
                <w:color w:val="008000"/>
                <w:sz w:val="17"/>
              </w:rPr>
              <w:t>+3.4%</w:t>
            </w:r>
          </w:p>
        </w:tc>
      </w:tr>
      <w:tr>
        <w:tc>
          <w:tcPr>
            <w:tcW w:type="dxa" w:w="1440"/>
            <w:shd w:fill="C6EFCE" w:val="clear"/>
          </w:tcPr>
          <w:p>
            <w:r>
              <w:rPr>
                <w:sz w:val="17"/>
              </w:rPr>
              <w:t>J+7  Moyenne</w:t>
            </w:r>
          </w:p>
        </w:tc>
        <w:tc>
          <w:tcPr>
            <w:tcW w:type="dxa" w:w="1440"/>
            <w:shd w:fill="C6EFCE" w:val="clear"/>
          </w:tcPr>
          <w:p>
            <w:r>
              <w:rPr>
                <w:sz w:val="17"/>
              </w:rPr>
              <w:t>2026-09-16</w:t>
            </w:r>
          </w:p>
        </w:tc>
        <w:tc>
          <w:tcPr>
            <w:tcW w:type="dxa" w:w="1440"/>
            <w:shd w:fill="C6EFCE" w:val="clear"/>
          </w:tcPr>
          <w:p>
            <w:r>
              <w:rPr>
                <w:sz w:val="17"/>
              </w:rPr>
              <w:t>8,307</w:t>
            </w:r>
          </w:p>
        </w:tc>
        <w:tc>
          <w:tcPr>
            <w:tcW w:type="dxa" w:w="1440"/>
            <w:shd w:fill="C6EFCE" w:val="clear"/>
          </w:tcPr>
          <w:p>
            <w:r>
              <w:rPr>
                <w:b/>
                <w:sz w:val="17"/>
              </w:rPr>
              <w:t>9,102</w:t>
            </w:r>
          </w:p>
        </w:tc>
        <w:tc>
          <w:tcPr>
            <w:tcW w:type="dxa" w:w="1440"/>
            <w:shd w:fill="C6EFCE" w:val="clear"/>
          </w:tcPr>
          <w:p>
            <w:r>
              <w:rPr>
                <w:sz w:val="17"/>
              </w:rPr>
              <w:t>9,896</w:t>
            </w:r>
          </w:p>
        </w:tc>
        <w:tc>
          <w:tcPr>
            <w:tcW w:type="dxa" w:w="1440"/>
            <w:shd w:fill="C6EFCE" w:val="clear"/>
          </w:tcPr>
          <w:p>
            <w:r>
              <w:rPr>
                <w:b/>
                <w:color w:val="008000"/>
                <w:sz w:val="17"/>
              </w:rPr>
              <w:t>+3.7%</w:t>
            </w:r>
          </w:p>
        </w:tc>
      </w:tr>
      <w:tr>
        <w:tc>
          <w:tcPr>
            <w:tcW w:type="dxa" w:w="1440"/>
            <w:shd w:fill="C6EFCE" w:val="clear"/>
          </w:tcPr>
          <w:p>
            <w:r>
              <w:rPr>
                <w:sz w:val="17"/>
              </w:rPr>
              <w:t>J+8  Moyenne</w:t>
            </w:r>
          </w:p>
        </w:tc>
        <w:tc>
          <w:tcPr>
            <w:tcW w:type="dxa" w:w="1440"/>
            <w:shd w:fill="C6EFCE" w:val="clear"/>
          </w:tcPr>
          <w:p>
            <w:r>
              <w:rPr>
                <w:sz w:val="17"/>
              </w:rPr>
              <w:t>2026-09-17</w:t>
            </w:r>
          </w:p>
        </w:tc>
        <w:tc>
          <w:tcPr>
            <w:tcW w:type="dxa" w:w="1440"/>
            <w:shd w:fill="C6EFCE" w:val="clear"/>
          </w:tcPr>
          <w:p>
            <w:r>
              <w:rPr>
                <w:sz w:val="17"/>
              </w:rPr>
              <w:t>8,277</w:t>
            </w:r>
          </w:p>
        </w:tc>
        <w:tc>
          <w:tcPr>
            <w:tcW w:type="dxa" w:w="1440"/>
            <w:shd w:fill="C6EFCE" w:val="clear"/>
          </w:tcPr>
          <w:p>
            <w:r>
              <w:rPr>
                <w:b/>
                <w:sz w:val="17"/>
              </w:rPr>
              <w:t>9,128</w:t>
            </w:r>
          </w:p>
        </w:tc>
        <w:tc>
          <w:tcPr>
            <w:tcW w:type="dxa" w:w="1440"/>
            <w:shd w:fill="C6EFCE" w:val="clear"/>
          </w:tcPr>
          <w:p>
            <w:r>
              <w:rPr>
                <w:sz w:val="17"/>
              </w:rPr>
              <w:t>9,980</w:t>
            </w:r>
          </w:p>
        </w:tc>
        <w:tc>
          <w:tcPr>
            <w:tcW w:type="dxa" w:w="1440"/>
            <w:shd w:fill="C6EFCE" w:val="clear"/>
          </w:tcPr>
          <w:p>
            <w:r>
              <w:rPr>
                <w:b/>
                <w:color w:val="008000"/>
                <w:sz w:val="17"/>
              </w:rPr>
              <w:t>+4.0%</w:t>
            </w:r>
          </w:p>
        </w:tc>
      </w:tr>
      <w:tr>
        <w:tc>
          <w:tcPr>
            <w:tcW w:type="dxa" w:w="1440"/>
            <w:shd w:fill="C6EFCE" w:val="clear"/>
          </w:tcPr>
          <w:p>
            <w:r>
              <w:rPr>
                <w:sz w:val="17"/>
              </w:rPr>
              <w:t>J+9  Moyenne</w:t>
            </w:r>
          </w:p>
        </w:tc>
        <w:tc>
          <w:tcPr>
            <w:tcW w:type="dxa" w:w="1440"/>
            <w:shd w:fill="C6EFCE" w:val="clear"/>
          </w:tcPr>
          <w:p>
            <w:r>
              <w:rPr>
                <w:sz w:val="17"/>
              </w:rPr>
              <w:t>2026-09-18</w:t>
            </w:r>
          </w:p>
        </w:tc>
        <w:tc>
          <w:tcPr>
            <w:tcW w:type="dxa" w:w="1440"/>
            <w:shd w:fill="C6EFCE" w:val="clear"/>
          </w:tcPr>
          <w:p>
            <w:r>
              <w:rPr>
                <w:sz w:val="17"/>
              </w:rPr>
              <w:t>8,249</w:t>
            </w:r>
          </w:p>
        </w:tc>
        <w:tc>
          <w:tcPr>
            <w:tcW w:type="dxa" w:w="1440"/>
            <w:shd w:fill="C6EFCE" w:val="clear"/>
          </w:tcPr>
          <w:p>
            <w:r>
              <w:rPr>
                <w:b/>
                <w:sz w:val="17"/>
              </w:rPr>
              <w:t>9,155</w:t>
            </w:r>
          </w:p>
        </w:tc>
        <w:tc>
          <w:tcPr>
            <w:tcW w:type="dxa" w:w="1440"/>
            <w:shd w:fill="C6EFCE" w:val="clear"/>
          </w:tcPr>
          <w:p>
            <w:r>
              <w:rPr>
                <w:sz w:val="17"/>
              </w:rPr>
              <w:t>10,061</w:t>
            </w:r>
          </w:p>
        </w:tc>
        <w:tc>
          <w:tcPr>
            <w:tcW w:type="dxa" w:w="1440"/>
            <w:shd w:fill="C6EFCE" w:val="clear"/>
          </w:tcPr>
          <w:p>
            <w:r>
              <w:rPr>
                <w:b/>
                <w:color w:val="008000"/>
                <w:sz w:val="17"/>
              </w:rPr>
              <w:t>+4.3%</w:t>
            </w:r>
          </w:p>
        </w:tc>
      </w:tr>
      <w:tr>
        <w:tc>
          <w:tcPr>
            <w:tcW w:type="dxa" w:w="1440"/>
            <w:shd w:fill="C6EFCE" w:val="clear"/>
          </w:tcPr>
          <w:p>
            <w:r>
              <w:rPr>
                <w:sz w:val="17"/>
              </w:rPr>
              <w:t>J+10  Moyenne</w:t>
            </w:r>
          </w:p>
        </w:tc>
        <w:tc>
          <w:tcPr>
            <w:tcW w:type="dxa" w:w="1440"/>
            <w:shd w:fill="C6EFCE" w:val="clear"/>
          </w:tcPr>
          <w:p>
            <w:r>
              <w:rPr>
                <w:sz w:val="17"/>
              </w:rPr>
              <w:t>2026-09-21</w:t>
            </w:r>
          </w:p>
        </w:tc>
        <w:tc>
          <w:tcPr>
            <w:tcW w:type="dxa" w:w="1440"/>
            <w:shd w:fill="C6EFCE" w:val="clear"/>
          </w:tcPr>
          <w:p>
            <w:r>
              <w:rPr>
                <w:sz w:val="17"/>
              </w:rPr>
              <w:t>8,224</w:t>
            </w:r>
          </w:p>
        </w:tc>
        <w:tc>
          <w:tcPr>
            <w:tcW w:type="dxa" w:w="1440"/>
            <w:shd w:fill="C6EFCE" w:val="clear"/>
          </w:tcPr>
          <w:p>
            <w:r>
              <w:rPr>
                <w:b/>
                <w:sz w:val="17"/>
              </w:rPr>
              <w:t>9,181</w:t>
            </w:r>
          </w:p>
        </w:tc>
        <w:tc>
          <w:tcPr>
            <w:tcW w:type="dxa" w:w="1440"/>
            <w:shd w:fill="C6EFCE" w:val="clear"/>
          </w:tcPr>
          <w:p>
            <w:r>
              <w:rPr>
                <w:sz w:val="17"/>
              </w:rPr>
              <w:t>10,139</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135,73 milliards FCFA, un niveau qui la positionne parmi les valeurs moyennes de la cote de la BRVM, lui conférant une liquidité potentiellement correcte sans être une valeur de premier plan. Le BPA de 1 003 FCFA indique que chaque action génère un bénéfice substantiel, justifiant un PER de 8,8x, inférieur à la moyenne historique de la place (~8-12x), ce qui suggère une sous-évaluation relative du titre par rapport à ses pairs. Le P/B de 0,95x est un signal fort : le marché valorise la société en dessous de sa valeur comptable, une situation qui pourrait indiquer une méfiance des investisseurs ou une opportunité de valeur. Enfin, l'EV/EBITDA de 4,3x, très inférieur au seuil de 5x, confirme que la valeur totale de l'entreprise (dette incluse) est très bon marché au regard de sa capacité à générer du cash-flow opérationnel. L'ensemble de ces ratios plaide pour une valorisation attrayante.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affiche une progression modeste de +3,29%, mais la dernière séance a subi un repli marqué de -2,44%, témoignant d'une volatilité à court terme. Le titre a évolué dans un range de trading significatif, oscillant entre un plus bas de 7 000 FCFA et un plus haut de 9 640 FCFA, démontrant une amplitude de mouvement importante sur la période. Le cours actuel de 8 780 FCFA se situe sous la moyenne (8 530 FCFA) et la médiane (8 690 FCFA), indiquant une répartition des prix légèrement asymétrique à gauche (skewness de -0,334), avec des épisodes de baisse plus marqués que les hausses. L'écart-type de 576 FCFA, pour un coefficient de variation de 6,8%, révèle une dispersion modérée des prix autour de la moyenne. Le kurtosis de -0,594 (mésokurtique) suggère une distribution des rendements proche de la normale, sans risque de variations extrêmes particulier. La volatilité annualisée de 37,3% classe le titre comme très volatil, un niveau élevé qui implique un risque substantiel pour les investisseurs, mais aussi un potentiel de gains rapides.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Les moyennes mobiles sur 20 et 50 jours (MM20=9 237,75 et MM50=8 969,0) sont toutes deux supérieures au cours actuel de 8 780 FCFA, ce qui indique une tendance baissière à court et moyen terme. Le signal global est "Achat", ce qui semble contre-intuitif, mais pourrait s'expliquer par la configuration des MM entre elles (MM20 &gt; MM50), suggérant que la tendance de fond pourrait rester haussière malgré le repli récent du prix sous ces moyennes.</w:t>
      </w:r>
    </w:p>
    <w:p>
      <w:pPr>
        <w:spacing w:after="120" w:line="276" w:lineRule="auto"/>
      </w:pPr>
      <w:r>
        <w:t>**Bandes de Bollinger**: Le cours actuel (8 780 FCFA) se situe très près de la borne inférieure des bandes (8 754,456 FCFA), indiquant que le titre est dans une zone de "survente" relative. La largeur des bandes (écart entre 9 721 et 8 754) reflète une volatilité élevée. La décision "Neutre" suggère que le marché attend un catalyseur pour sortir de cette zone, soit un rebond technique, soit une poursuite de la baisse.</w:t>
      </w:r>
    </w:p>
    <w:p>
      <w:pPr>
        <w:spacing w:after="120" w:line="276" w:lineRule="auto"/>
      </w:pPr>
      <w:r>
        <w:t>**MACD**: La valeur du MACD (24,657) est nettement inférieure à son signal (102,03), formant une divergence baissière. Cela indique un momentum négatif et une perte de vitesse de la tendance haussière. La décision "Vente" est cohérente avec cette configuration, signalant une pression vendeuse à court terme.</w:t>
      </w:r>
    </w:p>
    <w:p>
      <w:pPr>
        <w:spacing w:after="120" w:line="276" w:lineRule="auto"/>
      </w:pPr>
      <w:r>
        <w:t>**RSI**: Le RSI à 38,018 est en territoire neutre mais proche de la zone de survente (&lt;30). Cela suggère que la pression vendeuse s'atténue, mais qu'il n'y a pas encore de signal d'achat fort. La décision "Neutre" est appropriée, le marché n'étant ni suracheté ni survendu.</w:t>
      </w:r>
    </w:p>
    <w:p>
      <w:pPr>
        <w:spacing w:after="120" w:line="276" w:lineRule="auto"/>
      </w:pPr>
      <w:r>
        <w:t>**Stochastique**: Le %K à 0,0 et le %D à 9,867 sont en zone de survente extrême. Le croisement potentiel du %K au-dessus du %D pourrait générer un signal d'achat technique. La décision "Achat" est justifiée par cette situation de survente, qui précède souvent un rebond technique.</w:t>
      </w:r>
    </w:p>
    <w:p>
      <w:pPr>
        <w:spacing w:after="120" w:line="276" w:lineRule="auto"/>
      </w:pPr>
      <w:r>
        <w:t>**Conclusion technique**: Les indicateurs techniques sont mitigés, avec un MACD vendeur et un RSI neutre, mais des moyennes mobiles et un stochastique qui suggèrent un potentiel de rebond. La configuration actuelle (prix sous les MM, proche de la borne inférieure de Bollinger, et stochastique survendu) pourrait indiquer un point d'entrée intéressant pour les investisseurs à court terme, mais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(PALMCI) affiche un chiffre d'affaires de 197,630 milliards FCFA, en croissance de +14,8% par rapport à 2024, et un résultat net de 15,509 milliards FCFA, en légère baisse de -2,2% sur un an. La rentabilité des capitaux propres (ROE) ressort à 10,87%, un niveau correct mais en deçà du seuil de 15% jugé excellent, tandis que le ROA s'établit à 7,79%. La structure financière est très saine avec une autonomie financière de 71,6% et un endettement faible (ratio d'endettement de 0,56%). Cependant, le délai de paiement des clients (142,58 jours) est élevé, ce qui représente un risque de trésorerie, et le BFR est positif à 44,623 milliards FCFA, indiquant un besoin de financement de l'exploitation. Les rapports trimestriels de 2025 montrent une performance exceptionnelle au S1 (CA de 134,8 Mds, +25%), mais un net ralentissement au T3 (CA cumulé de 168,9 Mds, +18%). Le rapport du T1 2026 (daté de 2026) est alarmant avec un CA en chute de 27% et un résultat net en effondrement de 86% à 1,6 milliard FCFA, que la direction attribue à un décalage temporel des ventes. En croisant ces données, on estime que l'exercice 2026 pourrait être difficile, avec un résultat net potentiellement en forte baisse par rapport à 2025, sauf si le redressement annoncé par la direction se concrétise. La solidité du bilan et la génération de cash-flow opérationnel (38,7 Mds) restent des atouts majeurs face à ces défis conjoncturels.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est indéniablement attractive (PER de 8,8x, P/B de 0,95x, EV/EBITDA de 4,3x), signalant une sous-évaluation potentielle. Le comportement du cours sur 100 jours montre une tendance haussière modérée mais une volatilité élevée (37,3%), avec des statistiques (kurtosis, skewness) indiquant une distribution normale sans risque de krach majeur. Les signaux techniques sont contradictoires : un MACD vendeur et un prix sous les MM, contre un stochastique en survente extrême qui plaide pour un rebond. Les fondamentaux de 2025 sont solides (CA en croissance, bilan sain), mais les perspectives 2026 sont assombries par le très mauvais T1 2026, créant une incertitude majeure. Les prédictions IA pour les 10 prochains jours (8 967 à 9 049 FCFA) suggèrent une stabilisation et un léger rebond, contredisant la chute récente et confirmant le potentiel de rebond technique. En synthèse, la convergence entre la sous-évaluation, les signaux de survente technique et les prédictions IA, malgré des fondamentaux en apparence dégradés, nous amène à formuler une recommandation **CONSERVER**. Le niveau de confiance est **Moyen** et le risque global est **Élevé** en raison de la volatilité et de l'incertitude sur les résultats 2026. L'horizon d'investissement optimal serait de **moyen terme (3-12 mois)**, en attendant de voir si le redressement annoncé par la direction se matérialise dans les prochains trimestres.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870 titres</w:t>
            </w:r>
          </w:p>
        </w:tc>
        <w:tc>
          <w:tcPr>
            <w:tcW w:type="dxa" w:w="2268"/>
            <w:shd w:fill="FFF2CC" w:val="clear"/>
          </w:tcPr>
          <w:p>
            <w:r>
              <w:rPr>
                <w:b/>
                <w:color w:val="503200"/>
                <w:sz w:val="16"/>
              </w:rPr>
              <w:t xml:space="preserve">Cours actuel : </w:t>
            </w:r>
            <w:r>
              <w:rPr>
                <w:color w:val="000000"/>
                <w:sz w:val="17"/>
              </w:rPr>
              <w:t>4,350 FCFA</w:t>
            </w:r>
          </w:p>
          <w:p>
            <w:r>
              <w:rPr>
                <w:b/>
                <w:color w:val="503200"/>
                <w:sz w:val="16"/>
              </w:rPr>
              <w:t xml:space="preserve">Var. 100 jours : </w:t>
            </w:r>
            <w:r>
              <w:rPr>
                <w:b/>
                <w:color w:val="B40000"/>
                <w:sz w:val="17"/>
              </w:rPr>
              <w:t>-11.22%</w:t>
            </w:r>
          </w:p>
          <w:p>
            <w:r>
              <w:rPr>
                <w:b/>
                <w:color w:val="503200"/>
                <w:sz w:val="16"/>
              </w:rPr>
              <w:t xml:space="preserve">Plus haut 100j : </w:t>
            </w:r>
            <w:r>
              <w:rPr>
                <w:color w:val="000000"/>
                <w:sz w:val="17"/>
              </w:rPr>
              <w:t>5,000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μ=4,413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β=-0.2082 (Contre-cyclique) — Cov=-0.000008, Var(idx)=0.000037, ρ=-0.052,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4,243</w:t>
            </w:r>
          </w:p>
        </w:tc>
        <w:tc>
          <w:tcPr>
            <w:tcW w:type="dxa" w:w="1440"/>
            <w:shd w:fill="FAFAFA" w:val="clear"/>
          </w:tcPr>
          <w:p>
            <w:r>
              <w:rPr>
                <w:b/>
                <w:sz w:val="17"/>
              </w:rPr>
              <w:t>4,323</w:t>
            </w:r>
          </w:p>
        </w:tc>
        <w:tc>
          <w:tcPr>
            <w:tcW w:type="dxa" w:w="1440"/>
            <w:shd w:fill="FAFAFA" w:val="clear"/>
          </w:tcPr>
          <w:p>
            <w:r>
              <w:rPr>
                <w:sz w:val="17"/>
              </w:rPr>
              <w:t>4,404</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4,191</w:t>
            </w:r>
          </w:p>
        </w:tc>
        <w:tc>
          <w:tcPr>
            <w:tcW w:type="dxa" w:w="1440"/>
            <w:shd w:fill="FAFAFA" w:val="clear"/>
          </w:tcPr>
          <w:p>
            <w:r>
              <w:rPr>
                <w:b/>
                <w:sz w:val="17"/>
              </w:rPr>
              <w:t>4,304</w:t>
            </w:r>
          </w:p>
        </w:tc>
        <w:tc>
          <w:tcPr>
            <w:tcW w:type="dxa" w:w="1440"/>
            <w:shd w:fill="FAFAFA" w:val="clear"/>
          </w:tcPr>
          <w:p>
            <w:r>
              <w:rPr>
                <w:sz w:val="17"/>
              </w:rPr>
              <w:t>4,418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2026-09-10</w:t>
            </w:r>
          </w:p>
        </w:tc>
        <w:tc>
          <w:tcPr>
            <w:tcW w:type="dxa" w:w="1440"/>
            <w:shd w:fill="FAFAFA" w:val="clear"/>
          </w:tcPr>
          <w:p>
            <w:r>
              <w:rPr>
                <w:sz w:val="17"/>
              </w:rPr>
              <w:t>4,146</w:t>
            </w:r>
          </w:p>
        </w:tc>
        <w:tc>
          <w:tcPr>
            <w:tcW w:type="dxa" w:w="1440"/>
            <w:shd w:fill="FAFAFA" w:val="clear"/>
          </w:tcPr>
          <w:p>
            <w:r>
              <w:rPr>
                <w:b/>
                <w:sz w:val="17"/>
              </w:rPr>
              <w:t>4,285</w:t>
            </w:r>
          </w:p>
        </w:tc>
        <w:tc>
          <w:tcPr>
            <w:tcW w:type="dxa" w:w="1440"/>
            <w:shd w:fill="FAFAFA" w:val="clear"/>
          </w:tcPr>
          <w:p>
            <w:r>
              <w:rPr>
                <w:sz w:val="17"/>
              </w:rPr>
              <w:t>4,423</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2026-09-11</w:t>
            </w:r>
          </w:p>
        </w:tc>
        <w:tc>
          <w:tcPr>
            <w:tcW w:type="dxa" w:w="1440"/>
            <w:shd w:fill="FAFAFA" w:val="clear"/>
          </w:tcPr>
          <w:p>
            <w:r>
              <w:rPr>
                <w:sz w:val="17"/>
              </w:rPr>
              <w:t>4,107</w:t>
            </w:r>
          </w:p>
        </w:tc>
        <w:tc>
          <w:tcPr>
            <w:tcW w:type="dxa" w:w="1440"/>
            <w:shd w:fill="FAFAFA" w:val="clear"/>
          </w:tcPr>
          <w:p>
            <w:r>
              <w:rPr>
                <w:b/>
                <w:sz w:val="17"/>
              </w:rPr>
              <w:t>4,266</w:t>
            </w:r>
          </w:p>
        </w:tc>
        <w:tc>
          <w:tcPr>
            <w:tcW w:type="dxa" w:w="1440"/>
            <w:shd w:fill="FAFAFA" w:val="clear"/>
          </w:tcPr>
          <w:p>
            <w:r>
              <w:rPr>
                <w:sz w:val="17"/>
              </w:rPr>
              <w:t>4,425</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4,070</w:t>
            </w:r>
          </w:p>
        </w:tc>
        <w:tc>
          <w:tcPr>
            <w:tcW w:type="dxa" w:w="1440"/>
            <w:shd w:fill="FFDCE0" w:val="clear"/>
          </w:tcPr>
          <w:p>
            <w:r>
              <w:rPr>
                <w:b/>
                <w:sz w:val="17"/>
              </w:rPr>
              <w:t>4,247</w:t>
            </w:r>
          </w:p>
        </w:tc>
        <w:tc>
          <w:tcPr>
            <w:tcW w:type="dxa" w:w="1440"/>
            <w:shd w:fill="FFDCE0" w:val="clear"/>
          </w:tcPr>
          <w:p>
            <w:r>
              <w:rPr>
                <w:sz w:val="17"/>
              </w:rPr>
              <w:t>4,424</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4,035</w:t>
            </w:r>
          </w:p>
        </w:tc>
        <w:tc>
          <w:tcPr>
            <w:tcW w:type="dxa" w:w="1440"/>
            <w:shd w:fill="FFDCE0" w:val="clear"/>
          </w:tcPr>
          <w:p>
            <w:r>
              <w:rPr>
                <w:b/>
                <w:sz w:val="17"/>
              </w:rPr>
              <w:t>4,228</w:t>
            </w:r>
          </w:p>
        </w:tc>
        <w:tc>
          <w:tcPr>
            <w:tcW w:type="dxa" w:w="1440"/>
            <w:shd w:fill="FFDCE0" w:val="clear"/>
          </w:tcPr>
          <w:p>
            <w:r>
              <w:rPr>
                <w:sz w:val="17"/>
              </w:rPr>
              <w:t>4,421</w:t>
            </w:r>
          </w:p>
        </w:tc>
        <w:tc>
          <w:tcPr>
            <w:tcW w:type="dxa" w:w="1440"/>
            <w:shd w:fill="FFDCE0" w:val="clear"/>
          </w:tcPr>
          <w:p>
            <w:r>
              <w:rPr>
                <w:b/>
                <w:color w:val="C00000"/>
                <w:sz w:val="17"/>
              </w:rPr>
              <w:t>-2.8%</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4,003</w:t>
            </w:r>
          </w:p>
        </w:tc>
        <w:tc>
          <w:tcPr>
            <w:tcW w:type="dxa" w:w="1440"/>
            <w:shd w:fill="FFDCE0" w:val="clear"/>
          </w:tcPr>
          <w:p>
            <w:r>
              <w:rPr>
                <w:b/>
                <w:sz w:val="17"/>
              </w:rPr>
              <w:t>4,210</w:t>
            </w:r>
          </w:p>
        </w:tc>
        <w:tc>
          <w:tcPr>
            <w:tcW w:type="dxa" w:w="1440"/>
            <w:shd w:fill="FFDCE0" w:val="clear"/>
          </w:tcPr>
          <w:p>
            <w:r>
              <w:rPr>
                <w:sz w:val="17"/>
              </w:rPr>
              <w:t>4,418</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3,972</w:t>
            </w:r>
          </w:p>
        </w:tc>
        <w:tc>
          <w:tcPr>
            <w:tcW w:type="dxa" w:w="1440"/>
            <w:shd w:fill="FFDCE0" w:val="clear"/>
          </w:tcPr>
          <w:p>
            <w:r>
              <w:rPr>
                <w:b/>
                <w:sz w:val="17"/>
              </w:rPr>
              <w:t>4,193</w:t>
            </w:r>
          </w:p>
        </w:tc>
        <w:tc>
          <w:tcPr>
            <w:tcW w:type="dxa" w:w="1440"/>
            <w:shd w:fill="FFDCE0" w:val="clear"/>
          </w:tcPr>
          <w:p>
            <w:r>
              <w:rPr>
                <w:sz w:val="17"/>
              </w:rPr>
              <w:t>4,414</w:t>
            </w:r>
          </w:p>
        </w:tc>
        <w:tc>
          <w:tcPr>
            <w:tcW w:type="dxa" w:w="1440"/>
            <w:shd w:fill="FFDCE0" w:val="clear"/>
          </w:tcPr>
          <w:p>
            <w:r>
              <w:rPr>
                <w:b/>
                <w:color w:val="C00000"/>
                <w:sz w:val="17"/>
              </w:rPr>
              <w:t>-3.6%</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3,942</w:t>
            </w:r>
          </w:p>
        </w:tc>
        <w:tc>
          <w:tcPr>
            <w:tcW w:type="dxa" w:w="1440"/>
            <w:shd w:fill="FFDCE0" w:val="clear"/>
          </w:tcPr>
          <w:p>
            <w:r>
              <w:rPr>
                <w:b/>
                <w:sz w:val="17"/>
              </w:rPr>
              <w:t>4,175</w:t>
            </w:r>
          </w:p>
        </w:tc>
        <w:tc>
          <w:tcPr>
            <w:tcW w:type="dxa" w:w="1440"/>
            <w:shd w:fill="FFDCE0" w:val="clear"/>
          </w:tcPr>
          <w:p>
            <w:r>
              <w:rPr>
                <w:sz w:val="17"/>
              </w:rPr>
              <w:t>4,409</w:t>
            </w:r>
          </w:p>
        </w:tc>
        <w:tc>
          <w:tcPr>
            <w:tcW w:type="dxa" w:w="1440"/>
            <w:shd w:fill="FFDCE0" w:val="clear"/>
          </w:tcPr>
          <w:p>
            <w:r>
              <w:rPr>
                <w:b/>
                <w:color w:val="C00000"/>
                <w:sz w:val="17"/>
              </w:rPr>
              <w:t>-4.0%</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3,913</w:t>
            </w:r>
          </w:p>
        </w:tc>
        <w:tc>
          <w:tcPr>
            <w:tcW w:type="dxa" w:w="1440"/>
            <w:shd w:fill="FFDCE0" w:val="clear"/>
          </w:tcPr>
          <w:p>
            <w:r>
              <w:rPr>
                <w:b/>
                <w:sz w:val="17"/>
              </w:rPr>
              <w:t>4,158</w:t>
            </w:r>
          </w:p>
        </w:tc>
        <w:tc>
          <w:tcPr>
            <w:tcW w:type="dxa" w:w="1440"/>
            <w:shd w:fill="FFDCE0" w:val="clear"/>
          </w:tcPr>
          <w:p>
            <w:r>
              <w:rPr>
                <w:sz w:val="17"/>
              </w:rPr>
              <w:t>4,403</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07 septembre 2026**</w:t>
        <w:br/>
        <w:t>**Marché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44,54 milliards FCFA, ce qui positionne la société comme une valeur de taille moyenne sur la BRVM, représentant un distributeur automobile de premier plan en Côte d'Ivoire. Avec un BPA de 231 FCFA, le titre se négocie à un PER de 18,8x, nettement supérieur à la moyenne historique de la BRVM (8-12x). Les investisseurs paient donc une prime significative pour les bénéfices de la société, ce qui suggère des attentes de croissance élevées ou une prime de liquidité. Le P/B de 3,86x confirme cette lecture, le marché valorisant l'actif net comptable à près de quatre fois sa valeur, ce qui est typique des sociétés bénéficiant d'une forte rentabilité des capitaux propres (ROE de 20,5%). Enfin, un EV/EBITDA de 9,6x, dans la fourchette haute des standards de la place, indique que la valeur totale de l'entreprise (dette incluse) reste raisonnable par rapport à sa capacité opérationnelle, mais ne présente pas de décote évidente.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subi une correction marquée de -11,22%, passant sous la barre des 4 400 FCFA, avec une dernière séance stable (+0,00%). Le titre a évolué dans une fourchette large de 3 620 FCFA (plus bas) à 5 000 FCFA (plus haut), illustrant une volatilité importante. La moyenne (4 413 FCFA) est inférieure à la médiane (4 470 FCFA), et le skewness négatif (-0,818) confirme une asymétrie avec des baisses plus fréquentes et plus prononcées que les hausses. L'écart-type de 323 FCFA (CV de 7,3%) indique une dispersion modérée autour de la moyenne, tandis que le kurtosis de 0,514 (mésokurtique) suggère une distribution des rendements proche de la normale, sans risque de variations extrêmes particulier. La volatilité annualisée de 38,6% est élevée (&gt;30%), signe d'un titre spéculatif à court terme, mais la tendance générale sur la période est clairement baissière, le cours ayant perdu plus de 11% de sa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(4 350 FCFA) est inférieur à la MM20 (4 446,25 FCFA) et à la MM50 (4 482,1 FCFA). La configuration des MM, avec le prix sous les deux moyennes, confirme une tendance baissière à court et moyen terme. Le signal de "Vente" est justifié, car les moyennes agissent désormais comme des résistances dynamiques, et tout rebond technique pourrait être limité par ces niveaux.</w:t>
      </w:r>
    </w:p>
    <w:p>
      <w:pPr>
        <w:spacing w:after="120" w:line="276" w:lineRule="auto"/>
      </w:pPr>
      <w:r>
        <w:t>**Bandes de Bollinger :** Le prix (4 350 FCFA) se situe près de la borne inférieure (4 332,28 FCFA) et sous la moyenne mobile (4 446,25 FCFA). La décision "Neutre" est cohérente avec une position en limite de bande, ce qui peut indiquer une condition de survente à court terme. Cependant, l'absence d'élargissement des bandes suggère une volatilité modérée, et un rebond technique est possible, mais non confirmé tant que le prix ne repasse pas au-dessus de la borne médiane.</w:t>
      </w:r>
    </w:p>
    <w:p>
      <w:pPr>
        <w:spacing w:after="120" w:line="276" w:lineRule="auto"/>
      </w:pPr>
      <w:r>
        <w:t>**MACD :** Le MACD (-22,13) est négatif et inférieur à sa ligne de signal (-8,04), ce qui génère un signal de "Vente". Cette configuration indique un momentum baissier persistant. La divergence négative entre le MACD et le signal montre que la pression vendeuse reste dominante, et il n'y a pas encore de signe de retournement haussier, car l'écart entre les deux lignes ne se réduit pas significativement.</w:t>
      </w:r>
    </w:p>
    <w:p>
      <w:pPr>
        <w:spacing w:after="120" w:line="276" w:lineRule="auto"/>
      </w:pPr>
      <w:r>
        <w:t>**RSI :** Le RSI à 40,2 est en zone neutre (30-70), mais proche de la zone de survente. La décision "Neutre" est appropriée. Le RSI n'est pas encore en territoire de survente (&lt;30), ce qui signifie que le potentiel de baisse n'est pas totalement épuisé. Les acheteurs ne montrent pas de signe de domination, mais la pression vendeuse semble également perdre de l'intensité, laissant place à une possible stabilisation.</w:t>
      </w:r>
    </w:p>
    <w:p>
      <w:pPr>
        <w:spacing w:after="120" w:line="276" w:lineRule="auto"/>
      </w:pPr>
      <w:r>
        <w:t>**Stochastique :** Le %K et le %D sont à 0,0, un niveau extrême de survente. La décision "Achat" est un signal fort de retournement potentiel. Un tel niveau indique que le prix a clôturé à son plus bas sur la période de référence, ce qui précède souvent un rebond technique. Ce signal est le plus haussier parmi les indicateurs analysés, mais il doit être confirmé par un croisement à la hausse du %K au-dessus du %D.</w:t>
      </w:r>
    </w:p>
    <w:p>
      <w:pPr>
        <w:spacing w:after="120" w:line="276" w:lineRule="auto"/>
      </w:pPr>
      <w:r>
        <w:t>**Conclusion technique :** La convergence des indicateurs est globalement baissière à court terme, avec les moyennes mobiles et le MACD en signal de vente. Cependant, les oscillateurs (RSI et surtout Stochastique) montrent des signes de survente extrême, suggérant un potentiel de rebond technique imminent. Le scénario le plus probable est une stabilisation ou un léger rebond à très court terme, mais la tendance de fond reste baissière tant que le cours n'aura pas repris la MM20 à 4 446 FCFA.</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hausse de 9,5% par rapport à 2024 (74,45 Mds), confirmant une dynamique commerciale positive. Le résultat net s'établit à 2,367 milliards FCFA, en légère hausse par rapport aux 2,177 Mds de 2024, mais la marge nette reste faible à 2,92%. La rentabilité des capitaux propres (ROE) est excellente à 20,53%, tandis que le ROA est de 4,95%. En tant qu'entreprise de distribution, l'analyse du BFR est cruciale : le BFR est positif à 11,267 Mds FCFA, ce qui est défavorable et reflète un besoin de financement important. Le délai de stockage est très élevé (150,5 jours), indiquant une immobilisation de capital, et le délai client de 46 jours est compensé par un délai fournisseur de 102,6 jours, ce qui est un point positif pour la trésorerie. La structure financière montre un endettement total de 314,8% des capitaux propres, mais la capacité de remboursement est correcte (1,83 an). Les rapports du S1 2025 (daté du 30/06/2025) indiquaient une performance exceptionnelle avec un CA en hausse de 15,1% et un résultat net multiplié par 28, mais la direction anticipait un ralentissement au S2 dû au contexte électoral. Sur la base de ces données, on estime que la croissance du CA devrait se poursuivre en 2026, mais la pression sur les marges et la gestion du BFR resteront des défis majeurs. La société a annoncé un dividende de 209 FCFA par action pour 2025, offrant un rendement d'environ 4,8%, ce qui est attractif pour les actionnaires.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 profil contrasté. La valorisation (PER de 18,8x et P/B de 3,86x) est exigeante, ne laissant que peu de marge de sécurité pour une société dont la marge nette est structurellement faible. Le comportement du cours est préoccupant avec une tendance baissière de -11,2% sur 100 jours et une volatilité élevée de 38,6%. Les signaux techniques sont majoritairement vendeurs (MM, MACD) mais montrent des signes de survente extrême (Stochastique), suggérant un rebond technique possible. Les fondamentaux, bien qu'en amélioration (CA +9,5%, ROE &gt;20%), sont assombris par un BFR lourd et des marges opérationnelles sous pression. Les prédictions IA pour les 10 prochains jours (baisse continue vers 4 247 FCFA) confirment la faiblesse technique à court terme. En conclusion, la convergence des signaux (technique baissier, valorisation élevée, prédictions IA négatives) contrebalance des fondamentaux corrects mais non exceptionnels. Nous recommandons donc une position de **CONSERVER**, avec un niveau de confiance **Moyen**. Le risque global est **Élevé** en raison de la volatilité et de la pression sur les marges. L'horizon d'investissement optimal serait de **moyen terme (3-12 mois)**, en attendant une amélioration de la structure financière et une stabilisation du cours sous les 4 400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8,118 titres</w:t>
            </w:r>
          </w:p>
        </w:tc>
        <w:tc>
          <w:tcPr>
            <w:tcW w:type="dxa" w:w="2268"/>
            <w:shd w:fill="FFF2CC" w:val="clear"/>
          </w:tcPr>
          <w:p>
            <w:r>
              <w:rPr>
                <w:b/>
                <w:color w:val="503200"/>
                <w:sz w:val="16"/>
              </w:rPr>
              <w:t xml:space="preserve">Cours actuel : </w:t>
            </w:r>
            <w:r>
              <w:rPr>
                <w:color w:val="000000"/>
                <w:sz w:val="17"/>
              </w:rPr>
              <w:t>6,035 FCFA</w:t>
            </w:r>
          </w:p>
          <w:p>
            <w:r>
              <w:rPr>
                <w:b/>
                <w:color w:val="503200"/>
                <w:sz w:val="16"/>
              </w:rPr>
              <w:t xml:space="preserve">Var. 100 jours : </w:t>
            </w:r>
            <w:r>
              <w:rPr>
                <w:b/>
                <w:color w:val="B40000"/>
                <w:sz w:val="17"/>
              </w:rPr>
              <w:t>-18.39%</w:t>
            </w:r>
          </w:p>
          <w:p>
            <w:r>
              <w:rPr>
                <w:b/>
                <w:color w:val="503200"/>
                <w:sz w:val="16"/>
              </w:rPr>
              <w:t xml:space="preserve">Plus haut 100j : </w:t>
            </w:r>
            <w:r>
              <w:rPr>
                <w:color w:val="000000"/>
                <w:sz w:val="17"/>
              </w:rPr>
              <w:t>7,395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19.26% (Élevée) — μ=4,662 FCFA, σ=898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β=0.3958 (Défensif) — Cov=0.000014, Var(idx)=0.000037, ρ=0.046,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8,118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5,254</w:t>
            </w:r>
          </w:p>
        </w:tc>
        <w:tc>
          <w:tcPr>
            <w:tcW w:type="dxa" w:w="1440"/>
            <w:shd w:fill="FFDCE0" w:val="clear"/>
          </w:tcPr>
          <w:p>
            <w:r>
              <w:rPr>
                <w:b/>
                <w:sz w:val="17"/>
              </w:rPr>
              <w:t>5,582</w:t>
            </w:r>
          </w:p>
        </w:tc>
        <w:tc>
          <w:tcPr>
            <w:tcW w:type="dxa" w:w="1440"/>
            <w:shd w:fill="FFDCE0" w:val="clear"/>
          </w:tcPr>
          <w:p>
            <w:r>
              <w:rPr>
                <w:sz w:val="17"/>
              </w:rPr>
              <w:t>5,911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4,734</w:t>
            </w:r>
          </w:p>
        </w:tc>
        <w:tc>
          <w:tcPr>
            <w:tcW w:type="dxa" w:w="1440"/>
            <w:shd w:fill="FFDCE0" w:val="clear"/>
          </w:tcPr>
          <w:p>
            <w:r>
              <w:rPr>
                <w:b/>
                <w:sz w:val="17"/>
              </w:rPr>
              <w:t>5,164</w:t>
            </w:r>
          </w:p>
        </w:tc>
        <w:tc>
          <w:tcPr>
            <w:tcW w:type="dxa" w:w="1440"/>
            <w:shd w:fill="FFDCE0" w:val="clear"/>
          </w:tcPr>
          <w:p>
            <w:r>
              <w:rPr>
                <w:sz w:val="17"/>
              </w:rPr>
              <w:t>5,594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4,289</w:t>
            </w:r>
          </w:p>
        </w:tc>
        <w:tc>
          <w:tcPr>
            <w:tcW w:type="dxa" w:w="1440"/>
            <w:shd w:fill="FFDCE0" w:val="clear"/>
          </w:tcPr>
          <w:p>
            <w:r>
              <w:rPr>
                <w:b/>
                <w:sz w:val="17"/>
              </w:rPr>
              <w:t>4,776</w:t>
            </w:r>
          </w:p>
        </w:tc>
        <w:tc>
          <w:tcPr>
            <w:tcW w:type="dxa" w:w="1440"/>
            <w:shd w:fill="FFDCE0" w:val="clear"/>
          </w:tcPr>
          <w:p>
            <w:r>
              <w:rPr>
                <w:sz w:val="17"/>
              </w:rPr>
              <w:t>5,264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3,898</w:t>
            </w:r>
          </w:p>
        </w:tc>
        <w:tc>
          <w:tcPr>
            <w:tcW w:type="dxa" w:w="1440"/>
            <w:shd w:fill="FFDCE0" w:val="clear"/>
          </w:tcPr>
          <w:p>
            <w:r>
              <w:rPr>
                <w:b/>
                <w:sz w:val="17"/>
              </w:rPr>
              <w:t>4,418</w:t>
            </w:r>
          </w:p>
        </w:tc>
        <w:tc>
          <w:tcPr>
            <w:tcW w:type="dxa" w:w="1440"/>
            <w:shd w:fill="FFDCE0" w:val="clear"/>
          </w:tcPr>
          <w:p>
            <w:r>
              <w:rPr>
                <w:sz w:val="17"/>
              </w:rPr>
              <w:t>4,939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3,549</w:t>
            </w:r>
          </w:p>
        </w:tc>
        <w:tc>
          <w:tcPr>
            <w:tcW w:type="dxa" w:w="1440"/>
            <w:shd w:fill="FFDCE0" w:val="clear"/>
          </w:tcPr>
          <w:p>
            <w:r>
              <w:rPr>
                <w:b/>
                <w:sz w:val="17"/>
              </w:rPr>
              <w:t>4,087</w:t>
            </w:r>
          </w:p>
        </w:tc>
        <w:tc>
          <w:tcPr>
            <w:tcW w:type="dxa" w:w="1440"/>
            <w:shd w:fill="FFDCE0" w:val="clear"/>
          </w:tcPr>
          <w:p>
            <w:r>
              <w:rPr>
                <w:sz w:val="17"/>
              </w:rPr>
              <w:t>4,625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3,235</w:t>
            </w:r>
          </w:p>
        </w:tc>
        <w:tc>
          <w:tcPr>
            <w:tcW w:type="dxa" w:w="1440"/>
            <w:shd w:fill="FFDCE0" w:val="clear"/>
          </w:tcPr>
          <w:p>
            <w:r>
              <w:rPr>
                <w:b/>
                <w:sz w:val="17"/>
              </w:rPr>
              <w:t>3,780</w:t>
            </w:r>
          </w:p>
        </w:tc>
        <w:tc>
          <w:tcPr>
            <w:tcW w:type="dxa" w:w="1440"/>
            <w:shd w:fill="FFDCE0" w:val="clear"/>
          </w:tcPr>
          <w:p>
            <w:r>
              <w:rPr>
                <w:sz w:val="17"/>
              </w:rPr>
              <w:t>4,326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2,952</w:t>
            </w:r>
          </w:p>
        </w:tc>
        <w:tc>
          <w:tcPr>
            <w:tcW w:type="dxa" w:w="1440"/>
            <w:shd w:fill="FFDCE0" w:val="clear"/>
          </w:tcPr>
          <w:p>
            <w:r>
              <w:rPr>
                <w:b/>
                <w:sz w:val="17"/>
              </w:rPr>
              <w:t>3,497</w:t>
            </w:r>
          </w:p>
        </w:tc>
        <w:tc>
          <w:tcPr>
            <w:tcW w:type="dxa" w:w="1440"/>
            <w:shd w:fill="FFDCE0" w:val="clear"/>
          </w:tcPr>
          <w:p>
            <w:r>
              <w:rPr>
                <w:sz w:val="17"/>
              </w:rPr>
              <w:t>4,042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2,696</w:t>
            </w:r>
          </w:p>
        </w:tc>
        <w:tc>
          <w:tcPr>
            <w:tcW w:type="dxa" w:w="1440"/>
            <w:shd w:fill="FFDCE0" w:val="clear"/>
          </w:tcPr>
          <w:p>
            <w:r>
              <w:rPr>
                <w:b/>
                <w:sz w:val="17"/>
              </w:rPr>
              <w:t>3,235</w:t>
            </w:r>
          </w:p>
        </w:tc>
        <w:tc>
          <w:tcPr>
            <w:tcW w:type="dxa" w:w="1440"/>
            <w:shd w:fill="FFDCE0" w:val="clear"/>
          </w:tcPr>
          <w:p>
            <w:r>
              <w:rPr>
                <w:sz w:val="17"/>
              </w:rPr>
              <w:t>3,773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2,463</w:t>
            </w:r>
          </w:p>
        </w:tc>
        <w:tc>
          <w:tcPr>
            <w:tcW w:type="dxa" w:w="1440"/>
            <w:shd w:fill="FFDCE0" w:val="clear"/>
          </w:tcPr>
          <w:p>
            <w:r>
              <w:rPr>
                <w:b/>
                <w:sz w:val="17"/>
              </w:rPr>
              <w:t>2,992</w:t>
            </w:r>
          </w:p>
        </w:tc>
        <w:tc>
          <w:tcPr>
            <w:tcW w:type="dxa" w:w="1440"/>
            <w:shd w:fill="FFDCE0" w:val="clear"/>
          </w:tcPr>
          <w:p>
            <w:r>
              <w:rPr>
                <w:sz w:val="17"/>
              </w:rPr>
              <w:t>3,521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2,252</w:t>
            </w:r>
          </w:p>
        </w:tc>
        <w:tc>
          <w:tcPr>
            <w:tcW w:type="dxa" w:w="1440"/>
            <w:shd w:fill="FFDCE0" w:val="clear"/>
          </w:tcPr>
          <w:p>
            <w:r>
              <w:rPr>
                <w:b/>
                <w:sz w:val="17"/>
              </w:rPr>
              <w:t>2,768</w:t>
            </w:r>
          </w:p>
        </w:tc>
        <w:tc>
          <w:tcPr>
            <w:tcW w:type="dxa" w:w="1440"/>
            <w:shd w:fill="FFDCE0" w:val="clear"/>
          </w:tcPr>
          <w:p>
            <w:r>
              <w:rPr>
                <w:sz w:val="17"/>
              </w:rPr>
              <w:t>3,283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07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49,00 milliards FCFA, un niveau modeste dans l'écosystème de la BRVM, reflétant la taille encore limitée de l'établissement financier. Le BPA de 86 FCFA par action, bien que positif après plusieurs années de pertes, reste faible en valeur absolue. Le PER de 69,9x est extrêmement élevé par rapport à la moyenne historique de la BRVM (8-12x), indiquant que les investisseurs paient une prime considérable pour chaque franc de bénéfice, anticipant probablement une forte croissance future. Le P/B de 8,28x confirme cette valorisation exigeante, le marché valorisant l'actif net comptable plus de huit fois au-dessus de sa valeur. Enfin, l'EV/EBITDA de 82,7x est également très élevé, signalant que la valeur totale de l'entreprise (dette incluse) est disproportionnée par rapport à sa capacité opérationnelle actuelle. Ces ratios suggèrent une valorisation très optimiste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baisse significative de -18,39%, avec une dernière séance en repli de -0,58% à 6 035 FCFA. Le cours a évolué dans une fourchette extrêmement large, oscillant entre un plus bas de 3 340 FCFA et un plus haut de 7 395 FCFA, illustrant une volatilité extrême. La moyenne sur la période est de 4 662 FCFA, supérieure à la médiane de 4 505 FCFA, ce qui, combiné à un skewness positif de 0,607, indique une distribution asymétrique avec des journées plus fréquentes sous la moyenne mais quelques fortes hausses ponctuelles. L'écart-type de 902 FCFA (CV=19,4%) témoigne d'une dispersion importante, tandis que le kurtosis de -0,444 suggère une distribution mésokurtique, sans risque de pics excessifs. La volatilité annualisée de 82,2% est extrêmement élevée, classant ce titre parmi les plus risqués de la place, reflétant des phases de spéculation intense, probablement liées à l'augmentation de capital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à 5 711,5 FCFA et la MM50 à 5 081,0 FCFA sont toutes deux inférieures au cours actuel de 6 035 FCFA, configurant une tendance haussière à moyen terme. Le signal d'achat est justifié par cette configuration positive où le cours évolue au-dessus de ses moyennes mobiles, indiquant un momentum haussier malgré la correction récente.</w:t>
      </w:r>
    </w:p>
    <w:p>
      <w:pPr>
        <w:spacing w:after="120" w:line="276" w:lineRule="auto"/>
      </w:pPr>
      <w:r>
        <w:t>**Bandes de Bollinger :** Le cours se situe à 6 035 FCFA, dans la partie supérieure de l'enveloppe comprise entre 5 005,7 FCFA et 6 417,3 FCFA. La décision neutre s'explique par une position du prix proche de la borne supérieure sans la toucher, suggérant une volatilité modérée sans signal de surachat ou de survente imminent.</w:t>
      </w:r>
    </w:p>
    <w:p>
      <w:pPr>
        <w:spacing w:after="120" w:line="276" w:lineRule="auto"/>
      </w:pPr>
      <w:r>
        <w:t>**MACD :** Avec une valeur de 286,8 contre un signal à 299,2, le MACD est passé sous sa ligne de signal, générant un signal de vente. Cette divergence récente indique un ralentissement du momentum haussier, pouvant précéder une consolidation ou un repli à court terme.</w:t>
      </w:r>
    </w:p>
    <w:p>
      <w:pPr>
        <w:spacing w:after="120" w:line="276" w:lineRule="auto"/>
      </w:pPr>
      <w:r>
        <w:t>**RSI :** Le RSI à 60,1 se situe en zone neutre (30-70), sans signal de surachat ni de survente. Cette valeur suggère que le titre dispose encore de potentiel haussier sans être survendu, mais également qu'il n'est pas en situation de surachat extrême.</w:t>
      </w:r>
    </w:p>
    <w:p>
      <w:pPr>
        <w:spacing w:after="120" w:line="276" w:lineRule="auto"/>
      </w:pPr>
      <w:r>
        <w:t>**Stochastique :** Le %K à 72,0 et le %D à 60,7 indiquent une dynamique positive sans être en zone de surachat. La décision neutre reflète une configuration où l'oscillateur rapide est au-dessus du lent, suggérant une poursuite possible de la tendance sans signal fort.</w:t>
      </w:r>
    </w:p>
    <w:p>
      <w:pPr>
        <w:spacing w:after="120" w:line="276" w:lineRule="auto"/>
      </w:pPr>
      <w:r>
        <w:t>**Conclusion technique :** Les indicateurs sont mitigés avec une prédominance de signaux neutres. Les moyennes mobiles plaident pour une tendance haussière, mais le MACD suggère un essoufflement. La prudence est de mise, le titre semblant en phase de consolidation après une forte progression.</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Produit Net Bancaire de 5,735 milliards FCFA, en hausse de 44,1% par rapport à 2024 (3,980 milliards FCFA), et un résultat net positif de 701 millions FCFA contre une perte de 165 millions en 2024. La marge nette s'établit à 12,2%, le ROE à 11,85% et le ROA à 0,88%. Le coefficient d'exploitation de 77,6% reste élevé, indiquant une efficacité opérationnelle perfectible. Le coût du risque à 6,57% des charges financières demeure significatif, reflétant un portefeuille encore fragile. La structure de bilan montre une autonomie financière faible (7,4%) avec une dépendance marquée aux dettes interbancaires (35,7 milliards FCFA). Les rapports trimestriels 2026 confirment la dynamique : au T1 2026, le PNB progresse de 29% à 1,395 milliard FCFA et le résultat net bondit de 1062% à 151 millions FCFA. Au S1 2026, le PNB atteint 2,907 milliards FCFA (+37%) et le résultat net 731 millions FCFA (+231%), avec une marge nette de 25,1%. Les capitaux propres se renforcent à 6,647 milliards FCFA et les ratios prudentiels s'améliorent (ratio de solvabilité à 12,93%). L'augmentation de capital de 1,5 milliard FCFA réalisée en avril 2026 (6 actions nouvelles pour 13 anciennes à 400 FCFA) a permis de consolider les fonds propres. Les perspectives 2026 sont excellentes, la société ayant déjà dépassé au S1 le résultat net annuel de 2025.</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69,9x, P/B 8,28x, EV/EBITDA 82,7x), traduisant des anticipations très optimistes du marché. Le comportement du cours sur 100 jours montre une volatilité exceptionnelle de 82,2% avec une baisse de 18,39%, mais les statistiques révèlent une distribution asymétrique positive. Les signaux techniques sont mitigés, avec des moyennes mobiles haussières mais un MACD vendeur et des indicateurs neutres. Les fondamentaux sont en amélioration spectaculaire depuis l'arrivée de CREDAF Group, avec un résultat net S1 2026 de 731 millions FCFA dépassant déjà celui de 2025, et des ratios prudentiels confortables. Les prédictions IA (J+1 à J+10) anticipent une chute brutale du cours de 6 035 à 4 087 FCFA, suggérant une correction majeure après la forte hausse post-augmentation de capital. Cette trajectoire prédite contredit les signaux techniques haussiers mais semble cohérente avec la valorisation excessive. **Recommandation finale : VENTE.** La convergence entre la valorisation extrêmement élevée, la volatilité excessive et les prédictions IA baissières justifie cette position, malgré des fondamentaux en amélioration. Niveau de confiance : Moyen. Risque global : Élevé. Horizon d'investissement : court terme (&lt;3 mois), en attendant une correction du cours vers des niveaux plus conformes aux fondamentaux.</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68.60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11,346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+75.44%</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20.21% (Élevée) — μ=3,023 FCFA, σ=611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β=0.2496 (Défensif) — Cov=0.000009, Var(idx)=0.000037, ρ=0.045,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3,115</w:t>
            </w:r>
          </w:p>
        </w:tc>
        <w:tc>
          <w:tcPr>
            <w:tcW w:type="dxa" w:w="1440"/>
            <w:shd w:fill="FFDCE0" w:val="clear"/>
          </w:tcPr>
          <w:p>
            <w:r>
              <w:rPr>
                <w:b/>
                <w:sz w:val="17"/>
              </w:rPr>
              <w:t>3,238</w:t>
            </w:r>
          </w:p>
        </w:tc>
        <w:tc>
          <w:tcPr>
            <w:tcW w:type="dxa" w:w="1440"/>
            <w:shd w:fill="FFDCE0" w:val="clear"/>
          </w:tcPr>
          <w:p>
            <w:r>
              <w:rPr>
                <w:sz w:val="17"/>
              </w:rPr>
              <w:t>3,360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2,835</w:t>
            </w:r>
          </w:p>
        </w:tc>
        <w:tc>
          <w:tcPr>
            <w:tcW w:type="dxa" w:w="1440"/>
            <w:shd w:fill="FFDCE0" w:val="clear"/>
          </w:tcPr>
          <w:p>
            <w:r>
              <w:rPr>
                <w:b/>
                <w:sz w:val="17"/>
              </w:rPr>
              <w:t>2,995</w:t>
            </w:r>
          </w:p>
        </w:tc>
        <w:tc>
          <w:tcPr>
            <w:tcW w:type="dxa" w:w="1440"/>
            <w:shd w:fill="FFDCE0" w:val="clear"/>
          </w:tcPr>
          <w:p>
            <w:r>
              <w:rPr>
                <w:sz w:val="17"/>
              </w:rPr>
              <w:t>3,154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2,589</w:t>
            </w:r>
          </w:p>
        </w:tc>
        <w:tc>
          <w:tcPr>
            <w:tcW w:type="dxa" w:w="1440"/>
            <w:shd w:fill="FFDCE0" w:val="clear"/>
          </w:tcPr>
          <w:p>
            <w:r>
              <w:rPr>
                <w:b/>
                <w:sz w:val="17"/>
              </w:rPr>
              <w:t>2,770</w:t>
            </w:r>
          </w:p>
        </w:tc>
        <w:tc>
          <w:tcPr>
            <w:tcW w:type="dxa" w:w="1440"/>
            <w:shd w:fill="FFDCE0" w:val="clear"/>
          </w:tcPr>
          <w:p>
            <w:r>
              <w:rPr>
                <w:sz w:val="17"/>
              </w:rPr>
              <w:t>2,951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2,369</w:t>
            </w:r>
          </w:p>
        </w:tc>
        <w:tc>
          <w:tcPr>
            <w:tcW w:type="dxa" w:w="1440"/>
            <w:shd w:fill="FFDCE0" w:val="clear"/>
          </w:tcPr>
          <w:p>
            <w:r>
              <w:rPr>
                <w:b/>
                <w:sz w:val="17"/>
              </w:rPr>
              <w:t>2,562</w:t>
            </w:r>
          </w:p>
        </w:tc>
        <w:tc>
          <w:tcPr>
            <w:tcW w:type="dxa" w:w="1440"/>
            <w:shd w:fill="FFDCE0" w:val="clear"/>
          </w:tcPr>
          <w:p>
            <w:r>
              <w:rPr>
                <w:sz w:val="17"/>
              </w:rPr>
              <w:t>2,756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2,170</w:t>
            </w:r>
          </w:p>
        </w:tc>
        <w:tc>
          <w:tcPr>
            <w:tcW w:type="dxa" w:w="1440"/>
            <w:shd w:fill="FFDCE0" w:val="clear"/>
          </w:tcPr>
          <w:p>
            <w:r>
              <w:rPr>
                <w:b/>
                <w:sz w:val="17"/>
              </w:rPr>
              <w:t>2,370</w:t>
            </w:r>
          </w:p>
        </w:tc>
        <w:tc>
          <w:tcPr>
            <w:tcW w:type="dxa" w:w="1440"/>
            <w:shd w:fill="FFDCE0" w:val="clear"/>
          </w:tcPr>
          <w:p>
            <w:r>
              <w:rPr>
                <w:sz w:val="17"/>
              </w:rPr>
              <w:t>2,570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1,990</w:t>
            </w:r>
          </w:p>
        </w:tc>
        <w:tc>
          <w:tcPr>
            <w:tcW w:type="dxa" w:w="1440"/>
            <w:shd w:fill="FFDCE0" w:val="clear"/>
          </w:tcPr>
          <w:p>
            <w:r>
              <w:rPr>
                <w:b/>
                <w:sz w:val="17"/>
              </w:rPr>
              <w:t>2,192</w:t>
            </w:r>
          </w:p>
        </w:tc>
        <w:tc>
          <w:tcPr>
            <w:tcW w:type="dxa" w:w="1440"/>
            <w:shd w:fill="FFDCE0" w:val="clear"/>
          </w:tcPr>
          <w:p>
            <w:r>
              <w:rPr>
                <w:sz w:val="17"/>
              </w:rPr>
              <w:t>2,395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1,826</w:t>
            </w:r>
          </w:p>
        </w:tc>
        <w:tc>
          <w:tcPr>
            <w:tcW w:type="dxa" w:w="1440"/>
            <w:shd w:fill="FFDCE0" w:val="clear"/>
          </w:tcPr>
          <w:p>
            <w:r>
              <w:rPr>
                <w:b/>
                <w:sz w:val="17"/>
              </w:rPr>
              <w:t>2,028</w:t>
            </w:r>
          </w:p>
        </w:tc>
        <w:tc>
          <w:tcPr>
            <w:tcW w:type="dxa" w:w="1440"/>
            <w:shd w:fill="FFDCE0" w:val="clear"/>
          </w:tcPr>
          <w:p>
            <w:r>
              <w:rPr>
                <w:sz w:val="17"/>
              </w:rPr>
              <w:t>2,230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1,676</w:t>
            </w:r>
          </w:p>
        </w:tc>
        <w:tc>
          <w:tcPr>
            <w:tcW w:type="dxa" w:w="1440"/>
            <w:shd w:fill="FFDCE0" w:val="clear"/>
          </w:tcPr>
          <w:p>
            <w:r>
              <w:rPr>
                <w:b/>
                <w:sz w:val="17"/>
              </w:rPr>
              <w:t>1,876</w:t>
            </w:r>
          </w:p>
        </w:tc>
        <w:tc>
          <w:tcPr>
            <w:tcW w:type="dxa" w:w="1440"/>
            <w:shd w:fill="FFDCE0" w:val="clear"/>
          </w:tcPr>
          <w:p>
            <w:r>
              <w:rPr>
                <w:sz w:val="17"/>
              </w:rPr>
              <w:t>2,076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1,539</w:t>
            </w:r>
          </w:p>
        </w:tc>
        <w:tc>
          <w:tcPr>
            <w:tcW w:type="dxa" w:w="1440"/>
            <w:shd w:fill="FFDCE0" w:val="clear"/>
          </w:tcPr>
          <w:p>
            <w:r>
              <w:rPr>
                <w:b/>
                <w:sz w:val="17"/>
              </w:rPr>
              <w:t>1,735</w:t>
            </w:r>
          </w:p>
        </w:tc>
        <w:tc>
          <w:tcPr>
            <w:tcW w:type="dxa" w:w="1440"/>
            <w:shd w:fill="FFDCE0" w:val="clear"/>
          </w:tcPr>
          <w:p>
            <w:r>
              <w:rPr>
                <w:sz w:val="17"/>
              </w:rPr>
              <w:t>1,932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1,414</w:t>
            </w:r>
          </w:p>
        </w:tc>
        <w:tc>
          <w:tcPr>
            <w:tcW w:type="dxa" w:w="1440"/>
            <w:shd w:fill="FFDCE0" w:val="clear"/>
          </w:tcPr>
          <w:p>
            <w:r>
              <w:rPr>
                <w:b/>
                <w:sz w:val="17"/>
              </w:rPr>
              <w:t>1,605</w:t>
            </w:r>
          </w:p>
        </w:tc>
        <w:tc>
          <w:tcPr>
            <w:tcW w:type="dxa" w:w="1440"/>
            <w:shd w:fill="FFDCE0" w:val="clear"/>
          </w:tcPr>
          <w:p>
            <w:r>
              <w:rPr>
                <w:sz w:val="17"/>
              </w:rPr>
              <w:t>1,796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SCRC s'établit à 68,60 milliards FCFA, un niveau qui la positionne parmi les valeurs moyennes de la BRVM, reflétant un intérêt certain du marché pour ce titre malgré des fondamentaux fragiles. Le BPA est négatif à -406 FCFA, ce qui traduit une perte nette par action et rend le PER non significatif à -8,6x ; les investisseurs ne peuvent donc pas évaluer le titre sur la base des bénéfices actuels. Le P/B de 3,98x indique que le marché valorise l'action près de 4 fois sa valeur comptable, suggérant une prime de croissance ou de redressement anticipée par les investisseurs, malgré des capitaux propres en érosion. L'EV/EBITDA de 10,8x se situe dans une fourchette élevée (10-15x), ce qui implique que la valeur totale de l'entreprise (dette incluse) est substantielle par rapport à sa capacité opérationnelle brute, signalant une valorisation exigeante compte tenu des risques financiers.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+75,44%, passant d'un plus bas de 1 990 FCFA à un plus haut de 3 920 FCFA, avant de clôturer à 3 500 FCFA, soit un repli de -1,82% lors de la dernière séance. Cette tendance globalement haussière masque une volatilité extrême, avec un écart-type de 614 FCFA représentant un coefficient de variation de 20,3%, indiquant une dispersion importante des cours autour de la moyenne de 3 023 FCFA. La médiane de 3 182 FCFA étant supérieure à la moyenne, on observe une asymétrie négative (skewness de -0,516), signifiant que les journées de forte hausse sont moins fréquentes mais plus amples que les baisses. Le kurtosis en excès de -1,212 (distribution platykurtique) révèle une absence de pics extrêmes, tandis que la volatilité annualisée de 53,4% classe le titre comme très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3 527,5 FCFA et 3 546,0 FCFA) sont toutes deux supérieures au cours actuel de 3 500 FCFA, ce qui indique une dynamique baissière à court et moyen terme. Le croisement de ces MM sous le cours suggère une perte de momentum après la forte hausse, justifiant une décision de Vente pour les traders à horizon court.</w:t>
      </w:r>
    </w:p>
    <w:p>
      <w:pPr>
        <w:spacing w:after="120" w:line="276" w:lineRule="auto"/>
      </w:pPr>
      <w:r>
        <w:t>Le cours se situe à 3 500 FCFA, entre la borne inférieure de 3 294,8 FCFA et la borne supérieure de 3 760,2 FCFA des bandes de Bollinger, précisément dans la zone médiane. Cette position neutre indique une volatilité modérée sans extension excessive, laissant présager une consolidation avant une direction claire.</w:t>
      </w:r>
    </w:p>
    <w:p>
      <w:pPr>
        <w:spacing w:after="120" w:line="276" w:lineRule="auto"/>
      </w:pPr>
      <w:r>
        <w:t>Le MACD affiche une valeur positive de 1,718 contre un signal négatif de -2,646, créant un croisement haussier qui suggère un retournement potentiel du momentum à la hausse. Cette divergence positive, bien que récente, pourrait signaler le début d'une reprise technique après la correction.</w:t>
      </w:r>
    </w:p>
    <w:p>
      <w:pPr>
        <w:spacing w:after="120" w:line="276" w:lineRule="auto"/>
      </w:pPr>
      <w:r>
        <w:t>Le RSI à 43,662 se situe dans la zone neutre (30-70), indiquant un équilibre entre pressions acheteuses et vendeuses sans condition de surachat ou de survente. Cette valeur laisse une marge de manœuvre dans les deux sens, sans signal directionnel fort.</w:t>
      </w:r>
    </w:p>
    <w:p>
      <w:pPr>
        <w:spacing w:after="120" w:line="276" w:lineRule="auto"/>
      </w:pPr>
      <w:r>
        <w:t>Le stochastique montre un %K à 54,545 inférieur au %D à 67,898, configuration baissière suggérant que le momentum de court terme faiblit. Ce croisement négatif, bien que modéré, indique une possible poursuite de la consolidation avant un éventuel rebond.</w:t>
      </w:r>
    </w:p>
    <w:p>
      <w:pPr>
        <w:spacing w:after="120" w:line="276" w:lineRule="auto"/>
      </w:pPr>
      <w:r>
        <w:t>La convergence des indicateurs techniques est mitigée : les moyennes mobiles plaident pour une vente, le MACD suggère un achat naissant, tandis que le RSI, le stochastique et les bandes de Bollinger restent neutres. Cette absence de consensus reflète une phase d'incertitude post-extension, où le titre semble chercher un nouveau point d'équilibre entre 3 300 et 3 600 FCFA avant de définir une tendance claire.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la SCRC révèlent une situation préoccupante : le chiffre d'affaires s'établit à 80,57 milliards FCFA, en recul de 7,6% par rapport à 2024 (87,22 milliards), tandis que le résultat net est une perte massive de -7,95 milliards FCFA contre un bénéfice de 2,47 milliards en 2024. Les ratios de rentabilité sont très dégradés avec une marge nette de -9,9%, un ROE de -46,1% et un ROA de -5,1%, traduisant une destruction de valeur significative. En tant qu'entreprise industrielle, l'analyse du BFR de 6,53 milliards FCFA (positif, donc défavorable) et des délais est critique : le délai fournisseurs de 366 jours est artificiellement élevé mais reflète des tensions de trésorerie, tandis que la durée de stockage de 361 jours immobilise considérablement le capital. L'endettement financier total de 84,87 milliards FCFA (ratio d'endettement de 89% des capitaux propres) et la trésorerie nette négative de -6,5 milliards FCFA soulignent une fragilité financière aiguë, avec des charges financières de 6,79 milliards FCFA qui ont quadruplé. Les rapports du premier semestre 2025 (perte de -6,71 milliards) et du premier trimestre 2025 (bénéfice de 3,21 milliards) montrent une dégradation progressive au cours de l'année, liée à des coûts exceptionnels et à un calendrier de récolte défavorable. Les rapports de 2024 et 2023 indiquaient un redressement opérationnel (CA +28% en 2024, bénéfice de 2,59 milliards), mais cette dynamique s'est inversée en 2025. Les perspectives 2026 restent incertaines, dépendant de la réussite du plan de restructuration et de la campagne sucrière, mais la solidité financière est compromise par un endettement insoutenable.</w:t>
      </w:r>
    </w:p>
    <w:p>
      <w:pPr>
        <w:spacing w:after="120" w:line="276" w:lineRule="auto" w:before="240"/>
      </w:pPr>
      <w:r>
        <w:rPr>
          <w:b/>
          <w:color w:val="003366"/>
          <w:sz w:val="24"/>
        </w:rPr>
        <w:t>**PARTIE 4 : CONCLUSION D'INVESTISSEMENT**</w:t>
      </w:r>
    </w:p>
    <w:p>
      <w:pPr>
        <w:spacing w:after="120" w:line="276" w:lineRule="auto"/>
      </w:pPr>
      <w:r>
        <w:t>La valorisation boursière de la SCRC apparaît surévaluée au regard des fondamentaux, avec un P/B de 3,98x pour une société déficitaire et un EV/EBITDA de 10,8x qui ne reflète pas les risques financiers majeurs. Le comportement du cours, avec une hausse de +75% en 100 jours mais une volatilité annualisée de 53,4% et une asymétrie négative, suggère un rallye spéculatif fragile, potentiellement déconnecté de la réalité économique. Les signaux techniques sont divergents, oscillant entre vente (moyennes mobiles) et achat naissant (MACD), sans direction claire à court terme. Les fondamentaux sont très préoccupants : perte nette de 7,95 milliards FCFA en 2025, endettement critique de 84,87 milliards, trésorerie négative et charges financières explosives, malgré des investissements massifs qui pourraient soutenir une reprise à long terme. Les prédictions IA projetant une chute du cours à 2 370 FCFA d'ici 10 jours (-32%) confirment les signaux baissiers techniques et fondamentaux, anticipant une correction sévère du rallye spéculatif. La convergence entre la détérioration financière, les signaux techniques mitigés et la trajectoire prédite conduit à une recommandation de VENTE, avec un niveau de confiance Élevé, un risque global Élevé, et un horizon d'investissement optimal à court terme (&lt;3 mois) pour les investisseurs cherchant à réduire leur exposition avant une probable dépréciation.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123.39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1,176 titres</w:t>
            </w:r>
          </w:p>
        </w:tc>
        <w:tc>
          <w:tcPr>
            <w:tcW w:type="dxa" w:w="2268"/>
            <w:shd w:fill="FFF2CC" w:val="clear"/>
          </w:tcPr>
          <w:p>
            <w:r>
              <w:rPr>
                <w:b/>
                <w:color w:val="503200"/>
                <w:sz w:val="16"/>
              </w:rPr>
              <w:t xml:space="preserve">Cours actuel : </w:t>
            </w:r>
            <w:r>
              <w:rPr>
                <w:color w:val="000000"/>
                <w:sz w:val="17"/>
              </w:rPr>
              <w:t>13,710 FCFA</w:t>
            </w:r>
          </w:p>
          <w:p>
            <w:r>
              <w:rPr>
                <w:b/>
                <w:color w:val="503200"/>
                <w:sz w:val="16"/>
              </w:rPr>
              <w:t xml:space="preserve">Var. 100 jours : </w:t>
            </w:r>
            <w:r>
              <w:rPr>
                <w:b/>
                <w:color w:val="007800"/>
                <w:sz w:val="17"/>
              </w:rPr>
              <w:t>+91.75%</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15.46% (Élevée) — μ=11,022 FCFA, σ=1,704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β=0.0910 (Défensif) — Cov=0.000003, Var(idx)=0.000037, ρ=0.024,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12,497</w:t>
            </w:r>
          </w:p>
        </w:tc>
        <w:tc>
          <w:tcPr>
            <w:tcW w:type="dxa" w:w="1440"/>
            <w:shd w:fill="FFDCE0" w:val="clear"/>
          </w:tcPr>
          <w:p>
            <w:r>
              <w:rPr>
                <w:b/>
                <w:sz w:val="17"/>
              </w:rPr>
              <w:t>12,905</w:t>
            </w:r>
          </w:p>
        </w:tc>
        <w:tc>
          <w:tcPr>
            <w:tcW w:type="dxa" w:w="1440"/>
            <w:shd w:fill="FFDCE0" w:val="clear"/>
          </w:tcPr>
          <w:p>
            <w:r>
              <w:rPr>
                <w:sz w:val="17"/>
              </w:rPr>
              <w:t>13,313</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12,103</w:t>
            </w:r>
          </w:p>
        </w:tc>
        <w:tc>
          <w:tcPr>
            <w:tcW w:type="dxa" w:w="1440"/>
            <w:shd w:fill="FFDCE0" w:val="clear"/>
          </w:tcPr>
          <w:p>
            <w:r>
              <w:rPr>
                <w:b/>
                <w:sz w:val="17"/>
              </w:rPr>
              <w:t>12,669</w:t>
            </w:r>
          </w:p>
        </w:tc>
        <w:tc>
          <w:tcPr>
            <w:tcW w:type="dxa" w:w="1440"/>
            <w:shd w:fill="FFDCE0" w:val="clear"/>
          </w:tcPr>
          <w:p>
            <w:r>
              <w:rPr>
                <w:sz w:val="17"/>
              </w:rPr>
              <w:t>13,236</w:t>
            </w:r>
          </w:p>
        </w:tc>
        <w:tc>
          <w:tcPr>
            <w:tcW w:type="dxa" w:w="1440"/>
            <w:shd w:fill="FFDCE0" w:val="clear"/>
          </w:tcPr>
          <w:p>
            <w:r>
              <w:rPr>
                <w:b/>
                <w:color w:val="C00000"/>
                <w:sz w:val="17"/>
              </w:rPr>
              <w:t>-7.6%</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11,774</w:t>
            </w:r>
          </w:p>
        </w:tc>
        <w:tc>
          <w:tcPr>
            <w:tcW w:type="dxa" w:w="1440"/>
            <w:shd w:fill="FFDCE0" w:val="clear"/>
          </w:tcPr>
          <w:p>
            <w:r>
              <w:rPr>
                <w:b/>
                <w:sz w:val="17"/>
              </w:rPr>
              <w:t>12,457</w:t>
            </w:r>
          </w:p>
        </w:tc>
        <w:tc>
          <w:tcPr>
            <w:tcW w:type="dxa" w:w="1440"/>
            <w:shd w:fill="FFDCE0" w:val="clear"/>
          </w:tcPr>
          <w:p>
            <w:r>
              <w:rPr>
                <w:sz w:val="17"/>
              </w:rPr>
              <w:t>13,139</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11,492</w:t>
            </w:r>
          </w:p>
        </w:tc>
        <w:tc>
          <w:tcPr>
            <w:tcW w:type="dxa" w:w="1440"/>
            <w:shd w:fill="FFDCE0" w:val="clear"/>
          </w:tcPr>
          <w:p>
            <w:r>
              <w:rPr>
                <w:b/>
                <w:sz w:val="17"/>
              </w:rPr>
              <w:t>12,268</w:t>
            </w:r>
          </w:p>
        </w:tc>
        <w:tc>
          <w:tcPr>
            <w:tcW w:type="dxa" w:w="1440"/>
            <w:shd w:fill="FFDCE0" w:val="clear"/>
          </w:tcPr>
          <w:p>
            <w:r>
              <w:rPr>
                <w:sz w:val="17"/>
              </w:rPr>
              <w:t>13,044</w:t>
            </w:r>
          </w:p>
        </w:tc>
        <w:tc>
          <w:tcPr>
            <w:tcW w:type="dxa" w:w="1440"/>
            <w:shd w:fill="FFDCE0" w:val="clear"/>
          </w:tcPr>
          <w:p>
            <w:r>
              <w:rPr>
                <w:b/>
                <w:color w:val="C00000"/>
                <w:sz w:val="17"/>
              </w:rPr>
              <w:t>-10.5%</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11,245</w:t>
            </w:r>
          </w:p>
        </w:tc>
        <w:tc>
          <w:tcPr>
            <w:tcW w:type="dxa" w:w="1440"/>
            <w:shd w:fill="FFDCE0" w:val="clear"/>
          </w:tcPr>
          <w:p>
            <w:r>
              <w:rPr>
                <w:b/>
                <w:sz w:val="17"/>
              </w:rPr>
              <w:t>12,101</w:t>
            </w:r>
          </w:p>
        </w:tc>
        <w:tc>
          <w:tcPr>
            <w:tcW w:type="dxa" w:w="1440"/>
            <w:shd w:fill="FFDCE0" w:val="clear"/>
          </w:tcPr>
          <w:p>
            <w:r>
              <w:rPr>
                <w:sz w:val="17"/>
              </w:rPr>
              <w:t>12,957</w:t>
            </w:r>
          </w:p>
        </w:tc>
        <w:tc>
          <w:tcPr>
            <w:tcW w:type="dxa" w:w="1440"/>
            <w:shd w:fill="FFDCE0" w:val="clear"/>
          </w:tcPr>
          <w:p>
            <w:r>
              <w:rPr>
                <w:b/>
                <w:color w:val="C00000"/>
                <w:sz w:val="17"/>
              </w:rPr>
              <w:t>-11.7%</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11,024</w:t>
            </w:r>
          </w:p>
        </w:tc>
        <w:tc>
          <w:tcPr>
            <w:tcW w:type="dxa" w:w="1440"/>
            <w:shd w:fill="FFDCE0" w:val="clear"/>
          </w:tcPr>
          <w:p>
            <w:r>
              <w:rPr>
                <w:b/>
                <w:sz w:val="17"/>
              </w:rPr>
              <w:t>11,950</w:t>
            </w:r>
          </w:p>
        </w:tc>
        <w:tc>
          <w:tcPr>
            <w:tcW w:type="dxa" w:w="1440"/>
            <w:shd w:fill="FFDCE0" w:val="clear"/>
          </w:tcPr>
          <w:p>
            <w:r>
              <w:rPr>
                <w:sz w:val="17"/>
              </w:rPr>
              <w:t>12,876</w:t>
            </w:r>
          </w:p>
        </w:tc>
        <w:tc>
          <w:tcPr>
            <w:tcW w:type="dxa" w:w="1440"/>
            <w:shd w:fill="FFDCE0" w:val="clear"/>
          </w:tcPr>
          <w:p>
            <w:r>
              <w:rPr>
                <w:b/>
                <w:color w:val="C00000"/>
                <w:sz w:val="17"/>
              </w:rPr>
              <w:t>-12.8%</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10,824</w:t>
            </w:r>
          </w:p>
        </w:tc>
        <w:tc>
          <w:tcPr>
            <w:tcW w:type="dxa" w:w="1440"/>
            <w:shd w:fill="FFDCE0" w:val="clear"/>
          </w:tcPr>
          <w:p>
            <w:r>
              <w:rPr>
                <w:b/>
                <w:sz w:val="17"/>
              </w:rPr>
              <w:t>11,813</w:t>
            </w:r>
          </w:p>
        </w:tc>
        <w:tc>
          <w:tcPr>
            <w:tcW w:type="dxa" w:w="1440"/>
            <w:shd w:fill="FFDCE0" w:val="clear"/>
          </w:tcPr>
          <w:p>
            <w:r>
              <w:rPr>
                <w:sz w:val="17"/>
              </w:rPr>
              <w:t>12,801</w:t>
            </w:r>
          </w:p>
        </w:tc>
        <w:tc>
          <w:tcPr>
            <w:tcW w:type="dxa" w:w="1440"/>
            <w:shd w:fill="FFDCE0" w:val="clear"/>
          </w:tcPr>
          <w:p>
            <w:r>
              <w:rPr>
                <w:b/>
                <w:color w:val="C00000"/>
                <w:sz w:val="17"/>
              </w:rPr>
              <w:t>-13.8%</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10,642</w:t>
            </w:r>
          </w:p>
        </w:tc>
        <w:tc>
          <w:tcPr>
            <w:tcW w:type="dxa" w:w="1440"/>
            <w:shd w:fill="FFDCE0" w:val="clear"/>
          </w:tcPr>
          <w:p>
            <w:r>
              <w:rPr>
                <w:b/>
                <w:sz w:val="17"/>
              </w:rPr>
              <w:t>11,688</w:t>
            </w:r>
          </w:p>
        </w:tc>
        <w:tc>
          <w:tcPr>
            <w:tcW w:type="dxa" w:w="1440"/>
            <w:shd w:fill="FFDCE0" w:val="clear"/>
          </w:tcPr>
          <w:p>
            <w:r>
              <w:rPr>
                <w:sz w:val="17"/>
              </w:rPr>
              <w:t>12,734</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10,474</w:t>
            </w:r>
          </w:p>
        </w:tc>
        <w:tc>
          <w:tcPr>
            <w:tcW w:type="dxa" w:w="1440"/>
            <w:shd w:fill="FFDCE0" w:val="clear"/>
          </w:tcPr>
          <w:p>
            <w:r>
              <w:rPr>
                <w:b/>
                <w:sz w:val="17"/>
              </w:rPr>
              <w:t>11,572</w:t>
            </w:r>
          </w:p>
        </w:tc>
        <w:tc>
          <w:tcPr>
            <w:tcW w:type="dxa" w:w="1440"/>
            <w:shd w:fill="FFDCE0" w:val="clear"/>
          </w:tcPr>
          <w:p>
            <w:r>
              <w:rPr>
                <w:sz w:val="17"/>
              </w:rPr>
              <w:t>12,671</w:t>
            </w:r>
          </w:p>
        </w:tc>
        <w:tc>
          <w:tcPr>
            <w:tcW w:type="dxa" w:w="1440"/>
            <w:shd w:fill="FFDCE0" w:val="clear"/>
          </w:tcPr>
          <w:p>
            <w:r>
              <w:rPr>
                <w:b/>
                <w:color w:val="C00000"/>
                <w:sz w:val="17"/>
              </w:rPr>
              <w:t>-15.6%</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10,318</w:t>
            </w:r>
          </w:p>
        </w:tc>
        <w:tc>
          <w:tcPr>
            <w:tcW w:type="dxa" w:w="1440"/>
            <w:shd w:fill="FFDCE0" w:val="clear"/>
          </w:tcPr>
          <w:p>
            <w:r>
              <w:rPr>
                <w:b/>
                <w:sz w:val="17"/>
              </w:rPr>
              <w:t>11,465</w:t>
            </w:r>
          </w:p>
        </w:tc>
        <w:tc>
          <w:tcPr>
            <w:tcW w:type="dxa" w:w="1440"/>
            <w:shd w:fill="FFDCE0" w:val="clear"/>
          </w:tcPr>
          <w:p>
            <w:r>
              <w:rPr>
                <w:sz w:val="17"/>
              </w:rPr>
              <w:t>12,612</w:t>
            </w:r>
          </w:p>
        </w:tc>
        <w:tc>
          <w:tcPr>
            <w:tcW w:type="dxa" w:w="1440"/>
            <w:shd w:fill="FFDCE0" w:val="clear"/>
          </w:tcPr>
          <w:p>
            <w:r>
              <w:rPr>
                <w:b/>
                <w:color w:val="C00000"/>
                <w:sz w:val="17"/>
              </w:rPr>
              <w:t>-16.4%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123,39 milliards FCFA positionne la SDCC comme une valeur de taille moyenne sur la BRVM, dans un secteur des services essentiels. Le BPA de 518 FCFA indique que chaque action a généré un bénéfice net de ce montant sur l'exercice écoulé. Le PER de 26,5x est nettement supérieur à la moyenne historique de la BRVM (8-12x), ce qui signifie que les investisseurs paient une prime substantielle pour chaque franc de bénéfice, anticipant probablement une forte croissance future. Le P/B de 6,26x confirme cette prime, le marché valorisant l'actif net comptable plus de six fois au-dessus de sa valeur. Enfin, l'EV/EBITDA de 15,2x, supérieur au seuil de 15x, indique une valorisation très exigeante par rapport à la capacité opérationnelle de l'entreprise, suggérant un potentiel de correction si les résultats ne suivent pas les attentes.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connu une progression spectaculaire de +91,75%, avec une dernière séance en hausse de +1,56% à 13 710 FCFA, atteignant son plus haut niveau sur la période. Le cours a évolué dans une fourchette très large de 7 140 à 13 710 FCFA, démontrant une dynamique haussière extrêmement forte. La moyenne (11 022 FCFA) est inférieure à la médiane (11 858 FCFA), et le skewness négatif de -1,187 indique que le titre a passé plus de journées au-dessus de sa moyenne, signe d'une pression acheteuse soutenue. L'écart-type de 1 713 FCFA (CV de 15,5%) reflète une dispersion modérée des cours autour de la moyenne. Le kurtosis de 0,302 (mésokurtique) suggère un profil de distribution proche de la normale, sans risque extrême de pics. La volatilité annualisée de 36,5% classe le titre comme très volatil, un niveau élevé qui implique des fluctuations importantes et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13 710 FCFA se situe nettement au-dessus de la MM20 (12 405 FCFA) et de la MM50 (12 054 FCFA), confirmant une tendance haussière solide. L'écart positif entre le prix et les moyennes indique une dynamique positive, justifiant la décision d'achat.</w:t>
      </w:r>
    </w:p>
    <w:p>
      <w:pPr>
        <w:spacing w:after="120" w:line="276" w:lineRule="auto"/>
      </w:pPr>
      <w:r>
        <w:t>**Bandes de Bollinger**: Le prix est très proche de la borne supérieure (13 766 FCFA), à seulement 56 FCFA en dessous, indiquant que le titre est en zone de surachat. La largeur des bandes (2 722 FCFA) reflète une volatilité élevée. La décision est neutre car le prix n'a pas encore franchi la borne, mais la proximité suggère une possible consolidation.</w:t>
      </w:r>
    </w:p>
    <w:p>
      <w:pPr>
        <w:spacing w:after="120" w:line="276" w:lineRule="auto"/>
      </w:pPr>
      <w:r>
        <w:t>**MACD**: La valeur du MACD (431,87) est nettement supérieure à son signal (286,64), montrant un momentum haussier puissant. L'écart positif croissant entre les deux lignes indique une accélération de la tendance, justifiant la décision d'achat.</w:t>
      </w:r>
    </w:p>
    <w:p>
      <w:pPr>
        <w:spacing w:after="120" w:line="276" w:lineRule="auto"/>
      </w:pPr>
      <w:r>
        <w:t>**RSI**: Avec une valeur de 83,4, le RSI est profondément en zone de surachat (au-dessus de 70). Ce niveau extrême signale que le titre est surévalué à court terme et qu'un retournement ou une consolidation est probable, justifiant la décision de vente.</w:t>
      </w:r>
    </w:p>
    <w:p>
      <w:pPr>
        <w:spacing w:after="120" w:line="276" w:lineRule="auto"/>
      </w:pPr>
      <w:r>
        <w:t>**Stochastique**: Les valeurs %K et %D à 100,0 indiquent une condition de surachat extrême. Le titre est à son plus haut niveau sur la période, ce qui suggère un épuisement potentiel de la dynamique haussière, justifiant la décision de vente.</w:t>
      </w:r>
    </w:p>
    <w:p>
      <w:pPr>
        <w:spacing w:after="120" w:line="276" w:lineRule="auto"/>
      </w:pPr>
      <w:r>
        <w:t>**Conclusion technique**: Les indicateurs de tendance (MM, MACD) sont positifs, mais les oscillateurs (RSI, Stochastique) signalent un surachat extrême. Cette divergence entre indicateurs de tendance et de momentum suggère qu'un repli technique est probable à court terme, bien que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la SDCC a réalisé un chiffre d'affaires de 189,43 milliards FCFA, en croissance de 10% par rapport à 2024 (172,2 milliards FCFA), avec un résultat net de 4,66 milliards FCFA (+31% vs 2024). Le ROE de 23,65% est excellent, démontrant une forte rentabilité des capitaux propres, tandis que le ROA de 0,99% reste faible, reflétant une lourde base d'actifs (472,67 milliards FCFA). La marge nette de 2,46% est mince mais en amélioration. Le délai clients de 749 jours est extrêmement élevé, constituant un risque majeur de trésorerie, avec un BFR de 104,75 milliards FCFA. La trésorerie nette est négative à -61,71 milliards FCFA, et le flux opérationnel est fortement négatif (-36,66 milliards FCFA). Le rapport du S1 2025 (daté du 30/06/2025) montrait un CA stable à 82,3 milliards FCFA et un RN en baisse de 24% à 1,36 milliard FCFA, mais le rapport T1 2026 (daté du 31/03/2026) indique un RN en hausse spectaculaire de 118% à 1,32 milliard FCFA, avec un résultat d'exploitation multiplié par 2,5. Sur cette base, on estime que l'exercice 2026 pourrait voir une poursuite de l'amélioration de la rentabilité, malgré un CA en léger repli. Le dividende proposé pour 2025 est de 525 FCFA par action, offrant un rendement d'environ 3,8% au cours actuel.</w:t>
      </w:r>
    </w:p>
    <w:p>
      <w:pPr>
        <w:spacing w:after="120" w:line="276" w:lineRule="auto" w:before="240"/>
      </w:pPr>
      <w:r>
        <w:rPr>
          <w:b/>
          <w:color w:val="003366"/>
          <w:sz w:val="24"/>
        </w:rPr>
        <w:t>**PARTIE 4 : CONCLUSION D'INVESTISSEMENT**</w:t>
      </w:r>
    </w:p>
    <w:p>
      <w:pPr>
        <w:spacing w:after="120" w:line="276" w:lineRule="auto"/>
      </w:pPr>
      <w:r>
        <w:t>La valorisation actuelle de la SDCC est très exigeante (PER 26,5x, P/B 6,26x, EV/EBITDA 15,2x), nettement supérieure aux moyennes du marché BRVM, indiquant une possible surévaluation. Le comportement du cours montre une tendance haussière spectaculaire de +91,75% en 100 jours, mais avec une volatilité élevée de 36,5% et des statistiques (skewness négatif) suggérant une distribution inhabituelle. Les signaux techniques sont contradictoires : tendance positive (MM, MACD) mais surachat extrême (RSI 83,4, Stochastique 100), signalant un risque de correction. Les fondamentaux montrent une amélioration de la rentabilité en 2025 et au T1 2026, mais avec des tensions de trésorerie persistantes et un délai client préoccupant. Les prédictions IA pour les 10 prochains jours indiquent une baisse progressive de 13 710 à 12 101 FCFA (-11,7%), contredisant la tendance haussière récente. La convergence des signaux de surachat technique et des prédictions IA baissières suggère une correction imminente. Recommandation : **VENTE** à court terme, avec un niveau de confiance **Moyen** et un risque global **Élevé**. L'horizon optimal serait de moyen terme (3-12 mois) pour réévaluer la valeur après une probable consolidation, en surveillant l'amélioration de la trésorerie et la réduction du délai client.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169.29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18,138 titres</w:t>
            </w:r>
          </w:p>
        </w:tc>
        <w:tc>
          <w:tcPr>
            <w:tcW w:type="dxa" w:w="2268"/>
            <w:shd w:fill="FFF2CC" w:val="clear"/>
          </w:tcPr>
          <w:p>
            <w:r>
              <w:rPr>
                <w:b/>
                <w:color w:val="503200"/>
                <w:sz w:val="16"/>
              </w:rPr>
              <w:t xml:space="preserve">Cours actuel : </w:t>
            </w:r>
            <w:r>
              <w:rPr>
                <w:color w:val="000000"/>
                <w:sz w:val="17"/>
              </w:rPr>
              <w:t>3,110 FCFA</w:t>
            </w:r>
          </w:p>
          <w:p>
            <w:r>
              <w:rPr>
                <w:b/>
                <w:color w:val="503200"/>
                <w:sz w:val="16"/>
              </w:rPr>
              <w:t xml:space="preserve">Var. 100 jours : </w:t>
            </w:r>
            <w:r>
              <w:rPr>
                <w:b/>
                <w:color w:val="007800"/>
                <w:sz w:val="17"/>
              </w:rPr>
              <w:t>+63.68%</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18.70% (Élevée) — μ=2,280 FCFA, σ=426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β=0.7306 (Défensif) — Cov=0.000027, Var(idx)=0.000037, ρ=0.136,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18,138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2,843</w:t>
            </w:r>
          </w:p>
        </w:tc>
        <w:tc>
          <w:tcPr>
            <w:tcW w:type="dxa" w:w="1440"/>
            <w:shd w:fill="FFDCE0" w:val="clear"/>
          </w:tcPr>
          <w:p>
            <w:r>
              <w:rPr>
                <w:b/>
                <w:sz w:val="17"/>
              </w:rPr>
              <w:t>3,022</w:t>
            </w:r>
          </w:p>
        </w:tc>
        <w:tc>
          <w:tcPr>
            <w:tcW w:type="dxa" w:w="1440"/>
            <w:shd w:fill="FFDCE0" w:val="clear"/>
          </w:tcPr>
          <w:p>
            <w:r>
              <w:rPr>
                <w:sz w:val="17"/>
              </w:rPr>
              <w:t>3,201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2,716</w:t>
            </w:r>
          </w:p>
        </w:tc>
        <w:tc>
          <w:tcPr>
            <w:tcW w:type="dxa" w:w="1440"/>
            <w:shd w:fill="FFDCE0" w:val="clear"/>
          </w:tcPr>
          <w:p>
            <w:r>
              <w:rPr>
                <w:b/>
                <w:sz w:val="17"/>
              </w:rPr>
              <w:t>2,964</w:t>
            </w:r>
          </w:p>
        </w:tc>
        <w:tc>
          <w:tcPr>
            <w:tcW w:type="dxa" w:w="1440"/>
            <w:shd w:fill="FFDCE0" w:val="clear"/>
          </w:tcPr>
          <w:p>
            <w:r>
              <w:rPr>
                <w:sz w:val="17"/>
              </w:rPr>
              <w:t>3,212</w:t>
            </w:r>
          </w:p>
        </w:tc>
        <w:tc>
          <w:tcPr>
            <w:tcW w:type="dxa" w:w="1440"/>
            <w:shd w:fill="FFDCE0" w:val="clear"/>
          </w:tcPr>
          <w:p>
            <w:r>
              <w:rPr>
                <w:b/>
                <w:color w:val="C00000"/>
                <w:sz w:val="17"/>
              </w:rPr>
              <w:t>-4.7%</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2,623</w:t>
            </w:r>
          </w:p>
        </w:tc>
        <w:tc>
          <w:tcPr>
            <w:tcW w:type="dxa" w:w="1440"/>
            <w:shd w:fill="FFDCE0" w:val="clear"/>
          </w:tcPr>
          <w:p>
            <w:r>
              <w:rPr>
                <w:b/>
                <w:sz w:val="17"/>
              </w:rPr>
              <w:t>2,923</w:t>
            </w:r>
          </w:p>
        </w:tc>
        <w:tc>
          <w:tcPr>
            <w:tcW w:type="dxa" w:w="1440"/>
            <w:shd w:fill="FFDCE0" w:val="clear"/>
          </w:tcPr>
          <w:p>
            <w:r>
              <w:rPr>
                <w:sz w:val="17"/>
              </w:rPr>
              <w:t>3,222</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2,548</w:t>
            </w:r>
          </w:p>
        </w:tc>
        <w:tc>
          <w:tcPr>
            <w:tcW w:type="dxa" w:w="1440"/>
            <w:shd w:fill="FFDCE0" w:val="clear"/>
          </w:tcPr>
          <w:p>
            <w:r>
              <w:rPr>
                <w:b/>
                <w:sz w:val="17"/>
              </w:rPr>
              <w:t>2,890</w:t>
            </w:r>
          </w:p>
        </w:tc>
        <w:tc>
          <w:tcPr>
            <w:tcW w:type="dxa" w:w="1440"/>
            <w:shd w:fill="FFDCE0" w:val="clear"/>
          </w:tcPr>
          <w:p>
            <w:r>
              <w:rPr>
                <w:sz w:val="17"/>
              </w:rPr>
              <w:t>3,232</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2,482</w:t>
            </w:r>
          </w:p>
        </w:tc>
        <w:tc>
          <w:tcPr>
            <w:tcW w:type="dxa" w:w="1440"/>
            <w:shd w:fill="FFDCE0" w:val="clear"/>
          </w:tcPr>
          <w:p>
            <w:r>
              <w:rPr>
                <w:b/>
                <w:sz w:val="17"/>
              </w:rPr>
              <w:t>2,861</w:t>
            </w:r>
          </w:p>
        </w:tc>
        <w:tc>
          <w:tcPr>
            <w:tcW w:type="dxa" w:w="1440"/>
            <w:shd w:fill="FFDCE0" w:val="clear"/>
          </w:tcPr>
          <w:p>
            <w:r>
              <w:rPr>
                <w:sz w:val="17"/>
              </w:rPr>
              <w:t>3,240</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2,423</w:t>
            </w:r>
          </w:p>
        </w:tc>
        <w:tc>
          <w:tcPr>
            <w:tcW w:type="dxa" w:w="1440"/>
            <w:shd w:fill="FFDCE0" w:val="clear"/>
          </w:tcPr>
          <w:p>
            <w:r>
              <w:rPr>
                <w:b/>
                <w:sz w:val="17"/>
              </w:rPr>
              <w:t>2,834</w:t>
            </w:r>
          </w:p>
        </w:tc>
        <w:tc>
          <w:tcPr>
            <w:tcW w:type="dxa" w:w="1440"/>
            <w:shd w:fill="FFDCE0" w:val="clear"/>
          </w:tcPr>
          <w:p>
            <w:r>
              <w:rPr>
                <w:sz w:val="17"/>
              </w:rPr>
              <w:t>3,245</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2,369</w:t>
            </w:r>
          </w:p>
        </w:tc>
        <w:tc>
          <w:tcPr>
            <w:tcW w:type="dxa" w:w="1440"/>
            <w:shd w:fill="FFDCE0" w:val="clear"/>
          </w:tcPr>
          <w:p>
            <w:r>
              <w:rPr>
                <w:b/>
                <w:sz w:val="17"/>
              </w:rPr>
              <w:t>2,809</w:t>
            </w:r>
          </w:p>
        </w:tc>
        <w:tc>
          <w:tcPr>
            <w:tcW w:type="dxa" w:w="1440"/>
            <w:shd w:fill="FFDCE0" w:val="clear"/>
          </w:tcPr>
          <w:p>
            <w:r>
              <w:rPr>
                <w:sz w:val="17"/>
              </w:rPr>
              <w:t>3,249</w:t>
            </w:r>
          </w:p>
        </w:tc>
        <w:tc>
          <w:tcPr>
            <w:tcW w:type="dxa" w:w="1440"/>
            <w:shd w:fill="FFDCE0" w:val="clear"/>
          </w:tcPr>
          <w:p>
            <w:r>
              <w:rPr>
                <w:b/>
                <w:color w:val="C00000"/>
                <w:sz w:val="17"/>
              </w:rPr>
              <w:t>-9.7%</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2,319</w:t>
            </w:r>
          </w:p>
        </w:tc>
        <w:tc>
          <w:tcPr>
            <w:tcW w:type="dxa" w:w="1440"/>
            <w:shd w:fill="FFDCE0" w:val="clear"/>
          </w:tcPr>
          <w:p>
            <w:r>
              <w:rPr>
                <w:b/>
                <w:sz w:val="17"/>
              </w:rPr>
              <w:t>2,785</w:t>
            </w:r>
          </w:p>
        </w:tc>
        <w:tc>
          <w:tcPr>
            <w:tcW w:type="dxa" w:w="1440"/>
            <w:shd w:fill="FFDCE0" w:val="clear"/>
          </w:tcPr>
          <w:p>
            <w:r>
              <w:rPr>
                <w:sz w:val="17"/>
              </w:rPr>
              <w:t>3,252</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2,272</w:t>
            </w:r>
          </w:p>
        </w:tc>
        <w:tc>
          <w:tcPr>
            <w:tcW w:type="dxa" w:w="1440"/>
            <w:shd w:fill="FFDCE0" w:val="clear"/>
          </w:tcPr>
          <w:p>
            <w:r>
              <w:rPr>
                <w:b/>
                <w:sz w:val="17"/>
              </w:rPr>
              <w:t>2,762</w:t>
            </w:r>
          </w:p>
        </w:tc>
        <w:tc>
          <w:tcPr>
            <w:tcW w:type="dxa" w:w="1440"/>
            <w:shd w:fill="FFDCE0" w:val="clear"/>
          </w:tcPr>
          <w:p>
            <w:r>
              <w:rPr>
                <w:sz w:val="17"/>
              </w:rPr>
              <w:t>3,253</w:t>
            </w:r>
          </w:p>
        </w:tc>
        <w:tc>
          <w:tcPr>
            <w:tcW w:type="dxa" w:w="1440"/>
            <w:shd w:fill="FFDCE0" w:val="clear"/>
          </w:tcPr>
          <w:p>
            <w:r>
              <w:rPr>
                <w:b/>
                <w:color w:val="C00000"/>
                <w:sz w:val="17"/>
              </w:rPr>
              <w:t>-11.2%</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2,228</w:t>
            </w:r>
          </w:p>
        </w:tc>
        <w:tc>
          <w:tcPr>
            <w:tcW w:type="dxa" w:w="1440"/>
            <w:shd w:fill="FFDCE0" w:val="clear"/>
          </w:tcPr>
          <w:p>
            <w:r>
              <w:rPr>
                <w:b/>
                <w:sz w:val="17"/>
              </w:rPr>
              <w:t>2,740</w:t>
            </w:r>
          </w:p>
        </w:tc>
        <w:tc>
          <w:tcPr>
            <w:tcW w:type="dxa" w:w="1440"/>
            <w:shd w:fill="FFDCE0" w:val="clear"/>
          </w:tcPr>
          <w:p>
            <w:r>
              <w:rPr>
                <w:sz w:val="17"/>
              </w:rPr>
              <w:t>3,253</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07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169,29 milliards FCFA, un niveau significatif qui positionne la société parmi les valeurs moyennes de la cote de la BRVM. Avec un BPA de 387 FCFA, le titre se négocie à un PER de 8,0x, ce qui est dans la fourchette basse du marché (référence BRVM : 8-12x), suggérant une sous-évaluation relative des bénéfices. Le P/B de 2,18x indique que le marché valorise la société à plus du double de sa valeur comptable, une prime de croissance qui semble toutefois modérée. En revanche, l'EV/EBITDA ressort à un niveau très élevé de 36,5x, signe que la valeur d'entreprise (capitalisation + dette) est très exigeante par rapport à la capacité bénéficiaire brute opérationnelle, ce qui tempère l'attrait du PER et suggère une lourdeur bilancielle ou une sous-performance opérationnelle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performance spectaculaire de +63,68%, passant d'un plus bas de 1 650 FCFA à un plus haut de 3 205 FCFA, avant de clôturer à 3 110 FCFA, en léger repli de -2,96% sur la dernière séance. Cette tendance est fortement haussière, mais la récente correction suggère un possible essoufflement. La moyenne du cours sur la période (2 280 FCFA) est inférieure à la médiane (2 338 FCFA), indiquant une asymétrie positive avec une queue de distribution vers les hauts prix. L'écart-type de 429 FCFA (CV=18,8%) montre une dispersion modérée autour de la moyenne. Le kurtosis négatif (-1.315) indique une distribution platykurtique, avec moins de pics extrêmes que la normale, tandis que le skewness quasi nul (0.048) confirme une distribution symétrique. La volatilité annualisée de 51,4% est extrêmement élevée, classant le titre comme très risqué pour un investisseur cherchant la stabilité.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(3 110 FCFA) se situe nettement au-dessus de sa MM20 (2 788,25 FCFA) et de sa MM50 (2 645,3 FCFA). La configuration haussière est claire, avec les moyennes orientées à la hausse. La décision d'« Achat » est justifiée par cette dynamique positive, même si l'écart important entre le cours et les moyennes pourrait signaler une surachete temporaire.</w:t>
      </w:r>
    </w:p>
    <w:p>
      <w:pPr>
        <w:spacing w:after="120" w:line="276" w:lineRule="auto"/>
      </w:pPr>
      <w:r>
        <w:t>**Bandes de Bollinger** : Le prix évolue près de la borne supérieure (3 149 FCFA), indiquant une pression acheteuse soutenue. La largeur des bandes (bornes à 2 427 et 3 149) reflète la volatilité élevée du titre. La décision « Neutre » s'explique par le fait que le cours, bien que proche de la borne haute, n'a pas encore franchi ce niveau de manière décisive, ce qui pourrait précéder une consolidation ou une poursuite de la tendance.</w:t>
      </w:r>
    </w:p>
    <w:p>
      <w:pPr>
        <w:spacing w:after="120" w:line="276" w:lineRule="auto"/>
      </w:pPr>
      <w:r>
        <w:t>**MACD** : Le MACD (126,44) est nettement au-dessus de son signal (83,25), confirmant un momentum haussier robuste. La décision d'« Achat » est cohérente avec cette dynamique positive. Cependant, l'écart important entre les deux lignes pourrait indiquer une surachete à court terme, nécessitant une surveillance pour un éventuel croisement baissier.</w:t>
      </w:r>
    </w:p>
    <w:p>
      <w:pPr>
        <w:spacing w:after="120" w:line="276" w:lineRule="auto"/>
      </w:pPr>
      <w:r>
        <w:t>**RSI** : Le RSI s'établit à 66,53, en zone neutre mais proche du seuil de surachete (70). La décision « Neutre » est appropriée, car le titre n'est pas encore en surachete extrême, mais la marge de progression haussière se réduit. Un dépassement des 70 signalerait une surachete imminente.</w:t>
      </w:r>
    </w:p>
    <w:p>
      <w:pPr>
        <w:spacing w:after="120" w:line="276" w:lineRule="auto"/>
      </w:pPr>
      <w:r>
        <w:t>**Stochastique** : Le %K (85,27) est inférieur au %D (95,09), indiquant un croisement baissier en zone de surachete. La décision « Vente » est justifiée, car ce signal suggère un essoufflement de la dynamique haussière à court terme et un risque de correction.</w:t>
      </w:r>
    </w:p>
    <w:p>
      <w:pPr>
        <w:spacing w:after="120" w:line="276" w:lineRule="auto"/>
      </w:pPr>
      <w:r>
        <w:t>**Conclusion technique** : Les indicateurs de tendance (MM, MACD) sont positifs, mais les oscillateurs (RSI proche du surachete, Stochastique en croisement baissier) signalent une faiblesse imminente. Le signal global est donc mitigé, avec un biais haussier à moyen terme mais un risque de repli à court terme.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annuelles font état d'un chiffre d'affaires de 85,643 milliards FCFA et d'un résultat net de 21,069 milliards FCFA, soit une marge nette exceptionnelle de 24,6%. La rentabilité des fonds propres (ROE) est excellente à 27,08%, et le ROA de 11,2% témoigne d'une bonne efficacité des actifs. Cependant, la structure du bilan révèle des déséquilibres : le délai de paiement des clients est très élevé (466,94 jours), ce qui représente un risque de trésorerie majeur, mais il est compensé par un délai fournisseurs extrêmement long (4 534 jours), une pratique qui finance le besoin en fonds de roulement. Le BFR est d'ailleurs positif (17,874 milliards), mais la trésorerie nette est confortable (15,617 milliards). **Les rapports trimestriels de 2025** montrent une dégradation sévère de la rentabilité : le S1 2025 est déficitaire (-427 millions FCFA) et le T3 2025 affiche un résultat net en chute de 77% (4,341 milliards FCFA), principalement en raison de l'absence de dividendes des filiales. Sur la base de ces rapports, on estime que l'exercice 2025 devrait voir le résultat net s'effondrer à environ 0,78 milliard FCFA (selon le rapport annuel 2025), soit une baisse de 96% par rapport à 2024, malgré un CA en hausse de 7,4% à 92 milliards FCFA. Cette contre-performance est due à un résultat d'exploitation négatif (-2,27 milliards FCFA) et à une pression fiscale accrue. La recommandation fondamentale est de **CONSERVER**, car la société reste solide financièrement (capitaux propres de 73,5 milliards, trésorerie abondante de 74,78 milliards), mais sa capacité à générer des bénéfices récurrents est compromise à court terme.</w:t>
      </w:r>
    </w:p>
    <w:p>
      <w:pPr>
        <w:spacing w:after="120" w:line="276" w:lineRule="auto"/>
      </w:pPr>
      <w:r>
        <w:t>---</w:t>
      </w:r>
    </w:p>
    <w:p>
      <w:pPr>
        <w:spacing w:after="120" w:line="276" w:lineRule="auto"/>
      </w:pPr>
      <w:r>
        <w:t>### PARTIE 4 : CONCLUSION D'INVESTISSEMENT</w:t>
      </w:r>
    </w:p>
    <w:p>
      <w:pPr>
        <w:spacing w:after="120" w:line="276" w:lineRule="auto"/>
      </w:pPr>
      <w:r>
        <w:t>La valorisation de SDSC est contrastée : le PER de 8,0x est attractif, mais l'EV/EBITDA de 36,5x est dissuasif, reflétant une détérioration de la capacité bénéficiaire opérationnelle. Le comportement du cours est extrêmement haussier (+63,68% en 100 jours) avec une volatilité très élevée (51,4%), ce qui est préoccupant pour la stabilité du titre. Les signaux techniques sont mitigés, avec une tendance positive (MM, MACD) mais des oscillateurs en surachete (RSI, Stochastique) suggérant un repli imminent. Les fondamentaux se sont considérablement dégradés en 2025, avec un résultat net en chute de 96%, malgré une croissance du CA. Les prédictions IA pour les 10 prochains jours (baisse de 3 022 à 2 861 FCFA) confirment le scénario de correction technique à court terme. En synthèse, la convergence des signaux techniques et des prédictions IA indique une phase de consolidation après une hausse excessive, alors que les fondamentaux ne justifient pas les niveaux de cours actuels. **Recommandation finale : VENTE** pour les investisseurs à court terme, avec un niveau de confiance **Moyen** et un risque global **Élevé**. Pour les investisseurs à long terme, il est conseillé d'attendre une correction significative du cours (vers 2 500 FCFA) pour envisager une position, l'horizon optimal étant le **moyen terme (3-12 mois)** après stabilisation.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5,926 titres</w:t>
            </w:r>
          </w:p>
        </w:tc>
        <w:tc>
          <w:tcPr>
            <w:tcW w:type="dxa" w:w="2268"/>
            <w:shd w:fill="FFF2CC" w:val="clear"/>
          </w:tcPr>
          <w:p>
            <w:r>
              <w:rPr>
                <w:b/>
                <w:color w:val="503200"/>
                <w:sz w:val="16"/>
              </w:rPr>
              <w:t xml:space="preserve">Cours actuel : </w:t>
            </w:r>
            <w:r>
              <w:rPr>
                <w:color w:val="000000"/>
                <w:sz w:val="17"/>
              </w:rPr>
              <w:t>1,565 FCFA</w:t>
            </w:r>
          </w:p>
          <w:p>
            <w:r>
              <w:rPr>
                <w:b/>
                <w:color w:val="503200"/>
                <w:sz w:val="16"/>
              </w:rPr>
              <w:t xml:space="preserve">Var. 100 jours : </w:t>
            </w:r>
            <w:r>
              <w:rPr>
                <w:b/>
                <w:color w:val="B40000"/>
                <w:sz w:val="17"/>
              </w:rPr>
              <w:t>-19.33%</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6.47% (Moyenne) — μ=1,543 FCFA, σ=100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β=1.3961 (Agressif) — Cov=0.000051, Var(idx)=0.000037, ρ=0.265,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1,433</w:t>
            </w:r>
          </w:p>
        </w:tc>
        <w:tc>
          <w:tcPr>
            <w:tcW w:type="dxa" w:w="1440"/>
            <w:shd w:fill="FFDCE0" w:val="clear"/>
          </w:tcPr>
          <w:p>
            <w:r>
              <w:rPr>
                <w:b/>
                <w:sz w:val="17"/>
              </w:rPr>
              <w:t>1,500</w:t>
            </w:r>
          </w:p>
        </w:tc>
        <w:tc>
          <w:tcPr>
            <w:tcW w:type="dxa" w:w="1440"/>
            <w:shd w:fill="FFDCE0" w:val="clear"/>
          </w:tcPr>
          <w:p>
            <w:r>
              <w:rPr>
                <w:sz w:val="17"/>
              </w:rPr>
              <w:t>1,568</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1,397</w:t>
            </w:r>
          </w:p>
        </w:tc>
        <w:tc>
          <w:tcPr>
            <w:tcW w:type="dxa" w:w="1440"/>
            <w:shd w:fill="FFDCE0" w:val="clear"/>
          </w:tcPr>
          <w:p>
            <w:r>
              <w:rPr>
                <w:b/>
                <w:sz w:val="17"/>
              </w:rPr>
              <w:t>1,493</w:t>
            </w:r>
          </w:p>
        </w:tc>
        <w:tc>
          <w:tcPr>
            <w:tcW w:type="dxa" w:w="1440"/>
            <w:shd w:fill="FFDCE0" w:val="clear"/>
          </w:tcPr>
          <w:p>
            <w:r>
              <w:rPr>
                <w:sz w:val="17"/>
              </w:rPr>
              <w:t>1,588</w:t>
            </w:r>
          </w:p>
        </w:tc>
        <w:tc>
          <w:tcPr>
            <w:tcW w:type="dxa" w:w="1440"/>
            <w:shd w:fill="FFDCE0" w:val="clear"/>
          </w:tcPr>
          <w:p>
            <w:r>
              <w:rPr>
                <w:b/>
                <w:color w:val="C00000"/>
                <w:sz w:val="17"/>
              </w:rPr>
              <w:t>-4.6%</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1,363</w:t>
            </w:r>
          </w:p>
        </w:tc>
        <w:tc>
          <w:tcPr>
            <w:tcW w:type="dxa" w:w="1440"/>
            <w:shd w:fill="FFDCE0" w:val="clear"/>
          </w:tcPr>
          <w:p>
            <w:r>
              <w:rPr>
                <w:b/>
                <w:sz w:val="17"/>
              </w:rPr>
              <w:t>1,480</w:t>
            </w:r>
          </w:p>
        </w:tc>
        <w:tc>
          <w:tcPr>
            <w:tcW w:type="dxa" w:w="1440"/>
            <w:shd w:fill="FFDCE0" w:val="clear"/>
          </w:tcPr>
          <w:p>
            <w:r>
              <w:rPr>
                <w:sz w:val="17"/>
              </w:rPr>
              <w:t>1,596</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1,332</w:t>
            </w:r>
          </w:p>
        </w:tc>
        <w:tc>
          <w:tcPr>
            <w:tcW w:type="dxa" w:w="1440"/>
            <w:shd w:fill="FFDCE0" w:val="clear"/>
          </w:tcPr>
          <w:p>
            <w:r>
              <w:rPr>
                <w:b/>
                <w:sz w:val="17"/>
              </w:rPr>
              <w:t>1,465</w:t>
            </w:r>
          </w:p>
        </w:tc>
        <w:tc>
          <w:tcPr>
            <w:tcW w:type="dxa" w:w="1440"/>
            <w:shd w:fill="FFDCE0" w:val="clear"/>
          </w:tcPr>
          <w:p>
            <w:r>
              <w:rPr>
                <w:sz w:val="17"/>
              </w:rPr>
              <w:t>1,597</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1,303</w:t>
            </w:r>
          </w:p>
        </w:tc>
        <w:tc>
          <w:tcPr>
            <w:tcW w:type="dxa" w:w="1440"/>
            <w:shd w:fill="FFDCE0" w:val="clear"/>
          </w:tcPr>
          <w:p>
            <w:r>
              <w:rPr>
                <w:b/>
                <w:sz w:val="17"/>
              </w:rPr>
              <w:t>1,450</w:t>
            </w:r>
          </w:p>
        </w:tc>
        <w:tc>
          <w:tcPr>
            <w:tcW w:type="dxa" w:w="1440"/>
            <w:shd w:fill="FFDCE0" w:val="clear"/>
          </w:tcPr>
          <w:p>
            <w:r>
              <w:rPr>
                <w:sz w:val="17"/>
              </w:rPr>
              <w:t>1,597</w:t>
            </w:r>
          </w:p>
        </w:tc>
        <w:tc>
          <w:tcPr>
            <w:tcW w:type="dxa" w:w="1440"/>
            <w:shd w:fill="FFDCE0" w:val="clear"/>
          </w:tcPr>
          <w:p>
            <w:r>
              <w:rPr>
                <w:b/>
                <w:color w:val="C00000"/>
                <w:sz w:val="17"/>
              </w:rPr>
              <w:t>-7.4%</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1,276</w:t>
            </w:r>
          </w:p>
        </w:tc>
        <w:tc>
          <w:tcPr>
            <w:tcW w:type="dxa" w:w="1440"/>
            <w:shd w:fill="FFDCE0" w:val="clear"/>
          </w:tcPr>
          <w:p>
            <w:r>
              <w:rPr>
                <w:b/>
                <w:sz w:val="17"/>
              </w:rPr>
              <w:t>1,435</w:t>
            </w:r>
          </w:p>
        </w:tc>
        <w:tc>
          <w:tcPr>
            <w:tcW w:type="dxa" w:w="1440"/>
            <w:shd w:fill="FFDCE0" w:val="clear"/>
          </w:tcPr>
          <w:p>
            <w:r>
              <w:rPr>
                <w:sz w:val="17"/>
              </w:rPr>
              <w:t>1,594</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1,251</w:t>
            </w:r>
          </w:p>
        </w:tc>
        <w:tc>
          <w:tcPr>
            <w:tcW w:type="dxa" w:w="1440"/>
            <w:shd w:fill="FFDCE0" w:val="clear"/>
          </w:tcPr>
          <w:p>
            <w:r>
              <w:rPr>
                <w:b/>
                <w:sz w:val="17"/>
              </w:rPr>
              <w:t>1,421</w:t>
            </w:r>
          </w:p>
        </w:tc>
        <w:tc>
          <w:tcPr>
            <w:tcW w:type="dxa" w:w="1440"/>
            <w:shd w:fill="FFDCE0" w:val="clear"/>
          </w:tcPr>
          <w:p>
            <w:r>
              <w:rPr>
                <w:sz w:val="17"/>
              </w:rPr>
              <w:t>1,591</w:t>
            </w:r>
          </w:p>
        </w:tc>
        <w:tc>
          <w:tcPr>
            <w:tcW w:type="dxa" w:w="1440"/>
            <w:shd w:fill="FFDCE0" w:val="clear"/>
          </w:tcPr>
          <w:p>
            <w:r>
              <w:rPr>
                <w:b/>
                <w:color w:val="C00000"/>
                <w:sz w:val="17"/>
              </w:rPr>
              <w:t>-9.2%</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1,227</w:t>
            </w:r>
          </w:p>
        </w:tc>
        <w:tc>
          <w:tcPr>
            <w:tcW w:type="dxa" w:w="1440"/>
            <w:shd w:fill="FFDCE0" w:val="clear"/>
          </w:tcPr>
          <w:p>
            <w:r>
              <w:rPr>
                <w:b/>
                <w:sz w:val="17"/>
              </w:rPr>
              <w:t>1,407</w:t>
            </w:r>
          </w:p>
        </w:tc>
        <w:tc>
          <w:tcPr>
            <w:tcW w:type="dxa" w:w="1440"/>
            <w:shd w:fill="FFDCE0" w:val="clear"/>
          </w:tcPr>
          <w:p>
            <w:r>
              <w:rPr>
                <w:sz w:val="17"/>
              </w:rPr>
              <w:t>1,587</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1,204</w:t>
            </w:r>
          </w:p>
        </w:tc>
        <w:tc>
          <w:tcPr>
            <w:tcW w:type="dxa" w:w="1440"/>
            <w:shd w:fill="FFDCE0" w:val="clear"/>
          </w:tcPr>
          <w:p>
            <w:r>
              <w:rPr>
                <w:b/>
                <w:sz w:val="17"/>
              </w:rPr>
              <w:t>1,393</w:t>
            </w:r>
          </w:p>
        </w:tc>
        <w:tc>
          <w:tcPr>
            <w:tcW w:type="dxa" w:w="1440"/>
            <w:shd w:fill="FFDCE0" w:val="clear"/>
          </w:tcPr>
          <w:p>
            <w:r>
              <w:rPr>
                <w:sz w:val="17"/>
              </w:rPr>
              <w:t>1,582</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1,182</w:t>
            </w:r>
          </w:p>
        </w:tc>
        <w:tc>
          <w:tcPr>
            <w:tcW w:type="dxa" w:w="1440"/>
            <w:shd w:fill="FFDCE0" w:val="clear"/>
          </w:tcPr>
          <w:p>
            <w:r>
              <w:rPr>
                <w:b/>
                <w:sz w:val="17"/>
              </w:rPr>
              <w:t>1,380</w:t>
            </w:r>
          </w:p>
        </w:tc>
        <w:tc>
          <w:tcPr>
            <w:tcW w:type="dxa" w:w="1440"/>
            <w:shd w:fill="FFDCE0" w:val="clear"/>
          </w:tcPr>
          <w:p>
            <w:r>
              <w:rPr>
                <w:sz w:val="17"/>
              </w:rPr>
              <w:t>1,577</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SEMC, conforme à vos instructions impératives.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**39,42 milliards FCFA**, un niveau qui la positionne comme une valeur de taille moyenne sur la BRVM. Les ratios de valorisation (BPA, PER, P/B, EV/EBITDA) sont **non calculables** en raison de l'absence de données financières structurées dans la base de données. Cette situation est paradoxale car des rapports financiers officiels existent, mais ils ne sont pas intégrés au format standardisé. Pour un investisseur, cette absence de ratios standardisés est un manque crucial, car il est impossible de juger objectivement si le marché valorise la société à un niveau attractif par rapport à ses bénéfices (PER) ou à son actif net (P/B). La prudence est donc de mise, et l'analyse devra se baser sur les données fondamentales historiques disponibles dans les rapports narratifs.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enregistré une **baisse significative de -19,33%**, avec une dernière séance également négative (-0,95%). Le cours a évolué dans une fourchette large de 1 350 à 1 940 FCFA, illustrant une forte amplitude de trading. La moyenne (1 543 FCFA) est supérieure à la médiane (1 520 FCFA), et le skewness positif (1.641) confirme une distribution asymétrique avec des journées de baisse plus fréquentes que les journées de hausse, ce qui a tiré le cours vers le bas. L'écart-type de 100 FCFA (CV=6,5%) indique une dispersion modérée autour de la moyenne. Cependant, le **kurtosis élevé (4.037)** signale un risque de mouvements extrêmes et imprévisibles. La **volatilité annualisée de 50,6%** est très élevée, classant le titre comme spéculatif et à risque, malgré une tendance générale baissière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(1 565 FCFA) est supérieur à la MM20 (1 528,5 FCFA) et à la MM50 (1 498,1 FCFA). Cette configuration haussière à court et moyen terme suggère un momentum positif, justifiant la décision d'**Achat**. Cependant, cette dynamique est récente et contraste avec la tendance baissière de long terme.</w:t>
      </w:r>
    </w:p>
    <w:p>
      <w:pPr>
        <w:spacing w:after="120" w:line="276" w:lineRule="auto"/>
      </w:pPr>
      <w:r>
        <w:t>**Bandes de Bollinger** : Le prix se situe à l'intérieur des bandes (borne supérieure à 1 615,9 et inférieure à 1 441,1), indiquant une volatilité modérée. La position du prix dans la moitié supérieure de la bande suggère une légère pression acheteuse, mais sans excès. La décision est donc **Neutre**, le marché attendant un signal de rupture.</w:t>
      </w:r>
    </w:p>
    <w:p>
      <w:pPr>
        <w:spacing w:after="120" w:line="276" w:lineRule="auto"/>
      </w:pPr>
      <w:r>
        <w:t>**MACD** : La valeur du MACD (13,037) est supérieure à son signal (10,051), avec les deux indicateurs en territoire positif. Cette configuration haussière classique confirme un momentum positif en cours de construction. La décision est un signal d'**Achat**.</w:t>
      </w:r>
    </w:p>
    <w:p>
      <w:pPr>
        <w:spacing w:after="120" w:line="276" w:lineRule="auto"/>
      </w:pPr>
      <w:r>
        <w:t>**RSI** : Le RSI à 57,658 est en zone neutre (entre 30 et 70). Il indique que le titre n'est ni suracheté ni survendu, laissant de la place pour une poursuite du mouvement haussier sans pression excessive. La décision est **Neutre**.</w:t>
      </w:r>
    </w:p>
    <w:p>
      <w:pPr>
        <w:spacing w:after="120" w:line="276" w:lineRule="auto"/>
      </w:pPr>
      <w:r>
        <w:t>**Stochastique** : Le %K (76,667) est supérieur au %D (65,556), montrant une dynamique haussière. Bien que le %K approche la zone de surachat (&gt;80), le croisement haussier et la marge de manœuvre restante suggèrent une poursuite possible. La décision est **Neutre**, avec une vigilance sur une possible consolidation.</w:t>
      </w:r>
    </w:p>
    <w:p>
      <w:pPr>
        <w:spacing w:after="120" w:line="276" w:lineRule="auto"/>
      </w:pPr>
      <w:r>
        <w:t>**Conclusion technique** : Les indicateurs de momentum (MACD) et de tendance (MM) sont positifs, suggérant un potentiel de rebond technique à court terme. Cependant, les oscillateurs (RSI, Stochastique) en zone neutre et les bandes de Bollinger sans signal fort indiquent que ce mouvement manque de vigueur. Le signal global est un **Achat prudent**, à confirmer par une cassure au-dessus de la borne supérieure des bandes de Bollinger.</w:t>
      </w:r>
    </w:p>
    <w:p>
      <w:pPr>
        <w:spacing w:after="120" w:line="276" w:lineRule="auto"/>
      </w:pPr>
      <w:r>
        <w:t>---</w:t>
      </w:r>
    </w:p>
    <w:p>
      <w:pPr>
        <w:spacing w:after="120" w:line="276" w:lineRule="auto"/>
      </w:pPr>
      <w:r>
        <w:t>### **PARTIE 3 : ANALYSE FONDAMENTALE (SECTION CRITIQUE)**</w:t>
      </w:r>
    </w:p>
    <w:p>
      <w:pPr>
        <w:spacing w:after="120" w:line="276" w:lineRule="auto"/>
      </w:pPr>
      <w:r>
        <w:t>Les rapports financiers officiels, bien qu'anciens, révèlent une situation contrastée. Le rapport annuel de 2023 (daté du 31/12/2023) fait état d'un **chiffre d'affaires de 27,88 milliards FCFA**, en baisse de 6% par rapport à 2022 (29,60 milliards), et d'un **résultat net de 1,01 milliard FCFA**, en chute de 74% (vs 3,86 milliards en 2022). Cette dégradation s'explique par une perte de clients clés et une baisse des volumes. En conséquence, la marge nette s'est effondrée à 3,6% (vs 13% en 2022) et le **ROE** implicite est très faible. Aucun dividende n'a été distribué. Cependant, un rapport daté de 2024-12-31 (analysé en 2026) présente des chiffres radicalement différents pour l'exercice 2023, avec un **CA consolidé de 125,4 milliards FCFA** et un **résultat net de 12,8 milliards FCFA**, suggérant une possible consolidation ou une erreur de périmètre. Par ailleurs, un rapport du **1er trimestre 2023** indiquait un CA de 7,65 milliards (+16,5%) et un bénéfice net de 855 millions (+37,9%), laissant entrevoir une dynamique positive qui ne s'est pas confirmée sur l'année complète. Enfin, le rapport de 2022 mentionne un dividende de 1 200 FCFA par action, ce qui est en contradiction avec les rapports plus récents. Ces incohérences majeures entre les rapports rendent l'analyse fondamentale extrêmement difficile et risquée. La recommandation fondamentale est donc **CONSERVER avec une extrême prudence**, en attendant la publication d'états financiers fiables et consolidés pour évaluer la solidité réelle de l'entreprise et l'impact du rachat par Sonoco.</w:t>
      </w:r>
    </w:p>
    <w:p>
      <w:pPr>
        <w:spacing w:after="120" w:line="276" w:lineRule="auto"/>
      </w:pPr>
      <w:r>
        <w:t>---</w:t>
      </w:r>
    </w:p>
    <w:p>
      <w:pPr>
        <w:spacing w:after="120" w:line="276" w:lineRule="auto"/>
      </w:pPr>
      <w:r>
        <w:t>### **PARTIE 4 : CONCLUSION D'INVESTISSEMENT**</w:t>
      </w:r>
    </w:p>
    <w:p>
      <w:pPr>
        <w:spacing w:after="120" w:line="276" w:lineRule="auto"/>
      </w:pPr>
      <w:r>
        <w:t>La valorisation boursière est incalculable faute de ratios standardisés, mais la capitalisation de 39,42 Mds FCFA semble modeste. Le comportement du cours est préoccupant avec une tendance baissière de -19,33% sur 100 jours et une volatilité extrêmement élevée (50,6%), accentuée par un risque de pics (kurtosis élevé). Les signaux techniques sont mitigés, avec un momentum haussier à court terme (MM, MACD) contredit par une tendance de fond baissière et des oscillateurs neutres. Les fondamentaux sont très inquiétants, marqués par une chute drastique des résultats en 2023, des incohérences entre les rapports financiers et une suspension de cotation passée. Les **prédictions IA sur 10 jours (1 500 à 1 450 FCFA) confirment la tendance baissière** et contredisent les signaux techniques d'achat à court terme, suggérant que le rebond potentiel est fragile. La synthèse globale est donc négative. La recommandation finale est **VENTE**. Le niveau de confiance est **Moyen** en raison des signaux techniques contradictoires, mais le risque global est **Élevé** du fait de la volatilité, de l'opacité des données financières et de la tendance de fond négative. L'horizon d'investissement optimal est le **court terme (&lt;3 mois)** pour les investisseurs cherchant à arbitrer, mais la tendance de fond incite à l'évitement du titre pour le moyen et long terme.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1207.11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5,516 titres</w:t>
            </w:r>
          </w:p>
        </w:tc>
        <w:tc>
          <w:tcPr>
            <w:tcW w:type="dxa" w:w="2268"/>
            <w:shd w:fill="FFF2CC" w:val="clear"/>
          </w:tcPr>
          <w:p>
            <w:r>
              <w:rPr>
                <w:b/>
                <w:color w:val="503200"/>
                <w:sz w:val="16"/>
              </w:rPr>
              <w:t xml:space="preserve">Cours actuel : </w:t>
            </w:r>
            <w:r>
              <w:rPr>
                <w:color w:val="000000"/>
                <w:sz w:val="17"/>
              </w:rPr>
              <w:t>38,800 FCFA</w:t>
            </w:r>
          </w:p>
          <w:p>
            <w:r>
              <w:rPr>
                <w:b/>
                <w:color w:val="503200"/>
                <w:sz w:val="16"/>
              </w:rPr>
              <w:t xml:space="preserve">Var. 100 jours : </w:t>
            </w:r>
            <w:r>
              <w:rPr>
                <w:b/>
                <w:color w:val="007800"/>
                <w:sz w:val="17"/>
              </w:rPr>
              <w:t>+14.45%</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5.26% (Moyenne) — μ=37,285 FCFA, σ=1,961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β=0.6286 (Défensif) — Cov=0.000023, Var(idx)=0.000037, ρ=0.250,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37,321</w:t>
            </w:r>
          </w:p>
        </w:tc>
        <w:tc>
          <w:tcPr>
            <w:tcW w:type="dxa" w:w="1440"/>
            <w:shd w:fill="FAFAFA" w:val="clear"/>
          </w:tcPr>
          <w:p>
            <w:r>
              <w:rPr>
                <w:b/>
                <w:sz w:val="17"/>
              </w:rPr>
              <w:t>38,190</w:t>
            </w:r>
          </w:p>
        </w:tc>
        <w:tc>
          <w:tcPr>
            <w:tcW w:type="dxa" w:w="1440"/>
            <w:shd w:fill="FAFAFA" w:val="clear"/>
          </w:tcPr>
          <w:p>
            <w:r>
              <w:rPr>
                <w:sz w:val="17"/>
              </w:rPr>
              <w:t>39,060</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36,884</w:t>
            </w:r>
          </w:p>
        </w:tc>
        <w:tc>
          <w:tcPr>
            <w:tcW w:type="dxa" w:w="1440"/>
            <w:shd w:fill="FAFAFA" w:val="clear"/>
          </w:tcPr>
          <w:p>
            <w:r>
              <w:rPr>
                <w:b/>
                <w:sz w:val="17"/>
              </w:rPr>
              <w:t>38,111</w:t>
            </w:r>
          </w:p>
        </w:tc>
        <w:tc>
          <w:tcPr>
            <w:tcW w:type="dxa" w:w="1440"/>
            <w:shd w:fill="FAFAFA" w:val="clear"/>
          </w:tcPr>
          <w:p>
            <w:r>
              <w:rPr>
                <w:sz w:val="17"/>
              </w:rPr>
              <w:t>39,338</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36,516</w:t>
            </w:r>
          </w:p>
        </w:tc>
        <w:tc>
          <w:tcPr>
            <w:tcW w:type="dxa" w:w="1440"/>
            <w:shd w:fill="FFDCE0" w:val="clear"/>
          </w:tcPr>
          <w:p>
            <w:r>
              <w:rPr>
                <w:b/>
                <w:sz w:val="17"/>
              </w:rPr>
              <w:t>38,015</w:t>
            </w:r>
          </w:p>
        </w:tc>
        <w:tc>
          <w:tcPr>
            <w:tcW w:type="dxa" w:w="1440"/>
            <w:shd w:fill="FFDCE0" w:val="clear"/>
          </w:tcPr>
          <w:p>
            <w:r>
              <w:rPr>
                <w:sz w:val="17"/>
              </w:rPr>
              <w:t>39,514</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36,197</w:t>
            </w:r>
          </w:p>
        </w:tc>
        <w:tc>
          <w:tcPr>
            <w:tcW w:type="dxa" w:w="1440"/>
            <w:shd w:fill="FFDCE0" w:val="clear"/>
          </w:tcPr>
          <w:p>
            <w:r>
              <w:rPr>
                <w:b/>
                <w:sz w:val="17"/>
              </w:rPr>
              <w:t>37,924</w:t>
            </w:r>
          </w:p>
        </w:tc>
        <w:tc>
          <w:tcPr>
            <w:tcW w:type="dxa" w:w="1440"/>
            <w:shd w:fill="FFDCE0" w:val="clear"/>
          </w:tcPr>
          <w:p>
            <w:r>
              <w:rPr>
                <w:sz w:val="17"/>
              </w:rPr>
              <w:t>39,650</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35,911</w:t>
            </w:r>
          </w:p>
        </w:tc>
        <w:tc>
          <w:tcPr>
            <w:tcW w:type="dxa" w:w="1440"/>
            <w:shd w:fill="FFDCE0" w:val="clear"/>
          </w:tcPr>
          <w:p>
            <w:r>
              <w:rPr>
                <w:b/>
                <w:sz w:val="17"/>
              </w:rPr>
              <w:t>37,837</w:t>
            </w:r>
          </w:p>
        </w:tc>
        <w:tc>
          <w:tcPr>
            <w:tcW w:type="dxa" w:w="1440"/>
            <w:shd w:fill="FFDCE0" w:val="clear"/>
          </w:tcPr>
          <w:p>
            <w:r>
              <w:rPr>
                <w:sz w:val="17"/>
              </w:rPr>
              <w:t>39,763</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35,649</w:t>
            </w:r>
          </w:p>
        </w:tc>
        <w:tc>
          <w:tcPr>
            <w:tcW w:type="dxa" w:w="1440"/>
            <w:shd w:fill="FFDCE0" w:val="clear"/>
          </w:tcPr>
          <w:p>
            <w:r>
              <w:rPr>
                <w:b/>
                <w:sz w:val="17"/>
              </w:rPr>
              <w:t>37,754</w:t>
            </w:r>
          </w:p>
        </w:tc>
        <w:tc>
          <w:tcPr>
            <w:tcW w:type="dxa" w:w="1440"/>
            <w:shd w:fill="FFDCE0" w:val="clear"/>
          </w:tcPr>
          <w:p>
            <w:r>
              <w:rPr>
                <w:sz w:val="17"/>
              </w:rPr>
              <w:t>39,860</w:t>
            </w:r>
          </w:p>
        </w:tc>
        <w:tc>
          <w:tcPr>
            <w:tcW w:type="dxa" w:w="1440"/>
            <w:shd w:fill="FFDCE0" w:val="clear"/>
          </w:tcPr>
          <w:p>
            <w:r>
              <w:rPr>
                <w:b/>
                <w:color w:val="C00000"/>
                <w:sz w:val="17"/>
              </w:rPr>
              <w:t>-2.7%</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35,405</w:t>
            </w:r>
          </w:p>
        </w:tc>
        <w:tc>
          <w:tcPr>
            <w:tcW w:type="dxa" w:w="1440"/>
            <w:shd w:fill="FFDCE0" w:val="clear"/>
          </w:tcPr>
          <w:p>
            <w:r>
              <w:rPr>
                <w:b/>
                <w:sz w:val="17"/>
              </w:rPr>
              <w:t>37,674</w:t>
            </w:r>
          </w:p>
        </w:tc>
        <w:tc>
          <w:tcPr>
            <w:tcW w:type="dxa" w:w="1440"/>
            <w:shd w:fill="FFDCE0" w:val="clear"/>
          </w:tcPr>
          <w:p>
            <w:r>
              <w:rPr>
                <w:sz w:val="17"/>
              </w:rPr>
              <w:t>39,943</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35,175</w:t>
            </w:r>
          </w:p>
        </w:tc>
        <w:tc>
          <w:tcPr>
            <w:tcW w:type="dxa" w:w="1440"/>
            <w:shd w:fill="FFDCE0" w:val="clear"/>
          </w:tcPr>
          <w:p>
            <w:r>
              <w:rPr>
                <w:b/>
                <w:sz w:val="17"/>
              </w:rPr>
              <w:t>37,596</w:t>
            </w:r>
          </w:p>
        </w:tc>
        <w:tc>
          <w:tcPr>
            <w:tcW w:type="dxa" w:w="1440"/>
            <w:shd w:fill="FFDCE0" w:val="clear"/>
          </w:tcPr>
          <w:p>
            <w:r>
              <w:rPr>
                <w:sz w:val="17"/>
              </w:rPr>
              <w:t>40,017</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34,957</w:t>
            </w:r>
          </w:p>
        </w:tc>
        <w:tc>
          <w:tcPr>
            <w:tcW w:type="dxa" w:w="1440"/>
            <w:shd w:fill="FFDCE0" w:val="clear"/>
          </w:tcPr>
          <w:p>
            <w:r>
              <w:rPr>
                <w:b/>
                <w:sz w:val="17"/>
              </w:rPr>
              <w:t>37,520</w:t>
            </w:r>
          </w:p>
        </w:tc>
        <w:tc>
          <w:tcPr>
            <w:tcW w:type="dxa" w:w="1440"/>
            <w:shd w:fill="FFDCE0" w:val="clear"/>
          </w:tcPr>
          <w:p>
            <w:r>
              <w:rPr>
                <w:sz w:val="17"/>
              </w:rPr>
              <w:t>40,082</w:t>
            </w:r>
          </w:p>
        </w:tc>
        <w:tc>
          <w:tcPr>
            <w:tcW w:type="dxa" w:w="1440"/>
            <w:shd w:fill="FFDCE0" w:val="clear"/>
          </w:tcPr>
          <w:p>
            <w:r>
              <w:rPr>
                <w:b/>
                <w:color w:val="C00000"/>
                <w:sz w:val="17"/>
              </w:rPr>
              <w:t>-3.3%</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34,749</w:t>
            </w:r>
          </w:p>
        </w:tc>
        <w:tc>
          <w:tcPr>
            <w:tcW w:type="dxa" w:w="1440"/>
            <w:shd w:fill="FFDCE0" w:val="clear"/>
          </w:tcPr>
          <w:p>
            <w:r>
              <w:rPr>
                <w:b/>
                <w:sz w:val="17"/>
              </w:rPr>
              <w:t>37,445</w:t>
            </w:r>
          </w:p>
        </w:tc>
        <w:tc>
          <w:tcPr>
            <w:tcW w:type="dxa" w:w="1440"/>
            <w:shd w:fill="FFDCE0" w:val="clear"/>
          </w:tcPr>
          <w:p>
            <w:r>
              <w:rPr>
                <w:sz w:val="17"/>
              </w:rPr>
              <w:t>40,140</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1 207,11 milliards FCFA, positionnant le titre parmi les valeurs les plus lourdes de la BRVM, avec un poids significatif dans l'indice composite. Avec un BPA de 3 258 FCFA, chaque action génère un bénéfice substantiel, justifiant un PER de 11,9x, légèrement au-dessus de la moyenne historique de la place (~8-12x), ce qui traduit une valorisation modérée mais non excessive. Le P/B de 2,44x indique que le marché rémunère une prime de croissance et de qualité bilancielle, cohérente avec les niveaux de rentabilité élevés de la banque. En revanche, l'EV/EBITDA de 24,6x apparaît très exigeant, signalant que la valeur totale de l'entreprise (dette incluse) est chère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solide de +14,45%, avec une dernière séance en hausse de +0,78% à 38 800 FCFA, confirmant une dynamique positive. Le titre a évolué dans un range de trading compris entre 32 800 FCFA (plus bas) et 39 300 FCFA (plus haut), soit une amplitude de 6 500 FCFA, témoignant d'une tendance haussière soutenue. La moyenne (37 285 FCFA) étant inférieure à la médiane (38 000 FCFA), la distribution est asymétrique, avec un skewness négatif (-0,999) indiquant que les journées au-dessus de la moyenne ont été plus fréquentes, typique d'un marché porteur. L'écart-type de 1 971 FCFA (CV=5,3%) reflète une dispersion modérée, tandis que le kurtosis mésokurtique (-0,326) suggère l'absence de mouvements extrêmes. La volatilité annualisée de 24,1% classe le titre dans une zone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Les moyennes mobiles MM20 (38 640 FCFA) et MM50 (38 437 FCFA) sont toutes deux inférieures au cours actuel de 38 800 FCFA, avec une MM20 au-dessus de la MM50, configuration haussière classique. Cette structure confirme la tendance positive à court et moyen terme, justifiant la décision d'achat. Les bandes de Bollinger, avec une borne supérieure à 39 686 FCFA et inférieure à 37 595 FCFA, encadrent le cours qui se situe en zone neutre, indiquant une volatilité normale sans pression excessive. Le MACD, avec une valeur de -0,629 sous son signal de 4,259, montre un momentum baissier à court terme, signalant une possible consolidation après la hausse récente, d'où la décision de vente. Le RSI à 46,02 est en zone neutre (30-70), ne suggérant ni surachat ni survente, laissant place à une évolution directionnelle. Enfin, le stochastique (%K=68,65, %D=56,11) est également neutre, avec un %K au-dessus de %D, indiquant une légère pression acheteuse sans confirmation forte. La convergence des indicateurs (MM haussières, mais MACD baissier et oscillateurs neutres) suggère une phase de consolidation dans une tendance haussière, avec un biais positif à moyen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SGBC révèlent une banque performante : le PNB s'établit à 276,048 milliards FCFA, avec un résultat net de 101,352 milliards FCFA, en hausse de +4,1% par rapport à 2024 (rapport annuel 2024, publié en décembre 2024). Le ROE est excellent à 20,47%, et le ROA à 2,69%, démontrant une utilisation efficace des actifs. Le coefficient d'exploitation de 38,75% (rapport T3 2025, septembre 2025) confirme une gestion rigoureuse des coûts, bien en dessous du seuil de 60% considéré comme efficace. Le coût du risque, estimé via les provisions (17,995 Mds FCFA), reste contenu, et le ratio dépôts/crédits (2 907,675 Mds / 2 546,290 Mds = 87,5%) montre une transformation saine. Les rapports trimestriels 2025 (T1, S1, T3) indiquent une croissance régulière du PNB (+1,3% au T1, +1,0% au S1, +2,5% au T3) et du résultat net (+2,2%, +10,0%, +11,7% respectivement), suggérant une accélération en fin d'année. Sur la base du T3 2025 (résultat net cumulé de 83,3 Mds FCFA), on estime que l'exercice 2025 devrait dépasser les 105 milliards FCFA, confirmant la solidité du modèle. La banque, notée AAA, affiche des fondamentaux robustes, avec un ratio de solvabilité de 17,7% (S1 2025), bien au-dessus du minimum réglementaire, et des dépôts en hausse de +13,9% au T3 2025, malgré un NPL en légère hausse à 7,8% (S1 2025), point de vigilance.</w:t>
      </w:r>
    </w:p>
    <w:p>
      <w:pPr>
        <w:spacing w:after="120" w:line="276" w:lineRule="auto" w:before="240"/>
      </w:pPr>
      <w:r>
        <w:rPr>
          <w:b/>
          <w:color w:val="003366"/>
          <w:sz w:val="24"/>
        </w:rPr>
        <w:t>**PARTIE 4 : CONCLUSION D'INVESTISSEMENT**</w:t>
      </w:r>
    </w:p>
    <w:p>
      <w:pPr>
        <w:spacing w:after="120" w:line="276" w:lineRule="auto"/>
      </w:pPr>
      <w:r>
        <w:t>La valorisation de SGBC (PER 11,9x, P/B 2,44x) est modérée, mais l'EV/EBITDA élevé (24,6x) tempère l'attrait, suggérant une surévaluation relative de la valeur totale. Le comportement du cours est favorable, avec une tendance haussière de +14,45% sur 100 jours, une volatilité modérée (24,1%) et une asymétrie négative (skewness -0,999) indiquant une résilience. Les signaux techniques sont mitigés : les moyennes mobiles sont haussières, mais le MACD baissier et les oscillateurs neutres (RSI, stochastique) suggèrent une consolidation à court terme. Les fondamentaux sont excellents, avec un ROE de 20,47%, un coefficient d'exploitation de 38,75% et une croissance estimée du résultat net 2025 à ~105 Mds FCFA, soutenue par les rapports trimestriels. Les prédictions IA (J+1 à J+10) montrent une légère baisse de 38 190 à 37 837 FCFA, contredisant la tendance haussière mais confirmant la phase de consolidation technique. En synthèse, la convergence entre fondamentaux solides et valorisation raisonnable, malgré des signaux techniques mixtes, justifie une recommandation **CONSERVER**, avec un niveau de confiance **Moyen** et un risque global **Faible**. L'horizon d'investissement optimal est le **moyen terme (3-12 mois)**, en attendant une clarification technique et une confirmation des résultats annuels 2025.</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156.24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4,593 titres</w:t>
            </w:r>
          </w:p>
        </w:tc>
        <w:tc>
          <w:tcPr>
            <w:tcW w:type="dxa" w:w="2268"/>
            <w:shd w:fill="FFF2CC" w:val="clear"/>
          </w:tcPr>
          <w:p>
            <w:r>
              <w:rPr>
                <w:b/>
                <w:color w:val="503200"/>
                <w:sz w:val="16"/>
              </w:rPr>
              <w:t xml:space="preserve">Cours actuel : </w:t>
            </w:r>
            <w:r>
              <w:rPr>
                <w:color w:val="000000"/>
                <w:sz w:val="17"/>
              </w:rPr>
              <w:t>2,480 FCFA</w:t>
            </w:r>
          </w:p>
          <w:p>
            <w:r>
              <w:rPr>
                <w:b/>
                <w:color w:val="503200"/>
                <w:sz w:val="16"/>
              </w:rPr>
              <w:t xml:space="preserve">Var. 100 jours : </w:t>
            </w:r>
            <w:r>
              <w:rPr>
                <w:b/>
                <w:color w:val="007800"/>
                <w:sz w:val="17"/>
              </w:rPr>
              <w:t>+15.35%</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7.90% (Moyenne) — μ=2,139 FCFA, σ=169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β=1.1128 (Neutre (suit le marché)) — Cov=0.000041, Var(idx)=0.000037, ρ=0.301,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2,234</w:t>
            </w:r>
          </w:p>
        </w:tc>
        <w:tc>
          <w:tcPr>
            <w:tcW w:type="dxa" w:w="1440"/>
            <w:shd w:fill="FFDCE0" w:val="clear"/>
          </w:tcPr>
          <w:p>
            <w:r>
              <w:rPr>
                <w:b/>
                <w:sz w:val="17"/>
              </w:rPr>
              <w:t>2,314</w:t>
            </w:r>
          </w:p>
        </w:tc>
        <w:tc>
          <w:tcPr>
            <w:tcW w:type="dxa" w:w="1440"/>
            <w:shd w:fill="FFDCE0" w:val="clear"/>
          </w:tcPr>
          <w:p>
            <w:r>
              <w:rPr>
                <w:sz w:val="17"/>
              </w:rPr>
              <w:t>2,394</w:t>
            </w:r>
          </w:p>
        </w:tc>
        <w:tc>
          <w:tcPr>
            <w:tcW w:type="dxa" w:w="1440"/>
            <w:shd w:fill="FFDCE0" w:val="clear"/>
          </w:tcPr>
          <w:p>
            <w:r>
              <w:rPr>
                <w:b/>
                <w:color w:val="C00000"/>
                <w:sz w:val="17"/>
              </w:rPr>
              <w:t>-6.7%</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2,093</w:t>
            </w:r>
          </w:p>
        </w:tc>
        <w:tc>
          <w:tcPr>
            <w:tcW w:type="dxa" w:w="1440"/>
            <w:shd w:fill="FFDCE0" w:val="clear"/>
          </w:tcPr>
          <w:p>
            <w:r>
              <w:rPr>
                <w:b/>
                <w:sz w:val="17"/>
              </w:rPr>
              <w:t>2,200</w:t>
            </w:r>
          </w:p>
        </w:tc>
        <w:tc>
          <w:tcPr>
            <w:tcW w:type="dxa" w:w="1440"/>
            <w:shd w:fill="FFDCE0" w:val="clear"/>
          </w:tcPr>
          <w:p>
            <w:r>
              <w:rPr>
                <w:sz w:val="17"/>
              </w:rPr>
              <w:t>2,307</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1,970</w:t>
            </w:r>
          </w:p>
        </w:tc>
        <w:tc>
          <w:tcPr>
            <w:tcW w:type="dxa" w:w="1440"/>
            <w:shd w:fill="FFDCE0" w:val="clear"/>
          </w:tcPr>
          <w:p>
            <w:r>
              <w:rPr>
                <w:b/>
                <w:sz w:val="17"/>
              </w:rPr>
              <w:t>2,095</w:t>
            </w:r>
          </w:p>
        </w:tc>
        <w:tc>
          <w:tcPr>
            <w:tcW w:type="dxa" w:w="1440"/>
            <w:shd w:fill="FFDCE0" w:val="clear"/>
          </w:tcPr>
          <w:p>
            <w:r>
              <w:rPr>
                <w:sz w:val="17"/>
              </w:rPr>
              <w:t>2,220</w:t>
            </w:r>
          </w:p>
        </w:tc>
        <w:tc>
          <w:tcPr>
            <w:tcW w:type="dxa" w:w="1440"/>
            <w:shd w:fill="FFDCE0" w:val="clear"/>
          </w:tcPr>
          <w:p>
            <w:r>
              <w:rPr>
                <w:b/>
                <w:color w:val="C00000"/>
                <w:sz w:val="17"/>
              </w:rPr>
              <w:t>-15.5%</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1,870</w:t>
            </w:r>
          </w:p>
        </w:tc>
        <w:tc>
          <w:tcPr>
            <w:tcW w:type="dxa" w:w="1440"/>
            <w:shd w:fill="FFDCE0" w:val="clear"/>
          </w:tcPr>
          <w:p>
            <w:r>
              <w:rPr>
                <w:b/>
                <w:sz w:val="17"/>
              </w:rPr>
              <w:t>2,008</w:t>
            </w:r>
          </w:p>
        </w:tc>
        <w:tc>
          <w:tcPr>
            <w:tcW w:type="dxa" w:w="1440"/>
            <w:shd w:fill="FFDCE0" w:val="clear"/>
          </w:tcPr>
          <w:p>
            <w:r>
              <w:rPr>
                <w:sz w:val="17"/>
              </w:rPr>
              <w:t>2,147</w:t>
            </w:r>
          </w:p>
        </w:tc>
        <w:tc>
          <w:tcPr>
            <w:tcW w:type="dxa" w:w="1440"/>
            <w:shd w:fill="FFDCE0" w:val="clear"/>
          </w:tcPr>
          <w:p>
            <w:r>
              <w:rPr>
                <w:b/>
                <w:color w:val="C00000"/>
                <w:sz w:val="17"/>
              </w:rPr>
              <w:t>-19.0%</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1,788</w:t>
            </w:r>
          </w:p>
        </w:tc>
        <w:tc>
          <w:tcPr>
            <w:tcW w:type="dxa" w:w="1440"/>
            <w:shd w:fill="FFDCE0" w:val="clear"/>
          </w:tcPr>
          <w:p>
            <w:r>
              <w:rPr>
                <w:b/>
                <w:sz w:val="17"/>
              </w:rPr>
              <w:t>1,937</w:t>
            </w:r>
          </w:p>
        </w:tc>
        <w:tc>
          <w:tcPr>
            <w:tcW w:type="dxa" w:w="1440"/>
            <w:shd w:fill="FFDCE0" w:val="clear"/>
          </w:tcPr>
          <w:p>
            <w:r>
              <w:rPr>
                <w:sz w:val="17"/>
              </w:rPr>
              <w:t>2,087</w:t>
            </w:r>
          </w:p>
        </w:tc>
        <w:tc>
          <w:tcPr>
            <w:tcW w:type="dxa" w:w="1440"/>
            <w:shd w:fill="FFDCE0" w:val="clear"/>
          </w:tcPr>
          <w:p>
            <w:r>
              <w:rPr>
                <w:b/>
                <w:color w:val="C00000"/>
                <w:sz w:val="17"/>
              </w:rPr>
              <w:t>-21.9%</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1,720</w:t>
            </w:r>
          </w:p>
        </w:tc>
        <w:tc>
          <w:tcPr>
            <w:tcW w:type="dxa" w:w="1440"/>
            <w:shd w:fill="FFDCE0" w:val="clear"/>
          </w:tcPr>
          <w:p>
            <w:r>
              <w:rPr>
                <w:b/>
                <w:sz w:val="17"/>
              </w:rPr>
              <w:t>1,879</w:t>
            </w:r>
          </w:p>
        </w:tc>
        <w:tc>
          <w:tcPr>
            <w:tcW w:type="dxa" w:w="1440"/>
            <w:shd w:fill="FFDCE0" w:val="clear"/>
          </w:tcPr>
          <w:p>
            <w:r>
              <w:rPr>
                <w:sz w:val="17"/>
              </w:rPr>
              <w:t>2,037</w:t>
            </w:r>
          </w:p>
        </w:tc>
        <w:tc>
          <w:tcPr>
            <w:tcW w:type="dxa" w:w="1440"/>
            <w:shd w:fill="FFDCE0" w:val="clear"/>
          </w:tcPr>
          <w:p>
            <w:r>
              <w:rPr>
                <w:b/>
                <w:color w:val="C00000"/>
                <w:sz w:val="17"/>
              </w:rPr>
              <w:t>-24.3%</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1,662</w:t>
            </w:r>
          </w:p>
        </w:tc>
        <w:tc>
          <w:tcPr>
            <w:tcW w:type="dxa" w:w="1440"/>
            <w:shd w:fill="FFDCE0" w:val="clear"/>
          </w:tcPr>
          <w:p>
            <w:r>
              <w:rPr>
                <w:b/>
                <w:sz w:val="17"/>
              </w:rPr>
              <w:t>1,828</w:t>
            </w:r>
          </w:p>
        </w:tc>
        <w:tc>
          <w:tcPr>
            <w:tcW w:type="dxa" w:w="1440"/>
            <w:shd w:fill="FFDCE0" w:val="clear"/>
          </w:tcPr>
          <w:p>
            <w:r>
              <w:rPr>
                <w:sz w:val="17"/>
              </w:rPr>
              <w:t>1,995</w:t>
            </w:r>
          </w:p>
        </w:tc>
        <w:tc>
          <w:tcPr>
            <w:tcW w:type="dxa" w:w="1440"/>
            <w:shd w:fill="FFDCE0" w:val="clear"/>
          </w:tcPr>
          <w:p>
            <w:r>
              <w:rPr>
                <w:b/>
                <w:color w:val="C00000"/>
                <w:sz w:val="17"/>
              </w:rPr>
              <w:t>-26.3%</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1,611</w:t>
            </w:r>
          </w:p>
        </w:tc>
        <w:tc>
          <w:tcPr>
            <w:tcW w:type="dxa" w:w="1440"/>
            <w:shd w:fill="FFDCE0" w:val="clear"/>
          </w:tcPr>
          <w:p>
            <w:r>
              <w:rPr>
                <w:b/>
                <w:sz w:val="17"/>
              </w:rPr>
              <w:t>1,784</w:t>
            </w:r>
          </w:p>
        </w:tc>
        <w:tc>
          <w:tcPr>
            <w:tcW w:type="dxa" w:w="1440"/>
            <w:shd w:fill="FFDCE0" w:val="clear"/>
          </w:tcPr>
          <w:p>
            <w:r>
              <w:rPr>
                <w:sz w:val="17"/>
              </w:rPr>
              <w:t>1,958</w:t>
            </w:r>
          </w:p>
        </w:tc>
        <w:tc>
          <w:tcPr>
            <w:tcW w:type="dxa" w:w="1440"/>
            <w:shd w:fill="FFDCE0" w:val="clear"/>
          </w:tcPr>
          <w:p>
            <w:r>
              <w:rPr>
                <w:b/>
                <w:color w:val="C00000"/>
                <w:sz w:val="17"/>
              </w:rPr>
              <w:t>-28.1%</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1,565</w:t>
            </w:r>
          </w:p>
        </w:tc>
        <w:tc>
          <w:tcPr>
            <w:tcW w:type="dxa" w:w="1440"/>
            <w:shd w:fill="FFDCE0" w:val="clear"/>
          </w:tcPr>
          <w:p>
            <w:r>
              <w:rPr>
                <w:b/>
                <w:sz w:val="17"/>
              </w:rPr>
              <w:t>1,745</w:t>
            </w:r>
          </w:p>
        </w:tc>
        <w:tc>
          <w:tcPr>
            <w:tcW w:type="dxa" w:w="1440"/>
            <w:shd w:fill="FFDCE0" w:val="clear"/>
          </w:tcPr>
          <w:p>
            <w:r>
              <w:rPr>
                <w:sz w:val="17"/>
              </w:rPr>
              <w:t>1,925</w:t>
            </w:r>
          </w:p>
        </w:tc>
        <w:tc>
          <w:tcPr>
            <w:tcW w:type="dxa" w:w="1440"/>
            <w:shd w:fill="FFDCE0" w:val="clear"/>
          </w:tcPr>
          <w:p>
            <w:r>
              <w:rPr>
                <w:b/>
                <w:color w:val="C00000"/>
                <w:sz w:val="17"/>
              </w:rPr>
              <w:t>-29.6%</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1,523</w:t>
            </w:r>
          </w:p>
        </w:tc>
        <w:tc>
          <w:tcPr>
            <w:tcW w:type="dxa" w:w="1440"/>
            <w:shd w:fill="FFDCE0" w:val="clear"/>
          </w:tcPr>
          <w:p>
            <w:r>
              <w:rPr>
                <w:b/>
                <w:sz w:val="17"/>
              </w:rPr>
              <w:t>1,709</w:t>
            </w:r>
          </w:p>
        </w:tc>
        <w:tc>
          <w:tcPr>
            <w:tcW w:type="dxa" w:w="1440"/>
            <w:shd w:fill="FFDCE0" w:val="clear"/>
          </w:tcPr>
          <w:p>
            <w:r>
              <w:rPr>
                <w:sz w:val="17"/>
              </w:rPr>
              <w:t>1,895</w:t>
            </w:r>
          </w:p>
        </w:tc>
        <w:tc>
          <w:tcPr>
            <w:tcW w:type="dxa" w:w="1440"/>
            <w:shd w:fill="FFDCE0" w:val="clear"/>
          </w:tcPr>
          <w:p>
            <w:r>
              <w:rPr>
                <w:b/>
                <w:color w:val="C00000"/>
                <w:sz w:val="17"/>
              </w:rPr>
              <w:t>-31.1%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156,24 milliards FCFA, un niveau significatif qui la positionne parmi les valeurs moyennes de la BRVM, reflétant la confiance des investisseurs dans ce distributeur pétrolier. Avec un BPA de 96 FCFA, chaque action génère un bénéfice modeste, ce qui explique un PER de 25,9x, très supérieur à la moyenne du marché BRVM (8-12x). Ce ratio indique que les investisseurs paient une prime substantielle pour les bénéfices actuels, anticipant probablement une croissance future ou valorisant la solidité de la marque Vivo Energy. Le P/B de 5,75x confirme cette valorisation exigeante, le marché valorisant l'actif net comptable plus de cinq fois au-dessus de sa valeur, signe d'une forte prime sur les capitaux propres. Enfin, l'EV/EBITDA de 13,6x, bien que dans la fourchette haute (10-15x), suggère que la valeur totale de l'entreprise (dette incluse) reste cohérente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remarquable de +15,35%, avec une accélération notable lors de la dernière séance (+3,33%), portant le cours à 2 480 FCFA, son plus haut niveau sur la période. Le titre a évolué dans une fourchette de 640 FCFA, entre un plus bas de 1 840 FCFA et ce plus haut de 2 480 FCFA, démontrant une dynamique haussière soutenue. La moyenne du cours sur la période (2 139 FCFA) est inférieure à la médiane (2 160 FCFA), indiquant une distribution légèrement asymétrique avec une concentration des valeurs vers le haut. L'écart-type de 170 FCFA, avec un coefficient de variation de 7,9%, révèle une dispersion modérée autour de la moyenne. Le kurtosis de -0,793 (mésokurtique) suggère une distribution proche de la normale, sans risque excessif de mouvements extrêmes, tandis que le skewness de 0,302 confirme une symétrie relative. La volatilité annualisée de 35,5% classe le titre comme très volatil (&gt;30%), un niveau élevé qui reflète l'incertitude du secteur pétrolier mais aussi l'appétit des investisseurs pour ce titre.</w:t>
      </w:r>
    </w:p>
    <w:p>
      <w:pPr>
        <w:spacing w:after="120" w:line="276" w:lineRule="auto" w:before="240"/>
      </w:pPr>
      <w:r>
        <w:rPr>
          <w:b/>
          <w:color w:val="003366"/>
          <w:sz w:val="24"/>
        </w:rPr>
        <w:t>**PARTIE 2 : ANALYSE TECHNIQUE DÉTAILLÉE**</w:t>
      </w:r>
    </w:p>
    <w:p>
      <w:pPr>
        <w:spacing w:after="120" w:line="276" w:lineRule="auto"/>
      </w:pPr>
      <w:r>
        <w:t>**Moyennes Mobiles**: Les moyennes mobiles sur 20 jours (2 382,5 FCFA) et sur 50 jours (2 274,3 FCFA) sont toutes deux inférieures au cours actuel de 2 480 FCFA, confirmant une tendance haussière solide. La MM20 étant supérieure à la MM50, la configuration est positive, et la décision d'achat est justifiée par cette dynamique, le cours évoluant au-dessus de ses moyennes mobiles clés.</w:t>
      </w:r>
    </w:p>
    <w:p>
      <w:pPr>
        <w:spacing w:after="120" w:line="276" w:lineRule="auto"/>
      </w:pPr>
      <w:r>
        <w:t>**Bandes de Bollinger**: Le cours à 2 480 FCFA se positionne près de la borne supérieure (2 561,43 FCFA), indiquant une pression acheteuse forte. La distance entre les bornes (357,86 FCFA) reflète une volatilité élevée. La décision neutre suggère que le titre pourrait rencontrer une résistance proche, mais la tendance reste positive tant que le cours ne casse pas la borne supérieure.</w:t>
      </w:r>
    </w:p>
    <w:p>
      <w:pPr>
        <w:spacing w:after="120" w:line="276" w:lineRule="auto"/>
      </w:pPr>
      <w:r>
        <w:t>**MACD**: Le MACD (52,565) est inférieur à son signal (56,781), indiquant un momentum baissier à court terme malgré la tendance haussière globale. Cette divergence suggère un possible ralentissement de la dynamique haussière, justifiant la décision de vente, mais elle pourrait aussi précéder un croisement haussier si le MACD remonte au-dessus du signal.</w:t>
      </w:r>
    </w:p>
    <w:p>
      <w:pPr>
        <w:spacing w:after="120" w:line="276" w:lineRule="auto"/>
      </w:pPr>
      <w:r>
        <w:t>**RSI**: Le RSI à 70,968 dépasse le seuil de surachat (70), signalant que le titre est techniquement surévalué à court terme. Cette situation suggère un risque de correction, justifiant la décision de vente. Les investisseurs pourraient prendre leurs profits, mais dans une tendance haussière, le RSI peut rester en zone de surachat pendant une période prolongée.</w:t>
      </w:r>
    </w:p>
    <w:p>
      <w:pPr>
        <w:spacing w:after="120" w:line="276" w:lineRule="auto"/>
      </w:pPr>
      <w:r>
        <w:t>**Stochastique**: Le %K à 100,0 est extrêmement élevé, bien au-dessus du %D à 69,963, indiquant une condition de surachat extrême. Cette configuration suggère un essoufflement potentiel de la dynamique haussière, justifiant la décision de vente. Un croisement baissier du %K sous le %D pourrait confirmer un retournement imminent.</w:t>
      </w:r>
    </w:p>
    <w:p>
      <w:pPr>
        <w:spacing w:after="120" w:line="276" w:lineRule="auto"/>
      </w:pPr>
      <w:r>
        <w:t>**Conclusion technique**: Les indicateurs techniques sont mitigés : les moyennes mobiles confirment une tendance haussière solide, mais le RSI, le stochastique et le MACD signalent tous des conditions de surachat et un momentum en perte de vitesse. Cette divergence entre la tendance de fond et les oscillateurs à court terme suggère une possible consolidation ou correction technique après la forte hausse récente, bien que la tendance principale reste positive.</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en légère progression de +0,71% par rapport à 2024 (600,708 milliards FCFA), avec un résultat net de 6,028 milliards FCFA, en hausse de +12,6%. La marge nette reste très faible à 0,99%, typique du secteur de distribution pétrolière, mais le ROE est excellent à 22,2%, démontrant une création de valeur efficace pour les actionnaires, tandis que le ROA s'établit à 3,11%. Le BFR de 15,315 milliards FCFA est positif, ce qui est défavorable pour une entreprise de ce secteur, et les délais clients (23,27 jours) et fournisseurs (35,47 jours) montrent un décalage de trésorerie. La structure financière est préoccupante avec une trésorerie nette de -65,264 milliards FCFA et un ratio d'endettement de 43,95%, bien que la capacité de remboursement reste acceptable à 0,97 an. Les rapports trimestriels montrent une amélioration progressive : le T3 2025 (rapport du 30/09/2025) affichait un résultat net en hausse de 45% sur 9 mois, et le rapport du 30/06/2026 indique un résultat net de 3,016 milliards FCFA au S1 2026, stable malgré une baisse de CA de 1%. Sur la base de ces tendances, on estime que l'exercice 2026 pourrait maintenir un résultat net autour de 6 milliards FCFA, soutenu par la maîtrise des charges et la croissance des volumes sur les segments butane et lubrifiants, mais la faiblesse des marges et la pression sur la trésorerie restent des risques majeurs.</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25,9x et un P/B de 5,75x, nettement supérieurs aux moyennes du marché BRVM, indiquant une surévaluation relative malgré des fondamentaux solides. Le comportement du cours sur 100 jours est très positif (+15,35%) avec une volatilité élevée (35,5%), mais les statistiques montrent une distribution relativement normale sans risque extrême. Les signaux techniques sont divergents : les moyennes mobiles sont haussières, mais le RSI, le stochastique et le MACD signalent tous des conditions de surachat, suggérant une correction technique probable à court terme. Les fondamentaux sont mitigés : excellente rentabilité des capitaux propres (ROE 22,2%) et amélioration du résultat net (+13% en 2025), mais une trésorerie nette très négative (-65,26 milliards FCFA) et une marge nette fragile (1%). Les prédictions IA sur 10 jours (2 314 FCFA à 1 937 FCFA) confirment cette analyse technique, anticipant une correction significative de -22% par rapport au cours actuel. La convergence entre les signaux techniques de surachat et les prédictions IA baissières, contrastant avec des fondamentaux stables mais financièrement fragiles, conduit à une recommandation de **VENTE** à court terme, avec un niveau de confiance **Moyen** et un risque global **Élevé**. L'horizon d'investissement optimal serait de moyen à long terme (3-12 mois), après une probable correction technique, pour les investisseurs convaincus par la solidité opérationnelle de Vivo Energy CI.</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10,139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9.85% (Moyenne) — μ=8,438 FCFA, σ=831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β=0.3224 (Défensif) — Cov=0.000012, Var(idx)=0.000037, ρ=0.107,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8,493</w:t>
            </w:r>
          </w:p>
        </w:tc>
        <w:tc>
          <w:tcPr>
            <w:tcW w:type="dxa" w:w="1440"/>
            <w:shd w:fill="FFDCE0" w:val="clear"/>
          </w:tcPr>
          <w:p>
            <w:r>
              <w:rPr>
                <w:b/>
                <w:sz w:val="17"/>
              </w:rPr>
              <w:t>8,773</w:t>
            </w:r>
          </w:p>
        </w:tc>
        <w:tc>
          <w:tcPr>
            <w:tcW w:type="dxa" w:w="1440"/>
            <w:shd w:fill="FFDCE0" w:val="clear"/>
          </w:tcPr>
          <w:p>
            <w:r>
              <w:rPr>
                <w:sz w:val="17"/>
              </w:rPr>
              <w:t>9,054</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8,098</w:t>
            </w:r>
          </w:p>
        </w:tc>
        <w:tc>
          <w:tcPr>
            <w:tcW w:type="dxa" w:w="1440"/>
            <w:shd w:fill="FFDCE0" w:val="clear"/>
          </w:tcPr>
          <w:p>
            <w:r>
              <w:rPr>
                <w:b/>
                <w:sz w:val="17"/>
              </w:rPr>
              <w:t>8,481</w:t>
            </w:r>
          </w:p>
        </w:tc>
        <w:tc>
          <w:tcPr>
            <w:tcW w:type="dxa" w:w="1440"/>
            <w:shd w:fill="FFDCE0" w:val="clear"/>
          </w:tcPr>
          <w:p>
            <w:r>
              <w:rPr>
                <w:sz w:val="17"/>
              </w:rPr>
              <w:t>8,864</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7,770</w:t>
            </w:r>
          </w:p>
        </w:tc>
        <w:tc>
          <w:tcPr>
            <w:tcW w:type="dxa" w:w="1440"/>
            <w:shd w:fill="FFDCE0" w:val="clear"/>
          </w:tcPr>
          <w:p>
            <w:r>
              <w:rPr>
                <w:b/>
                <w:sz w:val="17"/>
              </w:rPr>
              <w:t>8,225</w:t>
            </w:r>
          </w:p>
        </w:tc>
        <w:tc>
          <w:tcPr>
            <w:tcW w:type="dxa" w:w="1440"/>
            <w:shd w:fill="FFDCE0" w:val="clear"/>
          </w:tcPr>
          <w:p>
            <w:r>
              <w:rPr>
                <w:sz w:val="17"/>
              </w:rPr>
              <w:t>8,680</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7,496</w:t>
            </w:r>
          </w:p>
        </w:tc>
        <w:tc>
          <w:tcPr>
            <w:tcW w:type="dxa" w:w="1440"/>
            <w:shd w:fill="FFDCE0" w:val="clear"/>
          </w:tcPr>
          <w:p>
            <w:r>
              <w:rPr>
                <w:b/>
                <w:sz w:val="17"/>
              </w:rPr>
              <w:t>8,008</w:t>
            </w:r>
          </w:p>
        </w:tc>
        <w:tc>
          <w:tcPr>
            <w:tcW w:type="dxa" w:w="1440"/>
            <w:shd w:fill="FFDCE0" w:val="clear"/>
          </w:tcPr>
          <w:p>
            <w:r>
              <w:rPr>
                <w:sz w:val="17"/>
              </w:rPr>
              <w:t>8,520</w:t>
            </w:r>
          </w:p>
        </w:tc>
        <w:tc>
          <w:tcPr>
            <w:tcW w:type="dxa" w:w="1440"/>
            <w:shd w:fill="FFDCE0" w:val="clear"/>
          </w:tcPr>
          <w:p>
            <w:r>
              <w:rPr>
                <w:b/>
                <w:color w:val="C00000"/>
                <w:sz w:val="17"/>
              </w:rPr>
              <w:t>-12.0%</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7,265</w:t>
            </w:r>
          </w:p>
        </w:tc>
        <w:tc>
          <w:tcPr>
            <w:tcW w:type="dxa" w:w="1440"/>
            <w:shd w:fill="FFDCE0" w:val="clear"/>
          </w:tcPr>
          <w:p>
            <w:r>
              <w:rPr>
                <w:b/>
                <w:sz w:val="17"/>
              </w:rPr>
              <w:t>7,824</w:t>
            </w:r>
          </w:p>
        </w:tc>
        <w:tc>
          <w:tcPr>
            <w:tcW w:type="dxa" w:w="1440"/>
            <w:shd w:fill="FFDCE0" w:val="clear"/>
          </w:tcPr>
          <w:p>
            <w:r>
              <w:rPr>
                <w:sz w:val="17"/>
              </w:rPr>
              <w:t>8,384</w:t>
            </w:r>
          </w:p>
        </w:tc>
        <w:tc>
          <w:tcPr>
            <w:tcW w:type="dxa" w:w="1440"/>
            <w:shd w:fill="FFDCE0" w:val="clear"/>
          </w:tcPr>
          <w:p>
            <w:r>
              <w:rPr>
                <w:b/>
                <w:color w:val="C00000"/>
                <w:sz w:val="17"/>
              </w:rPr>
              <w:t>-14.0%</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7,065</w:t>
            </w:r>
          </w:p>
        </w:tc>
        <w:tc>
          <w:tcPr>
            <w:tcW w:type="dxa" w:w="1440"/>
            <w:shd w:fill="FFDCE0" w:val="clear"/>
          </w:tcPr>
          <w:p>
            <w:r>
              <w:rPr>
                <w:b/>
                <w:sz w:val="17"/>
              </w:rPr>
              <w:t>7,665</w:t>
            </w:r>
          </w:p>
        </w:tc>
        <w:tc>
          <w:tcPr>
            <w:tcW w:type="dxa" w:w="1440"/>
            <w:shd w:fill="FFDCE0" w:val="clear"/>
          </w:tcPr>
          <w:p>
            <w:r>
              <w:rPr>
                <w:sz w:val="17"/>
              </w:rPr>
              <w:t>8,266</w:t>
            </w:r>
          </w:p>
        </w:tc>
        <w:tc>
          <w:tcPr>
            <w:tcW w:type="dxa" w:w="1440"/>
            <w:shd w:fill="FFDCE0" w:val="clear"/>
          </w:tcPr>
          <w:p>
            <w:r>
              <w:rPr>
                <w:b/>
                <w:color w:val="C00000"/>
                <w:sz w:val="17"/>
              </w:rPr>
              <w:t>-15.8%</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6,889</w:t>
            </w:r>
          </w:p>
        </w:tc>
        <w:tc>
          <w:tcPr>
            <w:tcW w:type="dxa" w:w="1440"/>
            <w:shd w:fill="FFDCE0" w:val="clear"/>
          </w:tcPr>
          <w:p>
            <w:r>
              <w:rPr>
                <w:b/>
                <w:sz w:val="17"/>
              </w:rPr>
              <w:t>7,525</w:t>
            </w:r>
          </w:p>
        </w:tc>
        <w:tc>
          <w:tcPr>
            <w:tcW w:type="dxa" w:w="1440"/>
            <w:shd w:fill="FFDCE0" w:val="clear"/>
          </w:tcPr>
          <w:p>
            <w:r>
              <w:rPr>
                <w:sz w:val="17"/>
              </w:rPr>
              <w:t>8,162</w:t>
            </w:r>
          </w:p>
        </w:tc>
        <w:tc>
          <w:tcPr>
            <w:tcW w:type="dxa" w:w="1440"/>
            <w:shd w:fill="FFDCE0" w:val="clear"/>
          </w:tcPr>
          <w:p>
            <w:r>
              <w:rPr>
                <w:b/>
                <w:color w:val="C00000"/>
                <w:sz w:val="17"/>
              </w:rPr>
              <w:t>-17.3%</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6,731</w:t>
            </w:r>
          </w:p>
        </w:tc>
        <w:tc>
          <w:tcPr>
            <w:tcW w:type="dxa" w:w="1440"/>
            <w:shd w:fill="FFDCE0" w:val="clear"/>
          </w:tcPr>
          <w:p>
            <w:r>
              <w:rPr>
                <w:b/>
                <w:sz w:val="17"/>
              </w:rPr>
              <w:t>7,400</w:t>
            </w:r>
          </w:p>
        </w:tc>
        <w:tc>
          <w:tcPr>
            <w:tcW w:type="dxa" w:w="1440"/>
            <w:shd w:fill="FFDCE0" w:val="clear"/>
          </w:tcPr>
          <w:p>
            <w:r>
              <w:rPr>
                <w:sz w:val="17"/>
              </w:rPr>
              <w:t>8,069</w:t>
            </w:r>
          </w:p>
        </w:tc>
        <w:tc>
          <w:tcPr>
            <w:tcW w:type="dxa" w:w="1440"/>
            <w:shd w:fill="FFDCE0" w:val="clear"/>
          </w:tcPr>
          <w:p>
            <w:r>
              <w:rPr>
                <w:b/>
                <w:color w:val="C00000"/>
                <w:sz w:val="17"/>
              </w:rPr>
              <w:t>-18.7%</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6,588</w:t>
            </w:r>
          </w:p>
        </w:tc>
        <w:tc>
          <w:tcPr>
            <w:tcW w:type="dxa" w:w="1440"/>
            <w:shd w:fill="FFDCE0" w:val="clear"/>
          </w:tcPr>
          <w:p>
            <w:r>
              <w:rPr>
                <w:b/>
                <w:sz w:val="17"/>
              </w:rPr>
              <w:t>7,286</w:t>
            </w:r>
          </w:p>
        </w:tc>
        <w:tc>
          <w:tcPr>
            <w:tcW w:type="dxa" w:w="1440"/>
            <w:shd w:fill="FFDCE0" w:val="clear"/>
          </w:tcPr>
          <w:p>
            <w:r>
              <w:rPr>
                <w:sz w:val="17"/>
              </w:rPr>
              <w:t>7,985</w:t>
            </w:r>
          </w:p>
        </w:tc>
        <w:tc>
          <w:tcPr>
            <w:tcW w:type="dxa" w:w="1440"/>
            <w:shd w:fill="FFDCE0" w:val="clear"/>
          </w:tcPr>
          <w:p>
            <w:r>
              <w:rPr>
                <w:b/>
                <w:color w:val="C00000"/>
                <w:sz w:val="17"/>
              </w:rPr>
              <w:t>-19.9%</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6,456</w:t>
            </w:r>
          </w:p>
        </w:tc>
        <w:tc>
          <w:tcPr>
            <w:tcW w:type="dxa" w:w="1440"/>
            <w:shd w:fill="FFDCE0" w:val="clear"/>
          </w:tcPr>
          <w:p>
            <w:r>
              <w:rPr>
                <w:b/>
                <w:sz w:val="17"/>
              </w:rPr>
              <w:t>7,182</w:t>
            </w:r>
          </w:p>
        </w:tc>
        <w:tc>
          <w:tcPr>
            <w:tcW w:type="dxa" w:w="1440"/>
            <w:shd w:fill="FFDCE0" w:val="clear"/>
          </w:tcPr>
          <w:p>
            <w:r>
              <w:rPr>
                <w:sz w:val="17"/>
              </w:rPr>
              <w:t>7,908</w:t>
            </w:r>
          </w:p>
        </w:tc>
        <w:tc>
          <w:tcPr>
            <w:tcW w:type="dxa" w:w="1440"/>
            <w:shd w:fill="FFDCE0" w:val="clear"/>
          </w:tcPr>
          <w:p>
            <w:r>
              <w:rPr>
                <w:b/>
                <w:color w:val="C00000"/>
                <w:sz w:val="17"/>
              </w:rPr>
              <w:t>-21.1%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07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910 milliards FCFA, ce qui en fait l'une des valeurs les plus significatives de la BRVM, reflétant son statut de banque systémique en Côte d'Ivoire. Avec un BPA de 556 FCFA, le titre se négocie à un PER de 16,4x, nettement supérieur à la moyenne historique de la BRVM (8-12x), indiquant que les investisseurs acceptent de payer une prime substantielle pour la qualité des bénéfices. Le P/B de 4,44x confirme cette valorisation exigeante, le marché valorisant le titre à plus de quatre fois sa valeur comptable, témoignant d'attentes élevées en matière de croissance future. L'EV/EBITDA de 15,2x, bien que supérieur au seuil de 15x considéré comme exigeant, reste cohérent avec la forte rentabilité opérationnelle de la banque. Cette valorisation premium reflète la confiance du marché dans la capacité de la SIB à maintenir ses performances exceptionnelles, mais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 100 jours, l'action SIBC affiche une progression impressionnante de +30%, passant d'un plus bas de 6 805 FCFA à un plus haut de 9 500 FCFA, avant de se stabiliser autour de 9 100 FCFA. La dernière séance montre un léger repli de -1,09%, suggérant une consolidation après un rallye soutenu. La moyenne (8 438 FCFA) étant inférieure à la médiane (8 835 FCFA), on observe une asymétrie négative (skewness de -0,833), indiquant que le titre a passé plus de journées au-dessus de sa moyenne, avec des épisodes de forte hausse concentrés. L'écart-type de 835 FCFA (CV de 9,9%) révèle une dispersion modérée des cours, tandis que le kurtosis de -0,947 (mésokurtique) suggère l'absence de mouvements extrêmes inhabituels. La volatilité annualisée de 28,8% classe le titre dans la catégorie modérée-élevée, cohérente avec un secteur bancaire dynamique mais relativement stable comparé aux valeurs technologiques.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(9 100 FCFA) se positionne sous la MM20 (9 192,5 FCFA) mais au-dessus de la MM50 (9 036,3 FCFA), créant une configuration contrastée. La MM20 agissant comme résistance immédiate suggère un essoufflement à court terme, tandis que la MM50 en soutien indique une tendance haussière sous-jacente intacte. La décision d'achat globale reflète la prédominance de la tendance de fond sur le repli tactique.</w:t>
      </w:r>
    </w:p>
    <w:p>
      <w:pPr>
        <w:spacing w:after="120" w:line="276" w:lineRule="auto"/>
      </w:pPr>
      <w:r>
        <w:t>**Bandes de Bollinger** : Le cours évolue dans la partie médiane-basse des bandes (borne inférieure à 8 954 FCFA, borne supérieure à 9 431 FCFA), indiquant une volatilité modérée sans pression directionnelle forte. La position centrale du prix suggère une phase de consolidation après le mouvement haussier, avec un potentiel de rebond vers la borne supérieure si le momentum s'améliore. La décision neutre est cohérente avec cette configuration.</w:t>
      </w:r>
    </w:p>
    <w:p>
      <w:pPr>
        <w:spacing w:after="120" w:line="276" w:lineRule="auto"/>
      </w:pPr>
      <w:r>
        <w:t>**MACD** : La divergence négative entre le MACD (43,13) et son signal (54,20) indique un affaiblissement du momentum haussier. Le croisement baissier récent suggère une perte de vigueur dans le mouvement haussier, justifiant la décision de vente. Cependant, la valeur positive du MACD indique que la tendance sous-jacente reste haussière, la correction étant davantage un essoufflement qu'un renversement.</w:t>
      </w:r>
    </w:p>
    <w:p>
      <w:pPr>
        <w:spacing w:after="120" w:line="276" w:lineRule="auto"/>
      </w:pPr>
      <w:r>
        <w:t>**RSI** : À 41,67, le RSI se positionne en zone neutre, légèrement sous sa moyenne de 50, indiquant un momentum modérément baissier sans atteindre les zones extrêmes. Cette valeur suggère qu'il existe encore une marge avant d'atteindre des conditions de survente (&lt;30), ce qui laisse présager un potentiel de baisse limité. La décision neutre reflète l'absence de signal directionnel fort.</w:t>
      </w:r>
    </w:p>
    <w:p>
      <w:pPr>
        <w:spacing w:after="120" w:line="276" w:lineRule="auto"/>
      </w:pPr>
      <w:r>
        <w:t>**Stochastique** : Le %K (33,33) sous le %D (66,67) confirme la faiblesse relative du momentum à court terme. Cette configuration, sans être extrême, indique une pression vendeuse persistante. Le croisement baissier récent suggère que la consolidation pourrait se poursuivre à court terme, bien que la proximité de la zone de survente (&lt;20) limite le potentiel de baisse supplémentaire.</w:t>
      </w:r>
    </w:p>
    <w:p>
      <w:pPr>
        <w:spacing w:after="120" w:line="276" w:lineRule="auto"/>
      </w:pPr>
      <w:r>
        <w:t>**Conclusion technique** : Les indicateurs présentent un signal mitigé avec une prédominance baissière à court terme (MACD, Stochastique) contrastant avec une tendance haussière de fond (MM50). La configuration suggère une phase de consolidation nécessaire après un rallye de +30%, avec un support solide autour de 8 950-9 000 FCFA. Les investisseurs devraient surveiller une reprise du RSI au-dessus de 50 et un croisement haussier du MACD pour confirmer la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remarquablement solides avec un Produit Net Bancaire de 108,66 milliards FCFA et un résultat net de 55,62 milliards FCFA, démontrant une croissance soutenue de +5,7% du PNB. La rentabilité est exceptionnelle avec un ROE de 27,16% et un ROA de 2,96%, largement supérieurs aux normes sectorielles (&gt;15% pour le ROE). Le coefficient d'exploitation de 38,59% témoigne d'une efficacité opérationnelle remarquable, bien en dessous du seuil de 60% considéré comme satisfaisant. La banque maintient un équilibre sain entre dépôts clients (1 503 milliards FCFA) et crédits (1 227 milliards FCFA), avec un ratio de transformation de 81,6% indiquant une gestion prudente du risque de liquidité. Le coût du risque élevé (provisions de 14,12 milliards FCFA) reflète une politique de provisionnement conservatrice, renforçant la résilience du bilan. **Les rapports trimestriels 2025 et 2026 confirment cette dynamique positive** : le T3 2025 (publié en septembre 2025) montre un PNB cumulé de 81,4 milliards FCFA (+8%) et un résultat net de 43 milliards FCFA (+11%), tandis que le T1 2026 (publié en mars 2026) affiche une progression de +11% du résultat net à 15,2 milliards FCFA. La collecte de dépôts progresse de +9% à 1 495 milliards FCFA et les crédits de +7% à 1 112 milliards FCFA, indiquant une dynamique commerciale soutenue. **Sur la base de ces tendances, on estime que l'exercice 2026 devrait voir un PNB autour de 113-115 milliards FCFA et un résultat net dépassant 60 milliards FCFA**, confirmant la trajectoire de croissance régulière de la banque. Le plan stratégique « IMPULSION 2028 » et la solidité du bilan (ratio de solvabilité &gt;14%) positionnent favorablement la SIB pour maintenir sa performance dans un environnement économique ivoirien porteur.</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mais globalement positive pour la SIBC. La valorisation (PER de 16,4x, P/B de 4,44x) apparaît exigeante, intégrant déjà les excellentes performances passées et futures anticipées, ce qui limite le potentiel de hausse immédiat. Le comportement du cours sur 100 jours (+30%) démontre une forte dynamique haussière, bien que les statistiques descriptives (asymétrie négative) suggèrent un possible essoufflement à court terme. Les signaux techniques mitigés (MM50 haussière mais MACD baissier) indiquent une phase de consolidation nécessaire, tandis que les fondamentaux exceptionnels (ROE de 27%, coefficient d'exploitation de 38,6%) confirment la qualité supérieure de l'établissement. Les prédictions IA (baisse progressive vers 7 824 FCFA à J+10) suggèrent une correction significative à venir, contredisant la tendance haussière récente mais s'alignant avec les signaux techniques baissiers à court terme. Cette divergence entre la solidité fondamentale et les signaux techniques de court terme justifie une approche prudente. **Recommandation : CONSERVER** pour les investisseurs déjà positionnés, avec un niveau de confiance **Moyen** et un risque global **Moyen**. L'horizon d'investissement optimal serait le **moyen terme (3-12 mois)**, permettant d'absorber la correction anticipée et de bénéficier de la croissance des résultats 2026. Les investisseurs opportunistes pourraient considérer un renforcement si le cours corrige vers 8 000-8 200 FCFA, niveau correspondant à un PER plus raisonnable de 14-15x.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126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+102.38%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30.82% (Élevée) — μ=5,558 FCFA, σ=1,713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β=-0.6800 (Contre-cyclique) — Cov=-0.000025, Var(idx)=0.000037, ρ=-0.108,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7,668</w:t>
            </w:r>
          </w:p>
        </w:tc>
        <w:tc>
          <w:tcPr>
            <w:tcW w:type="dxa" w:w="1440"/>
            <w:shd w:fill="FFDCE0" w:val="clear"/>
          </w:tcPr>
          <w:p>
            <w:r>
              <w:rPr>
                <w:b/>
                <w:sz w:val="17"/>
              </w:rPr>
              <w:t>8,290</w:t>
            </w:r>
          </w:p>
        </w:tc>
        <w:tc>
          <w:tcPr>
            <w:tcW w:type="dxa" w:w="1440"/>
            <w:shd w:fill="FFDCE0" w:val="clear"/>
          </w:tcPr>
          <w:p>
            <w:r>
              <w:rPr>
                <w:sz w:val="17"/>
              </w:rPr>
              <w:t>8,912</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7,300</w:t>
            </w:r>
          </w:p>
        </w:tc>
        <w:tc>
          <w:tcPr>
            <w:tcW w:type="dxa" w:w="1440"/>
            <w:shd w:fill="FFDCE0" w:val="clear"/>
          </w:tcPr>
          <w:p>
            <w:r>
              <w:rPr>
                <w:b/>
                <w:sz w:val="17"/>
              </w:rPr>
              <w:t>8,234</w:t>
            </w:r>
          </w:p>
        </w:tc>
        <w:tc>
          <w:tcPr>
            <w:tcW w:type="dxa" w:w="1440"/>
            <w:shd w:fill="FFDCE0" w:val="clear"/>
          </w:tcPr>
          <w:p>
            <w:r>
              <w:rPr>
                <w:sz w:val="17"/>
              </w:rPr>
              <w:t>9,168</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6,973</w:t>
            </w:r>
          </w:p>
        </w:tc>
        <w:tc>
          <w:tcPr>
            <w:tcW w:type="dxa" w:w="1440"/>
            <w:shd w:fill="FFDCE0" w:val="clear"/>
          </w:tcPr>
          <w:p>
            <w:r>
              <w:rPr>
                <w:b/>
                <w:sz w:val="17"/>
              </w:rPr>
              <w:t>8,098</w:t>
            </w:r>
          </w:p>
        </w:tc>
        <w:tc>
          <w:tcPr>
            <w:tcW w:type="dxa" w:w="1440"/>
            <w:shd w:fill="FFDCE0" w:val="clear"/>
          </w:tcPr>
          <w:p>
            <w:r>
              <w:rPr>
                <w:sz w:val="17"/>
              </w:rPr>
              <w:t>9,223</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6,670</w:t>
            </w:r>
          </w:p>
        </w:tc>
        <w:tc>
          <w:tcPr>
            <w:tcW w:type="dxa" w:w="1440"/>
            <w:shd w:fill="FFDCE0" w:val="clear"/>
          </w:tcPr>
          <w:p>
            <w:r>
              <w:rPr>
                <w:b/>
                <w:sz w:val="17"/>
              </w:rPr>
              <w:t>7,945</w:t>
            </w:r>
          </w:p>
        </w:tc>
        <w:tc>
          <w:tcPr>
            <w:tcW w:type="dxa" w:w="1440"/>
            <w:shd w:fill="FFDCE0" w:val="clear"/>
          </w:tcPr>
          <w:p>
            <w:r>
              <w:rPr>
                <w:sz w:val="17"/>
              </w:rPr>
              <w:t>9,219</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6,389</w:t>
            </w:r>
          </w:p>
        </w:tc>
        <w:tc>
          <w:tcPr>
            <w:tcW w:type="dxa" w:w="1440"/>
            <w:shd w:fill="FFDCE0" w:val="clear"/>
          </w:tcPr>
          <w:p>
            <w:r>
              <w:rPr>
                <w:b/>
                <w:sz w:val="17"/>
              </w:rPr>
              <w:t>7,786</w:t>
            </w:r>
          </w:p>
        </w:tc>
        <w:tc>
          <w:tcPr>
            <w:tcW w:type="dxa" w:w="1440"/>
            <w:shd w:fill="FFDCE0" w:val="clear"/>
          </w:tcPr>
          <w:p>
            <w:r>
              <w:rPr>
                <w:sz w:val="17"/>
              </w:rPr>
              <w:t>9,182</w:t>
            </w:r>
          </w:p>
        </w:tc>
        <w:tc>
          <w:tcPr>
            <w:tcW w:type="dxa" w:w="1440"/>
            <w:shd w:fill="FFDCE0" w:val="clear"/>
          </w:tcPr>
          <w:p>
            <w:r>
              <w:rPr>
                <w:b/>
                <w:color w:val="C00000"/>
                <w:sz w:val="17"/>
              </w:rPr>
              <w:t>-8.4%</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6,127</w:t>
            </w:r>
          </w:p>
        </w:tc>
        <w:tc>
          <w:tcPr>
            <w:tcW w:type="dxa" w:w="1440"/>
            <w:shd w:fill="FFDCE0" w:val="clear"/>
          </w:tcPr>
          <w:p>
            <w:r>
              <w:rPr>
                <w:b/>
                <w:sz w:val="17"/>
              </w:rPr>
              <w:t>7,626</w:t>
            </w:r>
          </w:p>
        </w:tc>
        <w:tc>
          <w:tcPr>
            <w:tcW w:type="dxa" w:w="1440"/>
            <w:shd w:fill="FFDCE0" w:val="clear"/>
          </w:tcPr>
          <w:p>
            <w:r>
              <w:rPr>
                <w:sz w:val="17"/>
              </w:rPr>
              <w:t>9,124</w:t>
            </w:r>
          </w:p>
        </w:tc>
        <w:tc>
          <w:tcPr>
            <w:tcW w:type="dxa" w:w="1440"/>
            <w:shd w:fill="FFDCE0" w:val="clear"/>
          </w:tcPr>
          <w:p>
            <w:r>
              <w:rPr>
                <w:b/>
                <w:color w:val="C00000"/>
                <w:sz w:val="17"/>
              </w:rPr>
              <w:t>-10.3%</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5,882</w:t>
            </w:r>
          </w:p>
        </w:tc>
        <w:tc>
          <w:tcPr>
            <w:tcW w:type="dxa" w:w="1440"/>
            <w:shd w:fill="FFDCE0" w:val="clear"/>
          </w:tcPr>
          <w:p>
            <w:r>
              <w:rPr>
                <w:b/>
                <w:sz w:val="17"/>
              </w:rPr>
              <w:t>7,467</w:t>
            </w:r>
          </w:p>
        </w:tc>
        <w:tc>
          <w:tcPr>
            <w:tcW w:type="dxa" w:w="1440"/>
            <w:shd w:fill="FFDCE0" w:val="clear"/>
          </w:tcPr>
          <w:p>
            <w:r>
              <w:rPr>
                <w:sz w:val="17"/>
              </w:rPr>
              <w:t>9,052</w:t>
            </w:r>
          </w:p>
        </w:tc>
        <w:tc>
          <w:tcPr>
            <w:tcW w:type="dxa" w:w="1440"/>
            <w:shd w:fill="FFDCE0" w:val="clear"/>
          </w:tcPr>
          <w:p>
            <w:r>
              <w:rPr>
                <w:b/>
                <w:color w:val="C00000"/>
                <w:sz w:val="17"/>
              </w:rPr>
              <w:t>-12.2%</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5,654</w:t>
            </w:r>
          </w:p>
        </w:tc>
        <w:tc>
          <w:tcPr>
            <w:tcW w:type="dxa" w:w="1440"/>
            <w:shd w:fill="FFDCE0" w:val="clear"/>
          </w:tcPr>
          <w:p>
            <w:r>
              <w:rPr>
                <w:b/>
                <w:sz w:val="17"/>
              </w:rPr>
              <w:t>7,313</w:t>
            </w:r>
          </w:p>
        </w:tc>
        <w:tc>
          <w:tcPr>
            <w:tcW w:type="dxa" w:w="1440"/>
            <w:shd w:fill="FFDCE0" w:val="clear"/>
          </w:tcPr>
          <w:p>
            <w:r>
              <w:rPr>
                <w:sz w:val="17"/>
              </w:rPr>
              <w:t>8,972</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5,440</w:t>
            </w:r>
          </w:p>
        </w:tc>
        <w:tc>
          <w:tcPr>
            <w:tcW w:type="dxa" w:w="1440"/>
            <w:shd w:fill="FFDCE0" w:val="clear"/>
          </w:tcPr>
          <w:p>
            <w:r>
              <w:rPr>
                <w:b/>
                <w:sz w:val="17"/>
              </w:rPr>
              <w:t>7,163</w:t>
            </w:r>
          </w:p>
        </w:tc>
        <w:tc>
          <w:tcPr>
            <w:tcW w:type="dxa" w:w="1440"/>
            <w:shd w:fill="FFDCE0" w:val="clear"/>
          </w:tcPr>
          <w:p>
            <w:r>
              <w:rPr>
                <w:sz w:val="17"/>
              </w:rPr>
              <w:t>8,887</w:t>
            </w:r>
          </w:p>
        </w:tc>
        <w:tc>
          <w:tcPr>
            <w:tcW w:type="dxa" w:w="1440"/>
            <w:shd w:fill="FFDCE0" w:val="clear"/>
          </w:tcPr>
          <w:p>
            <w:r>
              <w:rPr>
                <w:b/>
                <w:color w:val="C00000"/>
                <w:sz w:val="17"/>
              </w:rPr>
              <w:t>-15.7%</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5,240</w:t>
            </w:r>
          </w:p>
        </w:tc>
        <w:tc>
          <w:tcPr>
            <w:tcW w:type="dxa" w:w="1440"/>
            <w:shd w:fill="FFDCE0" w:val="clear"/>
          </w:tcPr>
          <w:p>
            <w:r>
              <w:rPr>
                <w:b/>
                <w:sz w:val="17"/>
              </w:rPr>
              <w:t>7,020</w:t>
            </w:r>
          </w:p>
        </w:tc>
        <w:tc>
          <w:tcPr>
            <w:tcW w:type="dxa" w:w="1440"/>
            <w:shd w:fill="FFDCE0" w:val="clear"/>
          </w:tcPr>
          <w:p>
            <w:r>
              <w:rPr>
                <w:sz w:val="17"/>
              </w:rPr>
              <w:t>8,801</w:t>
            </w:r>
          </w:p>
        </w:tc>
        <w:tc>
          <w:tcPr>
            <w:tcW w:type="dxa" w:w="1440"/>
            <w:shd w:fill="FFDCE0" w:val="clear"/>
          </w:tcPr>
          <w:p>
            <w:r>
              <w:rPr>
                <w:b/>
                <w:color w:val="C00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CI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5,10 milliards FCFA, un niveau modeste qui la classe parmi les petites capitalisations de la BRVM, offrant un potentiel de croissance mais aussi une liquidité limitée. Les ratios de valorisation tels que le BPA, le PER, le P/B et l'EV/EBITDA ne sont pas calculables en raison de l'absence de données financières structurées dans la base de données. Cette absence est préjudiciable pour une évaluation comparative précise, mais elle est compensée par l'analyse des rapports financiers officiels. Historiquement, avec un résultat net de 19,25 millions FCFA en 2023, le PER implicite serait extrêmement élevé, mais le cours actuel de 8 500 FCFA intègre probablement des anticipations de redressement et de croissance future, rendant une analyse par les multiples traditionnels peu pertinente à ce stade.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+102,38%, avec une dernière séance en hausse de +1,37% à 8 500 FCFA. Le titre a évolué dans une fourchette très large, entre un plus bas de 3 930 FCFA et un plus haut de 10 200 FCFA, illustrant une volatilité extrême. La moyenne du cours sur la période (5 558 FCFA) est nettement supérieure à la médiane (4 615 FCFA), ce qui, combiné à un skewness positif de 1,247, confirme une distribution asymétrique avec des épisodes de hausses fortes et des journées plus fréquentes sous la moyenne. L'écart-type de 1 722 FCFA (CV de 31%) et la volatilité annualisée de 60,3% témoignent d'un risque de marché très élevé, bien au-delà du seuil de 30%. Le kurtosis de 0,242 indique une distribution mésokurtique, sans risque de pics extrêmes supplémentaire par rapport à une distribution normale.</w:t>
      </w:r>
    </w:p>
    <w:p>
      <w:pPr>
        <w:spacing w:after="120" w:line="276" w:lineRule="auto" w:before="240"/>
      </w:pPr>
      <w:r>
        <w:rPr>
          <w:b/>
          <w:color w:val="003366"/>
          <w:sz w:val="24"/>
        </w:rPr>
        <w:t>**PARTIE 2 : ANALYSE TECHNIQUE DÉTAILLÉE**</w:t>
      </w:r>
    </w:p>
    <w:p>
      <w:pPr>
        <w:spacing w:after="120" w:line="276" w:lineRule="auto"/>
      </w:pPr>
      <w:r>
        <w:t>Les **Moyennes Mobiles** (MM20 à 8 644 FCFA et MM50 à 6 757 FCFA) sont toutes deux inférieures au cours actuel de 8 500 FCFA, avec une MM20 au-dessus de la MM50, ce qui configure un croisement haussier. La décision d'achat est justifiée par cette dynamique positive, le prix se maintenant au-dessus de ses moyennes, signe d'une tendance de fond solide. Cependant, la proximité du cours avec la MM20 suggère une possible consolidation à court terme.</w:t>
      </w:r>
    </w:p>
    <w:p>
      <w:pPr>
        <w:spacing w:after="120" w:line="276" w:lineRule="auto"/>
      </w:pPr>
      <w:r>
        <w:t>Les **Bandes de Bollinger** (borne supérieure à 10 275 FCFA, borne inférieure à 7 013 FCFA) contiennent le cours, qui se situe dans la partie médiane du canal. La décision neutre est cohérente avec une volatilité qui, bien que très élevée sur la période, semble se normaliser après le récent pic. Le prix n'est ni en situation de surachat ni de survente extrême, laissant la place à une évolution dans le canal avant un nouveau mouvement directionnel.</w:t>
      </w:r>
    </w:p>
    <w:p>
      <w:pPr>
        <w:spacing w:after="120" w:line="276" w:lineRule="auto"/>
      </w:pPr>
      <w:r>
        <w:t>Le **MACD** (valeur à 368,4 vs signal à 539,8) affiche une divergence négative, le MACD étant passé sous sa ligne de signal. Cette configuration est un signal de retournement baissier à court terme, indiquant un affaiblissement du momentum haussier. La décision de vente suggère que la pression acheteuse s'estompe et qu'une correction pourrait être en cours, malgré la tendance de fond positive.</w:t>
      </w:r>
    </w:p>
    <w:p>
      <w:pPr>
        <w:spacing w:after="120" w:line="276" w:lineRule="auto"/>
      </w:pPr>
      <w:r>
        <w:t>Le **RSI** à 27,2 est en zone de survente (sous le seuil de 30). Cette lecture indique que le titre a fortement baissé récemment et pourrait être techniquement "suracheté à la baisse", ce qui précède souvent un rebond technique. La décision d'achat est donc logique, car elle anticipe un potentiel retournement haussier après cette phase de correction.</w:t>
      </w:r>
    </w:p>
    <w:p>
      <w:pPr>
        <w:spacing w:after="120" w:line="276" w:lineRule="auto"/>
      </w:pPr>
      <w:r>
        <w:t>Le **Stochastique** (%K à 30,4 et %D à 18,3) montre que %K est au-dessus de %D, ce qui est un signe de retournement haussier précoce. La décision neutre est prudente, car les valeurs restent basses, indiquant que le momentum haussier n'est pas encore pleinement confirmé, mais la configuration actuelle est un premier signal positif.</w:t>
      </w:r>
    </w:p>
    <w:p>
      <w:pPr>
        <w:spacing w:after="120" w:line="276" w:lineRule="auto"/>
      </w:pPr>
      <w:r>
        <w:t>En conclusion, les indicateurs techniques sont mitigés. La tendance de fond (MM) reste haussière, mais le momentum à court terme (MACD) est baissier. Le RSI suggère un rebond imminent, tandis que le Stochastique et les Bandes de Bollinger sont neutres. Cette divergence entre la tendance et le momentum indique une phase de consolidation/correction au sein d'une tendance haussière plus large, avec un potentiel de rebond technique.</w:t>
      </w:r>
    </w:p>
    <w:p>
      <w:pPr>
        <w:spacing w:after="120" w:line="276" w:lineRule="auto" w:before="240"/>
      </w:pPr>
      <w:r>
        <w:rPr>
          <w:b/>
          <w:color w:val="003366"/>
          <w:sz w:val="24"/>
        </w:rPr>
        <w:t>**PARTIE 3 : ANALYSE FONDAMENTALE (SECTION CRITIQUE)**</w:t>
      </w:r>
    </w:p>
    <w:p>
      <w:pPr>
        <w:spacing w:after="120" w:line="276" w:lineRule="auto"/>
      </w:pPr>
      <w:r>
        <w:t>L'analyse fondamentale s'appuie sur les rapports financiers officiels disponibles. Le rapport de l'exercice **2022** (analysé le 15/03/2026) fait état d'un chiffre d'affaires de 1,138 milliard FCFA, en baisse de 17,6%, et d'une perte nette de -39,9 millions FCFA, contre un bénéfice de 119,2 millions en 2021. Cette dégradation est attribuée à la baisse des ventes d'huile de coprah (-64%) et à une hausse des charges. Le rapport de l'exercice **2023** (analysé le 15/03/2026) montre un chiffre d'affaires en forte baisse à 701,09 millions FCFA (-38,4%), mais un retour à la profitabilité avec un bénéfice net de +19,25 millions FCFA, grâce à une réduction drastique des charges (-43,7%). Le rapport le plus récent, daté du **31/12/2024** (analysé le 06/09/2026), est tronqué mais suggère une poursuite de l'analyse. Les rapports plus anciens (2015-2019) montrent une grande volatilité des résultats, avec des bénéfices parfois importants (989 millions en 2018) mais aussi un report à nouveau lourdement négatif (-881 millions en 2019). En tant qu'entreprise agro-industrielle, la SICOR doit gérer un besoin en fonds de roulement lié à ses stocks et à ses délais clients. L'absence de dividende depuis 2019, due à des pertes cumulées, est un point de vigilance majeur. Sur la base de la tendance de retour à l'équilibre de 2023 et de la convocation à l'AG 2024, on peut estimer que l'exercice 2024 devrait confirmer une stabilisation, mais la solidité financière reste fragile, dépendante de la maîtrise des coûts et de la reprise des volumes.</w:t>
      </w:r>
    </w:p>
    <w:p>
      <w:pPr>
        <w:spacing w:after="120" w:line="276" w:lineRule="auto" w:before="240"/>
      </w:pPr>
      <w:r>
        <w:rPr>
          <w:b/>
          <w:color w:val="003366"/>
          <w:sz w:val="24"/>
        </w:rPr>
        <w:t>**PARTIE 4 : CONCLUSION D'INVESTISSEMENT**</w:t>
      </w:r>
    </w:p>
    <w:p>
      <w:pPr>
        <w:spacing w:after="120" w:line="276" w:lineRule="auto"/>
      </w:pPr>
      <w:r>
        <w:t>La valorisation boursière de la SICOR, avec une capitalisation de 5,1 milliards FCFA, ne peut être comparée aux bénéfices historiques (19 millions en 2023), ce qui indique que le marché anticipe une amélioration significative et durable de la rentabilité. Le comportement du cours est extrêmement volatil (+102% en 100 jours), avec une asymétrie positive mais un risque élevé. Les signaux techniques sont divergents : la tendance de fond est haussière (MM), mais le momentum à court terme est baissier (MACD), tandis que le RSI suggère un rebond. Les fondamentaux montrent une entreprise en phase de redressement après des années difficiles, avec un retour aux bénéfices en 2023, mais une situation financière encore fragile et aucune distribution de dividende. Les prédictions IA pour les 10 prochains jours (baisse de 8 290 à 7 786 FCFA) confirment le signal de correction technique du MACD. En synthèse, la convergence entre la tendance haussière de long terme et le potentiel de redressement fondamental est contrebalancée par un risque de correction à court terme. Par conséquent, la recommandation est de **CONSERVER** le titre. Le niveau de confiance est **Moyen**, le risque global est **Élevé**. L'horizon d'investissement optimal serait à **moyen terme (3-12 mois)**, en attendant une confirmation de la solidité du redressement financier et une stabilisation du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5,549 titres</w:t>
            </w:r>
          </w:p>
        </w:tc>
        <w:tc>
          <w:tcPr>
            <w:tcW w:type="dxa" w:w="2268"/>
            <w:shd w:fill="FFF2CC" w:val="clear"/>
          </w:tcPr>
          <w:p>
            <w:r>
              <w:rPr>
                <w:b/>
                <w:color w:val="503200"/>
                <w:sz w:val="16"/>
              </w:rPr>
              <w:t xml:space="preserve">Cours actuel : </w:t>
            </w:r>
            <w:r>
              <w:rPr>
                <w:color w:val="000000"/>
                <w:sz w:val="17"/>
              </w:rPr>
              <w:t>2,395 FCFA</w:t>
            </w:r>
          </w:p>
          <w:p>
            <w:r>
              <w:rPr>
                <w:b/>
                <w:color w:val="503200"/>
                <w:sz w:val="16"/>
              </w:rPr>
              <w:t xml:space="preserve">Var. 100 jours : </w:t>
            </w:r>
            <w:r>
              <w:rPr>
                <w:b/>
                <w:color w:val="B40000"/>
                <w:sz w:val="17"/>
              </w:rPr>
              <w:t>-25.51%</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10.90% (Moyenne) — μ=2,560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β=0.4978 (Défensif) — Cov=0.000018, Var(idx)=0.000037, ρ=0.095,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2,145</w:t>
            </w:r>
          </w:p>
        </w:tc>
        <w:tc>
          <w:tcPr>
            <w:tcW w:type="dxa" w:w="1440"/>
            <w:shd w:fill="FFDCE0" w:val="clear"/>
          </w:tcPr>
          <w:p>
            <w:r>
              <w:rPr>
                <w:b/>
                <w:sz w:val="17"/>
              </w:rPr>
              <w:t>2,232</w:t>
            </w:r>
          </w:p>
        </w:tc>
        <w:tc>
          <w:tcPr>
            <w:tcW w:type="dxa" w:w="1440"/>
            <w:shd w:fill="FFDCE0" w:val="clear"/>
          </w:tcPr>
          <w:p>
            <w:r>
              <w:rPr>
                <w:sz w:val="17"/>
              </w:rPr>
              <w:t>2,318</w:t>
            </w:r>
          </w:p>
        </w:tc>
        <w:tc>
          <w:tcPr>
            <w:tcW w:type="dxa" w:w="1440"/>
            <w:shd w:fill="FFDCE0" w:val="clear"/>
          </w:tcPr>
          <w:p>
            <w:r>
              <w:rPr>
                <w:b/>
                <w:color w:val="C00000"/>
                <w:sz w:val="17"/>
              </w:rPr>
              <w:t>-6.8%</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2,074</w:t>
            </w:r>
          </w:p>
        </w:tc>
        <w:tc>
          <w:tcPr>
            <w:tcW w:type="dxa" w:w="1440"/>
            <w:shd w:fill="FFDCE0" w:val="clear"/>
          </w:tcPr>
          <w:p>
            <w:r>
              <w:rPr>
                <w:b/>
                <w:sz w:val="17"/>
              </w:rPr>
              <w:t>2,194</w:t>
            </w:r>
          </w:p>
        </w:tc>
        <w:tc>
          <w:tcPr>
            <w:tcW w:type="dxa" w:w="1440"/>
            <w:shd w:fill="FFDCE0" w:val="clear"/>
          </w:tcPr>
          <w:p>
            <w:r>
              <w:rPr>
                <w:sz w:val="17"/>
              </w:rPr>
              <w:t>2,314</w:t>
            </w:r>
          </w:p>
        </w:tc>
        <w:tc>
          <w:tcPr>
            <w:tcW w:type="dxa" w:w="1440"/>
            <w:shd w:fill="FFDCE0" w:val="clear"/>
          </w:tcPr>
          <w:p>
            <w:r>
              <w:rPr>
                <w:b/>
                <w:color w:val="C00000"/>
                <w:sz w:val="17"/>
              </w:rPr>
              <w:t>-8.4%</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2,002</w:t>
            </w:r>
          </w:p>
        </w:tc>
        <w:tc>
          <w:tcPr>
            <w:tcW w:type="dxa" w:w="1440"/>
            <w:shd w:fill="FFDCE0" w:val="clear"/>
          </w:tcPr>
          <w:p>
            <w:r>
              <w:rPr>
                <w:b/>
                <w:sz w:val="17"/>
              </w:rPr>
              <w:t>2,147</w:t>
            </w:r>
          </w:p>
        </w:tc>
        <w:tc>
          <w:tcPr>
            <w:tcW w:type="dxa" w:w="1440"/>
            <w:shd w:fill="FFDCE0" w:val="clear"/>
          </w:tcPr>
          <w:p>
            <w:r>
              <w:rPr>
                <w:sz w:val="17"/>
              </w:rPr>
              <w:t>2,291</w:t>
            </w:r>
          </w:p>
        </w:tc>
        <w:tc>
          <w:tcPr>
            <w:tcW w:type="dxa" w:w="1440"/>
            <w:shd w:fill="FFDCE0" w:val="clear"/>
          </w:tcPr>
          <w:p>
            <w:r>
              <w:rPr>
                <w:b/>
                <w:color w:val="C00000"/>
                <w:sz w:val="17"/>
              </w:rPr>
              <w:t>-10.4%</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1,935</w:t>
            </w:r>
          </w:p>
        </w:tc>
        <w:tc>
          <w:tcPr>
            <w:tcW w:type="dxa" w:w="1440"/>
            <w:shd w:fill="FFDCE0" w:val="clear"/>
          </w:tcPr>
          <w:p>
            <w:r>
              <w:rPr>
                <w:b/>
                <w:sz w:val="17"/>
              </w:rPr>
              <w:t>2,098</w:t>
            </w:r>
          </w:p>
        </w:tc>
        <w:tc>
          <w:tcPr>
            <w:tcW w:type="dxa" w:w="1440"/>
            <w:shd w:fill="FFDCE0" w:val="clear"/>
          </w:tcPr>
          <w:p>
            <w:r>
              <w:rPr>
                <w:sz w:val="17"/>
              </w:rPr>
              <w:t>2,260</w:t>
            </w:r>
          </w:p>
        </w:tc>
        <w:tc>
          <w:tcPr>
            <w:tcW w:type="dxa" w:w="1440"/>
            <w:shd w:fill="FFDCE0" w:val="clear"/>
          </w:tcPr>
          <w:p>
            <w:r>
              <w:rPr>
                <w:b/>
                <w:color w:val="C00000"/>
                <w:sz w:val="17"/>
              </w:rPr>
              <w:t>-12.4%</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1,872</w:t>
            </w:r>
          </w:p>
        </w:tc>
        <w:tc>
          <w:tcPr>
            <w:tcW w:type="dxa" w:w="1440"/>
            <w:shd w:fill="FFDCE0" w:val="clear"/>
          </w:tcPr>
          <w:p>
            <w:r>
              <w:rPr>
                <w:b/>
                <w:sz w:val="17"/>
              </w:rPr>
              <w:t>2,050</w:t>
            </w:r>
          </w:p>
        </w:tc>
        <w:tc>
          <w:tcPr>
            <w:tcW w:type="dxa" w:w="1440"/>
            <w:shd w:fill="FFDCE0" w:val="clear"/>
          </w:tcPr>
          <w:p>
            <w:r>
              <w:rPr>
                <w:sz w:val="17"/>
              </w:rPr>
              <w:t>2,227</w:t>
            </w:r>
          </w:p>
        </w:tc>
        <w:tc>
          <w:tcPr>
            <w:tcW w:type="dxa" w:w="1440"/>
            <w:shd w:fill="FFDCE0" w:val="clear"/>
          </w:tcPr>
          <w:p>
            <w:r>
              <w:rPr>
                <w:b/>
                <w:color w:val="C00000"/>
                <w:sz w:val="17"/>
              </w:rPr>
              <w:t>-14.4%</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1,813</w:t>
            </w:r>
          </w:p>
        </w:tc>
        <w:tc>
          <w:tcPr>
            <w:tcW w:type="dxa" w:w="1440"/>
            <w:shd w:fill="FFDCE0" w:val="clear"/>
          </w:tcPr>
          <w:p>
            <w:r>
              <w:rPr>
                <w:b/>
                <w:sz w:val="17"/>
              </w:rPr>
              <w:t>2,003</w:t>
            </w:r>
          </w:p>
        </w:tc>
        <w:tc>
          <w:tcPr>
            <w:tcW w:type="dxa" w:w="1440"/>
            <w:shd w:fill="FFDCE0" w:val="clear"/>
          </w:tcPr>
          <w:p>
            <w:r>
              <w:rPr>
                <w:sz w:val="17"/>
              </w:rPr>
              <w:t>2,193</w:t>
            </w:r>
          </w:p>
        </w:tc>
        <w:tc>
          <w:tcPr>
            <w:tcW w:type="dxa" w:w="1440"/>
            <w:shd w:fill="FFDCE0" w:val="clear"/>
          </w:tcPr>
          <w:p>
            <w:r>
              <w:rPr>
                <w:b/>
                <w:color w:val="C00000"/>
                <w:sz w:val="17"/>
              </w:rPr>
              <w:t>-16.4%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1,758</w:t>
            </w:r>
          </w:p>
        </w:tc>
        <w:tc>
          <w:tcPr>
            <w:tcW w:type="dxa" w:w="1440"/>
            <w:shd w:fill="FFDCE0" w:val="clear"/>
          </w:tcPr>
          <w:p>
            <w:r>
              <w:rPr>
                <w:b/>
                <w:sz w:val="17"/>
              </w:rPr>
              <w:t>1,958</w:t>
            </w:r>
          </w:p>
        </w:tc>
        <w:tc>
          <w:tcPr>
            <w:tcW w:type="dxa" w:w="1440"/>
            <w:shd w:fill="FFDCE0" w:val="clear"/>
          </w:tcPr>
          <w:p>
            <w:r>
              <w:rPr>
                <w:sz w:val="17"/>
              </w:rPr>
              <w:t>2,159</w:t>
            </w:r>
          </w:p>
        </w:tc>
        <w:tc>
          <w:tcPr>
            <w:tcW w:type="dxa" w:w="1440"/>
            <w:shd w:fill="FFDCE0" w:val="clear"/>
          </w:tcPr>
          <w:p>
            <w:r>
              <w:rPr>
                <w:b/>
                <w:color w:val="C00000"/>
                <w:sz w:val="17"/>
              </w:rPr>
              <w:t>-18.2%</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1,705</w:t>
            </w:r>
          </w:p>
        </w:tc>
        <w:tc>
          <w:tcPr>
            <w:tcW w:type="dxa" w:w="1440"/>
            <w:shd w:fill="FFDCE0" w:val="clear"/>
          </w:tcPr>
          <w:p>
            <w:r>
              <w:rPr>
                <w:b/>
                <w:sz w:val="17"/>
              </w:rPr>
              <w:t>1,915</w:t>
            </w:r>
          </w:p>
        </w:tc>
        <w:tc>
          <w:tcPr>
            <w:tcW w:type="dxa" w:w="1440"/>
            <w:shd w:fill="FFDCE0" w:val="clear"/>
          </w:tcPr>
          <w:p>
            <w:r>
              <w:rPr>
                <w:sz w:val="17"/>
              </w:rPr>
              <w:t>2,125</w:t>
            </w:r>
          </w:p>
        </w:tc>
        <w:tc>
          <w:tcPr>
            <w:tcW w:type="dxa" w:w="1440"/>
            <w:shd w:fill="FFDCE0" w:val="clear"/>
          </w:tcPr>
          <w:p>
            <w:r>
              <w:rPr>
                <w:b/>
                <w:color w:val="C00000"/>
                <w:sz w:val="17"/>
              </w:rPr>
              <w:t>-20.0%</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1,656</w:t>
            </w:r>
          </w:p>
        </w:tc>
        <w:tc>
          <w:tcPr>
            <w:tcW w:type="dxa" w:w="1440"/>
            <w:shd w:fill="FFDCE0" w:val="clear"/>
          </w:tcPr>
          <w:p>
            <w:r>
              <w:rPr>
                <w:b/>
                <w:sz w:val="17"/>
              </w:rPr>
              <w:t>1,873</w:t>
            </w:r>
          </w:p>
        </w:tc>
        <w:tc>
          <w:tcPr>
            <w:tcW w:type="dxa" w:w="1440"/>
            <w:shd w:fill="FFDCE0" w:val="clear"/>
          </w:tcPr>
          <w:p>
            <w:r>
              <w:rPr>
                <w:sz w:val="17"/>
              </w:rPr>
              <w:t>2,091</w:t>
            </w:r>
          </w:p>
        </w:tc>
        <w:tc>
          <w:tcPr>
            <w:tcW w:type="dxa" w:w="1440"/>
            <w:shd w:fill="FFDCE0" w:val="clear"/>
          </w:tcPr>
          <w:p>
            <w:r>
              <w:rPr>
                <w:b/>
                <w:color w:val="C00000"/>
                <w:sz w:val="17"/>
              </w:rPr>
              <w:t>-21.8%</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1,608</w:t>
            </w:r>
          </w:p>
        </w:tc>
        <w:tc>
          <w:tcPr>
            <w:tcW w:type="dxa" w:w="1440"/>
            <w:shd w:fill="FFDCE0" w:val="clear"/>
          </w:tcPr>
          <w:p>
            <w:r>
              <w:rPr>
                <w:b/>
                <w:sz w:val="17"/>
              </w:rPr>
              <w:t>1,833</w:t>
            </w:r>
          </w:p>
        </w:tc>
        <w:tc>
          <w:tcPr>
            <w:tcW w:type="dxa" w:w="1440"/>
            <w:shd w:fill="FFDCE0" w:val="clear"/>
          </w:tcPr>
          <w:p>
            <w:r>
              <w:rPr>
                <w:sz w:val="17"/>
              </w:rPr>
              <w:t>2,058</w:t>
            </w:r>
          </w:p>
        </w:tc>
        <w:tc>
          <w:tcPr>
            <w:tcW w:type="dxa" w:w="1440"/>
            <w:shd w:fill="FFDCE0" w:val="clear"/>
          </w:tcPr>
          <w:p>
            <w:r>
              <w:rPr>
                <w:b/>
                <w:color w:val="C00000"/>
                <w:sz w:val="17"/>
              </w:rPr>
              <w:t>-23.5%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(BRVM)**</w:t>
      </w:r>
    </w:p>
    <w:p>
      <w:pPr>
        <w:spacing w:after="120" w:line="276" w:lineRule="auto" w:before="240"/>
      </w:pPr>
      <w:r>
        <w:rPr>
          <w:b/>
          <w:color w:val="003366"/>
          <w:sz w:val="24"/>
        </w:rPr>
        <w:t>**PARTIE 0 : INDICATEURS DE VALORISATION BOURSIÈRE**</w:t>
      </w:r>
    </w:p>
    <w:p>
      <w:pPr>
        <w:spacing w:after="120" w:line="276" w:lineRule="auto"/>
      </w:pPr>
      <w:r>
        <w:t>La capitalisation boursière de 20,92 milliards FCFA positionne SIVC comme une valeur de taille moyenne sur la BRVM. Avec un BPA de 43 FCFA, le titre se paie un PER de 55,5x, un niveau extrêmement élevé comparé à la moyenne du marché qui se situe entre 8 et 12x. Les investisseurs paient donc une prime considérable pour chaque franc de bénéfice, ce qui reflète des attentes de croissance très fortes ou une spéculation importante. Le P/B de 6,39x confirme cette tendance, le marché valorisant l'actif net comptable plus de six fois sa valeur, un niveau exigeant qui laisse peu de place à l'erreur. Enfin, l'EV/EBITDA de 17,4x indique que la valeur totale de l'entreprise (fonds propres + dettes) représente plus de 17 fois sa capacité opérationnelle brute, un ratio qui suggère une valorisation riche par rapport aux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SIVC a subi une dépréciation significative de -25,51%, passant d'un plus haut de 3 215 FCFA à un plus bas de 1 920 FCFA, soit une amplitude de trading de près de 1 300 FCFA. La dernière séance montre un rebond de +2,79% à 2 395 FCFA, mais la tendance globale reste résolument baissière. Les statistiques descriptives révèlent une moyenne de 2 560 FCFA et une médiane de 2 600 FCFA, très proches l'une de l'autre, ce qui indique une distribution symétrique des prix. L'écart-type de 281 FCFA avec un coefficient de variation de 11% démontre une dispersion modérée autour de la moyenne. Le kurtosis de -0,990, qualifié de mésokurtique, suggère une distribution proche de la normale avec un faible risque de mouvements extrêmes, tandis que le skewness de -0,124 confirme la symétrie de la distribution. La volatilité annualisée de 50,5% est très élevée, positionnant ce titre comme risqué pour les investisseurs averses au risque.</w:t>
      </w:r>
    </w:p>
    <w:p>
      <w:pPr>
        <w:spacing w:after="120" w:line="276" w:lineRule="auto" w:before="240"/>
      </w:pPr>
      <w:r>
        <w:rPr>
          <w:b/>
          <w:color w:val="003366"/>
          <w:sz w:val="24"/>
        </w:rPr>
        <w:t>**PARTIE 2 : ANALYSE TECHNIQUE DÉTAILLÉE**</w:t>
      </w:r>
    </w:p>
    <w:p>
      <w:pPr>
        <w:spacing w:after="120" w:line="276" w:lineRule="auto"/>
      </w:pPr>
      <w:r>
        <w:t>Les Moyennes Mobiles (MM20 à 2 376,75 et MM50 à 2 311,8) sont toutes deux inférieures au cours actuel de 2 395 FCFA, ce qui génère un signal d'achat. Le fait que la MM20 soit au-dessus de la MM50 indique une dynamique haussière à court terme, suggérant que le récent rebond pourrait avoir de l'élan.</w:t>
      </w:r>
    </w:p>
    <w:p>
      <w:pPr>
        <w:spacing w:after="120" w:line="276" w:lineRule="auto"/>
      </w:pPr>
      <w:r>
        <w:t>Les Bandes de Bollinger montrent une borne supérieure à 2 457,68 et une borne inférieure à 2 295,82, avec un prix actuel de 2 395 FCFA positionné presque au centre du canal. Cette position neutre indique une volatilité modérée et un marché en phase de consolidation, sans pression directionnelle forte.</w:t>
      </w:r>
    </w:p>
    <w:p>
      <w:pPr>
        <w:spacing w:after="120" w:line="276" w:lineRule="auto"/>
      </w:pPr>
      <w:r>
        <w:t>Le MACD affiche une valeur de 14,586 contre un signal à 11,282, avec une divergence positive de plus de 3 points. Cette configuration haussière indique que le momentum de court terme est positif, le MACD étant au-dessus de sa ligne de signal, ce qui renforce le signal d'achat technique.</w:t>
      </w:r>
    </w:p>
    <w:p>
      <w:pPr>
        <w:spacing w:after="120" w:line="276" w:lineRule="auto"/>
      </w:pPr>
      <w:r>
        <w:t>Le RSI à 48,352 se situe en zone neutre, entre 30 et 70, indiquant que le titre n'est ni suracheté ni survendu. Cette valeur suggère que les acheteurs et les vendeurs sont relativement équilibrés, avec une légère marge de progression avant d'atteindre des zones extrêmes.</w:t>
      </w:r>
    </w:p>
    <w:p>
      <w:pPr>
        <w:spacing w:after="120" w:line="276" w:lineRule="auto"/>
      </w:pPr>
      <w:r>
        <w:t>Le Stochastique avec %K à 73,913 et %D à 55,435 montre que %K est nettement au-dessus de %D, approchant la zone de surachat (au-delà de 80). Cette configuration indique une pression acheteuse récente, mais le niveau élevé de %K suggère qu'un repli technique pourrait survenir à court terme.</w:t>
      </w:r>
    </w:p>
    <w:p>
      <w:pPr>
        <w:spacing w:after="120" w:line="276" w:lineRule="auto"/>
      </w:pPr>
      <w:r>
        <w:t>La conclusion technique de cette analyse est mitigée avec une prédominance de signaux positifs. Les moyennes mobiles et le MACD sont en configuration d'achat, tandis que le RSI et les bandes de Bollinger sont neutres. Le stochastique, bien que positif, approche des niveaux de surachat. Globalement, le titre semble en phase de rebond technique après une forte baisse, mais la prudence reste de mise.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société classée dans le secteur bancaire, avec un PNB de 9,283 milliards FCFA et un résultat net de 376,96 millions FCFA. La marge nette s'établit à 4,06%, le ROE à 11,52% et le ROA à 2,69%. Le coefficient d'exploitation de 95,83% est extrêmement élevé, indiquant une mauvaise efficacité opérationnelle. Le rapport annuel 2025 (daté du 31/12/2025, analysé par DeepSeek le 29/06/2026) montre un chiffre d'affaires en hausse de 8,53% à 10,07 milliards FCFA, mais un résultat net en chute de 52,4% à 179,29 millions FCFA, avec une marge nette dégradée à 1,78%. Les capitaux propres ont diminué à 2,53 milliards FCFA et l'endettement financier a augmenté à 4,16 milliards FCFA. Les rapports trimestriels 2025 (S1 et T3) indiquaient pourtant une dynamique positive avec un résultat net de 832,5 millions FCFA au T3 2025, en hausse de 58%, mais cette performance ne s'est pas confirmée sur l'année complète. Le rapport S1 2025 faisait état d'une marge nette de 10,5%, tandis que le rapport annuel 2025 montre une dégradation brutale au second semestre. La société a changé de dénomination sociale pour devenir ERIUM CI suite à la cession de la participation d'Air Liquide International à ERIUM LTD en novembre 2025. La trésorerie nette reste négative à -1,66 milliards FCFA et le BFR est déficitaire, signalant des tensions de liquidité persistantes.</w:t>
      </w:r>
    </w:p>
    <w:p>
      <w:pPr>
        <w:spacing w:after="120" w:line="276" w:lineRule="auto" w:before="240"/>
      </w:pPr>
      <w:r>
        <w:rPr>
          <w:b/>
          <w:color w:val="003366"/>
          <w:sz w:val="24"/>
        </w:rPr>
        <w:t>**PARTIE 4 : CONCLUSION D'INVESTISSEMENT**</w:t>
      </w:r>
    </w:p>
    <w:p>
      <w:pPr>
        <w:spacing w:after="120" w:line="276" w:lineRule="auto"/>
      </w:pPr>
      <w:r>
        <w:t>La valorisation actuelle de SIVC/ERIUM CI est extrêmement exigeante avec un PER de 55,5x et un P/B de 6,39x, particulièrement injustifiés au vu de la dégradation des fondamentaux. Le comportement du cours sur 100 jours montre une tendance baissière marquée de -25,51%, avec une volatilité très élevée de 50,5%, indiquant un profil de risque important. Les signaux techniques sont partagés : les moyennes mobiles et le MACD suggèrent un rebond à court terme, mais le RSI neutre et les bandes de Bollinger n'apportent pas de confirmation forte. Les fondamentaux sont préoccupants : malgré une croissance du chiffre d'affaires de 8,5% en 2025, le résultat net a chuté de 52%, la marge nette s'est effondrée à 1,78%, et l'endettement augmente avec une trésorerie négative. Les prédictions IA pour les 10 prochains jours indiquent une poursuite de la baisse vers 2 050 FCFA, contredisant les signaux techniques d'achat à court terme. La recommandation finale est **VENTE** avec un niveau de confiance **Moyen** et un risque global **Élevé**. L'horizon d'investissement optimal serait le court terme (&lt;3 mois) pour les investisseurs cherchant à limiter leurs pertes, tandis que les investisseurs à long terme devraient attendre une amélioration significative de la rentabilité et une réduction de l'endettement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612.34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1,293 titres</w:t>
            </w:r>
          </w:p>
        </w:tc>
        <w:tc>
          <w:tcPr>
            <w:tcW w:type="dxa" w:w="2268"/>
            <w:shd w:fill="FFF2CC" w:val="clear"/>
          </w:tcPr>
          <w:p>
            <w:r>
              <w:rPr>
                <w:b/>
                <w:color w:val="503200"/>
                <w:sz w:val="16"/>
              </w:rPr>
              <w:t xml:space="preserve">Cours actuel : </w:t>
            </w:r>
            <w:r>
              <w:rPr>
                <w:color w:val="000000"/>
                <w:sz w:val="17"/>
              </w:rPr>
              <w:t>37,200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μ=38,306 FCFA, σ=959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β=0.0181 (Défensif) — Cov=0.000001, Var(idx)=0.000037, ρ=0.006,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36,106</w:t>
            </w:r>
          </w:p>
        </w:tc>
        <w:tc>
          <w:tcPr>
            <w:tcW w:type="dxa" w:w="1440"/>
            <w:shd w:fill="FAFAFA" w:val="clear"/>
          </w:tcPr>
          <w:p>
            <w:r>
              <w:rPr>
                <w:b/>
                <w:sz w:val="17"/>
              </w:rPr>
              <w:t>37,316</w:t>
            </w:r>
          </w:p>
        </w:tc>
        <w:tc>
          <w:tcPr>
            <w:tcW w:type="dxa" w:w="1440"/>
            <w:shd w:fill="FAFAFA" w:val="clear"/>
          </w:tcPr>
          <w:p>
            <w:r>
              <w:rPr>
                <w:sz w:val="17"/>
              </w:rPr>
              <w:t>38,526</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35,512</w:t>
            </w:r>
          </w:p>
        </w:tc>
        <w:tc>
          <w:tcPr>
            <w:tcW w:type="dxa" w:w="1440"/>
            <w:shd w:fill="FAFAFA" w:val="clear"/>
          </w:tcPr>
          <w:p>
            <w:r>
              <w:rPr>
                <w:b/>
                <w:sz w:val="17"/>
              </w:rPr>
              <w:t>37,219</w:t>
            </w:r>
          </w:p>
        </w:tc>
        <w:tc>
          <w:tcPr>
            <w:tcW w:type="dxa" w:w="1440"/>
            <w:shd w:fill="FAFAFA" w:val="clear"/>
          </w:tcPr>
          <w:p>
            <w:r>
              <w:rPr>
                <w:sz w:val="17"/>
              </w:rPr>
              <w:t>38,926</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2026-09-10</w:t>
            </w:r>
          </w:p>
        </w:tc>
        <w:tc>
          <w:tcPr>
            <w:tcW w:type="dxa" w:w="1440"/>
            <w:shd w:fill="FAFAFA" w:val="clear"/>
          </w:tcPr>
          <w:p>
            <w:r>
              <w:rPr>
                <w:sz w:val="17"/>
              </w:rPr>
              <w:t>35,087</w:t>
            </w:r>
          </w:p>
        </w:tc>
        <w:tc>
          <w:tcPr>
            <w:tcW w:type="dxa" w:w="1440"/>
            <w:shd w:fill="FAFAFA" w:val="clear"/>
          </w:tcPr>
          <w:p>
            <w:r>
              <w:rPr>
                <w:b/>
                <w:sz w:val="17"/>
              </w:rPr>
              <w:t>37,175</w:t>
            </w:r>
          </w:p>
        </w:tc>
        <w:tc>
          <w:tcPr>
            <w:tcW w:type="dxa" w:w="1440"/>
            <w:shd w:fill="FAFAFA" w:val="clear"/>
          </w:tcPr>
          <w:p>
            <w:r>
              <w:rPr>
                <w:sz w:val="17"/>
              </w:rPr>
              <w:t>39,263</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2026-09-11</w:t>
            </w:r>
          </w:p>
        </w:tc>
        <w:tc>
          <w:tcPr>
            <w:tcW w:type="dxa" w:w="1440"/>
            <w:shd w:fill="FAFAFA" w:val="clear"/>
          </w:tcPr>
          <w:p>
            <w:r>
              <w:rPr>
                <w:sz w:val="17"/>
              </w:rPr>
              <w:t>34,734</w:t>
            </w:r>
          </w:p>
        </w:tc>
        <w:tc>
          <w:tcPr>
            <w:tcW w:type="dxa" w:w="1440"/>
            <w:shd w:fill="FAFAFA" w:val="clear"/>
          </w:tcPr>
          <w:p>
            <w:r>
              <w:rPr>
                <w:b/>
                <w:sz w:val="17"/>
              </w:rPr>
              <w:t>37,143</w:t>
            </w:r>
          </w:p>
        </w:tc>
        <w:tc>
          <w:tcPr>
            <w:tcW w:type="dxa" w:w="1440"/>
            <w:shd w:fill="FAFAFA" w:val="clear"/>
          </w:tcPr>
          <w:p>
            <w:r>
              <w:rPr>
                <w:sz w:val="17"/>
              </w:rPr>
              <w:t>39,552</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2026-09-14</w:t>
            </w:r>
          </w:p>
        </w:tc>
        <w:tc>
          <w:tcPr>
            <w:tcW w:type="dxa" w:w="1440"/>
            <w:shd w:fill="FAFAFA" w:val="clear"/>
          </w:tcPr>
          <w:p>
            <w:r>
              <w:rPr>
                <w:sz w:val="17"/>
              </w:rPr>
              <w:t>34,422</w:t>
            </w:r>
          </w:p>
        </w:tc>
        <w:tc>
          <w:tcPr>
            <w:tcW w:type="dxa" w:w="1440"/>
            <w:shd w:fill="FAFAFA" w:val="clear"/>
          </w:tcPr>
          <w:p>
            <w:r>
              <w:rPr>
                <w:b/>
                <w:sz w:val="17"/>
              </w:rPr>
              <w:t>37,113</w:t>
            </w:r>
          </w:p>
        </w:tc>
        <w:tc>
          <w:tcPr>
            <w:tcW w:type="dxa" w:w="1440"/>
            <w:shd w:fill="FAFAFA" w:val="clear"/>
          </w:tcPr>
          <w:p>
            <w:r>
              <w:rPr>
                <w:sz w:val="17"/>
              </w:rPr>
              <w:t>39,804</w:t>
            </w:r>
          </w:p>
        </w:tc>
        <w:tc>
          <w:tcPr>
            <w:tcW w:type="dxa" w:w="1440"/>
            <w:shd w:fill="FAFAFA" w:val="clear"/>
          </w:tcPr>
          <w:p>
            <w:r>
              <w:rPr>
                <w:b/>
                <w:color w:val="C00000"/>
                <w:sz w:val="17"/>
              </w:rPr>
              <w:t>-0.2%</w:t>
            </w:r>
          </w:p>
        </w:tc>
      </w:tr>
      <w:tr>
        <w:tc>
          <w:tcPr>
            <w:tcW w:type="dxa" w:w="1440"/>
            <w:shd w:fill="FAFAFA" w:val="clear"/>
          </w:tcPr>
          <w:p>
            <w:r>
              <w:rPr>
                <w:sz w:val="17"/>
              </w:rPr>
              <w:t>J+6  Moyenne</w:t>
            </w:r>
          </w:p>
        </w:tc>
        <w:tc>
          <w:tcPr>
            <w:tcW w:type="dxa" w:w="1440"/>
            <w:shd w:fill="FAFAFA" w:val="clear"/>
          </w:tcPr>
          <w:p>
            <w:r>
              <w:rPr>
                <w:sz w:val="17"/>
              </w:rPr>
              <w:t>2026-09-15</w:t>
            </w:r>
          </w:p>
        </w:tc>
        <w:tc>
          <w:tcPr>
            <w:tcW w:type="dxa" w:w="1440"/>
            <w:shd w:fill="FAFAFA" w:val="clear"/>
          </w:tcPr>
          <w:p>
            <w:r>
              <w:rPr>
                <w:sz w:val="17"/>
              </w:rPr>
              <w:t>34,137</w:t>
            </w:r>
          </w:p>
        </w:tc>
        <w:tc>
          <w:tcPr>
            <w:tcW w:type="dxa" w:w="1440"/>
            <w:shd w:fill="FAFAFA" w:val="clear"/>
          </w:tcPr>
          <w:p>
            <w:r>
              <w:rPr>
                <w:b/>
                <w:sz w:val="17"/>
              </w:rPr>
              <w:t>37,083</w:t>
            </w:r>
          </w:p>
        </w:tc>
        <w:tc>
          <w:tcPr>
            <w:tcW w:type="dxa" w:w="1440"/>
            <w:shd w:fill="FAFAFA" w:val="clear"/>
          </w:tcPr>
          <w:p>
            <w:r>
              <w:rPr>
                <w:sz w:val="17"/>
              </w:rPr>
              <w:t>40,028</w:t>
            </w:r>
          </w:p>
        </w:tc>
        <w:tc>
          <w:tcPr>
            <w:tcW w:type="dxa" w:w="1440"/>
            <w:shd w:fill="FAFAFA" w:val="clear"/>
          </w:tcPr>
          <w:p>
            <w:r>
              <w:rPr>
                <w:b/>
                <w:color w:val="C00000"/>
                <w:sz w:val="17"/>
              </w:rPr>
              <w:t>-0.3%</w:t>
            </w:r>
          </w:p>
        </w:tc>
      </w:tr>
      <w:tr>
        <w:tc>
          <w:tcPr>
            <w:tcW w:type="dxa" w:w="1440"/>
            <w:shd w:fill="FAFAFA" w:val="clear"/>
          </w:tcPr>
          <w:p>
            <w:r>
              <w:rPr>
                <w:sz w:val="17"/>
              </w:rPr>
              <w:t>J+7  Moyenne</w:t>
            </w:r>
          </w:p>
        </w:tc>
        <w:tc>
          <w:tcPr>
            <w:tcW w:type="dxa" w:w="1440"/>
            <w:shd w:fill="FAFAFA" w:val="clear"/>
          </w:tcPr>
          <w:p>
            <w:r>
              <w:rPr>
                <w:sz w:val="17"/>
              </w:rPr>
              <w:t>2026-09-16</w:t>
            </w:r>
          </w:p>
        </w:tc>
        <w:tc>
          <w:tcPr>
            <w:tcW w:type="dxa" w:w="1440"/>
            <w:shd w:fill="FAFAFA" w:val="clear"/>
          </w:tcPr>
          <w:p>
            <w:r>
              <w:rPr>
                <w:sz w:val="17"/>
              </w:rPr>
              <w:t>33,873</w:t>
            </w:r>
          </w:p>
        </w:tc>
        <w:tc>
          <w:tcPr>
            <w:tcW w:type="dxa" w:w="1440"/>
            <w:shd w:fill="FAFAFA" w:val="clear"/>
          </w:tcPr>
          <w:p>
            <w:r>
              <w:rPr>
                <w:b/>
                <w:sz w:val="17"/>
              </w:rPr>
              <w:t>37,052</w:t>
            </w:r>
          </w:p>
        </w:tc>
        <w:tc>
          <w:tcPr>
            <w:tcW w:type="dxa" w:w="1440"/>
            <w:shd w:fill="FAFAFA" w:val="clear"/>
          </w:tcPr>
          <w:p>
            <w:r>
              <w:rPr>
                <w:sz w:val="17"/>
              </w:rPr>
              <w:t>40,231</w:t>
            </w:r>
          </w:p>
        </w:tc>
        <w:tc>
          <w:tcPr>
            <w:tcW w:type="dxa" w:w="1440"/>
            <w:shd w:fill="FAFAFA" w:val="clear"/>
          </w:tcPr>
          <w:p>
            <w:r>
              <w:rPr>
                <w:b/>
                <w:color w:val="C00000"/>
                <w:sz w:val="17"/>
              </w:rPr>
              <w:t>-0.4%</w:t>
            </w:r>
          </w:p>
        </w:tc>
      </w:tr>
      <w:tr>
        <w:tc>
          <w:tcPr>
            <w:tcW w:type="dxa" w:w="1440"/>
            <w:shd w:fill="FAFAFA" w:val="clear"/>
          </w:tcPr>
          <w:p>
            <w:r>
              <w:rPr>
                <w:sz w:val="17"/>
              </w:rPr>
              <w:t>J+8  Moyenne</w:t>
            </w:r>
          </w:p>
        </w:tc>
        <w:tc>
          <w:tcPr>
            <w:tcW w:type="dxa" w:w="1440"/>
            <w:shd w:fill="FAFAFA" w:val="clear"/>
          </w:tcPr>
          <w:p>
            <w:r>
              <w:rPr>
                <w:sz w:val="17"/>
              </w:rPr>
              <w:t>2026-09-17</w:t>
            </w:r>
          </w:p>
        </w:tc>
        <w:tc>
          <w:tcPr>
            <w:tcW w:type="dxa" w:w="1440"/>
            <w:shd w:fill="FAFAFA" w:val="clear"/>
          </w:tcPr>
          <w:p>
            <w:r>
              <w:rPr>
                <w:sz w:val="17"/>
              </w:rPr>
              <w:t>33,626</w:t>
            </w:r>
          </w:p>
        </w:tc>
        <w:tc>
          <w:tcPr>
            <w:tcW w:type="dxa" w:w="1440"/>
            <w:shd w:fill="FAFAFA" w:val="clear"/>
          </w:tcPr>
          <w:p>
            <w:r>
              <w:rPr>
                <w:b/>
                <w:sz w:val="17"/>
              </w:rPr>
              <w:t>37,021</w:t>
            </w:r>
          </w:p>
        </w:tc>
        <w:tc>
          <w:tcPr>
            <w:tcW w:type="dxa" w:w="1440"/>
            <w:shd w:fill="FAFAFA" w:val="clear"/>
          </w:tcPr>
          <w:p>
            <w:r>
              <w:rPr>
                <w:sz w:val="17"/>
              </w:rPr>
              <w:t>40,417</w:t>
            </w:r>
          </w:p>
        </w:tc>
        <w:tc>
          <w:tcPr>
            <w:tcW w:type="dxa" w:w="1440"/>
            <w:shd w:fill="FAFAFA" w:val="clear"/>
          </w:tcPr>
          <w:p>
            <w:r>
              <w:rPr>
                <w:b/>
                <w:color w:val="C00000"/>
                <w:sz w:val="17"/>
              </w:rPr>
              <w:t>-0.5%</w:t>
            </w:r>
          </w:p>
        </w:tc>
      </w:tr>
      <w:tr>
        <w:tc>
          <w:tcPr>
            <w:tcW w:type="dxa" w:w="1440"/>
            <w:shd w:fill="FAFAFA" w:val="clear"/>
          </w:tcPr>
          <w:p>
            <w:r>
              <w:rPr>
                <w:sz w:val="17"/>
              </w:rPr>
              <w:t>J+9  Moyenne</w:t>
            </w:r>
          </w:p>
        </w:tc>
        <w:tc>
          <w:tcPr>
            <w:tcW w:type="dxa" w:w="1440"/>
            <w:shd w:fill="FAFAFA" w:val="clear"/>
          </w:tcPr>
          <w:p>
            <w:r>
              <w:rPr>
                <w:sz w:val="17"/>
              </w:rPr>
              <w:t>2026-09-18</w:t>
            </w:r>
          </w:p>
        </w:tc>
        <w:tc>
          <w:tcPr>
            <w:tcW w:type="dxa" w:w="1440"/>
            <w:shd w:fill="FAFAFA" w:val="clear"/>
          </w:tcPr>
          <w:p>
            <w:r>
              <w:rPr>
                <w:sz w:val="17"/>
              </w:rPr>
              <w:t>33,392</w:t>
            </w:r>
          </w:p>
        </w:tc>
        <w:tc>
          <w:tcPr>
            <w:tcW w:type="dxa" w:w="1440"/>
            <w:shd w:fill="FAFAFA" w:val="clear"/>
          </w:tcPr>
          <w:p>
            <w:r>
              <w:rPr>
                <w:b/>
                <w:sz w:val="17"/>
              </w:rPr>
              <w:t>36,990</w:t>
            </w:r>
          </w:p>
        </w:tc>
        <w:tc>
          <w:tcPr>
            <w:tcW w:type="dxa" w:w="1440"/>
            <w:shd w:fill="FAFAFA" w:val="clear"/>
          </w:tcPr>
          <w:p>
            <w:r>
              <w:rPr>
                <w:sz w:val="17"/>
              </w:rPr>
              <w:t>40,589</w:t>
            </w:r>
          </w:p>
        </w:tc>
        <w:tc>
          <w:tcPr>
            <w:tcW w:type="dxa" w:w="1440"/>
            <w:shd w:fill="FAFAFA" w:val="clear"/>
          </w:tcPr>
          <w:p>
            <w:r>
              <w:rPr>
                <w:b/>
                <w:color w:val="C00000"/>
                <w:sz w:val="17"/>
              </w:rPr>
              <w:t>-0.6%</w:t>
            </w:r>
          </w:p>
        </w:tc>
      </w:tr>
      <w:tr>
        <w:tc>
          <w:tcPr>
            <w:tcW w:type="dxa" w:w="1440"/>
            <w:shd w:fill="FAFAFA" w:val="clear"/>
          </w:tcPr>
          <w:p>
            <w:r>
              <w:rPr>
                <w:sz w:val="17"/>
              </w:rPr>
              <w:t>J+10  Moyenne</w:t>
            </w:r>
          </w:p>
        </w:tc>
        <w:tc>
          <w:tcPr>
            <w:tcW w:type="dxa" w:w="1440"/>
            <w:shd w:fill="FAFAFA" w:val="clear"/>
          </w:tcPr>
          <w:p>
            <w:r>
              <w:rPr>
                <w:sz w:val="17"/>
              </w:rPr>
              <w:t>2026-09-21</w:t>
            </w:r>
          </w:p>
        </w:tc>
        <w:tc>
          <w:tcPr>
            <w:tcW w:type="dxa" w:w="1440"/>
            <w:shd w:fill="FAFAFA" w:val="clear"/>
          </w:tcPr>
          <w:p>
            <w:r>
              <w:rPr>
                <w:sz w:val="17"/>
              </w:rPr>
              <w:t>33,169</w:t>
            </w:r>
          </w:p>
        </w:tc>
        <w:tc>
          <w:tcPr>
            <w:tcW w:type="dxa" w:w="1440"/>
            <w:shd w:fill="FAFAFA" w:val="clear"/>
          </w:tcPr>
          <w:p>
            <w:r>
              <w:rPr>
                <w:b/>
                <w:sz w:val="17"/>
              </w:rPr>
              <w:t>36,959</w:t>
            </w:r>
          </w:p>
        </w:tc>
        <w:tc>
          <w:tcPr>
            <w:tcW w:type="dxa" w:w="1440"/>
            <w:shd w:fill="FAFAFA" w:val="clear"/>
          </w:tcPr>
          <w:p>
            <w:r>
              <w:rPr>
                <w:sz w:val="17"/>
              </w:rPr>
              <w:t>40,749</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**Date de l'analyse : 07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612,34 milliards FCFA, SOLIBRA se positionne comme l'une des valeurs les plus significatives de la BRVM, reflétant sa position dominante dans le secteur des boissons en Afrique de l'Ouest. Le BPA de 2 781 FCFA indique que chaque action génère un bénéfice substantiel, justifiant un PER de 13,4x. Ce ratio, bien que supérieur à la moyenne historique de la BRVM (8-12x), reste modéré et témoigne d'une valorisation raisonnable pour une entreprise affichant une croissance aussi dynamique. Le P/B de 3,14x, situé dans la fourchette de 2 à 4x, suggère que le marché accorde une prime de croissance à l'entreprise par rapport à sa valeur comptable, une prime justifiée par ses performances récentes. Enfin, l'EV/EBITDA de 7,3x, dans la zone de 5 à 10x, indique que la valeur totale de l'entreprise (dette incluse) reste à un niveau attractif par rapport à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l'action SLBC est resté parfaitement stable, avec une variation totale de +0,00%, et une légère baisse de -0,13% lors de la dernière séance, clôturant à 37 200 FCFA. Le titre a évolué dans une fourchette de 35 540 FCFA (plus bas) à 41 500 FCFA (plus haut), montrant une amplitude de près de 17%. La moyenne (38 306 FCFA) et la médiane (38 005 FCFA) étant très proches, la distribution des prix est symétrique, ce que confirme le skewness de 0,322. L'écart-type de 964 FCFA, avec un coefficient de variation de seulement 2,5%, indique une dispersion très faible des prix autour de la moyenne. Le kurtosis de 0,269 (mésokurtique) suggère que les mouvements de prix suivent une distribution normale, sans risque de pics extrêmes. La volatilité annualisée de 29,9% classe le titre dans la catégorie des valeurs à volatilité modérée, proche du seuil des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(37 200 FCFA) est inférieur à la MM20 (37 564,5 FCFA) et nettement en dessous de la MM50 (38 403,9 FCFA). Cette configuration baissière, où les moyennes à court terme sont sous les moyennes à long terme, indique une tendance négative et justifie la décision de vente.</w:t>
      </w:r>
    </w:p>
    <w:p>
      <w:pPr>
        <w:spacing w:after="120" w:line="276" w:lineRule="auto"/>
      </w:pPr>
      <w:r>
        <w:t>**Bandes de Bollinger :** Le prix se situe à 37 200 FCFA, entre la borne supérieure (38 333,2 FCFA) et la borne inférieure (36 795,8 FCFA), mais plus proche de la borne inférieure. Cela suggère une pression vendeuse modérée sans être excessive. La décision est neutre, le cours n'ayant pas encore atteint les extrêmes qui signaleraient une opportunité d'achat ou de vente.</w:t>
      </w:r>
    </w:p>
    <w:p>
      <w:pPr>
        <w:spacing w:after="120" w:line="276" w:lineRule="auto"/>
      </w:pPr>
      <w:r>
        <w:t>**MACD :** La valeur du MACD (-186,1) est supérieure à celle du signal (-218,6), formant un croisement haussier. Bien que les deux indicateurs soient en territoire négatif, cette divergence positive indique un momentum en amélioration, justifiant une décision d'achat.</w:t>
      </w:r>
    </w:p>
    <w:p>
      <w:pPr>
        <w:spacing w:after="120" w:line="276" w:lineRule="auto"/>
      </w:pPr>
      <w:r>
        <w:t>**RSI :** Avec une valeur de 42,4, le RSI se situe dans la zone neutre (30-70), indiquant que le titre n'est ni suracheté ni survendu. Cette valeur suggère un équilibre entre les forces acheteuses et vendeuses, sans signal directionnel fort, d'où la décision neutre.</w:t>
      </w:r>
    </w:p>
    <w:p>
      <w:pPr>
        <w:spacing w:after="120" w:line="276" w:lineRule="auto"/>
      </w:pPr>
      <w:r>
        <w:t>**Stochastique :** Le %K (20,0) est nettement inférieur au %D (48,0), indiquant que le titre est proche de la zone de survente. Bien que le croisement baissier soit récent, la faiblesse du %K pourrait précéder un rebond technique. La décision est neutre, attendant une confirmation.</w:t>
      </w:r>
    </w:p>
    <w:p>
      <w:pPr>
        <w:spacing w:after="120" w:line="276" w:lineRule="auto"/>
      </w:pPr>
      <w:r>
        <w:t>**Conclusion technique :** La convergence des indicateurs est mitigée. Les moyennes mobiles signalent une tendance baissière, tandis que le MACD montre un potentiel de retournement haussier. Le RSI et le Stochastique, en zone neutre ou proche de la survente, suggèrent que le potentiel de baisse supplémentaire est limité. Globalement, le titre est dans une phase de consolidation avec un biais légèrement négatif à court terme.</w:t>
      </w:r>
    </w:p>
    <w:p>
      <w:pPr>
        <w:spacing w:after="120" w:line="276" w:lineRule="auto"/>
      </w:pPr>
      <w:r>
        <w:t>---</w:t>
      </w:r>
    </w:p>
    <w:p>
      <w:pPr>
        <w:spacing w:after="120" w:line="276" w:lineRule="auto"/>
      </w:pPr>
      <w:r>
        <w:t>### PARTIE 3 : ANALYSE FONDAMENTALE (SECTION CRITIQUE)</w:t>
      </w:r>
    </w:p>
    <w:p>
      <w:pPr>
        <w:spacing w:after="120" w:line="276" w:lineRule="auto"/>
      </w:pPr>
      <w:r>
        <w:t>En 2025, SOLIBRA a réalisé une performance exceptionnelle avec un chiffre d'affaires de 378,123 milliards FCFA, en hausse de 22,1% par rapport à 2024 (309,722 milliards FCFA). Le résultat net a plus que doublé, passant de 21,472 milliards FCFA en 2024 à 45,781 milliards FCFA en 2025, portant la marge nette à 12,1% contre 6,9% l'année précédente. La rentabilité des fonds propres (ROE) atteint un niveau excellent de 23,46%, et le ROA de 13,48% confirme une utilisation efficace des actifs. La structure financière est saine avec une autonomie financière de 57,5% et une capacité de remboursement rapide (0,67 an). Le BFR de 61,587 milliards FCFA est positif, mais la trésorerie nette de 22,117 milliards FCFA offre une marge de manœuvre. Les délais clients (64 jours) et fournisseurs (77 jours) sont équilibrés, bien que la durée de stockage de 117 jours mérite une surveillance. Le rapport du premier trimestre 2026 (publié en septembre 2026) confirme la dynamique avec un CA de 93,46 milliards FCFA (+7,6%) et un résultat net de 16,26 milliards FCFA (+4,8%). Sur cette base, on estime que l'exercice 2026 pourrait voir le CA atteindre environ 400 milliards FCFA et le résultat net dépasser 48 milliards FCFA, maintenant ainsi une croissance soutenue.</w:t>
      </w:r>
    </w:p>
    <w:p>
      <w:pPr>
        <w:spacing w:after="120" w:line="276" w:lineRule="auto"/>
      </w:pPr>
      <w:r>
        <w:t>---</w:t>
      </w:r>
    </w:p>
    <w:p>
      <w:pPr>
        <w:spacing w:after="120" w:line="276" w:lineRule="auto"/>
      </w:pPr>
      <w:r>
        <w:t>### PARTIE 4 : CONCLUSION D'INVESTISSEMENT</w:t>
      </w:r>
    </w:p>
    <w:p>
      <w:pPr>
        <w:spacing w:after="120" w:line="276" w:lineRule="auto"/>
      </w:pPr>
      <w:r>
        <w:t>La valorisation de SLBC (PER 13,4x, P/B 3,14x) est raisonnable pour une entreprise de cette qualité, bien que légèrement supérieure à la moyenne du marché. Le comportement du cours sur 100 jours montre une stabilité remarquable avec une volatilité modérée, mais la tendance technique récente est légèrement baissière, malgré des signaux contradictoires (MM vendeuses, MACD acheteur). Les fondamentaux sont exceptionnellement solides avec une croissance à deux chiffres, une rentabilité record et une politique de dividende généreuse (2 127 FCFA par action proposé pour 2025). Les prédictions IA pour les 10 prochains jours indiquent une légère tendance baissière (de 37 316 à 37 113 FCFA), ce qui contredit les fondamentaux mais s'aligne avec la faiblesse technique à court terme. En synthèse, la solidité financière et les perspectives de croissance de SOLIBRA en font une valeur de premier plan, mais le marché semble intégrer une phase de consolidation après la forte progression. **Recommandation finale : ACHAT** pour les investisseurs de moyen à long terme, avec un niveau de confiance **Élevé** et un risque global **Faible**. L'horizon optimal est de 3 à 12 mois, période durant laquelle le marché devrait reconnaître la valeur fondamentale de l'entreprise.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137.04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1,498 titres</w:t>
            </w:r>
          </w:p>
        </w:tc>
        <w:tc>
          <w:tcPr>
            <w:tcW w:type="dxa" w:w="2268"/>
            <w:shd w:fill="FFF2CC" w:val="clear"/>
          </w:tcPr>
          <w:p>
            <w:r>
              <w:rPr>
                <w:b/>
                <w:color w:val="503200"/>
                <w:sz w:val="16"/>
              </w:rPr>
              <w:t xml:space="preserve">Cours actuel : </w:t>
            </w:r>
            <w:r>
              <w:rPr>
                <w:color w:val="000000"/>
                <w:sz w:val="17"/>
              </w:rPr>
              <w:t>17,580 FCFA</w:t>
            </w:r>
          </w:p>
          <w:p>
            <w:r>
              <w:rPr>
                <w:b/>
                <w:color w:val="503200"/>
                <w:sz w:val="16"/>
              </w:rPr>
              <w:t xml:space="preserve">Var. 100 jours : </w:t>
            </w:r>
            <w:r>
              <w:rPr>
                <w:b/>
                <w:color w:val="007800"/>
                <w:sz w:val="17"/>
              </w:rPr>
              <w:t>+47.73%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14.40% (Moyenne) — μ=14,983 FCFA, σ=2,158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β=-0.5984 (Contre-cyclique) — Cov=-0.000022, Var(idx)=0.000037, ρ=-0.159,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16,957</w:t>
            </w:r>
          </w:p>
        </w:tc>
        <w:tc>
          <w:tcPr>
            <w:tcW w:type="dxa" w:w="1440"/>
            <w:shd w:fill="FAFAFA" w:val="clear"/>
          </w:tcPr>
          <w:p>
            <w:r>
              <w:rPr>
                <w:b/>
                <w:sz w:val="17"/>
              </w:rPr>
              <w:t>17,324</w:t>
            </w:r>
          </w:p>
        </w:tc>
        <w:tc>
          <w:tcPr>
            <w:tcW w:type="dxa" w:w="1440"/>
            <w:shd w:fill="FAFAFA" w:val="clear"/>
          </w:tcPr>
          <w:p>
            <w:r>
              <w:rPr>
                <w:sz w:val="17"/>
              </w:rPr>
              <w:t>17,692</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16,740</w:t>
            </w:r>
          </w:p>
        </w:tc>
        <w:tc>
          <w:tcPr>
            <w:tcW w:type="dxa" w:w="1440"/>
            <w:shd w:fill="FAFAFA" w:val="clear"/>
          </w:tcPr>
          <w:p>
            <w:r>
              <w:rPr>
                <w:b/>
                <w:sz w:val="17"/>
              </w:rPr>
              <w:t>17,258</w:t>
            </w:r>
          </w:p>
        </w:tc>
        <w:tc>
          <w:tcPr>
            <w:tcW w:type="dxa" w:w="1440"/>
            <w:shd w:fill="FAFAFA" w:val="clear"/>
          </w:tcPr>
          <w:p>
            <w:r>
              <w:rPr>
                <w:sz w:val="17"/>
              </w:rPr>
              <w:t>17,776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16,545</w:t>
            </w:r>
          </w:p>
        </w:tc>
        <w:tc>
          <w:tcPr>
            <w:tcW w:type="dxa" w:w="1440"/>
            <w:shd w:fill="FFDCE0" w:val="clear"/>
          </w:tcPr>
          <w:p>
            <w:r>
              <w:rPr>
                <w:b/>
                <w:sz w:val="17"/>
              </w:rPr>
              <w:t>17,177</w:t>
            </w:r>
          </w:p>
        </w:tc>
        <w:tc>
          <w:tcPr>
            <w:tcW w:type="dxa" w:w="1440"/>
            <w:shd w:fill="FFDCE0" w:val="clear"/>
          </w:tcPr>
          <w:p>
            <w:r>
              <w:rPr>
                <w:sz w:val="17"/>
              </w:rPr>
              <w:t>17,808</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2026-09-11</w:t>
            </w:r>
          </w:p>
        </w:tc>
        <w:tc>
          <w:tcPr>
            <w:tcW w:type="dxa" w:w="1440"/>
            <w:shd w:fill="FFDCE0" w:val="clear"/>
          </w:tcPr>
          <w:p>
            <w:r>
              <w:rPr>
                <w:sz w:val="17"/>
              </w:rPr>
              <w:t>16,376</w:t>
            </w:r>
          </w:p>
        </w:tc>
        <w:tc>
          <w:tcPr>
            <w:tcW w:type="dxa" w:w="1440"/>
            <w:shd w:fill="FFDCE0" w:val="clear"/>
          </w:tcPr>
          <w:p>
            <w:r>
              <w:rPr>
                <w:b/>
                <w:sz w:val="17"/>
              </w:rPr>
              <w:t>17,102</w:t>
            </w:r>
          </w:p>
        </w:tc>
        <w:tc>
          <w:tcPr>
            <w:tcW w:type="dxa" w:w="1440"/>
            <w:shd w:fill="FFDCE0" w:val="clear"/>
          </w:tcPr>
          <w:p>
            <w:r>
              <w:rPr>
                <w:sz w:val="17"/>
              </w:rPr>
              <w:t>17,828</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2026-09-14</w:t>
            </w:r>
          </w:p>
        </w:tc>
        <w:tc>
          <w:tcPr>
            <w:tcW w:type="dxa" w:w="1440"/>
            <w:shd w:fill="FFDCE0" w:val="clear"/>
          </w:tcPr>
          <w:p>
            <w:r>
              <w:rPr>
                <w:sz w:val="17"/>
              </w:rPr>
              <w:t>16,224</w:t>
            </w:r>
          </w:p>
        </w:tc>
        <w:tc>
          <w:tcPr>
            <w:tcW w:type="dxa" w:w="1440"/>
            <w:shd w:fill="FFDCE0" w:val="clear"/>
          </w:tcPr>
          <w:p>
            <w:r>
              <w:rPr>
                <w:b/>
                <w:sz w:val="17"/>
              </w:rPr>
              <w:t>17,032</w:t>
            </w:r>
          </w:p>
        </w:tc>
        <w:tc>
          <w:tcPr>
            <w:tcW w:type="dxa" w:w="1440"/>
            <w:shd w:fill="FFDCE0" w:val="clear"/>
          </w:tcPr>
          <w:p>
            <w:r>
              <w:rPr>
                <w:sz w:val="17"/>
              </w:rPr>
              <w:t>17,840</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2026-09-15</w:t>
            </w:r>
          </w:p>
        </w:tc>
        <w:tc>
          <w:tcPr>
            <w:tcW w:type="dxa" w:w="1440"/>
            <w:shd w:fill="FFDCE0" w:val="clear"/>
          </w:tcPr>
          <w:p>
            <w:r>
              <w:rPr>
                <w:sz w:val="17"/>
              </w:rPr>
              <w:t>16,081</w:t>
            </w:r>
          </w:p>
        </w:tc>
        <w:tc>
          <w:tcPr>
            <w:tcW w:type="dxa" w:w="1440"/>
            <w:shd w:fill="FFDCE0" w:val="clear"/>
          </w:tcPr>
          <w:p>
            <w:r>
              <w:rPr>
                <w:b/>
                <w:sz w:val="17"/>
              </w:rPr>
              <w:t>16,963</w:t>
            </w:r>
          </w:p>
        </w:tc>
        <w:tc>
          <w:tcPr>
            <w:tcW w:type="dxa" w:w="1440"/>
            <w:shd w:fill="FFDCE0" w:val="clear"/>
          </w:tcPr>
          <w:p>
            <w:r>
              <w:rPr>
                <w:sz w:val="17"/>
              </w:rPr>
              <w:t>17,845</w:t>
            </w:r>
          </w:p>
        </w:tc>
        <w:tc>
          <w:tcPr>
            <w:tcW w:type="dxa" w:w="1440"/>
            <w:shd w:fill="FFDCE0" w:val="clear"/>
          </w:tcPr>
          <w:p>
            <w:r>
              <w:rPr>
                <w:b/>
                <w:color w:val="C00000"/>
                <w:sz w:val="17"/>
              </w:rPr>
              <w:t>-3.5%</w:t>
            </w:r>
          </w:p>
        </w:tc>
      </w:tr>
      <w:tr>
        <w:tc>
          <w:tcPr>
            <w:tcW w:type="dxa" w:w="1440"/>
            <w:shd w:fill="FFDCE0" w:val="clear"/>
          </w:tcPr>
          <w:p>
            <w:r>
              <w:rPr>
                <w:sz w:val="17"/>
              </w:rPr>
              <w:t>J+7  Moyenne</w:t>
            </w:r>
          </w:p>
        </w:tc>
        <w:tc>
          <w:tcPr>
            <w:tcW w:type="dxa" w:w="1440"/>
            <w:shd w:fill="FFDCE0" w:val="clear"/>
          </w:tcPr>
          <w:p>
            <w:r>
              <w:rPr>
                <w:sz w:val="17"/>
              </w:rPr>
              <w:t>2026-09-16</w:t>
            </w:r>
          </w:p>
        </w:tc>
        <w:tc>
          <w:tcPr>
            <w:tcW w:type="dxa" w:w="1440"/>
            <w:shd w:fill="FFDCE0" w:val="clear"/>
          </w:tcPr>
          <w:p>
            <w:r>
              <w:rPr>
                <w:sz w:val="17"/>
              </w:rPr>
              <w:t>15,947</w:t>
            </w:r>
          </w:p>
        </w:tc>
        <w:tc>
          <w:tcPr>
            <w:tcW w:type="dxa" w:w="1440"/>
            <w:shd w:fill="FFDCE0" w:val="clear"/>
          </w:tcPr>
          <w:p>
            <w:r>
              <w:rPr>
                <w:b/>
                <w:sz w:val="17"/>
              </w:rPr>
              <w:t>16,896</w:t>
            </w:r>
          </w:p>
        </w:tc>
        <w:tc>
          <w:tcPr>
            <w:tcW w:type="dxa" w:w="1440"/>
            <w:shd w:fill="FFDCE0" w:val="clear"/>
          </w:tcPr>
          <w:p>
            <w:r>
              <w:rPr>
                <w:sz w:val="17"/>
              </w:rPr>
              <w:t>17,844</w:t>
            </w:r>
          </w:p>
        </w:tc>
        <w:tc>
          <w:tcPr>
            <w:tcW w:type="dxa" w:w="1440"/>
            <w:shd w:fill="FFDCE0" w:val="clear"/>
          </w:tcPr>
          <w:p>
            <w:r>
              <w:rPr>
                <w:b/>
                <w:color w:val="C00000"/>
                <w:sz w:val="17"/>
              </w:rPr>
              <w:t>-3.9%</w:t>
            </w:r>
          </w:p>
        </w:tc>
      </w:tr>
      <w:tr>
        <w:tc>
          <w:tcPr>
            <w:tcW w:type="dxa" w:w="1440"/>
            <w:shd w:fill="FFDCE0" w:val="clear"/>
          </w:tcPr>
          <w:p>
            <w:r>
              <w:rPr>
                <w:sz w:val="17"/>
              </w:rPr>
              <w:t>J+8  Moyenne</w:t>
            </w:r>
          </w:p>
        </w:tc>
        <w:tc>
          <w:tcPr>
            <w:tcW w:type="dxa" w:w="1440"/>
            <w:shd w:fill="FFDCE0" w:val="clear"/>
          </w:tcPr>
          <w:p>
            <w:r>
              <w:rPr>
                <w:sz w:val="17"/>
              </w:rPr>
              <w:t>2026-09-17</w:t>
            </w:r>
          </w:p>
        </w:tc>
        <w:tc>
          <w:tcPr>
            <w:tcW w:type="dxa" w:w="1440"/>
            <w:shd w:fill="FFDCE0" w:val="clear"/>
          </w:tcPr>
          <w:p>
            <w:r>
              <w:rPr>
                <w:sz w:val="17"/>
              </w:rPr>
              <w:t>15,819</w:t>
            </w:r>
          </w:p>
        </w:tc>
        <w:tc>
          <w:tcPr>
            <w:tcW w:type="dxa" w:w="1440"/>
            <w:shd w:fill="FFDCE0" w:val="clear"/>
          </w:tcPr>
          <w:p>
            <w:r>
              <w:rPr>
                <w:b/>
                <w:sz w:val="17"/>
              </w:rPr>
              <w:t>16,829</w:t>
            </w:r>
          </w:p>
        </w:tc>
        <w:tc>
          <w:tcPr>
            <w:tcW w:type="dxa" w:w="1440"/>
            <w:shd w:fill="FFDCE0" w:val="clear"/>
          </w:tcPr>
          <w:p>
            <w:r>
              <w:rPr>
                <w:sz w:val="17"/>
              </w:rPr>
              <w:t>17,839</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2026-09-18</w:t>
            </w:r>
          </w:p>
        </w:tc>
        <w:tc>
          <w:tcPr>
            <w:tcW w:type="dxa" w:w="1440"/>
            <w:shd w:fill="FFDCE0" w:val="clear"/>
          </w:tcPr>
          <w:p>
            <w:r>
              <w:rPr>
                <w:sz w:val="17"/>
              </w:rPr>
              <w:t>15,696</w:t>
            </w:r>
          </w:p>
        </w:tc>
        <w:tc>
          <w:tcPr>
            <w:tcW w:type="dxa" w:w="1440"/>
            <w:shd w:fill="FFDCE0" w:val="clear"/>
          </w:tcPr>
          <w:p>
            <w:r>
              <w:rPr>
                <w:b/>
                <w:sz w:val="17"/>
              </w:rPr>
              <w:t>16,764</w:t>
            </w:r>
          </w:p>
        </w:tc>
        <w:tc>
          <w:tcPr>
            <w:tcW w:type="dxa" w:w="1440"/>
            <w:shd w:fill="FFDCE0" w:val="clear"/>
          </w:tcPr>
          <w:p>
            <w:r>
              <w:rPr>
                <w:sz w:val="17"/>
              </w:rPr>
              <w:t>17,831</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2026-09-21</w:t>
            </w:r>
          </w:p>
        </w:tc>
        <w:tc>
          <w:tcPr>
            <w:tcW w:type="dxa" w:w="1440"/>
            <w:shd w:fill="FFDCE0" w:val="clear"/>
          </w:tcPr>
          <w:p>
            <w:r>
              <w:rPr>
                <w:sz w:val="17"/>
              </w:rPr>
              <w:t>15,578</w:t>
            </w:r>
          </w:p>
        </w:tc>
        <w:tc>
          <w:tcPr>
            <w:tcW w:type="dxa" w:w="1440"/>
            <w:shd w:fill="FFDCE0" w:val="clear"/>
          </w:tcPr>
          <w:p>
            <w:r>
              <w:rPr>
                <w:b/>
                <w:sz w:val="17"/>
              </w:rPr>
              <w:t>16,699</w:t>
            </w:r>
          </w:p>
        </w:tc>
        <w:tc>
          <w:tcPr>
            <w:tcW w:type="dxa" w:w="1440"/>
            <w:shd w:fill="FFDCE0" w:val="clear"/>
          </w:tcPr>
          <w:p>
            <w:r>
              <w:rPr>
                <w:sz w:val="17"/>
              </w:rPr>
              <w:t>17,820</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137,04 milliards FCFA, ce qui la positionne parmi les valeurs moyennes du compartiment obligataire de la BRVM. Avec un BPA de 1 677 FCFA, chaque action génère un bénéfice confortable. Le PER de 10,5x se situe dans la fourchette moyenne du marché (8-12x), indiquant que les investisseurs ne paient pas un prix excessif pour les bénéfices de la société. Le P/B de 3,19x, bien que supérieur à 1, reflète une prime de croissance accordée par le marché, justifiée par la forte rentabilité des capitaux propres (ROE de 30,5%). Enfin, l'EV/EBITDA de 6,6x est raisonnable, suggérant que la valeur totale de l'entreprise (dette incluse) reste modérée par rapport à sa capacité opérationnelle. Ces ratios combinés indiquent une valorisation globalement attractive pour une entreprise affichant une telle performance.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+47,73%, avec une légère hausse de +0,46% lors de la dernière séance, clôturant à 17 580 FCFA. Le titre a évolué dans une fourchette large de 11 450 FCFA (plus bas) à 17 735 FCFA (plus haut), démontrant une dynamique haussière soutenue. La moyenne du cours sur la période est de 14 983 FCFA, tandis que la médiane s'établit à 16 000 FCFA, l'écart entre les deux indiquant une distribution asymétrique avec une concentration des valeurs vers le haut de la fourchette. L'écart-type de 2 169 FCFA (CV de 14,5%) révèle une dispersion modérée des prix autour de la moyenne. Le kurtosis négatif de -1,346 signale une distribution platykurtique, avec une faible probabilité de variations extrêmes, tandis que le skewness de -0,498 suggère une légère asymétrie vers les valeurs basses. La volatilité annualisée de 36% classe SMBC comme un titre à forte volatilité, ce qui implique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**Moyennes Mobiles** : La MM20 à 16 881 FCFA et la MM50 à 16 665,5 FCFA sont toutes deux inférieures au cours actuel de 17 580 FCFA, confirmant une tendance haussière solide. La position du prix au-dessus de ces moyennes indique un momentum positif, justifiant la décision d'achat.</w:t>
      </w:r>
    </w:p>
    <w:p>
      <w:pPr>
        <w:spacing w:after="120" w:line="276" w:lineRule="auto"/>
      </w:pPr>
      <w:r>
        <w:t>**Bandes de Bollinger** : Le cours se situe près de la borne supérieure (17 713,86 FCFA), signalant une pression acheteuse intense. La largeur des bandes (16 048 à 17 713 FCFA) reflète une volatilité accrue. La décision "Neutre" suggère que le titre pourrait rencontrer une résistance à ces niveaux, nécessitant une consolidation.</w:t>
      </w:r>
    </w:p>
    <w:p>
      <w:pPr>
        <w:spacing w:after="120" w:line="276" w:lineRule="auto"/>
      </w:pPr>
      <w:r>
        <w:t>**MACD** : Le MACD (318,49) est nettement supérieur à sa ligne de signal (254,82), indiquant un momentum haussier fort. Cette configuration positive confirme la tendance ascendante et justifie la décision d'achat, bien qu'un écart important puisse signaler une possible correction à court terme.</w:t>
      </w:r>
    </w:p>
    <w:p>
      <w:pPr>
        <w:spacing w:after="120" w:line="276" w:lineRule="auto"/>
      </w:pPr>
      <w:r>
        <w:t>**RSI** : Avec une valeur de 83,48, le RSI est en zone de surachat (&gt;70), signalant que le titre est potentiellement surévalué à court terme. Cette situation suggère une possible correction ou consolidation, justifiant la décision de vente pour les traders à court terme.</w:t>
      </w:r>
    </w:p>
    <w:p>
      <w:pPr>
        <w:spacing w:after="120" w:line="276" w:lineRule="auto"/>
      </w:pPr>
      <w:r>
        <w:t>**Stochastique** : Le %K à 100 et le %D à 97,40 sont en zone de surachat extrême, indiquant que le mouvement haussier est peut-être épuisé. La décision de vente est cohérente avec ces niveaux, qui précèdent souvent un retournement baissier.</w:t>
      </w:r>
    </w:p>
    <w:p>
      <w:pPr>
        <w:spacing w:after="120" w:line="276" w:lineRule="auto"/>
      </w:pPr>
      <w:r>
        <w:t>**Conclusion technique** : Les indicateurs de tendance (MM, MACD) sont positifs, mais les oscillateurs (RSI, Stochastique) signalent un surachat sévère. Cette divergence suggère que le titre pourrait connaître une consolidation à court terme avant de poursuivre sa tendance haussière. Les investisseurs devraient surveiller un éventuel repli vers les moyennes mobiles comme point d'entrée.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 milliards FCFA, en baisse de -9,74% par rapport à 2024 (229,06 milliards FCFA), mais le résultat net progresse spectaculairement de +50,3% à 13,075 milliards FCFA, portant la marge nette à 6,32% contre 3,8% en 2024. Le ROE s'établit à 30,47%, un niveau excellent, et le ROA à 7,26%. En tant qu'entreprise industrielle, l'analyse du BFR est cruciale : le BFR de 1,693 milliard FCFA est faible et positif, mais le délai clients de 193,75 jours est élevé, représentant un risque de trésorerie, bien que compensé par un délai fournisseurs de 207,07 jours et une durée de stockage de 38,09 jours. L'endettement reste maîtrisé avec une capacité de remboursement de 0,68 an et une couverture des intérêts de 483%. Les rapports trimestriels 2025 montrent une amélioration continue de la rentabilité opérationnelle : au T1, la marge nette atteint 5,0%, au S1 elle s'améliore à 3,9% (avec un EBE en hausse de +38%), et sur 9 mois, le résultat net progresse de +6% malgré un CA en baisse de -14%, grâce à l'amélioration des marges de raffinage. Le rapport annuel 2025 (daté du 31/12/2025) confirme cette tendance avec un EBE en hausse de +41,8% à 18,48 milliards FCFA et une trésorerie nette positive de 23,99 milliards FCFA. La recommandation source est "Acheter", soulignant l'excellente capacité de la société à améliorer sa rentabilité malgré un environnement difficile.</w:t>
      </w:r>
    </w:p>
    <w:p>
      <w:pPr>
        <w:spacing w:after="120" w:line="276" w:lineRule="auto" w:before="240"/>
      </w:pPr>
      <w:r>
        <w:rPr>
          <w:b/>
          <w:color w:val="003366"/>
          <w:sz w:val="24"/>
        </w:rPr>
        <w:t>**PARTIE 4 : CONCLUSION D'INVESTISSEMENT**</w:t>
      </w:r>
    </w:p>
    <w:p>
      <w:pPr>
        <w:spacing w:after="120" w:line="276" w:lineRule="auto"/>
      </w:pPr>
      <w:r>
        <w:t>La valorisation de SMBC (PER 10,5x, P/B 3,19x, EV/EBITDA 6,6x) indique une sous-évaluation relative par rapport à sa forte rentabilité, rendant le titre attractif. Le comportement du cours sur 100 jours (+47,73%) est spectaculaire, mais la volatilité élevée (36%) et le skewness négatif appellent à la prudence. Les signaux techniques sont mitigés : la tendance est haussière (MM, MACD), mais les oscillateurs (RSI 83,5, Stochastique 100) signalent un surachat extrême, suggérant une correction imminente. Les fondamentaux sont solides avec un résultat net en hausse de +50,3%, une trésorerie abondante et une gestion opérationnelle exemplaire. Les prédictions IA pour les 10 prochains jours (17 324 à 17 032 FCFA) indiquent une légère baisse, confirmant la probabilité d'une consolidation technique. En synthèse, la convergence entre la sous-évaluation fondamentale et la tendance haussière est contrebalancée par les signaux de surachat technique. **Recommandation : ACHAT** pour les investisseurs à moyen-long terme, avec un niveau de confiance **Moyen** et un risque global **Élevé** en raison de la volatilité. L'horizon optimal est de **6 à 12 mois**, en attendant 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3870.00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9,970 titres</w:t>
            </w:r>
          </w:p>
        </w:tc>
        <w:tc>
          <w:tcPr>
            <w:tcW w:type="dxa" w:w="2268"/>
            <w:shd w:fill="FFF2CC" w:val="clear"/>
          </w:tcPr>
          <w:p>
            <w:r>
              <w:rPr>
                <w:b/>
                <w:color w:val="503200"/>
                <w:sz w:val="16"/>
              </w:rPr>
              <w:t xml:space="preserve">Cours actuel : </w:t>
            </w:r>
            <w:r>
              <w:rPr>
                <w:color w:val="000000"/>
                <w:sz w:val="17"/>
              </w:rPr>
              <w:t>38,700 FCFA</w:t>
            </w:r>
          </w:p>
          <w:p>
            <w:r>
              <w:rPr>
                <w:b/>
                <w:color w:val="503200"/>
                <w:sz w:val="16"/>
              </w:rPr>
              <w:t xml:space="preserve">Var. 100 jours : </w:t>
            </w:r>
            <w:r>
              <w:rPr>
                <w:b/>
                <w:color w:val="007800"/>
                <w:sz w:val="17"/>
              </w:rPr>
              <w:t>+34.38%</w:t>
            </w:r>
          </w:p>
          <w:p>
            <w:r>
              <w:rPr>
                <w:b/>
                <w:color w:val="503200"/>
                <w:sz w:val="16"/>
              </w:rPr>
              <w:t xml:space="preserve">Plus haut 100j : </w:t>
            </w:r>
            <w:r>
              <w:rPr>
                <w:color w:val="000000"/>
                <w:sz w:val="17"/>
              </w:rPr>
              <w:t>38,700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9.03% (Moyenne) — μ=30,493 FCFA, σ=2,753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β=1.9316 (Très agressif) — Cov=0.000071, Var(idx)=0.000037, ρ=0.590,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9,970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35,880</w:t>
            </w:r>
          </w:p>
        </w:tc>
        <w:tc>
          <w:tcPr>
            <w:tcW w:type="dxa" w:w="1440"/>
            <w:shd w:fill="FFDCE0" w:val="clear"/>
          </w:tcPr>
          <w:p>
            <w:r>
              <w:rPr>
                <w:b/>
                <w:sz w:val="17"/>
              </w:rPr>
              <w:t>37,368</w:t>
            </w:r>
          </w:p>
        </w:tc>
        <w:tc>
          <w:tcPr>
            <w:tcW w:type="dxa" w:w="1440"/>
            <w:shd w:fill="FFDCE0" w:val="clear"/>
          </w:tcPr>
          <w:p>
            <w:r>
              <w:rPr>
                <w:sz w:val="17"/>
              </w:rPr>
              <w:t>38,855</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35,208</w:t>
            </w:r>
          </w:p>
        </w:tc>
        <w:tc>
          <w:tcPr>
            <w:tcW w:type="dxa" w:w="1440"/>
            <w:shd w:fill="FFDCE0" w:val="clear"/>
          </w:tcPr>
          <w:p>
            <w:r>
              <w:rPr>
                <w:b/>
                <w:sz w:val="17"/>
              </w:rPr>
              <w:t>37,307</w:t>
            </w:r>
          </w:p>
        </w:tc>
        <w:tc>
          <w:tcPr>
            <w:tcW w:type="dxa" w:w="1440"/>
            <w:shd w:fill="FFDCE0" w:val="clear"/>
          </w:tcPr>
          <w:p>
            <w:r>
              <w:rPr>
                <w:sz w:val="17"/>
              </w:rPr>
              <w:t>39,407</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34,592</w:t>
            </w:r>
          </w:p>
        </w:tc>
        <w:tc>
          <w:tcPr>
            <w:tcW w:type="dxa" w:w="1440"/>
            <w:shd w:fill="FFDCE0" w:val="clear"/>
          </w:tcPr>
          <w:p>
            <w:r>
              <w:rPr>
                <w:b/>
                <w:sz w:val="17"/>
              </w:rPr>
              <w:t>37,153</w:t>
            </w:r>
          </w:p>
        </w:tc>
        <w:tc>
          <w:tcPr>
            <w:tcW w:type="dxa" w:w="1440"/>
            <w:shd w:fill="FFDCE0" w:val="clear"/>
          </w:tcPr>
          <w:p>
            <w:r>
              <w:rPr>
                <w:sz w:val="17"/>
              </w:rPr>
              <w:t>39,714</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34,069</w:t>
            </w:r>
          </w:p>
        </w:tc>
        <w:tc>
          <w:tcPr>
            <w:tcW w:type="dxa" w:w="1440"/>
            <w:shd w:fill="FFDCE0" w:val="clear"/>
          </w:tcPr>
          <w:p>
            <w:r>
              <w:rPr>
                <w:b/>
                <w:sz w:val="17"/>
              </w:rPr>
              <w:t>37,015</w:t>
            </w:r>
          </w:p>
        </w:tc>
        <w:tc>
          <w:tcPr>
            <w:tcW w:type="dxa" w:w="1440"/>
            <w:shd w:fill="FFDCE0" w:val="clear"/>
          </w:tcPr>
          <w:p>
            <w:r>
              <w:rPr>
                <w:sz w:val="17"/>
              </w:rPr>
              <w:t>39,961</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33,617</w:t>
            </w:r>
          </w:p>
        </w:tc>
        <w:tc>
          <w:tcPr>
            <w:tcW w:type="dxa" w:w="1440"/>
            <w:shd w:fill="FFDCE0" w:val="clear"/>
          </w:tcPr>
          <w:p>
            <w:r>
              <w:rPr>
                <w:b/>
                <w:sz w:val="17"/>
              </w:rPr>
              <w:t>36,901</w:t>
            </w:r>
          </w:p>
        </w:tc>
        <w:tc>
          <w:tcPr>
            <w:tcW w:type="dxa" w:w="1440"/>
            <w:shd w:fill="FFDCE0" w:val="clear"/>
          </w:tcPr>
          <w:p>
            <w:r>
              <w:rPr>
                <w:sz w:val="17"/>
              </w:rPr>
              <w:t>40,185</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33,212</w:t>
            </w:r>
          </w:p>
        </w:tc>
        <w:tc>
          <w:tcPr>
            <w:tcW w:type="dxa" w:w="1440"/>
            <w:shd w:fill="FFDCE0" w:val="clear"/>
          </w:tcPr>
          <w:p>
            <w:r>
              <w:rPr>
                <w:b/>
                <w:sz w:val="17"/>
              </w:rPr>
              <w:t>36,799</w:t>
            </w:r>
          </w:p>
        </w:tc>
        <w:tc>
          <w:tcPr>
            <w:tcW w:type="dxa" w:w="1440"/>
            <w:shd w:fill="FFDCE0" w:val="clear"/>
          </w:tcPr>
          <w:p>
            <w:r>
              <w:rPr>
                <w:sz w:val="17"/>
              </w:rPr>
              <w:t>40,387</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32,839</w:t>
            </w:r>
          </w:p>
        </w:tc>
        <w:tc>
          <w:tcPr>
            <w:tcW w:type="dxa" w:w="1440"/>
            <w:shd w:fill="FFDCE0" w:val="clear"/>
          </w:tcPr>
          <w:p>
            <w:r>
              <w:rPr>
                <w:b/>
                <w:sz w:val="17"/>
              </w:rPr>
              <w:t>36,704</w:t>
            </w:r>
          </w:p>
        </w:tc>
        <w:tc>
          <w:tcPr>
            <w:tcW w:type="dxa" w:w="1440"/>
            <w:shd w:fill="FFDCE0" w:val="clear"/>
          </w:tcPr>
          <w:p>
            <w:r>
              <w:rPr>
                <w:sz w:val="17"/>
              </w:rPr>
              <w:t>40,569</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32,490</w:t>
            </w:r>
          </w:p>
        </w:tc>
        <w:tc>
          <w:tcPr>
            <w:tcW w:type="dxa" w:w="1440"/>
            <w:shd w:fill="FFDCE0" w:val="clear"/>
          </w:tcPr>
          <w:p>
            <w:r>
              <w:rPr>
                <w:b/>
                <w:sz w:val="17"/>
              </w:rPr>
              <w:t>36,612</w:t>
            </w:r>
          </w:p>
        </w:tc>
        <w:tc>
          <w:tcPr>
            <w:tcW w:type="dxa" w:w="1440"/>
            <w:shd w:fill="FFDCE0" w:val="clear"/>
          </w:tcPr>
          <w:p>
            <w:r>
              <w:rPr>
                <w:sz w:val="17"/>
              </w:rPr>
              <w:t>40,733</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32,161</w:t>
            </w:r>
          </w:p>
        </w:tc>
        <w:tc>
          <w:tcPr>
            <w:tcW w:type="dxa" w:w="1440"/>
            <w:shd w:fill="FFDCE0" w:val="clear"/>
          </w:tcPr>
          <w:p>
            <w:r>
              <w:rPr>
                <w:b/>
                <w:sz w:val="17"/>
              </w:rPr>
              <w:t>36,521</w:t>
            </w:r>
          </w:p>
        </w:tc>
        <w:tc>
          <w:tcPr>
            <w:tcW w:type="dxa" w:w="1440"/>
            <w:shd w:fill="FFDCE0" w:val="clear"/>
          </w:tcPr>
          <w:p>
            <w:r>
              <w:rPr>
                <w:sz w:val="17"/>
              </w:rPr>
              <w:t>40,882</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31,847</w:t>
            </w:r>
          </w:p>
        </w:tc>
        <w:tc>
          <w:tcPr>
            <w:tcW w:type="dxa" w:w="1440"/>
            <w:shd w:fill="FFDCE0" w:val="clear"/>
          </w:tcPr>
          <w:p>
            <w:r>
              <w:rPr>
                <w:b/>
                <w:sz w:val="17"/>
              </w:rPr>
              <w:t>36,432</w:t>
            </w:r>
          </w:p>
        </w:tc>
        <w:tc>
          <w:tcPr>
            <w:tcW w:type="dxa" w:w="1440"/>
            <w:shd w:fill="FFDCE0" w:val="clear"/>
          </w:tcPr>
          <w:p>
            <w:r>
              <w:rPr>
                <w:sz w:val="17"/>
              </w:rPr>
              <w:t>41,018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 Sénégal)**</w:t>
        <w:br/>
        <w:t>**Date de l'analyse : 07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3 870 milliards FCFA, ce qui en fait l'une des toutes premières capitalisations de la BRVM, représentant un poids considérable dans l'indice composite. Avec un BPA de 4 136 FCFA, chaque action génère un bénéfice substantiel, justifiant un PER de 9,4x. Ce niveau est dans la fourchette basse du marché (référence BRVM ~8-12x), indiquant que les investisseurs ne paient pas cher pour les bénéfices actuels, ce qui suggère une sous-évaluation relative. Le P/B de 2,77x montre que le marché valorise la société à près de trois fois ses capitaux propres, une prime de croissance raisonnable pour un acteur de cette qualité. Enfin, un EV/EBITDA de 4,0x est particulièrement attractif, signalant que la valeur totale de l'entreprise (dette incluse) est très faible par rapport à sa capacité opérationnelle. Ces ratios combinés dressent le portrait d'une valeur fondamentalement solide et bon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performance remarquable de +34,38%, avec une dernière séance en légère hausse de +0,52% à 38 700 FCFA, son plus haut sur la période. Le titre a évolué dans une large fourchette de 27 160 à 38 700 FCFA, démontrant une forte dynamique haussière. La moyenne du cours (30 493 FCFA) est nettement inférieure à la médiane (29 000 FCFA), et le skewness positif de 1,426 confirme une distribution asymétrique avec des journées de forte hausse plus fréquentes récemment. L'écart-type de 2 767 FCFA (CV=9,1%) indique une dispersion modérée autour de la moyenne. Le kurtosis excédentaire de 1,224 signale un risque de mouvements extrêmes (queues épaisses), une caractéristique à surveiller. La volatilité annualisée de 31,4% classe le titre comme très volatil (&gt;30%), ce qui est élevé pour une valeur de cette envergure mais cohérent avec sa forte appréciation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(38 700 FCFA) se situe nettement au-dessus de la MM20 (34 991 FCFA) et de la MM50 (32 441 FCFA). Cette configuration haussière, où les moyennes sont orientées à la hausse, confirme une tendance de fond positive. Le signal d'achat est justifié par la vigueur du mouvement qui dépasse largement ces supports dynamiques.</w:t>
      </w:r>
    </w:p>
    <w:p>
      <w:pPr>
        <w:spacing w:after="120" w:line="276" w:lineRule="auto"/>
      </w:pPr>
      <w:r>
        <w:t>**Bandes de Bollinger :** Le cours évolue près de la borne supérieure (39 987 FCFA) après un écartement des bandes, signe d'une volatilité croissante. Le prix à 38 700 FCFA est à la limite supérieure, ce qui indique une pression acheteuse soutenue. La décision "Neutre" est prudente, car le titre est en territoire de surachat potentiel à court terme, mais la tendance reste positive.</w:t>
      </w:r>
    </w:p>
    <w:p>
      <w:pPr>
        <w:spacing w:after="120" w:line="276" w:lineRule="auto"/>
      </w:pPr>
      <w:r>
        <w:t>**MACD :** Le MACD (1 804,9) est nettement au-dessus de son signal (1 504,6), avec un écart positif croissant. Cette configuration est un signal classique d'achat, confirmant la vigueur du momentum haussier à moyen terme. La dynamique positive reste intacte.</w:t>
      </w:r>
    </w:p>
    <w:p>
      <w:pPr>
        <w:spacing w:after="120" w:line="276" w:lineRule="auto"/>
      </w:pPr>
      <w:r>
        <w:t>**RSI :** Le RSI à 78,9 est en zone de surachat (&gt;70). Cela signale que le titre a fortement monté et qu'un repli technique ou une consolidation est probable à court terme. La décision de "Vente" est un signal de prudence, mais ne remet pas en cause la tendance de fond.</w:t>
      </w:r>
    </w:p>
    <w:p>
      <w:pPr>
        <w:spacing w:after="120" w:line="276" w:lineRule="auto"/>
      </w:pPr>
      <w:r>
        <w:t>**Stochastique :** Le %K et le %D sont tous deux à 100,0, en zone de surachat extrême. Ce niveau indique que le marché est survendu à l'extrême, rendant un retournement ou une pause de plus en plus probable. La décision de "Vente" est un avertissement clair pour les acheteurs à court terme.</w:t>
      </w:r>
    </w:p>
    <w:p>
      <w:pPr>
        <w:spacing w:after="120" w:line="276" w:lineRule="auto"/>
      </w:pPr>
      <w:r>
        <w:t>**Conclusion technique :** Les indicateurs de tendance (MM, MACD) sont résolument positifs, mais les oscillateurs de momentum (RSI, Stochastique) sont en zone de surachat extrême. Cette divergence signale une forte tendance haussière mais avec un risque élevé de correction technique à très court terme. La prudence est de mise pour un nouvel achat aux niveaux actuels.</w:t>
      </w:r>
    </w:p>
    <w:p>
      <w:pPr>
        <w:spacing w:after="120" w:line="276" w:lineRule="auto"/>
      </w:pPr>
      <w:r>
        <w:t>---</w:t>
      </w:r>
    </w:p>
    <w:p>
      <w:pPr>
        <w:spacing w:after="120" w:line="276" w:lineRule="auto"/>
      </w:pPr>
      <w:r>
        <w:t>### PARTIE 3 : ANALYSE FONDAMENTALE (SECTION CRITIQUE)</w:t>
      </w:r>
    </w:p>
    <w:p>
      <w:pPr>
        <w:spacing w:after="120" w:line="276" w:lineRule="auto"/>
      </w:pPr>
      <w:r>
        <w:t>En 2025, SNTS affiche des fondamentaux robustes. Le chiffre d'affaires consolidé s'établit à 1 923,1 milliards FCFA, en hausse de +8,3% par rapport à 2024 (1 776,4 Mds FCFA). Le résultat net atteint 413,6 milliards FCFA (+5,1% vs 2024), portant la marge nette à 21,5%. La rentabilité est excellente avec un ROE de 29,6% et un ROA de 12,6%. La structure financière est saine : l'autonomie financière est de 42,8% et le BFR est négatif (-284,9 Mds FCFA), ce qui est très favorable pour une entreprise, indiquant que SNTS finance son exploitation grâce à ses fournisseurs. Le délai fournisseur de 201 jours est un avantage de trésorerie considérable. Les rapports trimestriels confirment la dynamique : le T1 2025 (rapport du 31/03/2025) montrait une croissance du résultat net de +14,9%, et le S1 2025 (rapport du 30/06/2025) une hausse du CA de +9,4%. Sur la base du rapport S1 2026 (publié le 24/07/2026) qui fait état d'un CA de 1 049,8 Mds FCFA (+9,3%) et d'un résultat net de 230 Mds FCFA (+10,5%), on estime que l'exercice 2026 devrait dépasser les 2 100 Mds FCFA de CA, confirmant une croissance soutenue et une excellente maîtrise opérationnelle.</w:t>
      </w:r>
    </w:p>
    <w:p>
      <w:pPr>
        <w:spacing w:after="120" w:line="276" w:lineRule="auto"/>
      </w:pPr>
      <w:r>
        <w:t>---</w:t>
      </w:r>
    </w:p>
    <w:p>
      <w:pPr>
        <w:spacing w:after="120" w:line="276" w:lineRule="auto"/>
      </w:pPr>
      <w:r>
        <w:t>### PARTIE 4 : CONCLUSION D'INVESTISSEMENT</w:t>
      </w:r>
    </w:p>
    <w:p>
      <w:pPr>
        <w:spacing w:after="120" w:line="276" w:lineRule="auto"/>
      </w:pPr>
      <w:r>
        <w:t>L'analyse croisée de SNTS révèle une situation contrastée. La valorisation (PER 9,4x, EV/EBITDA 4,0x) est très attractive et suggère une sous-évaluation malgré la hausse du cours. Les fondamentaux sont excellents, avec une croissance à deux chiffres, des marges élevées et une structure financière très saine. Cependant, les signaux techniques sont partagés : la tendance de fond est haussière (MM, MACD), mais les oscillateurs (RSI à 78,9, Stochastique à 100) crient au surachat extrême, annonçant une consolidation probable. Les prédictions IA pour les 10 prochains jours (de 37 368 à 36 901 FCFA) confirment cette hypothèse de léger repli technique. En synthèse, la convergence entre la sous-évaluation et la solidité fondamentale est forte, mais elle est temporairement contrebalancée par le risque technique de correction. **Recommandation : ACHAT** sur repli, avec un niveau de confiance **Moyen** et un risque global **Moyen**. L'horizon d'investissement optimal est le **moyen terme (3-12 mois)**, en capitalisant sur la solidité des résultats 2026 et le potentiel de revalorisation du titre après une phase de consolidation.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175.84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5,974 titres</w:t>
            </w:r>
          </w:p>
        </w:tc>
        <w:tc>
          <w:tcPr>
            <w:tcW w:type="dxa" w:w="2268"/>
            <w:shd w:fill="FFF2CC" w:val="clear"/>
          </w:tcPr>
          <w:p>
            <w:r>
              <w:rPr>
                <w:b/>
                <w:color w:val="503200"/>
                <w:sz w:val="16"/>
              </w:rPr>
              <w:t xml:space="preserve">Cours actuel : </w:t>
            </w:r>
            <w:r>
              <w:rPr>
                <w:color w:val="000000"/>
                <w:sz w:val="17"/>
              </w:rPr>
              <w:t>8,140 FCFA</w:t>
            </w:r>
          </w:p>
          <w:p>
            <w:r>
              <w:rPr>
                <w:b/>
                <w:color w:val="503200"/>
                <w:sz w:val="16"/>
              </w:rPr>
              <w:t xml:space="preserve">Var. 100 jours : </w:t>
            </w:r>
            <w:r>
              <w:rPr>
                <w:b/>
                <w:color w:val="007800"/>
                <w:sz w:val="17"/>
              </w:rPr>
              <w:t>+3.04%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μ=8,025 FCFA, σ=404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β=0.2437 (Défensif) — Cov=0.000009, Var(idx)=0.000037,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2026-09-08</w:t>
            </w:r>
          </w:p>
        </w:tc>
        <w:tc>
          <w:tcPr>
            <w:tcW w:type="dxa" w:w="1440"/>
            <w:shd w:fill="C6EFCE" w:val="clear"/>
          </w:tcPr>
          <w:p>
            <w:r>
              <w:rPr>
                <w:sz w:val="17"/>
              </w:rPr>
              <w:t>7,987</w:t>
            </w:r>
          </w:p>
        </w:tc>
        <w:tc>
          <w:tcPr>
            <w:tcW w:type="dxa" w:w="1440"/>
            <w:shd w:fill="C6EFCE" w:val="clear"/>
          </w:tcPr>
          <w:p>
            <w:r>
              <w:rPr>
                <w:b/>
                <w:sz w:val="17"/>
              </w:rPr>
              <w:t>8,420</w:t>
            </w:r>
          </w:p>
        </w:tc>
        <w:tc>
          <w:tcPr>
            <w:tcW w:type="dxa" w:w="1440"/>
            <w:shd w:fill="C6EFCE" w:val="clear"/>
          </w:tcPr>
          <w:p>
            <w:r>
              <w:rPr>
                <w:sz w:val="17"/>
              </w:rPr>
              <w:t>8,854</w:t>
            </w:r>
          </w:p>
        </w:tc>
        <w:tc>
          <w:tcPr>
            <w:tcW w:type="dxa" w:w="1440"/>
            <w:shd w:fill="C6EFCE" w:val="clear"/>
          </w:tcPr>
          <w:p>
            <w:r>
              <w:rPr>
                <w:b/>
                <w:color w:val="008000"/>
                <w:sz w:val="17"/>
              </w:rPr>
              <w:t>+3.4%</w:t>
            </w:r>
          </w:p>
        </w:tc>
      </w:tr>
      <w:tr>
        <w:tc>
          <w:tcPr>
            <w:tcW w:type="dxa" w:w="1440"/>
            <w:shd w:fill="C6EFCE" w:val="clear"/>
          </w:tcPr>
          <w:p>
            <w:r>
              <w:rPr>
                <w:sz w:val="17"/>
              </w:rPr>
              <w:t>J+2  Moyenne</w:t>
            </w:r>
          </w:p>
        </w:tc>
        <w:tc>
          <w:tcPr>
            <w:tcW w:type="dxa" w:w="1440"/>
            <w:shd w:fill="C6EFCE" w:val="clear"/>
          </w:tcPr>
          <w:p>
            <w:r>
              <w:rPr>
                <w:sz w:val="17"/>
              </w:rPr>
              <w:t>2026-09-09</w:t>
            </w:r>
          </w:p>
        </w:tc>
        <w:tc>
          <w:tcPr>
            <w:tcW w:type="dxa" w:w="1440"/>
            <w:shd w:fill="C6EFCE" w:val="clear"/>
          </w:tcPr>
          <w:p>
            <w:r>
              <w:rPr>
                <w:sz w:val="17"/>
              </w:rPr>
              <w:t>7,802</w:t>
            </w:r>
          </w:p>
        </w:tc>
        <w:tc>
          <w:tcPr>
            <w:tcW w:type="dxa" w:w="1440"/>
            <w:shd w:fill="C6EFCE" w:val="clear"/>
          </w:tcPr>
          <w:p>
            <w:r>
              <w:rPr>
                <w:b/>
                <w:sz w:val="17"/>
              </w:rPr>
              <w:t>8,415</w:t>
            </w:r>
          </w:p>
        </w:tc>
        <w:tc>
          <w:tcPr>
            <w:tcW w:type="dxa" w:w="1440"/>
            <w:shd w:fill="C6EFCE" w:val="clear"/>
          </w:tcPr>
          <w:p>
            <w:r>
              <w:rPr>
                <w:sz w:val="17"/>
              </w:rPr>
              <w:t>9,028</w:t>
            </w:r>
          </w:p>
        </w:tc>
        <w:tc>
          <w:tcPr>
            <w:tcW w:type="dxa" w:w="1440"/>
            <w:shd w:fill="C6EFCE" w:val="clear"/>
          </w:tcPr>
          <w:p>
            <w:r>
              <w:rPr>
                <w:b/>
                <w:color w:val="008000"/>
                <w:sz w:val="17"/>
              </w:rPr>
              <w:t>+3.4%</w:t>
            </w:r>
          </w:p>
        </w:tc>
      </w:tr>
      <w:tr>
        <w:tc>
          <w:tcPr>
            <w:tcW w:type="dxa" w:w="1440"/>
            <w:shd w:fill="C6EFCE" w:val="clear"/>
          </w:tcPr>
          <w:p>
            <w:r>
              <w:rPr>
                <w:sz w:val="17"/>
              </w:rPr>
              <w:t>J+3  Moyenne</w:t>
            </w:r>
          </w:p>
        </w:tc>
        <w:tc>
          <w:tcPr>
            <w:tcW w:type="dxa" w:w="1440"/>
            <w:shd w:fill="C6EFCE" w:val="clear"/>
          </w:tcPr>
          <w:p>
            <w:r>
              <w:rPr>
                <w:sz w:val="17"/>
              </w:rPr>
              <w:t>2026-09-10</w:t>
            </w:r>
          </w:p>
        </w:tc>
        <w:tc>
          <w:tcPr>
            <w:tcW w:type="dxa" w:w="1440"/>
            <w:shd w:fill="C6EFCE" w:val="clear"/>
          </w:tcPr>
          <w:p>
            <w:r>
              <w:rPr>
                <w:sz w:val="17"/>
              </w:rPr>
              <w:t>7,681</w:t>
            </w:r>
          </w:p>
        </w:tc>
        <w:tc>
          <w:tcPr>
            <w:tcW w:type="dxa" w:w="1440"/>
            <w:shd w:fill="C6EFCE" w:val="clear"/>
          </w:tcPr>
          <w:p>
            <w:r>
              <w:rPr>
                <w:b/>
                <w:sz w:val="17"/>
              </w:rPr>
              <w:t>8,433</w:t>
            </w:r>
          </w:p>
        </w:tc>
        <w:tc>
          <w:tcPr>
            <w:tcW w:type="dxa" w:w="1440"/>
            <w:shd w:fill="C6EFCE" w:val="clear"/>
          </w:tcPr>
          <w:p>
            <w:r>
              <w:rPr>
                <w:sz w:val="17"/>
              </w:rPr>
              <w:t>9,185</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2026-09-11</w:t>
            </w:r>
          </w:p>
        </w:tc>
        <w:tc>
          <w:tcPr>
            <w:tcW w:type="dxa" w:w="1440"/>
            <w:shd w:fill="C6EFCE" w:val="clear"/>
          </w:tcPr>
          <w:p>
            <w:r>
              <w:rPr>
                <w:sz w:val="17"/>
              </w:rPr>
              <w:t>7,575</w:t>
            </w:r>
          </w:p>
        </w:tc>
        <w:tc>
          <w:tcPr>
            <w:tcW w:type="dxa" w:w="1440"/>
            <w:shd w:fill="C6EFCE" w:val="clear"/>
          </w:tcPr>
          <w:p>
            <w:r>
              <w:rPr>
                <w:b/>
                <w:sz w:val="17"/>
              </w:rPr>
              <w:t>8,445</w:t>
            </w:r>
          </w:p>
        </w:tc>
        <w:tc>
          <w:tcPr>
            <w:tcW w:type="dxa" w:w="1440"/>
            <w:shd w:fill="C6EFCE" w:val="clear"/>
          </w:tcPr>
          <w:p>
            <w:r>
              <w:rPr>
                <w:sz w:val="17"/>
              </w:rPr>
              <w:t>9,315</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2026-09-14</w:t>
            </w:r>
          </w:p>
        </w:tc>
        <w:tc>
          <w:tcPr>
            <w:tcW w:type="dxa" w:w="1440"/>
            <w:shd w:fill="C6EFCE" w:val="clear"/>
          </w:tcPr>
          <w:p>
            <w:r>
              <w:rPr>
                <w:sz w:val="17"/>
              </w:rPr>
              <w:t>7,482</w:t>
            </w:r>
          </w:p>
        </w:tc>
        <w:tc>
          <w:tcPr>
            <w:tcW w:type="dxa" w:w="1440"/>
            <w:shd w:fill="C6EFCE" w:val="clear"/>
          </w:tcPr>
          <w:p>
            <w:r>
              <w:rPr>
                <w:b/>
                <w:sz w:val="17"/>
              </w:rPr>
              <w:t>8,455</w:t>
            </w:r>
          </w:p>
        </w:tc>
        <w:tc>
          <w:tcPr>
            <w:tcW w:type="dxa" w:w="1440"/>
            <w:shd w:fill="C6EFCE" w:val="clear"/>
          </w:tcPr>
          <w:p>
            <w:r>
              <w:rPr>
                <w:sz w:val="17"/>
              </w:rPr>
              <w:t>9,429</w:t>
            </w:r>
          </w:p>
        </w:tc>
        <w:tc>
          <w:tcPr>
            <w:tcW w:type="dxa" w:w="1440"/>
            <w:shd w:fill="C6EFCE" w:val="clear"/>
          </w:tcPr>
          <w:p>
            <w:r>
              <w:rPr>
                <w:b/>
                <w:color w:val="008000"/>
                <w:sz w:val="17"/>
              </w:rPr>
              <w:t>+3.9%</w:t>
            </w:r>
          </w:p>
        </w:tc>
      </w:tr>
      <w:tr>
        <w:tc>
          <w:tcPr>
            <w:tcW w:type="dxa" w:w="1440"/>
            <w:shd w:fill="C6EFCE" w:val="clear"/>
          </w:tcPr>
          <w:p>
            <w:r>
              <w:rPr>
                <w:sz w:val="17"/>
              </w:rPr>
              <w:t>J+6  ⭐</w:t>
            </w:r>
          </w:p>
        </w:tc>
        <w:tc>
          <w:tcPr>
            <w:tcW w:type="dxa" w:w="1440"/>
            <w:shd w:fill="C6EFCE" w:val="clear"/>
          </w:tcPr>
          <w:p>
            <w:r>
              <w:rPr>
                <w:sz w:val="17"/>
              </w:rPr>
              <w:t>2026-09-15</w:t>
            </w:r>
          </w:p>
        </w:tc>
        <w:tc>
          <w:tcPr>
            <w:tcW w:type="dxa" w:w="1440"/>
            <w:shd w:fill="C6EFCE" w:val="clear"/>
          </w:tcPr>
          <w:p>
            <w:r>
              <w:rPr>
                <w:sz w:val="17"/>
              </w:rPr>
              <w:t>7,397</w:t>
            </w:r>
          </w:p>
        </w:tc>
        <w:tc>
          <w:tcPr>
            <w:tcW w:type="dxa" w:w="1440"/>
            <w:shd w:fill="C6EFCE" w:val="clear"/>
          </w:tcPr>
          <w:p>
            <w:r>
              <w:rPr>
                <w:b/>
                <w:sz w:val="17"/>
              </w:rPr>
              <w:t>8,465</w:t>
            </w:r>
          </w:p>
        </w:tc>
        <w:tc>
          <w:tcPr>
            <w:tcW w:type="dxa" w:w="1440"/>
            <w:shd w:fill="C6EFCE" w:val="clear"/>
          </w:tcPr>
          <w:p>
            <w:r>
              <w:rPr>
                <w:sz w:val="17"/>
              </w:rPr>
              <w:t>9,532</w:t>
            </w:r>
          </w:p>
        </w:tc>
        <w:tc>
          <w:tcPr>
            <w:tcW w:type="dxa" w:w="1440"/>
            <w:shd w:fill="C6EFCE" w:val="clear"/>
          </w:tcPr>
          <w:p>
            <w:r>
              <w:rPr>
                <w:b/>
                <w:color w:val="008000"/>
                <w:sz w:val="17"/>
              </w:rPr>
              <w:t>+4.0%</w:t>
            </w:r>
          </w:p>
        </w:tc>
      </w:tr>
      <w:tr>
        <w:tc>
          <w:tcPr>
            <w:tcW w:type="dxa" w:w="1440"/>
            <w:shd w:fill="C6EFCE" w:val="clear"/>
          </w:tcPr>
          <w:p>
            <w:r>
              <w:rPr>
                <w:sz w:val="17"/>
              </w:rPr>
              <w:t>J+7  ⭐</w:t>
            </w:r>
          </w:p>
        </w:tc>
        <w:tc>
          <w:tcPr>
            <w:tcW w:type="dxa" w:w="1440"/>
            <w:shd w:fill="C6EFCE" w:val="clear"/>
          </w:tcPr>
          <w:p>
            <w:r>
              <w:rPr>
                <w:sz w:val="17"/>
              </w:rPr>
              <w:t>2026-09-16</w:t>
            </w:r>
          </w:p>
        </w:tc>
        <w:tc>
          <w:tcPr>
            <w:tcW w:type="dxa" w:w="1440"/>
            <w:shd w:fill="C6EFCE" w:val="clear"/>
          </w:tcPr>
          <w:p>
            <w:r>
              <w:rPr>
                <w:sz w:val="17"/>
              </w:rPr>
              <w:t>7,320</w:t>
            </w:r>
          </w:p>
        </w:tc>
        <w:tc>
          <w:tcPr>
            <w:tcW w:type="dxa" w:w="1440"/>
            <w:shd w:fill="C6EFCE" w:val="clear"/>
          </w:tcPr>
          <w:p>
            <w:r>
              <w:rPr>
                <w:b/>
                <w:sz w:val="17"/>
              </w:rPr>
              <w:t>8,474</w:t>
            </w:r>
          </w:p>
        </w:tc>
        <w:tc>
          <w:tcPr>
            <w:tcW w:type="dxa" w:w="1440"/>
            <w:shd w:fill="C6EFCE" w:val="clear"/>
          </w:tcPr>
          <w:p>
            <w:r>
              <w:rPr>
                <w:sz w:val="17"/>
              </w:rPr>
              <w:t>9,629</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2026-09-17</w:t>
            </w:r>
          </w:p>
        </w:tc>
        <w:tc>
          <w:tcPr>
            <w:tcW w:type="dxa" w:w="1440"/>
            <w:shd w:fill="C6EFCE" w:val="clear"/>
          </w:tcPr>
          <w:p>
            <w:r>
              <w:rPr>
                <w:sz w:val="17"/>
              </w:rPr>
              <w:t>7,248</w:t>
            </w:r>
          </w:p>
        </w:tc>
        <w:tc>
          <w:tcPr>
            <w:tcW w:type="dxa" w:w="1440"/>
            <w:shd w:fill="C6EFCE" w:val="clear"/>
          </w:tcPr>
          <w:p>
            <w:r>
              <w:rPr>
                <w:b/>
                <w:sz w:val="17"/>
              </w:rPr>
              <w:t>8,484</w:t>
            </w:r>
          </w:p>
        </w:tc>
        <w:tc>
          <w:tcPr>
            <w:tcW w:type="dxa" w:w="1440"/>
            <w:shd w:fill="C6EFCE" w:val="clear"/>
          </w:tcPr>
          <w:p>
            <w:r>
              <w:rPr>
                <w:sz w:val="17"/>
              </w:rPr>
              <w:t>9,719</w:t>
            </w:r>
          </w:p>
        </w:tc>
        <w:tc>
          <w:tcPr>
            <w:tcW w:type="dxa" w:w="1440"/>
            <w:shd w:fill="C6EFCE" w:val="clear"/>
          </w:tcPr>
          <w:p>
            <w:r>
              <w:rPr>
                <w:b/>
                <w:color w:val="008000"/>
                <w:sz w:val="17"/>
              </w:rPr>
              <w:t>+4.2%</w:t>
            </w:r>
          </w:p>
        </w:tc>
      </w:tr>
      <w:tr>
        <w:tc>
          <w:tcPr>
            <w:tcW w:type="dxa" w:w="1440"/>
            <w:shd w:fill="C6EFCE" w:val="clear"/>
          </w:tcPr>
          <w:p>
            <w:r>
              <w:rPr>
                <w:sz w:val="17"/>
              </w:rPr>
              <w:t>J+9  ⭐</w:t>
            </w:r>
          </w:p>
        </w:tc>
        <w:tc>
          <w:tcPr>
            <w:tcW w:type="dxa" w:w="1440"/>
            <w:shd w:fill="C6EFCE" w:val="clear"/>
          </w:tcPr>
          <w:p>
            <w:r>
              <w:rPr>
                <w:sz w:val="17"/>
              </w:rPr>
              <w:t>2026-09-18</w:t>
            </w:r>
          </w:p>
        </w:tc>
        <w:tc>
          <w:tcPr>
            <w:tcW w:type="dxa" w:w="1440"/>
            <w:shd w:fill="C6EFCE" w:val="clear"/>
          </w:tcPr>
          <w:p>
            <w:r>
              <w:rPr>
                <w:sz w:val="17"/>
              </w:rPr>
              <w:t>7,181</w:t>
            </w:r>
          </w:p>
        </w:tc>
        <w:tc>
          <w:tcPr>
            <w:tcW w:type="dxa" w:w="1440"/>
            <w:shd w:fill="C6EFCE" w:val="clear"/>
          </w:tcPr>
          <w:p>
            <w:r>
              <w:rPr>
                <w:b/>
                <w:sz w:val="17"/>
              </w:rPr>
              <w:t>8,493</w:t>
            </w:r>
          </w:p>
        </w:tc>
        <w:tc>
          <w:tcPr>
            <w:tcW w:type="dxa" w:w="1440"/>
            <w:shd w:fill="C6EFCE" w:val="clear"/>
          </w:tcPr>
          <w:p>
            <w:r>
              <w:rPr>
                <w:sz w:val="17"/>
              </w:rPr>
              <w:t>9,805</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2026-09-21</w:t>
            </w:r>
          </w:p>
        </w:tc>
        <w:tc>
          <w:tcPr>
            <w:tcW w:type="dxa" w:w="1440"/>
            <w:shd w:fill="C6EFCE" w:val="clear"/>
          </w:tcPr>
          <w:p>
            <w:r>
              <w:rPr>
                <w:sz w:val="17"/>
              </w:rPr>
              <w:t>7,118</w:t>
            </w:r>
          </w:p>
        </w:tc>
        <w:tc>
          <w:tcPr>
            <w:tcW w:type="dxa" w:w="1440"/>
            <w:shd w:fill="C6EFCE" w:val="clear"/>
          </w:tcPr>
          <w:p>
            <w:r>
              <w:rPr>
                <w:b/>
                <w:sz w:val="17"/>
              </w:rPr>
              <w:t>8,502</w:t>
            </w:r>
          </w:p>
        </w:tc>
        <w:tc>
          <w:tcPr>
            <w:tcW w:type="dxa" w:w="1440"/>
            <w:shd w:fill="C6EFCE" w:val="clear"/>
          </w:tcPr>
          <w:p>
            <w:r>
              <w:rPr>
                <w:sz w:val="17"/>
              </w:rPr>
              <w:t>9,887</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175,84 milliards FCFA, ce qui en fait une valeur de première ligne sur la BRVM, représentant un poids significatif dans l'indice composite. Avec un BPA de 578 FCFA, chaque action génère un bénéfice confortable, justifiant un PER de 14,1x. Ce ratio est supérieur à la moyenne historique de la BRVM (8-12x), indiquant que le marché accorde une prime de croissance à la société, tout en restant dans une zone de valorisation raisonnable pour une entreprise de cette qualité. Le P/B de 2,57x confirme cette prime, le marché valorisant la société à plus de 2,5 fois ses capitaux propres, ce qui reflète une confiance dans la création de valeur future. Enfin, un EV/EBITDA de 7,3x, situé dans la fourchette basse des 5-10x, suggère que la valeur d'entreprise reste attractive par rapport à sa capacité opérationnelle de génération de cash, renforçant l'idée d'une valorisation globalement équilibrée.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affiche une progression modeste de +3,04%, mais la dernière séance a subi un net repli de -7,50%, ramenant le cours à 8 140 FCFA. Sur la période, le titre a évolué dans un range de 7 100 à 8 875 FCFA, démontrant une amplitude de trading non négligeable. La moyenne (8 025 FCFA) est légèrement inférieure à la médiane (8 145 FCFA), suggérant une distribution quasi symétrique, ce que confirme le skewness de -0,418. Le kurtosis de -0,776 indique une distribution mésokurtique, avec un faible risque de variations extrêmes. L'écart-type de 406 FCFA (CV de 5,1%) témoigne d'une dispersion modérée des prix autour de la moyenne. Cependant, la volatilité annualisée de 39,3% classe le titre comme très volatil (&gt;30%), un niveau élevé qui invite à la prudence pour les investisseurs à court terme, malgré une stabilité relative des prix sur la période récente.</w:t>
      </w:r>
    </w:p>
    <w:p>
      <w:pPr>
        <w:spacing w:after="120" w:line="276" w:lineRule="auto" w:before="240"/>
      </w:pPr>
      <w:r>
        <w:rPr>
          <w:b/>
          <w:color w:val="003366"/>
          <w:sz w:val="24"/>
        </w:rPr>
        <w:t>**PARTIE 2 : ANALYSE TECHNIQUE DÉTAILLÉE**</w:t>
      </w:r>
    </w:p>
    <w:p>
      <w:pPr>
        <w:spacing w:after="120" w:line="276" w:lineRule="auto"/>
      </w:pPr>
      <w:r>
        <w:t>Les **Moyennes Mobiles** sont vendeuses : le cours actuel (8 140 FCFA) est inférieur à la MM20 (8 146,5 FCFA) et à la MM50 (8 220,5 FCFA), indiquant une dynamique baissière à court et moyen terme. La décision de vente est justifiée par cette configuration où le prix évolue sous ses moyennes clés.</w:t>
      </w:r>
    </w:p>
    <w:p>
      <w:pPr>
        <w:spacing w:after="120" w:line="276" w:lineRule="auto"/>
      </w:pPr>
      <w:r>
        <w:t>Les **Bandes de Bollinger** affichent une position neutre. Le prix se situe entre la borne supérieure (8 840,9 FCFA) et la borne inférieure (7 452,1 FCFA), proche de la zone médiane. La largeur des bandes suggère une volatilité modérée, et le cours n'est pas en situation de surachat ou de survente extrême, d'où la décision neutre.</w:t>
      </w:r>
    </w:p>
    <w:p>
      <w:pPr>
        <w:spacing w:after="120" w:line="276" w:lineRule="auto"/>
      </w:pPr>
      <w:r>
        <w:t>Le **MACD** est positif et haussier. Avec une valeur de 105,43 au-dessus de sa ligne de signal (58,29), il indique un momentum haussier en place. Cette configuration signale une dynamique positive qui pourrait soutenir le cours à moyen terme, justifiant la décision d'achat.</w:t>
      </w:r>
    </w:p>
    <w:p>
      <w:pPr>
        <w:spacing w:after="120" w:line="276" w:lineRule="auto"/>
      </w:pPr>
      <w:r>
        <w:t>Le **RSI** à 56,94 est en zone neutre (30-70). Il n'indique ni surachat ni survente, laissant une marge de manœuvre dans les deux sens. Cette valeur neutre suggère que le marché n'est pas encore directionnel, d'où la décision neutre.</w:t>
      </w:r>
    </w:p>
    <w:p>
      <w:pPr>
        <w:spacing w:after="120" w:line="276" w:lineRule="auto"/>
      </w:pPr>
      <w:r>
        <w:t>Le **Stochastique** est également neutre, avec un %K (24,6) inférieur à %D (72,4). Bien que %K soit en zone de survente (&lt;20), le croisement baissier récent et la position de %D élevée créent une ambiguïté, justifiant la décision neutre.</w:t>
      </w:r>
    </w:p>
    <w:p>
      <w:pPr>
        <w:spacing w:after="120" w:line="276" w:lineRule="auto"/>
      </w:pPr>
      <w:r>
        <w:t>En **conclusion technique**, les signaux sont mitigés. Les moyennes mobiles sont vendeuses, mais le MACD est haussier, et le RSI ainsi que le Stochastique sont neutres. Cette divergence suggère une phase de consolidation sans tendance claire, où la prudence est de mise. Un signal directionnel fort n'apparaîtra que si le cours franchit les niveaux clés des MM50 ou des bandes de Bollinger.</w:t>
      </w:r>
    </w:p>
    <w:p>
      <w:pPr>
        <w:spacing w:after="120" w:line="276" w:lineRule="auto" w:before="240"/>
      </w:pPr>
      <w:r>
        <w:rPr>
          <w:b/>
          <w:color w:val="003366"/>
          <w:sz w:val="24"/>
        </w:rPr>
        <w:t>**PARTIE 3 : ANALYSE FONDAMENTALE (SECTION CRITIQUE)**</w:t>
      </w:r>
    </w:p>
    <w:p>
      <w:pPr>
        <w:spacing w:after="120" w:line="276" w:lineRule="auto"/>
      </w:pPr>
      <w:r>
        <w:t>En 2025, la SOGC a réalisé un chiffre d'affaires de 98,98 milliards FCFA, en hausse de 5,8% par rapport à 2024 (93,52 milliards FCFA), selon les données structurées. Le résultat net s'établit à 12,49 milliards FCFA, en léger repli de -5% par rapport à 2024 (13,11 milliards FCFA), comme le confirme le rapport annuel 2025. La rentabilité reste excellente avec un ROE de 18,26% et un ROA de 13,84%, soutenue par une marge nette de 12,62%. La structure financière est très saine avec une autonomie financière de 75,79% et une capacité de remboursement quasi nulle (0,04 an). Le BFR de 7,12 milliards FCFA est positif, mais les délais clients (29,6 jours) et fournisseurs (31,7 jours) sont bien équilibrés. Le rapport T3 2025 (publié en septembre 2025) indiquait un CA cumulé de 75,6 milliards FCFA (+21,3%) et un résultat net de 11,5 milliards FCFA (+39,5%), mais la direction alertait sur un contexte plus difficile au S2. Le rapport annuel 2025 confirme cette tendance avec une baisse du résultat net, malgré une hausse des prix de l'huile de palme (+20%) et des volumes de caoutchouc (+9%). La société propose un dividende de 570 FCFA par action pour 2025, contre 60 FCFA pour 2024, démontrant une politique de distribution toujours généreuse. Les perspectives 2026 restent prudentes face à la concurrence sur l'achat de matière première et la volatilité des cours internationaux.</w:t>
      </w:r>
    </w:p>
    <w:p>
      <w:pPr>
        <w:spacing w:after="120" w:line="276" w:lineRule="auto" w:before="240"/>
      </w:pPr>
      <w:r>
        <w:rPr>
          <w:b/>
          <w:color w:val="003366"/>
          <w:sz w:val="24"/>
        </w:rPr>
        <w:t>**PARTIE 4 : CONCLUSION D'INVESTISSEMENT**</w:t>
      </w:r>
    </w:p>
    <w:p>
      <w:pPr>
        <w:spacing w:after="120" w:line="276" w:lineRule="auto"/>
      </w:pPr>
      <w:r>
        <w:t>La valorisation de SOGC (PER 14,1x, P/B 2,57x) est raisonnable mais non bon marché, intégrant une prime de qualité pour une entreprise financièrement solide. Le comportement du cours sur 100 jours est stable (+3%), mais la chute de -7,5% sur la dernière séance et une volatilité annualisée de 39,3% imposent une vigilance. Les signaux techniques sont mitigés, avec des moyennes mobiles vendeuses mais un MACD haussier, indiquant une absence de direction claire. Les fondamentaux restent robustes, avec un ROE de 18,26% et une génération de cash-flow opérationnel de 22,64 milliards FCFA, malgré une légère baisse du résultat net en 2025. Les prédictions IA pour les 10 prochains jours (8 420 à 8 455 FCFA) suggèrent une stabilisation et un rebond modéré, contredisant le signal baissier de la dernière séance. En synthèse, la convergence entre des fondamentaux solides, une valorisation correcte et des prédictions IA légèrement haussières, malgré des signaux techniques partagés, conduit à une recommandation **CONSERVER**. Le niveau de confiance est **Moyen**, le risque global est **Moyen**, et l'horizon d'investissement optimal est le **moyen terme (3-12 mois)**, en attendant une clarification de la tendance technique et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236.79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4,461 titres</w:t>
            </w:r>
          </w:p>
        </w:tc>
        <w:tc>
          <w:tcPr>
            <w:tcW w:type="dxa" w:w="2268"/>
            <w:shd w:fill="FFF2CC" w:val="clear"/>
          </w:tcPr>
          <w:p>
            <w:r>
              <w:rPr>
                <w:b/>
                <w:color w:val="503200"/>
                <w:sz w:val="16"/>
              </w:rPr>
              <w:t xml:space="preserve">Cours actuel : </w:t>
            </w:r>
            <w:r>
              <w:rPr>
                <w:color w:val="000000"/>
                <w:sz w:val="17"/>
              </w:rPr>
              <w:t>9,265 FCFA</w:t>
            </w:r>
          </w:p>
          <w:p>
            <w:r>
              <w:rPr>
                <w:b/>
                <w:color w:val="503200"/>
                <w:sz w:val="16"/>
              </w:rPr>
              <w:t xml:space="preserve">Var. 100 jours : </w:t>
            </w:r>
            <w:r>
              <w:rPr>
                <w:b/>
                <w:color w:val="007800"/>
                <w:sz w:val="17"/>
              </w:rPr>
              <w:t>+26.57%</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10.40% (Moyenne) — μ=7,721 FCFA, σ=803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β=0.8640 (Neutre (suit le marché)) — Cov=0.000032, Var(idx)=0.000037, ρ=0.197,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2026-09-08</w:t>
            </w:r>
          </w:p>
        </w:tc>
        <w:tc>
          <w:tcPr>
            <w:tcW w:type="dxa" w:w="1440"/>
            <w:shd w:fill="C6EFCE" w:val="clear"/>
          </w:tcPr>
          <w:p>
            <w:r>
              <w:rPr>
                <w:sz w:val="17"/>
              </w:rPr>
              <w:t>9,038</w:t>
            </w:r>
          </w:p>
        </w:tc>
        <w:tc>
          <w:tcPr>
            <w:tcW w:type="dxa" w:w="1440"/>
            <w:shd w:fill="C6EFCE" w:val="clear"/>
          </w:tcPr>
          <w:p>
            <w:r>
              <w:rPr>
                <w:b/>
                <w:sz w:val="17"/>
              </w:rPr>
              <w:t>9,574</w:t>
            </w:r>
          </w:p>
        </w:tc>
        <w:tc>
          <w:tcPr>
            <w:tcW w:type="dxa" w:w="1440"/>
            <w:shd w:fill="C6EFCE" w:val="clear"/>
          </w:tcPr>
          <w:p>
            <w:r>
              <w:rPr>
                <w:sz w:val="17"/>
              </w:rPr>
              <w:t>10,110</w:t>
            </w:r>
          </w:p>
        </w:tc>
        <w:tc>
          <w:tcPr>
            <w:tcW w:type="dxa" w:w="1440"/>
            <w:shd w:fill="C6EFCE" w:val="clear"/>
          </w:tcPr>
          <w:p>
            <w:r>
              <w:rPr>
                <w:b/>
                <w:color w:val="008000"/>
                <w:sz w:val="17"/>
              </w:rPr>
              <w:t>+3.3%</w:t>
            </w:r>
          </w:p>
        </w:tc>
      </w:tr>
      <w:tr>
        <w:tc>
          <w:tcPr>
            <w:tcW w:type="dxa" w:w="1440"/>
            <w:shd w:fill="C6EFCE" w:val="clear"/>
          </w:tcPr>
          <w:p>
            <w:r>
              <w:rPr>
                <w:sz w:val="17"/>
              </w:rPr>
              <w:t>J+2  Moyenne</w:t>
            </w:r>
          </w:p>
        </w:tc>
        <w:tc>
          <w:tcPr>
            <w:tcW w:type="dxa" w:w="1440"/>
            <w:shd w:fill="C6EFCE" w:val="clear"/>
          </w:tcPr>
          <w:p>
            <w:r>
              <w:rPr>
                <w:sz w:val="17"/>
              </w:rPr>
              <w:t>2026-09-09</w:t>
            </w:r>
          </w:p>
        </w:tc>
        <w:tc>
          <w:tcPr>
            <w:tcW w:type="dxa" w:w="1440"/>
            <w:shd w:fill="C6EFCE" w:val="clear"/>
          </w:tcPr>
          <w:p>
            <w:r>
              <w:rPr>
                <w:sz w:val="17"/>
              </w:rPr>
              <w:t>8,753</w:t>
            </w:r>
          </w:p>
        </w:tc>
        <w:tc>
          <w:tcPr>
            <w:tcW w:type="dxa" w:w="1440"/>
            <w:shd w:fill="C6EFCE" w:val="clear"/>
          </w:tcPr>
          <w:p>
            <w:r>
              <w:rPr>
                <w:b/>
                <w:sz w:val="17"/>
              </w:rPr>
              <w:t>9,505</w:t>
            </w:r>
          </w:p>
        </w:tc>
        <w:tc>
          <w:tcPr>
            <w:tcW w:type="dxa" w:w="1440"/>
            <w:shd w:fill="C6EFCE" w:val="clear"/>
          </w:tcPr>
          <w:p>
            <w:r>
              <w:rPr>
                <w:sz w:val="17"/>
              </w:rPr>
              <w:t>10,257</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2026-09-10</w:t>
            </w:r>
          </w:p>
        </w:tc>
        <w:tc>
          <w:tcPr>
            <w:tcW w:type="dxa" w:w="1440"/>
            <w:shd w:fill="C6EFCE" w:val="clear"/>
          </w:tcPr>
          <w:p>
            <w:r>
              <w:rPr>
                <w:sz w:val="17"/>
              </w:rPr>
              <w:t>8,550</w:t>
            </w:r>
          </w:p>
        </w:tc>
        <w:tc>
          <w:tcPr>
            <w:tcW w:type="dxa" w:w="1440"/>
            <w:shd w:fill="C6EFCE" w:val="clear"/>
          </w:tcPr>
          <w:p>
            <w:r>
              <w:rPr>
                <w:b/>
                <w:sz w:val="17"/>
              </w:rPr>
              <w:t>9,467</w:t>
            </w:r>
          </w:p>
        </w:tc>
        <w:tc>
          <w:tcPr>
            <w:tcW w:type="dxa" w:w="1440"/>
            <w:shd w:fill="C6EFCE" w:val="clear"/>
          </w:tcPr>
          <w:p>
            <w:r>
              <w:rPr>
                <w:sz w:val="17"/>
              </w:rPr>
              <w:t>10,385</w:t>
            </w:r>
          </w:p>
        </w:tc>
        <w:tc>
          <w:tcPr>
            <w:tcW w:type="dxa" w:w="1440"/>
            <w:shd w:fill="C6EFCE" w:val="clear"/>
          </w:tcPr>
          <w:p>
            <w:r>
              <w:rPr>
                <w:b/>
                <w:color w:val="008000"/>
                <w:sz w:val="17"/>
              </w:rPr>
              <w:t>+2.2%</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8,370</w:t>
            </w:r>
          </w:p>
        </w:tc>
        <w:tc>
          <w:tcPr>
            <w:tcW w:type="dxa" w:w="1440"/>
            <w:shd w:fill="FAFAFA" w:val="clear"/>
          </w:tcPr>
          <w:p>
            <w:r>
              <w:rPr>
                <w:b/>
                <w:sz w:val="17"/>
              </w:rPr>
              <w:t>9,425</w:t>
            </w:r>
          </w:p>
        </w:tc>
        <w:tc>
          <w:tcPr>
            <w:tcW w:type="dxa" w:w="1440"/>
            <w:shd w:fill="FAFAFA" w:val="clear"/>
          </w:tcPr>
          <w:p>
            <w:r>
              <w:rPr>
                <w:sz w:val="17"/>
              </w:rPr>
              <w:t>10,480</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8,206</w:t>
            </w:r>
          </w:p>
        </w:tc>
        <w:tc>
          <w:tcPr>
            <w:tcW w:type="dxa" w:w="1440"/>
            <w:shd w:fill="FAFAFA" w:val="clear"/>
          </w:tcPr>
          <w:p>
            <w:r>
              <w:rPr>
                <w:b/>
                <w:sz w:val="17"/>
              </w:rPr>
              <w:t>9,380</w:t>
            </w:r>
          </w:p>
        </w:tc>
        <w:tc>
          <w:tcPr>
            <w:tcW w:type="dxa" w:w="1440"/>
            <w:shd w:fill="FAFAFA" w:val="clear"/>
          </w:tcPr>
          <w:p>
            <w:r>
              <w:rPr>
                <w:sz w:val="17"/>
              </w:rPr>
              <w:t>10,554</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2026-09-15</w:t>
            </w:r>
          </w:p>
        </w:tc>
        <w:tc>
          <w:tcPr>
            <w:tcW w:type="dxa" w:w="1440"/>
            <w:shd w:fill="FAFAFA" w:val="clear"/>
          </w:tcPr>
          <w:p>
            <w:r>
              <w:rPr>
                <w:sz w:val="17"/>
              </w:rPr>
              <w:t>8,056</w:t>
            </w:r>
          </w:p>
        </w:tc>
        <w:tc>
          <w:tcPr>
            <w:tcW w:type="dxa" w:w="1440"/>
            <w:shd w:fill="FAFAFA" w:val="clear"/>
          </w:tcPr>
          <w:p>
            <w:r>
              <w:rPr>
                <w:b/>
                <w:sz w:val="17"/>
              </w:rPr>
              <w:t>9,335</w:t>
            </w:r>
          </w:p>
        </w:tc>
        <w:tc>
          <w:tcPr>
            <w:tcW w:type="dxa" w:w="1440"/>
            <w:shd w:fill="FAFAFA" w:val="clear"/>
          </w:tcPr>
          <w:p>
            <w:r>
              <w:rPr>
                <w:sz w:val="17"/>
              </w:rPr>
              <w:t>10,615</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2026-09-16</w:t>
            </w:r>
          </w:p>
        </w:tc>
        <w:tc>
          <w:tcPr>
            <w:tcW w:type="dxa" w:w="1440"/>
            <w:shd w:fill="FAFAFA" w:val="clear"/>
          </w:tcPr>
          <w:p>
            <w:r>
              <w:rPr>
                <w:sz w:val="17"/>
              </w:rPr>
              <w:t>7,916</w:t>
            </w:r>
          </w:p>
        </w:tc>
        <w:tc>
          <w:tcPr>
            <w:tcW w:type="dxa" w:w="1440"/>
            <w:shd w:fill="FAFAFA" w:val="clear"/>
          </w:tcPr>
          <w:p>
            <w:r>
              <w:rPr>
                <w:b/>
                <w:sz w:val="17"/>
              </w:rPr>
              <w:t>9,292</w:t>
            </w:r>
          </w:p>
        </w:tc>
        <w:tc>
          <w:tcPr>
            <w:tcW w:type="dxa" w:w="1440"/>
            <w:shd w:fill="FAFAFA" w:val="clear"/>
          </w:tcPr>
          <w:p>
            <w:r>
              <w:rPr>
                <w:sz w:val="17"/>
              </w:rPr>
              <w:t>10,667</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2026-09-17</w:t>
            </w:r>
          </w:p>
        </w:tc>
        <w:tc>
          <w:tcPr>
            <w:tcW w:type="dxa" w:w="1440"/>
            <w:shd w:fill="FAFAFA" w:val="clear"/>
          </w:tcPr>
          <w:p>
            <w:r>
              <w:rPr>
                <w:sz w:val="17"/>
              </w:rPr>
              <w:t>7,785</w:t>
            </w:r>
          </w:p>
        </w:tc>
        <w:tc>
          <w:tcPr>
            <w:tcW w:type="dxa" w:w="1440"/>
            <w:shd w:fill="FAFAFA" w:val="clear"/>
          </w:tcPr>
          <w:p>
            <w:r>
              <w:rPr>
                <w:b/>
                <w:sz w:val="17"/>
              </w:rPr>
              <w:t>9,249</w:t>
            </w:r>
          </w:p>
        </w:tc>
        <w:tc>
          <w:tcPr>
            <w:tcW w:type="dxa" w:w="1440"/>
            <w:shd w:fill="FAFAFA" w:val="clear"/>
          </w:tcPr>
          <w:p>
            <w:r>
              <w:rPr>
                <w:sz w:val="17"/>
              </w:rPr>
              <w:t>10,713</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2026-09-18</w:t>
            </w:r>
          </w:p>
        </w:tc>
        <w:tc>
          <w:tcPr>
            <w:tcW w:type="dxa" w:w="1440"/>
            <w:shd w:fill="FAFAFA" w:val="clear"/>
          </w:tcPr>
          <w:p>
            <w:r>
              <w:rPr>
                <w:sz w:val="17"/>
              </w:rPr>
              <w:t>7,661</w:t>
            </w:r>
          </w:p>
        </w:tc>
        <w:tc>
          <w:tcPr>
            <w:tcW w:type="dxa" w:w="1440"/>
            <w:shd w:fill="FAFAFA" w:val="clear"/>
          </w:tcPr>
          <w:p>
            <w:r>
              <w:rPr>
                <w:b/>
                <w:sz w:val="17"/>
              </w:rPr>
              <w:t>9,207</w:t>
            </w:r>
          </w:p>
        </w:tc>
        <w:tc>
          <w:tcPr>
            <w:tcW w:type="dxa" w:w="1440"/>
            <w:shd w:fill="FAFAFA" w:val="clear"/>
          </w:tcPr>
          <w:p>
            <w:r>
              <w:rPr>
                <w:sz w:val="17"/>
              </w:rPr>
              <w:t>10,752</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2026-09-21</w:t>
            </w:r>
          </w:p>
        </w:tc>
        <w:tc>
          <w:tcPr>
            <w:tcW w:type="dxa" w:w="1440"/>
            <w:shd w:fill="FAFAFA" w:val="clear"/>
          </w:tcPr>
          <w:p>
            <w:r>
              <w:rPr>
                <w:sz w:val="17"/>
              </w:rPr>
              <w:t>7,543</w:t>
            </w:r>
          </w:p>
        </w:tc>
        <w:tc>
          <w:tcPr>
            <w:tcW w:type="dxa" w:w="1440"/>
            <w:shd w:fill="FAFAFA" w:val="clear"/>
          </w:tcPr>
          <w:p>
            <w:r>
              <w:rPr>
                <w:b/>
                <w:sz w:val="17"/>
              </w:rPr>
              <w:t>9,165</w:t>
            </w:r>
          </w:p>
        </w:tc>
        <w:tc>
          <w:tcPr>
            <w:tcW w:type="dxa" w:w="1440"/>
            <w:shd w:fill="FAFAFA" w:val="clear"/>
          </w:tcPr>
          <w:p>
            <w:r>
              <w:rPr>
                <w:sz w:val="17"/>
              </w:rPr>
              <w:t>10,787</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236,79 milliards FCFA, ce qui positionne la société parmi les valeurs moyennes à grandes capitalisations de la BRVM, lui conférant une liquidité et une visibilité appréciables. Avec un BPA de 977 FCFA, chaque action détenue génère un bénéfice substantiel, justifiant un PER de 9,5x, inférieur à la moyenne historique du marché (8-12x), ce qui suggère une sous-évaluation relative du titre par rapport à ses bénéfices actuels. Le P/B de 1,72x indique que le marché valorise la société à environ 72% au-dessus de sa valeur comptable, un niveau raisonnable pour une entreprise affichant un ROE de 18%, reflétant une création de valeur efficace. Enfin, un EV/EBITDA de 5,8x, dans la fourchette basse des 5-10x, confirme que la valeur totale de l'entreprise (dette incluse) reste attractive au regard de sa capacité opérationnelle à générer du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progression remarquable de +26,57%, passant d'un plus bas de 6,720 FCFA à un plus haut de 10,300 FCFA, avant de clôturer à 9,265 FCFA. La dernière séance montre un repli marqué de -7,49%, suggérant une phase de prise de bénéfices après une forte ascension. La moyenne du cours sur la période (7,721 FCFA) est inférieure à la médiane (7,518 FCFA), et l'écart entre ces valeurs, couplé à un skewness positif de 1,611, indique une distribution asymétrique avec des journées plus fréquentes sous la moyenne mais des pics haussiers prononcés. L'écart-type de 807 FCFA (CV de 10,5%) témoigne d'une dispersion modérée autour de la moyenne, mais le kurtosis élevé de 1,920 signale un risque de mouvements extrêmes, comme en témoigne la chute récente. La volatilité annualisée de 42,0% classe le titre comme très volatil (&gt;30%), un niveau élevé qui reflète la sensibilité aux fondamentaux du secteur du caoutchouc et aux flux d'ordres sur le marché.</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le cours (9,265 FCFA) est nettement au-dessus de la MM20 (9,065,25 FCFA) et de la MM50 (8,178,4 FCFA), avec un écart croissant qui confirme la vigueur de la tendance de fond. La décision "Achat" est justifiée par cette dynamique positive, même si la chute récente de -7,49% pourrait entraîner un test de la MM20 à court terme.</w:t>
      </w:r>
    </w:p>
    <w:p>
      <w:pPr>
        <w:spacing w:after="120" w:line="276" w:lineRule="auto"/>
      </w:pPr>
      <w:r>
        <w:t>Les **Bandes de Bollinger** montrent un cours situé entre la borne inférieure (7,473,262 FCFA) et la borne supérieure (10,657,238 FCFA), avec une largeur de bandes importante indiquant une volatilité élevée. La décision "Neutre" est cohérente : le prix, après avoir touché des niveaux proches de la borne supérieure, revient vers la moyenne, suggérant une phase de consolidation sans signal directionnel fort.</w:t>
      </w:r>
    </w:p>
    <w:p>
      <w:pPr>
        <w:spacing w:after="120" w:line="276" w:lineRule="auto"/>
      </w:pPr>
      <w:r>
        <w:t>Le **MACD** affiche une valeur positive (535,764) et supérieure à son signal (510,6), ce qui maintient un momentum haussier. La décision "Achat" est valide tant que la divergence reste positive, mais la réduction de l'écart entre le MACD et le signal pourrait annoncer un ralentissement de la dynamique.</w:t>
      </w:r>
    </w:p>
    <w:p>
      <w:pPr>
        <w:spacing w:after="120" w:line="276" w:lineRule="auto"/>
      </w:pPr>
      <w:r>
        <w:t>Le **RSI** à 58,908 se situe dans la zone neutre (30-70), indiquant que le titre n'est ni suracheté ni survendu après la correction. La décision "Neutre" est appropriée, laissant de la marge pour une poursuite de la hausse sans pression excessive des acheteurs.</w:t>
      </w:r>
    </w:p>
    <w:p>
      <w:pPr>
        <w:spacing w:after="120" w:line="276" w:lineRule="auto"/>
      </w:pPr>
      <w:r>
        <w:t>Le **Stochastique** montre un %K (23,897) nettement inférieur au %D (68,18), signalant une correction récente et une possible faiblesse à court terme. La décision "Neutre" suggère d'attendre un croisement haussier des deux lignes pour confirmer un rebond.</w:t>
      </w:r>
    </w:p>
    <w:p>
      <w:pPr>
        <w:spacing w:after="120" w:line="276" w:lineRule="auto"/>
      </w:pPr>
      <w:r>
        <w:t>En conclusion, la tendance de fond reste haussière (MM, MACD), mais les indicateurs de court terme (Stochastique, RSI) montrent une pause après une forte hausse. La convergence des signaux est mitigée, avec une prédominance haussière à moyen terme mais un besoin de consolidation à court terme.</w:t>
      </w:r>
    </w:p>
    <w:p>
      <w:pPr>
        <w:spacing w:after="120" w:line="276" w:lineRule="auto" w:before="240"/>
      </w:pPr>
      <w:r>
        <w:rPr>
          <w:b/>
          <w:color w:val="003366"/>
          <w:sz w:val="24"/>
        </w:rPr>
        <w:t>**PARTIE 3 : ANALYSE FONDAMENTALE (SECTION CRITIQUE)**</w:t>
      </w:r>
    </w:p>
    <w:p>
      <w:pPr>
        <w:spacing w:after="120" w:line="276" w:lineRule="auto"/>
      </w:pPr>
      <w:r>
        <w:t>En 2025, SPHC affiche des états financiers annuels solides : le chiffre d'affaires s'élève à 340,831 milliards FCFA, en croissance de +21,97%, avec un résultat net de 24,972 milliards FCFA, portant la marge nette à 7,33%. La rentabilité est excellente avec un ROE de 18,10% et un ROA de 11,06%, soutenus par une marge opérationnelle de 11,19%. La structure financière est saine avec une autonomie financière de 61,08% et une solvabilité générale de 256,91%. Pour une entreprise industrielle, le BFR de 65,389 milliards FCFA est positif et élevé, mais la durée de stockage de 72 jours et le délai client de 35 jours restent maîtrisés pour le secteur. Les rapports trimestriels 2025 montrent une dynamique exceptionnelle : le T1 2025 (CA +72%, résultat net ×10), le S1 2025 (CA +51%, résultat net +449%) et le T3 2025 (CA +36%, résultat net +131%) confirment une année record. Cependant, le rapport du T1 2026 (daté de mars 2026) révèle un net ralentissement : CA de 71,8 milliards FCFA (-24%) et résultat net de 2,6 milliards FCFA (-78%), pénalisé par la chute des cours mondiaux du caoutchouc et l'engorgement portuaire. Sur la base de ce T1 2026, on estime que l'exercice 2026 pourrait voir un CA annuel autour de 287 milliards FCFA (-16%) et un résultat net d'environ 10,4 milliards FCFA (-58%), si les conditions de marché ne s'améliorent pas. La recommandation fondamentale est de conserver le titre, car la société maintient une structure financière robuste et un leadership stratégique (avance sur la norme EUDR), mais les perspectives 2026 sont assombries par la volatilité des prix et la concurrence accrue.</w:t>
      </w:r>
    </w:p>
    <w:p>
      <w:pPr>
        <w:spacing w:after="120" w:line="276" w:lineRule="auto" w:before="240"/>
      </w:pPr>
      <w:r>
        <w:rPr>
          <w:b/>
          <w:color w:val="003366"/>
          <w:sz w:val="24"/>
        </w:rPr>
        <w:t>**PARTIE 4 : CONCLUSION D'INVESTISSEMENT**</w:t>
      </w:r>
    </w:p>
    <w:p>
      <w:pPr>
        <w:spacing w:after="120" w:line="276" w:lineRule="auto"/>
      </w:pPr>
      <w:r>
        <w:t>La valorisation de SPHC (PER 9,5x, P/B 1,72x, EV/EBITDA 5,8x) indique une sous-évaluation relative, renforcée par des fondamentaux 2025 solides (ROE 18,1%, croissance du CA de +22%). Le comportement du cours sur 100 jours est haussier (+26,57%) mais marqué par une forte volatilité (42%) et un kurtosis élevé, signalant des risques de corrections brutales, comme la baisse de -7,49% en une séance. Les signaux techniques sont partagés : les MM et le MACD plaident pour une poursuite de la tendance haussière, tandis que le RSI et le Stochastique indiquent une phase de consolidation nécessaire. Les fondamentaux 2026, basés sur le T1 2026 (-78% du résultat net), montrent une dégradation conjoncturelle liée aux cours mondiaux, mais la structure financière reste saine. Les prédictions IA (9,574 à 9,380 FCFA sur 10 jours) suggèrent une stabilisation autour des niveaux actuels, confirmant la pause technique. En synthèse, la convergence entre la sous-évaluation, la solidité financière et la tendance de fond haussière est contrebalancée par la dégradation des résultats 2026 et la volatilité élevée. La recommandation finale est **CONSERVER** avec un niveau de confiance **Moyen**, un risque global **Élevé**, et un horizon d'investissement optimal à **moyen terme (3-12 mois)** pour observer une reprise des cours du caoutchouc et une confirmation de la croissance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6,084 titres</w:t>
            </w:r>
          </w:p>
        </w:tc>
        <w:tc>
          <w:tcPr>
            <w:tcW w:type="dxa" w:w="2268"/>
            <w:shd w:fill="FFF2CC" w:val="clear"/>
          </w:tcPr>
          <w:p>
            <w:r>
              <w:rPr>
                <w:b/>
                <w:color w:val="503200"/>
                <w:sz w:val="16"/>
              </w:rPr>
              <w:t xml:space="preserve">Cours actuel : </w:t>
            </w:r>
            <w:r>
              <w:rPr>
                <w:color w:val="000000"/>
                <w:sz w:val="17"/>
              </w:rPr>
              <w:t>2,540 FCFA</w:t>
            </w:r>
          </w:p>
          <w:p>
            <w:r>
              <w:rPr>
                <w:b/>
                <w:color w:val="503200"/>
                <w:sz w:val="16"/>
              </w:rPr>
              <w:t xml:space="preserve">Var. 100 jours : </w:t>
            </w:r>
            <w:r>
              <w:rPr>
                <w:b/>
                <w:color w:val="B40000"/>
                <w:sz w:val="17"/>
              </w:rPr>
              <w:t>-27.43%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μ=2,983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β=-0.5537 (Contre-cyclique) — Cov=-0.000020, Var(idx)=0.000037, ρ=-0.088,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2026-09-08</w:t>
            </w:r>
          </w:p>
        </w:tc>
        <w:tc>
          <w:tcPr>
            <w:tcW w:type="dxa" w:w="1440"/>
            <w:shd w:fill="FFDCE0" w:val="clear"/>
          </w:tcPr>
          <w:p>
            <w:r>
              <w:rPr>
                <w:sz w:val="17"/>
              </w:rPr>
              <w:t>2,249</w:t>
            </w:r>
          </w:p>
        </w:tc>
        <w:tc>
          <w:tcPr>
            <w:tcW w:type="dxa" w:w="1440"/>
            <w:shd w:fill="FFDCE0" w:val="clear"/>
          </w:tcPr>
          <w:p>
            <w:r>
              <w:rPr>
                <w:b/>
                <w:sz w:val="17"/>
              </w:rPr>
              <w:t>2,364</w:t>
            </w:r>
          </w:p>
        </w:tc>
        <w:tc>
          <w:tcPr>
            <w:tcW w:type="dxa" w:w="1440"/>
            <w:shd w:fill="FFDCE0" w:val="clear"/>
          </w:tcPr>
          <w:p>
            <w:r>
              <w:rPr>
                <w:sz w:val="17"/>
              </w:rPr>
              <w:t>2,479</w:t>
            </w:r>
          </w:p>
        </w:tc>
        <w:tc>
          <w:tcPr>
            <w:tcW w:type="dxa" w:w="1440"/>
            <w:shd w:fill="FFDCE0" w:val="clear"/>
          </w:tcPr>
          <w:p>
            <w:r>
              <w:rPr>
                <w:b/>
                <w:color w:val="C00000"/>
                <w:sz w:val="17"/>
              </w:rPr>
              <w:t>-6.9%</w:t>
            </w:r>
          </w:p>
        </w:tc>
      </w:tr>
      <w:tr>
        <w:tc>
          <w:tcPr>
            <w:tcW w:type="dxa" w:w="1440"/>
            <w:shd w:fill="FFDCE0" w:val="clear"/>
          </w:tcPr>
          <w:p>
            <w:r>
              <w:rPr>
                <w:sz w:val="17"/>
              </w:rPr>
              <w:t>J+2  Moyenne</w:t>
            </w:r>
          </w:p>
        </w:tc>
        <w:tc>
          <w:tcPr>
            <w:tcW w:type="dxa" w:w="1440"/>
            <w:shd w:fill="FFDCE0" w:val="clear"/>
          </w:tcPr>
          <w:p>
            <w:r>
              <w:rPr>
                <w:sz w:val="17"/>
              </w:rPr>
              <w:t>2026-09-09</w:t>
            </w:r>
          </w:p>
        </w:tc>
        <w:tc>
          <w:tcPr>
            <w:tcW w:type="dxa" w:w="1440"/>
            <w:shd w:fill="FFDCE0" w:val="clear"/>
          </w:tcPr>
          <w:p>
            <w:r>
              <w:rPr>
                <w:sz w:val="17"/>
              </w:rPr>
              <w:t>2,068</w:t>
            </w:r>
          </w:p>
        </w:tc>
        <w:tc>
          <w:tcPr>
            <w:tcW w:type="dxa" w:w="1440"/>
            <w:shd w:fill="FFDCE0" w:val="clear"/>
          </w:tcPr>
          <w:p>
            <w:r>
              <w:rPr>
                <w:b/>
                <w:sz w:val="17"/>
              </w:rPr>
              <w:t>2,221</w:t>
            </w:r>
          </w:p>
        </w:tc>
        <w:tc>
          <w:tcPr>
            <w:tcW w:type="dxa" w:w="1440"/>
            <w:shd w:fill="FFDCE0" w:val="clear"/>
          </w:tcPr>
          <w:p>
            <w:r>
              <w:rPr>
                <w:sz w:val="17"/>
              </w:rPr>
              <w:t>2,374</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2026-09-10</w:t>
            </w:r>
          </w:p>
        </w:tc>
        <w:tc>
          <w:tcPr>
            <w:tcW w:type="dxa" w:w="1440"/>
            <w:shd w:fill="FFDCE0" w:val="clear"/>
          </w:tcPr>
          <w:p>
            <w:r>
              <w:rPr>
                <w:sz w:val="17"/>
              </w:rPr>
              <w:t>1,907</w:t>
            </w:r>
          </w:p>
        </w:tc>
        <w:tc>
          <w:tcPr>
            <w:tcW w:type="dxa" w:w="1440"/>
            <w:shd w:fill="FFDCE0" w:val="clear"/>
          </w:tcPr>
          <w:p>
            <w:r>
              <w:rPr>
                <w:b/>
                <w:sz w:val="17"/>
              </w:rPr>
              <w:t>2,083</w:t>
            </w:r>
          </w:p>
        </w:tc>
        <w:tc>
          <w:tcPr>
            <w:tcW w:type="dxa" w:w="1440"/>
            <w:shd w:fill="FFDCE0" w:val="clear"/>
          </w:tcPr>
          <w:p>
            <w:r>
              <w:rPr>
                <w:sz w:val="17"/>
              </w:rPr>
              <w:t>2,259</w:t>
            </w:r>
          </w:p>
        </w:tc>
        <w:tc>
          <w:tcPr>
            <w:tcW w:type="dxa" w:w="1440"/>
            <w:shd w:fill="FFDCE0" w:val="clear"/>
          </w:tcPr>
          <w:p>
            <w:r>
              <w:rPr>
                <w:b/>
                <w:color w:val="C00000"/>
                <w:sz w:val="17"/>
              </w:rPr>
              <w:t>-18.0%</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1,772</w:t>
            </w:r>
          </w:p>
        </w:tc>
        <w:tc>
          <w:tcPr>
            <w:tcW w:type="dxa" w:w="1440"/>
            <w:shd w:fill="FFDCE0" w:val="clear"/>
          </w:tcPr>
          <w:p>
            <w:r>
              <w:rPr>
                <w:b/>
                <w:sz w:val="17"/>
              </w:rPr>
              <w:t>1,964</w:t>
            </w:r>
          </w:p>
        </w:tc>
        <w:tc>
          <w:tcPr>
            <w:tcW w:type="dxa" w:w="1440"/>
            <w:shd w:fill="FFDCE0" w:val="clear"/>
          </w:tcPr>
          <w:p>
            <w:r>
              <w:rPr>
                <w:sz w:val="17"/>
              </w:rPr>
              <w:t>2,156</w:t>
            </w:r>
          </w:p>
        </w:tc>
        <w:tc>
          <w:tcPr>
            <w:tcW w:type="dxa" w:w="1440"/>
            <w:shd w:fill="FFDCE0" w:val="clear"/>
          </w:tcPr>
          <w:p>
            <w:r>
              <w:rPr>
                <w:b/>
                <w:color w:val="C00000"/>
                <w:sz w:val="17"/>
              </w:rPr>
              <w:t>-22.7%</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1,662</w:t>
            </w:r>
          </w:p>
        </w:tc>
        <w:tc>
          <w:tcPr>
            <w:tcW w:type="dxa" w:w="1440"/>
            <w:shd w:fill="FFDCE0" w:val="clear"/>
          </w:tcPr>
          <w:p>
            <w:r>
              <w:rPr>
                <w:b/>
                <w:sz w:val="17"/>
              </w:rPr>
              <w:t>1,865</w:t>
            </w:r>
          </w:p>
        </w:tc>
        <w:tc>
          <w:tcPr>
            <w:tcW w:type="dxa" w:w="1440"/>
            <w:shd w:fill="FFDCE0" w:val="clear"/>
          </w:tcPr>
          <w:p>
            <w:r>
              <w:rPr>
                <w:sz w:val="17"/>
              </w:rPr>
              <w:t>2,069</w:t>
            </w:r>
          </w:p>
        </w:tc>
        <w:tc>
          <w:tcPr>
            <w:tcW w:type="dxa" w:w="1440"/>
            <w:shd w:fill="FFDCE0" w:val="clear"/>
          </w:tcPr>
          <w:p>
            <w:r>
              <w:rPr>
                <w:b/>
                <w:color w:val="C00000"/>
                <w:sz w:val="17"/>
              </w:rPr>
              <w:t>-26.6%</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1,571</w:t>
            </w:r>
          </w:p>
        </w:tc>
        <w:tc>
          <w:tcPr>
            <w:tcW w:type="dxa" w:w="1440"/>
            <w:shd w:fill="FFDCE0" w:val="clear"/>
          </w:tcPr>
          <w:p>
            <w:r>
              <w:rPr>
                <w:b/>
                <w:sz w:val="17"/>
              </w:rPr>
              <w:t>1,785</w:t>
            </w:r>
          </w:p>
        </w:tc>
        <w:tc>
          <w:tcPr>
            <w:tcW w:type="dxa" w:w="1440"/>
            <w:shd w:fill="FFDCE0" w:val="clear"/>
          </w:tcPr>
          <w:p>
            <w:r>
              <w:rPr>
                <w:sz w:val="17"/>
              </w:rPr>
              <w:t>1,998</w:t>
            </w:r>
          </w:p>
        </w:tc>
        <w:tc>
          <w:tcPr>
            <w:tcW w:type="dxa" w:w="1440"/>
            <w:shd w:fill="FFDCE0" w:val="clear"/>
          </w:tcPr>
          <w:p>
            <w:r>
              <w:rPr>
                <w:b/>
                <w:color w:val="C00000"/>
                <w:sz w:val="17"/>
              </w:rPr>
              <w:t>-29.7%</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1,497</w:t>
            </w:r>
          </w:p>
        </w:tc>
        <w:tc>
          <w:tcPr>
            <w:tcW w:type="dxa" w:w="1440"/>
            <w:shd w:fill="FFDCE0" w:val="clear"/>
          </w:tcPr>
          <w:p>
            <w:r>
              <w:rPr>
                <w:b/>
                <w:sz w:val="17"/>
              </w:rPr>
              <w:t>1,719</w:t>
            </w:r>
          </w:p>
        </w:tc>
        <w:tc>
          <w:tcPr>
            <w:tcW w:type="dxa" w:w="1440"/>
            <w:shd w:fill="FFDCE0" w:val="clear"/>
          </w:tcPr>
          <w:p>
            <w:r>
              <w:rPr>
                <w:sz w:val="17"/>
              </w:rPr>
              <w:t>1,941</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1,434</w:t>
            </w:r>
          </w:p>
        </w:tc>
        <w:tc>
          <w:tcPr>
            <w:tcW w:type="dxa" w:w="1440"/>
            <w:shd w:fill="FFDCE0" w:val="clear"/>
          </w:tcPr>
          <w:p>
            <w:r>
              <w:rPr>
                <w:b/>
                <w:sz w:val="17"/>
              </w:rPr>
              <w:t>1,663</w:t>
            </w:r>
          </w:p>
        </w:tc>
        <w:tc>
          <w:tcPr>
            <w:tcW w:type="dxa" w:w="1440"/>
            <w:shd w:fill="FFDCE0" w:val="clear"/>
          </w:tcPr>
          <w:p>
            <w:r>
              <w:rPr>
                <w:sz w:val="17"/>
              </w:rPr>
              <w:t>1,893</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1,380</w:t>
            </w:r>
          </w:p>
        </w:tc>
        <w:tc>
          <w:tcPr>
            <w:tcW w:type="dxa" w:w="1440"/>
            <w:shd w:fill="FFDCE0" w:val="clear"/>
          </w:tcPr>
          <w:p>
            <w:r>
              <w:rPr>
                <w:b/>
                <w:sz w:val="17"/>
              </w:rPr>
              <w:t>1,617</w:t>
            </w:r>
          </w:p>
        </w:tc>
        <w:tc>
          <w:tcPr>
            <w:tcW w:type="dxa" w:w="1440"/>
            <w:shd w:fill="FFDCE0" w:val="clear"/>
          </w:tcPr>
          <w:p>
            <w:r>
              <w:rPr>
                <w:sz w:val="17"/>
              </w:rPr>
              <w:t>1,853</w:t>
            </w:r>
          </w:p>
        </w:tc>
        <w:tc>
          <w:tcPr>
            <w:tcW w:type="dxa" w:w="1440"/>
            <w:shd w:fill="FFDCE0" w:val="clear"/>
          </w:tcPr>
          <w:p>
            <w:r>
              <w:rPr>
                <w:b/>
                <w:color w:val="C00000"/>
                <w:sz w:val="17"/>
              </w:rPr>
              <w:t>-36.4%</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1,333</w:t>
            </w:r>
          </w:p>
        </w:tc>
        <w:tc>
          <w:tcPr>
            <w:tcW w:type="dxa" w:w="1440"/>
            <w:shd w:fill="FFDCE0" w:val="clear"/>
          </w:tcPr>
          <w:p>
            <w:r>
              <w:rPr>
                <w:b/>
                <w:sz w:val="17"/>
              </w:rPr>
              <w:t>1,576</w:t>
            </w:r>
          </w:p>
        </w:tc>
        <w:tc>
          <w:tcPr>
            <w:tcW w:type="dxa" w:w="1440"/>
            <w:shd w:fill="FFDCE0" w:val="clear"/>
          </w:tcPr>
          <w:p>
            <w:r>
              <w:rPr>
                <w:sz w:val="17"/>
              </w:rPr>
              <w:t>1,819</w:t>
            </w:r>
          </w:p>
        </w:tc>
        <w:tc>
          <w:tcPr>
            <w:tcW w:type="dxa" w:w="1440"/>
            <w:shd w:fill="FFDCE0" w:val="clear"/>
          </w:tcPr>
          <w:p>
            <w:r>
              <w:rPr>
                <w:b/>
                <w:color w:val="C00000"/>
                <w:sz w:val="17"/>
              </w:rPr>
              <w:t>-38.0%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STAC s'établit à 34,14 milliards FCFA, un niveau modeste dans l'écosystème de la BRVM, reflétant la taille réduite de la société dans le secteur du BTP. Le BPA est négatif à -7 FCFA par action, conséquence directe de la perte nette enregistrée sur l'exercice, ce qui rend le PER non significatif à -353,5x. Ce ratio négatif indique que les investisseurs ne valorisent pas des bénéfices actuels mais anticipent un potentiel de redressement futur. Le P/B de 95,69x est extrêmement élevé, signalant que le marché valorise l'actif net de la société à une prime considérable par rapport à sa valeur comptable, une situation typique des valeurs en difficulté où les capitaux propres ont été érodés par les pertes accumulées. L'absence de données sur l'EV/EBITDA s'explique par la marge opérationnelle négative qui rend ce ratio non pertinent.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a subi une dépréciation sévère de -27,43%, avec une dernière séance en baisse de -2,50%, portant le cours à 2 540 FCFA. Le titre a évolué dans une fourchette de 2 515 FCFA (plus bas) à 3 640 FCFA (plus haut), illustrant une amplitude de trading considérable. La moyenne du cours sur la période est de 2 983 FCFA, légèrement supérieure à la médiane de 2 950 FCFA, indiquant une distribution quasi symétrique confirmée par le skewness de 0,488. L'écart-type de 323 FCFA, avec un coefficient de variation de 10,8%, révèle une dispersion modérée autour de la moyenne. Le kurtosis de -0,884, qualifié de mésokurtique, suggère une distribution proche de la normale avec un faible risque de variations extrêmes. La volatilité annualisée de 60,2% positionne le titre comme extrêmement volatil, bien au-delà du seuil de 30% considéré comme élevé, reflétant l'incertitude des investisseurs quant à la trajectoire de la société.</w:t>
      </w:r>
    </w:p>
    <w:p>
      <w:pPr>
        <w:spacing w:after="120" w:line="276" w:lineRule="auto" w:before="240"/>
      </w:pPr>
      <w:r>
        <w:rPr>
          <w:b/>
          <w:color w:val="003366"/>
          <w:sz w:val="24"/>
        </w:rPr>
        <w:t>**PARTIE 2 : ANALYSE TECHNIQUE DÉTAILLÉE**</w:t>
      </w:r>
    </w:p>
    <w:p>
      <w:pPr>
        <w:spacing w:after="120" w:line="276" w:lineRule="auto"/>
      </w:pPr>
      <w:r>
        <w:t>Les moyennes mobiles sur 20 et 50 jours s'établissent respectivement à 2 626 FCFA et 2 909 FCFA, toutes deux au-dessus du cours actuel de 2 540 FCFA. Cette configuration baissière, où le prix évolue sous ses moyennes mobiles, confirme la tendance négative de moyen terme. La MM20 inférieure à la MM50 indique une accélération de la baisse récente, justifiant la décision de vente.</w:t>
      </w:r>
    </w:p>
    <w:p>
      <w:pPr>
        <w:spacing w:after="120" w:line="276" w:lineRule="auto"/>
      </w:pPr>
      <w:r>
        <w:t>Les bandes de Bollinger encadrent le prix entre une borne supérieure à 2 800 FCFA et une borne inférieure à 2 451 FCFA. Le cours à 2 540 FCFA se positionne dans la moitié inférieure de l'enveloppe, proche de la borne basse, suggérant une pression vendeuse persistante. La largeur des bandes reflète la volatilité élevée du titre, et la décision neutre indique que le prix n'a pas encore atteint des niveaux extrêmes de surachat ou de survente.</w:t>
      </w:r>
    </w:p>
    <w:p>
      <w:pPr>
        <w:spacing w:after="120" w:line="276" w:lineRule="auto"/>
      </w:pPr>
      <w:r>
        <w:t>Le MACD affiche une valeur de -56,38, supérieure à son signal à -75,66, créant une divergence positive. Cette configuration, bien que les deux lignes restent en territoire négatif, suggère un ralentissement du momentum baissier et une possible consolidation à court terme. La décision d'achat se justifie par ce croisement haussier naissant, même si la tendance de fond demeure négative.</w:t>
      </w:r>
    </w:p>
    <w:p>
      <w:pPr>
        <w:spacing w:after="120" w:line="276" w:lineRule="auto"/>
      </w:pPr>
      <w:r>
        <w:t>Le RSI à 49,65 se situe exactement dans la zone neutre, entre 30 et 70, indiquant un équilibre temporaire entre les forces acheteuses et vendeuses. Cette valeur ne signale ni surachat ni survente, laissant planer une incertitude sur la direction future du titre.</w:t>
      </w:r>
    </w:p>
    <w:p>
      <w:pPr>
        <w:spacing w:after="120" w:line="276" w:lineRule="auto"/>
      </w:pPr>
      <w:r>
        <w:t>L'indicateur stochastique montre un %K à 3,33, largement sous son %D à 27,22, plaçant le titre en zone de survente extrême. Cette configuration suggère un rebond technique possible à très court terme, justifiant la décision d'achat, bien que la faiblesse du %K indique une pression vendeuse toujours dominante.</w:t>
      </w:r>
    </w:p>
    <w:p>
      <w:pPr>
        <w:spacing w:after="120" w:line="276" w:lineRule="auto"/>
      </w:pPr>
      <w:r>
        <w:t>La synthèse technique révèle un tableau contrasté : la tendance de fond reste baissière avec des moyennes mobiles orientées à la vente, mais les oscillateurs (MACD et stochastique) signalent des conditions de survente qui pourraient précéder un rebond technique. La prudence reste de mise tant que le cours n'aura pas repris sa moyenne mobile à 20 jours.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STAC révèlent une situation profondément dégradée. Le chiffre d'affaires s'établit à 3,878 milliards FCFA, en forte croissance de 116,3% par rapport à 2024, porté par les travaux préliminaires de l'aéroport d'Abidjan. Cependant, cette dynamique commerciale ne se traduit pas en rentabilité : la société enregistre une perte nette de -96,56 millions FCFA, avec une marge nette de -2,49%. Le résultat d'exploitation est lourdement déficitaire à -771,95 millions FCFA, soit une marge opérationnelle de -19,90%, illustrant des coûts fixes élevés inadaptés au niveau d'activité. Le ROE s'effondre à -27,07% et le ROA à -1,77%, traduisant une destruction de valeur pour les actionnaires. La structure financière est précaire avec des capitaux propres de seulement 356,75 millions FCFA pour un total bilan de 5,447 milliards FCFA, soit une autonomie financière de 6,55%, très en dessous du seuil de 30% considéré comme sain. Le BFR négatif de -930,47 millions FCFA constitue un point positif, indiquant que la société finance son exploitation grâce aux délais de paiement de ses fournisseurs. Les rapports trimestriels de 2025 confirment cette trajectoire : le rapport du 30 septembre 2025 fait état d'un CA cumulé de 3,456 milliards FCFA (+176%) mais d'une perte nette de 477 millions FCFA, en amélioration de 22% par rapport à 2024. Le rapport semestriel du 30 juin 2025 montre une perte de 557 millions FCFA, en aggravation de 77% malgré un CA en hausse de 290%, révélant une rentabilité opérationnelle structurellement déficiente. La direction maintient sa prévision de CA annuel à 4 milliards FCFA, ce qui implique un quatrième trimestre atone. Historiquement, la société a connu des performances contrastées : excellente en 2020 avec un résultat net de 2,32 milliards FCFA, puis une dégradation continue jusqu'à la perte de 1,12 milliard FCFA en 2023. La trésorerie active de 1,33 milliard FCFA offre un coussin de liquidité, mais la capacité de remboursement de 77,53 ans pour les dettes financières est alarmante. La recommandation fondamentale penche vers une prudence extrême, la société n'ayant pas démontré sa capacité à atteindre la rentabilité opérationnelle malgré le regain d'activité.</w:t>
      </w:r>
    </w:p>
    <w:p>
      <w:pPr>
        <w:spacing w:after="120" w:line="276" w:lineRule="auto" w:before="240"/>
      </w:pPr>
      <w:r>
        <w:rPr>
          <w:b/>
          <w:color w:val="003366"/>
          <w:sz w:val="24"/>
        </w:rPr>
        <w:t>**PARTIE 4 : CONCLUSION D'INVESTISSEMENT**</w:t>
      </w:r>
    </w:p>
    <w:p>
      <w:pPr>
        <w:spacing w:after="120" w:line="276" w:lineRule="auto"/>
      </w:pPr>
      <w:r>
        <w:t>La valorisation boursière de STAC, avec un PER négatif et un P/B de 95,69x, témoigne d'une surévaluation manifeste par rapport aux fondamentaux, les investisseurs payant une prime démesurée pour des actifs dont la rentabilité est négative. Le comportement du cours sur 100 jours, avec une chute de 27,43% et une volatilité annualisée de 60,2%, reflète la défiance du marché et l'incertitude entourant la société. Les signaux techniques sont mitigés : la tendance baissière des moyennes mobiles contraste avec les conditions de survente des oscillateurs, suggérant un possible rebond technique sans inversion de tendance. Les fondamentaux restent profondément dégradés malgré la forte croissance du chiffre d'affaires en 2025, la perte nette persistante et la structure financière fragile ne permettant pas d'envisager un redressement rapide. Les prédictions IA pour les 10 prochains jours, projetant une chute continue du cours à 1 865 FCFA, confirment la pression baissière et contredisent tout scénario de rebond durable. La convergence des signaux baissiers entre la valorisation, la tendance du cours et les prédictions IA, malgré des signaux techniques contradictoires, conduit à une recommandation de **VENTE FORTE**. Le niveau de confiance est **Élevé**, le risque global est **Élevé**, et l'horizon d'investissement optimal est le **court terme** pour les investisseurs cherchant à limiter leurs pertes, avec une réévaluation uniquement en cas de retournement fondamental majeur.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395.01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3,723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+4.76%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6.05% (Moyenne) — μ=22,337 FCFA, σ=1,352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β=0.4012 (Défensif) — Cov=0.000015, Var(idx)=0.000037, ρ=0.106,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21,328</w:t>
            </w:r>
          </w:p>
        </w:tc>
        <w:tc>
          <w:tcPr>
            <w:tcW w:type="dxa" w:w="1440"/>
            <w:shd w:fill="FAFAFA" w:val="clear"/>
          </w:tcPr>
          <w:p>
            <w:r>
              <w:rPr>
                <w:b/>
                <w:sz w:val="17"/>
              </w:rPr>
              <w:t>22,398</w:t>
            </w:r>
          </w:p>
        </w:tc>
        <w:tc>
          <w:tcPr>
            <w:tcW w:type="dxa" w:w="1440"/>
            <w:shd w:fill="FAFAFA" w:val="clear"/>
          </w:tcPr>
          <w:p>
            <w:r>
              <w:rPr>
                <w:sz w:val="17"/>
              </w:rPr>
              <w:t>23,467</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2026-09-09</w:t>
            </w:r>
          </w:p>
        </w:tc>
        <w:tc>
          <w:tcPr>
            <w:tcW w:type="dxa" w:w="1440"/>
            <w:shd w:fill="C6EFCE" w:val="clear"/>
          </w:tcPr>
          <w:p>
            <w:r>
              <w:rPr>
                <w:sz w:val="17"/>
              </w:rPr>
              <w:t>21,059</w:t>
            </w:r>
          </w:p>
        </w:tc>
        <w:tc>
          <w:tcPr>
            <w:tcW w:type="dxa" w:w="1440"/>
            <w:shd w:fill="C6EFCE" w:val="clear"/>
          </w:tcPr>
          <w:p>
            <w:r>
              <w:rPr>
                <w:b/>
                <w:sz w:val="17"/>
              </w:rPr>
              <w:t>22,584</w:t>
            </w:r>
          </w:p>
        </w:tc>
        <w:tc>
          <w:tcPr>
            <w:tcW w:type="dxa" w:w="1440"/>
            <w:shd w:fill="C6EFCE" w:val="clear"/>
          </w:tcPr>
          <w:p>
            <w:r>
              <w:rPr>
                <w:sz w:val="17"/>
              </w:rPr>
              <w:t>24,110</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2026-09-10</w:t>
            </w:r>
          </w:p>
        </w:tc>
        <w:tc>
          <w:tcPr>
            <w:tcW w:type="dxa" w:w="1440"/>
            <w:shd w:fill="C6EFCE" w:val="clear"/>
          </w:tcPr>
          <w:p>
            <w:r>
              <w:rPr>
                <w:sz w:val="17"/>
              </w:rPr>
              <w:t>20,908</w:t>
            </w:r>
          </w:p>
        </w:tc>
        <w:tc>
          <w:tcPr>
            <w:tcW w:type="dxa" w:w="1440"/>
            <w:shd w:fill="C6EFCE" w:val="clear"/>
          </w:tcPr>
          <w:p>
            <w:r>
              <w:rPr>
                <w:b/>
                <w:sz w:val="17"/>
              </w:rPr>
              <w:t>22,793</w:t>
            </w:r>
          </w:p>
        </w:tc>
        <w:tc>
          <w:tcPr>
            <w:tcW w:type="dxa" w:w="1440"/>
            <w:shd w:fill="C6EFCE" w:val="clear"/>
          </w:tcPr>
          <w:p>
            <w:r>
              <w:rPr>
                <w:sz w:val="17"/>
              </w:rPr>
              <w:t>24,679</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2026-09-11</w:t>
            </w:r>
          </w:p>
        </w:tc>
        <w:tc>
          <w:tcPr>
            <w:tcW w:type="dxa" w:w="1440"/>
            <w:shd w:fill="C6EFCE" w:val="clear"/>
          </w:tcPr>
          <w:p>
            <w:r>
              <w:rPr>
                <w:sz w:val="17"/>
              </w:rPr>
              <w:t>20,817</w:t>
            </w:r>
          </w:p>
        </w:tc>
        <w:tc>
          <w:tcPr>
            <w:tcW w:type="dxa" w:w="1440"/>
            <w:shd w:fill="C6EFCE" w:val="clear"/>
          </w:tcPr>
          <w:p>
            <w:r>
              <w:rPr>
                <w:b/>
                <w:sz w:val="17"/>
              </w:rPr>
              <w:t>23,016</w:t>
            </w:r>
          </w:p>
        </w:tc>
        <w:tc>
          <w:tcPr>
            <w:tcW w:type="dxa" w:w="1440"/>
            <w:shd w:fill="C6EFCE" w:val="clear"/>
          </w:tcPr>
          <w:p>
            <w:r>
              <w:rPr>
                <w:sz w:val="17"/>
              </w:rPr>
              <w:t>25,214</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2026-09-14</w:t>
            </w:r>
          </w:p>
        </w:tc>
        <w:tc>
          <w:tcPr>
            <w:tcW w:type="dxa" w:w="1440"/>
            <w:shd w:fill="C6EFCE" w:val="clear"/>
          </w:tcPr>
          <w:p>
            <w:r>
              <w:rPr>
                <w:sz w:val="17"/>
              </w:rPr>
              <w:t>20,751</w:t>
            </w:r>
          </w:p>
        </w:tc>
        <w:tc>
          <w:tcPr>
            <w:tcW w:type="dxa" w:w="1440"/>
            <w:shd w:fill="C6EFCE" w:val="clear"/>
          </w:tcPr>
          <w:p>
            <w:r>
              <w:rPr>
                <w:b/>
                <w:sz w:val="17"/>
              </w:rPr>
              <w:t>23,232</w:t>
            </w:r>
          </w:p>
        </w:tc>
        <w:tc>
          <w:tcPr>
            <w:tcW w:type="dxa" w:w="1440"/>
            <w:shd w:fill="C6EFCE" w:val="clear"/>
          </w:tcPr>
          <w:p>
            <w:r>
              <w:rPr>
                <w:sz w:val="17"/>
              </w:rPr>
              <w:t>25,713</w:t>
            </w:r>
          </w:p>
        </w:tc>
        <w:tc>
          <w:tcPr>
            <w:tcW w:type="dxa" w:w="1440"/>
            <w:shd w:fill="C6EFCE" w:val="clear"/>
          </w:tcPr>
          <w:p>
            <w:r>
              <w:rPr>
                <w:b/>
                <w:color w:val="008000"/>
                <w:sz w:val="17"/>
              </w:rPr>
              <w:t>+5.6%</w:t>
            </w:r>
          </w:p>
        </w:tc>
      </w:tr>
      <w:tr>
        <w:tc>
          <w:tcPr>
            <w:tcW w:type="dxa" w:w="1440"/>
            <w:shd w:fill="C6EFCE" w:val="clear"/>
          </w:tcPr>
          <w:p>
            <w:r>
              <w:rPr>
                <w:sz w:val="17"/>
              </w:rPr>
              <w:t>J+6  ⭐</w:t>
            </w:r>
          </w:p>
        </w:tc>
        <w:tc>
          <w:tcPr>
            <w:tcW w:type="dxa" w:w="1440"/>
            <w:shd w:fill="C6EFCE" w:val="clear"/>
          </w:tcPr>
          <w:p>
            <w:r>
              <w:rPr>
                <w:sz w:val="17"/>
              </w:rPr>
              <w:t>2026-09-15</w:t>
            </w:r>
          </w:p>
        </w:tc>
        <w:tc>
          <w:tcPr>
            <w:tcW w:type="dxa" w:w="1440"/>
            <w:shd w:fill="C6EFCE" w:val="clear"/>
          </w:tcPr>
          <w:p>
            <w:r>
              <w:rPr>
                <w:sz w:val="17"/>
              </w:rPr>
              <w:t>20,703</w:t>
            </w:r>
          </w:p>
        </w:tc>
        <w:tc>
          <w:tcPr>
            <w:tcW w:type="dxa" w:w="1440"/>
            <w:shd w:fill="C6EFCE" w:val="clear"/>
          </w:tcPr>
          <w:p>
            <w:r>
              <w:rPr>
                <w:b/>
                <w:sz w:val="17"/>
              </w:rPr>
              <w:t>23,446</w:t>
            </w:r>
          </w:p>
        </w:tc>
        <w:tc>
          <w:tcPr>
            <w:tcW w:type="dxa" w:w="1440"/>
            <w:shd w:fill="C6EFCE" w:val="clear"/>
          </w:tcPr>
          <w:p>
            <w:r>
              <w:rPr>
                <w:sz w:val="17"/>
              </w:rPr>
              <w:t>26,189</w:t>
            </w:r>
          </w:p>
        </w:tc>
        <w:tc>
          <w:tcPr>
            <w:tcW w:type="dxa" w:w="1440"/>
            <w:shd w:fill="C6EFCE" w:val="clear"/>
          </w:tcPr>
          <w:p>
            <w:r>
              <w:rPr>
                <w:b/>
                <w:color w:val="008000"/>
                <w:sz w:val="17"/>
              </w:rPr>
              <w:t>+6.6%</w:t>
            </w:r>
          </w:p>
        </w:tc>
      </w:tr>
      <w:tr>
        <w:tc>
          <w:tcPr>
            <w:tcW w:type="dxa" w:w="1440"/>
            <w:shd w:fill="C6EFCE" w:val="clear"/>
          </w:tcPr>
          <w:p>
            <w:r>
              <w:rPr>
                <w:sz w:val="17"/>
              </w:rPr>
              <w:t>J+7  ⭐</w:t>
            </w:r>
          </w:p>
        </w:tc>
        <w:tc>
          <w:tcPr>
            <w:tcW w:type="dxa" w:w="1440"/>
            <w:shd w:fill="C6EFCE" w:val="clear"/>
          </w:tcPr>
          <w:p>
            <w:r>
              <w:rPr>
                <w:sz w:val="17"/>
              </w:rPr>
              <w:t>2026-09-16</w:t>
            </w:r>
          </w:p>
        </w:tc>
        <w:tc>
          <w:tcPr>
            <w:tcW w:type="dxa" w:w="1440"/>
            <w:shd w:fill="C6EFCE" w:val="clear"/>
          </w:tcPr>
          <w:p>
            <w:r>
              <w:rPr>
                <w:sz w:val="17"/>
              </w:rPr>
              <w:t>20,679</w:t>
            </w:r>
          </w:p>
        </w:tc>
        <w:tc>
          <w:tcPr>
            <w:tcW w:type="dxa" w:w="1440"/>
            <w:shd w:fill="C6EFCE" w:val="clear"/>
          </w:tcPr>
          <w:p>
            <w:r>
              <w:rPr>
                <w:b/>
                <w:sz w:val="17"/>
              </w:rPr>
              <w:t>23,670</w:t>
            </w:r>
          </w:p>
        </w:tc>
        <w:tc>
          <w:tcPr>
            <w:tcW w:type="dxa" w:w="1440"/>
            <w:shd w:fill="C6EFCE" w:val="clear"/>
          </w:tcPr>
          <w:p>
            <w:r>
              <w:rPr>
                <w:sz w:val="17"/>
              </w:rPr>
              <w:t>26,661</w:t>
            </w:r>
          </w:p>
        </w:tc>
        <w:tc>
          <w:tcPr>
            <w:tcW w:type="dxa" w:w="1440"/>
            <w:shd w:fill="C6EFCE" w:val="clear"/>
          </w:tcPr>
          <w:p>
            <w:r>
              <w:rPr>
                <w:b/>
                <w:color w:val="008000"/>
                <w:sz w:val="17"/>
              </w:rPr>
              <w:t>+7.6%</w:t>
            </w:r>
          </w:p>
        </w:tc>
      </w:tr>
      <w:tr>
        <w:tc>
          <w:tcPr>
            <w:tcW w:type="dxa" w:w="1440"/>
            <w:shd w:fill="C6EFCE" w:val="clear"/>
          </w:tcPr>
          <w:p>
            <w:r>
              <w:rPr>
                <w:sz w:val="17"/>
              </w:rPr>
              <w:t>J+8  ⭐</w:t>
            </w:r>
          </w:p>
        </w:tc>
        <w:tc>
          <w:tcPr>
            <w:tcW w:type="dxa" w:w="1440"/>
            <w:shd w:fill="C6EFCE" w:val="clear"/>
          </w:tcPr>
          <w:p>
            <w:r>
              <w:rPr>
                <w:sz w:val="17"/>
              </w:rPr>
              <w:t>2026-09-17</w:t>
            </w:r>
          </w:p>
        </w:tc>
        <w:tc>
          <w:tcPr>
            <w:tcW w:type="dxa" w:w="1440"/>
            <w:shd w:fill="C6EFCE" w:val="clear"/>
          </w:tcPr>
          <w:p>
            <w:r>
              <w:rPr>
                <w:sz w:val="17"/>
              </w:rPr>
              <w:t>20,667</w:t>
            </w:r>
          </w:p>
        </w:tc>
        <w:tc>
          <w:tcPr>
            <w:tcW w:type="dxa" w:w="1440"/>
            <w:shd w:fill="C6EFCE" w:val="clear"/>
          </w:tcPr>
          <w:p>
            <w:r>
              <w:rPr>
                <w:b/>
                <w:sz w:val="17"/>
              </w:rPr>
              <w:t>23,894</w:t>
            </w:r>
          </w:p>
        </w:tc>
        <w:tc>
          <w:tcPr>
            <w:tcW w:type="dxa" w:w="1440"/>
            <w:shd w:fill="C6EFCE" w:val="clear"/>
          </w:tcPr>
          <w:p>
            <w:r>
              <w:rPr>
                <w:sz w:val="17"/>
              </w:rPr>
              <w:t>27,122</w:t>
            </w:r>
          </w:p>
        </w:tc>
        <w:tc>
          <w:tcPr>
            <w:tcW w:type="dxa" w:w="1440"/>
            <w:shd w:fill="C6EFCE" w:val="clear"/>
          </w:tcPr>
          <w:p>
            <w:r>
              <w:rPr>
                <w:b/>
                <w:color w:val="008000"/>
                <w:sz w:val="17"/>
              </w:rPr>
              <w:t>+8.6%</w:t>
            </w:r>
          </w:p>
        </w:tc>
      </w:tr>
      <w:tr>
        <w:tc>
          <w:tcPr>
            <w:tcW w:type="dxa" w:w="1440"/>
            <w:shd w:fill="C6EFCE" w:val="clear"/>
          </w:tcPr>
          <w:p>
            <w:r>
              <w:rPr>
                <w:sz w:val="17"/>
              </w:rPr>
              <w:t>J+9  ⭐</w:t>
            </w:r>
          </w:p>
        </w:tc>
        <w:tc>
          <w:tcPr>
            <w:tcW w:type="dxa" w:w="1440"/>
            <w:shd w:fill="C6EFCE" w:val="clear"/>
          </w:tcPr>
          <w:p>
            <w:r>
              <w:rPr>
                <w:sz w:val="17"/>
              </w:rPr>
              <w:t>2026-09-18</w:t>
            </w:r>
          </w:p>
        </w:tc>
        <w:tc>
          <w:tcPr>
            <w:tcW w:type="dxa" w:w="1440"/>
            <w:shd w:fill="C6EFCE" w:val="clear"/>
          </w:tcPr>
          <w:p>
            <w:r>
              <w:rPr>
                <w:sz w:val="17"/>
              </w:rPr>
              <w:t>20,686</w:t>
            </w:r>
          </w:p>
        </w:tc>
        <w:tc>
          <w:tcPr>
            <w:tcW w:type="dxa" w:w="1440"/>
            <w:shd w:fill="C6EFCE" w:val="clear"/>
          </w:tcPr>
          <w:p>
            <w:r>
              <w:rPr>
                <w:b/>
                <w:sz w:val="17"/>
              </w:rPr>
              <w:t>24,146</w:t>
            </w:r>
          </w:p>
        </w:tc>
        <w:tc>
          <w:tcPr>
            <w:tcW w:type="dxa" w:w="1440"/>
            <w:shd w:fill="C6EFCE" w:val="clear"/>
          </w:tcPr>
          <w:p>
            <w:r>
              <w:rPr>
                <w:sz w:val="17"/>
              </w:rPr>
              <w:t>27,605</w:t>
            </w:r>
          </w:p>
        </w:tc>
        <w:tc>
          <w:tcPr>
            <w:tcW w:type="dxa" w:w="1440"/>
            <w:shd w:fill="C6EFCE" w:val="clear"/>
          </w:tcPr>
          <w:p>
            <w:r>
              <w:rPr>
                <w:b/>
                <w:color w:val="008000"/>
                <w:sz w:val="17"/>
              </w:rPr>
              <w:t>+9.8%</w:t>
            </w:r>
          </w:p>
        </w:tc>
      </w:tr>
      <w:tr>
        <w:tc>
          <w:tcPr>
            <w:tcW w:type="dxa" w:w="1440"/>
            <w:shd w:fill="C6EFCE" w:val="clear"/>
          </w:tcPr>
          <w:p>
            <w:r>
              <w:rPr>
                <w:sz w:val="17"/>
              </w:rPr>
              <w:t>J+10  ⭐</w:t>
            </w:r>
          </w:p>
        </w:tc>
        <w:tc>
          <w:tcPr>
            <w:tcW w:type="dxa" w:w="1440"/>
            <w:shd w:fill="C6EFCE" w:val="clear"/>
          </w:tcPr>
          <w:p>
            <w:r>
              <w:rPr>
                <w:sz w:val="17"/>
              </w:rPr>
              <w:t>2026-09-21</w:t>
            </w:r>
          </w:p>
        </w:tc>
        <w:tc>
          <w:tcPr>
            <w:tcW w:type="dxa" w:w="1440"/>
            <w:shd w:fill="C6EFCE" w:val="clear"/>
          </w:tcPr>
          <w:p>
            <w:r>
              <w:rPr>
                <w:sz w:val="17"/>
              </w:rPr>
              <w:t>20,734</w:t>
            </w:r>
          </w:p>
        </w:tc>
        <w:tc>
          <w:tcPr>
            <w:tcW w:type="dxa" w:w="1440"/>
            <w:shd w:fill="C6EFCE" w:val="clear"/>
          </w:tcPr>
          <w:p>
            <w:r>
              <w:rPr>
                <w:b/>
                <w:sz w:val="17"/>
              </w:rPr>
              <w:t>24,423</w:t>
            </w:r>
          </w:p>
        </w:tc>
        <w:tc>
          <w:tcPr>
            <w:tcW w:type="dxa" w:w="1440"/>
            <w:shd w:fill="C6EFCE" w:val="clear"/>
          </w:tcPr>
          <w:p>
            <w:r>
              <w:rPr>
                <w:sz w:val="17"/>
              </w:rPr>
              <w:t>28,111</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before="240"/>
      </w:pPr>
      <w:r>
        <w:rPr>
          <w:b/>
          <w:color w:val="003366"/>
          <w:sz w:val="24"/>
        </w:rPr>
        <w:t>**PARTIE 0 : INDICATEURS DE VALORISATION BOURSIÈRE**</w:t>
      </w:r>
    </w:p>
    <w:p>
      <w:pPr>
        <w:spacing w:after="120" w:line="276" w:lineRule="auto"/>
      </w:pPr>
      <w:r>
        <w:t>La capitalisation boursière de 395,01 milliards FCFA positionne STBC comme une valeur de premier plan sur la BRVM, reflétant sa position dominante sur le marché ivoirien du tabac. Avec un BPA de 2 014 FCFA, chaque action génère un bénéfice substantiel, ce qui justifie un PER de 10,9x, un niveau modéré et en ligne avec la moyenne historique de la place (~8-12x), indiquant que les investisseurs paient un prix raisonnable pour les bénéfices actuels. Cependant, le P/B de 8,71x est particulièrement élevé, signifiant que le marché valorise fortement les capitaux propres de l'entreprise, bien au-delà de leur valeur comptable, ce qui traduit des attentes de croissance ou une rentabilité supérieure (ROE de 79,75%). Enfin, un EV/EBITDA de 7,9x suggère que la valeur totale de l'entreprise reste raisonnable par rapport à sa capacité à générer des flux opérationnels, confirmant une valorisation globalement cohérente malgré la prime sur les fonds propres.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+4,76%, avec une légère baisse de -0,45% lors de la dernière séance, reflétant une certaine prudence des investisseurs. Le cours a évolué dans un range de trading de 19 705 FCFA (plus bas) à 25 000 FCFA (plus haut), montrant une amplitude de fluctuation significative d'environ 27% entre ces extrêmes. La moyenne du cours sur la période (22 337 FCFA) est proche de la médiane (22 168 FCFA), ce qui, combiné à un skewness de 0,209 (quasi symétrique), indique une distribution des prix relativement équilibrée sans asymétrie marquée. L'écart-type de 1 359 FCFA, avec un coefficient de variation de 6,1%, révèle une dispersion modérée des prix autour de la moyenne, tandis que le kurtosis de -0,914 (mésokurtique) suggère une distribution proche de la normale, avec un faible risque de mouvements extrêmes. La volatilité annualisée de 36,3% classe le titre comme très volatil, un niveau élevé qui implique des fluctuations de prix importantes à court terme, caractéristique des marchés émergents et des valeurs à faible liquidité.</w:t>
      </w:r>
    </w:p>
    <w:p>
      <w:pPr>
        <w:spacing w:after="120" w:line="276" w:lineRule="auto" w:before="240"/>
      </w:pPr>
      <w:r>
        <w:rPr>
          <w:b/>
          <w:color w:val="003366"/>
          <w:sz w:val="24"/>
        </w:rPr>
        <w:t>**PARTIE 2 : ANALYSE TECHNIQUE DÉTAILLÉE**</w:t>
      </w:r>
    </w:p>
    <w:p>
      <w:pPr>
        <w:spacing w:after="120" w:line="276" w:lineRule="auto"/>
      </w:pPr>
      <w:r>
        <w:t>**Moyennes Mobiles** : Le cours actuel de 22 000 FCFA est inférieur à la MM20 (22 730,75 FCFA) et nettement sous la MM50 (23 422 FCFA), confirmant une tendance baissière à court et moyen terme. La configuration des moyennes mobiles, avec le prix sous les deux indicateurs, génère un signal de vente, indiquant que la dynamique récente est négative et que les vendeurs contrôlent le marché.</w:t>
      </w:r>
    </w:p>
    <w:p>
      <w:pPr>
        <w:spacing w:after="120" w:line="276" w:lineRule="auto"/>
      </w:pPr>
      <w:r>
        <w:t>**Bandes de Bollinger** : Le prix se situe à 22 000 FCFA, entre la borne inférieure (21 166,315 FCFA) et la borne supérieure (24 295,185 FCFA), mais plus proche de la borne inférieure. Cette position suggère une pression vendeuse sans atteindre des conditions de survente extrême. La décision est neutre, car le prix n'a pas encore touché les bornes, mais la proximité de la borne inférieure pourrait indiquer un potentiel de rebond technique si le support tient.</w:t>
      </w:r>
    </w:p>
    <w:p>
      <w:pPr>
        <w:spacing w:after="120" w:line="276" w:lineRule="auto"/>
      </w:pPr>
      <w:r>
        <w:t>**MACD** : La valeur du MACD est négative à -375,474, et le signal est également négatif à -302,495, avec le MACD sous la ligne de signal. Cette configuration baissière indique que le momentum à moyen terme est négatif et qu'il s'accélère vers le bas, justifiant une décision de vente. La divergence négative suggère que la pression vendeuse reste dominante.</w:t>
      </w:r>
    </w:p>
    <w:p>
      <w:pPr>
        <w:spacing w:after="120" w:line="276" w:lineRule="auto"/>
      </w:pPr>
      <w:r>
        <w:t>**RSI** : Le RSI est à 39,293, dans la zone neutre (30-70), mais en dessous de 50, ce qui indique une dynamique baissière modérée sans atteindre des conditions de survente. La décision est neutre, mais la valeur suggère que le titre perd de la force, et un passage sous 30 pourrait signaler une opportunité d'achat à contre-tendance.</w:t>
      </w:r>
    </w:p>
    <w:p>
      <w:pPr>
        <w:spacing w:after="120" w:line="276" w:lineRule="auto"/>
      </w:pPr>
      <w:r>
        <w:t>**Stochastique** : Le %K (41,953) et le %D (41,372) sont proches l'un de l'autre, sans croisement significatif, et évoluent dans la zone neutre. L'absence de divergence ou de croisement clair indique un manque de direction, justifiant une décision neutre. Le marché semble indécis, avec des acheteurs et des vendeurs en équilibre relatif.</w:t>
      </w:r>
    </w:p>
    <w:p>
      <w:pPr>
        <w:spacing w:after="120" w:line="276" w:lineRule="auto"/>
      </w:pPr>
      <w:r>
        <w:t>**Conclusion technique** : La convergence des indicateurs techniques (MM, MACD) vers des signaux de vente, contrastant avec la neutralité du RSI, des bandes de Bollinger et du stochastique, peint un tableau mitigé. La tendance de fond est baissière à court terme, mais les indicateurs de momentum ne sont pas en survente extrême, laissant place à un potentiel de stabilisation ou de rebond technique si les supports clés (autour de 21 000 FCFA) tiennent.</w:t>
      </w:r>
    </w:p>
    <w:p>
      <w:pPr>
        <w:spacing w:after="120" w:line="276" w:lineRule="auto" w:before="240"/>
      </w:pPr>
      <w:r>
        <w:rPr>
          <w:b/>
          <w:color w:val="003366"/>
          <w:sz w:val="24"/>
        </w:rPr>
        <w:t>**PARTIE 3 : ANALYSE FONDAMENTALE (SECTION CRITIQUE)**</w:t>
      </w:r>
    </w:p>
    <w:p>
      <w:pPr>
        <w:spacing w:after="120" w:line="276" w:lineRule="auto"/>
      </w:pPr>
      <w:r>
        <w:t>En 2025, les données structurées indiquent que STBC a réalisé un chiffre d'affaires de 268,537 milliards FCFA, en croissance de +25,3% par rapport à 2024, démontrant une dynamique commerciale exceptionnelle. Cependant, le résultat net s'établit à 36,158 milliards FCFA, en baisse de -17,5% par rapport à 2024 (44,2 milliards FCFA), illustrant une dégradation de la rentabilité malgré la hausse des ventes. Cette contre-performance s'explique par une marge nette réduite à 13,46% (contre 20,4% en 2024), due à l'augmentation des droits d'accises (de 49% à 70%) et à une hausse des charges d'exploitation. Le ROE reste excellent à 79,75% et le ROA à 48,09%, mais ces chiffres sont en baisse par rapport à l'exercice précédent. La structure financière demeure très saine avec une trésorerie nette de 30,763 milliards FCFA et une absence quasi totale de dettes financières (1,4 million FCFA). Le BFR est négatif (-5,639 milliards FCFA), ce qui est favorable, indiquant que l'entreprise finance son cycle d'exploitation par ses ressources propres. Les délais clients (42,57 jours) et de stockage (5,73 jours) sont bien gérés. Sur la base des rapports trimestriels 2026 (T1 et T2), on estime que l'exercice 2026 devrait confirmer la stabilisation, avec un CA en hausse de +12% au T1 et +1% au T2, mais un résultat net toujours sous pression (9,3 milliards FCFA au T1, 8,64 milliards FCFA au T2). Les rapports de DeepSeek (26/06/2026) et Gemini Vision (06/09/2026) recommandent tous deux de conserver le titre, soulignant la solidité financière mais la prudence nécessaire face à la compression des marges et à l'environnement fiscal contraignant.</w:t>
      </w:r>
    </w:p>
    <w:p>
      <w:pPr>
        <w:spacing w:after="120" w:line="276" w:lineRule="auto" w:before="240"/>
      </w:pPr>
      <w:r>
        <w:rPr>
          <w:b/>
          <w:color w:val="003366"/>
          <w:sz w:val="24"/>
        </w:rPr>
        <w:t>**PARTIE 4 : CONCLUSION D'INVESTISSEMENT**</w:t>
      </w:r>
    </w:p>
    <w:p>
      <w:pPr>
        <w:spacing w:after="120" w:line="276" w:lineRule="auto"/>
      </w:pPr>
      <w:r>
        <w:t>La valorisation de STBC (PER de 10,9x, EV/EBITDA de 7,9x) est modérée, mais le P/B de 8,71x reflète une prime élevée sur les fonds propres, rendant le titre exigeant en termes de valorisation relative. Le comportement du cours sur 100 jours montre une tendance légèrement positive (+4,76%), mais avec une volatilité annualisée élevée (36,3%) et des statistiques (kurtosis, skewness) indiquant une distribution normale des rendements, sans signe de risque extrême. Les signaux techniques sont mitigés, avec une tendance baissière à court terme (MM, MACD) mais des indicateurs de momentum neutres (RSI, Stochastique), suggérant une possible stabilisation. Les fondamentaux restent solides, avec une croissance du CA de +25,3% en 2025, mais une rentabilité en baisse (-17,5% du résultat net), nécessitant une surveillance de la maîtrise des coûts. Les prédictions IA pour les 10 prochains jours (22 398 à 23 232 FCFA) anticipent une hausse progressive, contredisant les signaux techniques baissiers à court terme, mais s'alignant sur la solidité fondamentale à moyen terme. En synthèse, la convergence entre la valorisation raisonnable, la solidité financière et les prédictions haussières, malgré les signaux techniques baissiers, conduit à une recommandation de **CONSERVER**. Le niveau de confiance est **Moyen**, le risque global est **Moyen**, et l'horizon d'investissement optimal est le **moyen terme (3-12 mois)**, en attendant une clarification sur la capacité de l'entreprise à restaurer ses marges dans un environnement fiscal difficile.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201.48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6,831 titres</w:t>
            </w:r>
          </w:p>
        </w:tc>
        <w:tc>
          <w:tcPr>
            <w:tcW w:type="dxa" w:w="2268"/>
            <w:shd w:fill="FFF2CC" w:val="clear"/>
          </w:tcPr>
          <w:p>
            <w:r>
              <w:rPr>
                <w:b/>
                <w:color w:val="503200"/>
                <w:sz w:val="16"/>
              </w:rPr>
              <w:t xml:space="preserve">Cours actuel : </w:t>
            </w:r>
            <w:r>
              <w:rPr>
                <w:color w:val="000000"/>
                <w:sz w:val="17"/>
              </w:rPr>
              <w:t>3,200 FCFA</w:t>
            </w:r>
          </w:p>
          <w:p>
            <w:r>
              <w:rPr>
                <w:b/>
                <w:color w:val="503200"/>
                <w:sz w:val="16"/>
              </w:rPr>
              <w:t xml:space="preserve">Var. 100 jours : </w:t>
            </w:r>
            <w:r>
              <w:rPr>
                <w:b/>
                <w:color w:val="007800"/>
                <w:sz w:val="17"/>
              </w:rPr>
              <w:t>+14.49%</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6.72% (Moyenne) — μ=2,942 FCFA, σ=198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β=-0.3576 (Contre-cyclique) — Cov=-0.000013, Var(idx)=0.000037, ρ=-0.084,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2026-09-08</w:t>
            </w:r>
          </w:p>
        </w:tc>
        <w:tc>
          <w:tcPr>
            <w:tcW w:type="dxa" w:w="1440"/>
            <w:shd w:fill="FAFAFA" w:val="clear"/>
          </w:tcPr>
          <w:p>
            <w:r>
              <w:rPr>
                <w:sz w:val="17"/>
              </w:rPr>
              <w:t>3,014</w:t>
            </w:r>
          </w:p>
        </w:tc>
        <w:tc>
          <w:tcPr>
            <w:tcW w:type="dxa" w:w="1440"/>
            <w:shd w:fill="FAFAFA" w:val="clear"/>
          </w:tcPr>
          <w:p>
            <w:r>
              <w:rPr>
                <w:b/>
                <w:sz w:val="17"/>
              </w:rPr>
              <w:t>3,193</w:t>
            </w:r>
          </w:p>
        </w:tc>
        <w:tc>
          <w:tcPr>
            <w:tcW w:type="dxa" w:w="1440"/>
            <w:shd w:fill="FAFAFA" w:val="clear"/>
          </w:tcPr>
          <w:p>
            <w:r>
              <w:rPr>
                <w:sz w:val="17"/>
              </w:rPr>
              <w:t>3,373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2026-09-09</w:t>
            </w:r>
          </w:p>
        </w:tc>
        <w:tc>
          <w:tcPr>
            <w:tcW w:type="dxa" w:w="1440"/>
            <w:shd w:fill="FAFAFA" w:val="clear"/>
          </w:tcPr>
          <w:p>
            <w:r>
              <w:rPr>
                <w:sz w:val="17"/>
              </w:rPr>
              <w:t>2,925</w:t>
            </w:r>
          </w:p>
        </w:tc>
        <w:tc>
          <w:tcPr>
            <w:tcW w:type="dxa" w:w="1440"/>
            <w:shd w:fill="FAFAFA" w:val="clear"/>
          </w:tcPr>
          <w:p>
            <w:r>
              <w:rPr>
                <w:b/>
                <w:sz w:val="17"/>
              </w:rPr>
              <w:t>3,178</w:t>
            </w:r>
          </w:p>
        </w:tc>
        <w:tc>
          <w:tcPr>
            <w:tcW w:type="dxa" w:w="1440"/>
            <w:shd w:fill="FAFAFA" w:val="clear"/>
          </w:tcPr>
          <w:p>
            <w:r>
              <w:rPr>
                <w:sz w:val="17"/>
              </w:rPr>
              <w:t>3,430</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2026-09-10</w:t>
            </w:r>
          </w:p>
        </w:tc>
        <w:tc>
          <w:tcPr>
            <w:tcW w:type="dxa" w:w="1440"/>
            <w:shd w:fill="FAFAFA" w:val="clear"/>
          </w:tcPr>
          <w:p>
            <w:r>
              <w:rPr>
                <w:sz w:val="17"/>
              </w:rPr>
              <w:t>2,863</w:t>
            </w:r>
          </w:p>
        </w:tc>
        <w:tc>
          <w:tcPr>
            <w:tcW w:type="dxa" w:w="1440"/>
            <w:shd w:fill="FAFAFA" w:val="clear"/>
          </w:tcPr>
          <w:p>
            <w:r>
              <w:rPr>
                <w:b/>
                <w:sz w:val="17"/>
              </w:rPr>
              <w:t>3,172</w:t>
            </w:r>
          </w:p>
        </w:tc>
        <w:tc>
          <w:tcPr>
            <w:tcW w:type="dxa" w:w="1440"/>
            <w:shd w:fill="FAFAFA" w:val="clear"/>
          </w:tcPr>
          <w:p>
            <w:r>
              <w:rPr>
                <w:sz w:val="17"/>
              </w:rPr>
              <w:t>3,481</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2,809</w:t>
            </w:r>
          </w:p>
        </w:tc>
        <w:tc>
          <w:tcPr>
            <w:tcW w:type="dxa" w:w="1440"/>
            <w:shd w:fill="FAFAFA" w:val="clear"/>
          </w:tcPr>
          <w:p>
            <w:r>
              <w:rPr>
                <w:b/>
                <w:sz w:val="17"/>
              </w:rPr>
              <w:t>3,165</w:t>
            </w:r>
          </w:p>
        </w:tc>
        <w:tc>
          <w:tcPr>
            <w:tcW w:type="dxa" w:w="1440"/>
            <w:shd w:fill="FAFAFA" w:val="clear"/>
          </w:tcPr>
          <w:p>
            <w:r>
              <w:rPr>
                <w:sz w:val="17"/>
              </w:rPr>
              <w:t>3,521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2,760</w:t>
            </w:r>
          </w:p>
        </w:tc>
        <w:tc>
          <w:tcPr>
            <w:tcW w:type="dxa" w:w="1440"/>
            <w:shd w:fill="FAFAFA" w:val="clear"/>
          </w:tcPr>
          <w:p>
            <w:r>
              <w:rPr>
                <w:b/>
                <w:sz w:val="17"/>
              </w:rPr>
              <w:t>3,157</w:t>
            </w:r>
          </w:p>
        </w:tc>
        <w:tc>
          <w:tcPr>
            <w:tcW w:type="dxa" w:w="1440"/>
            <w:shd w:fill="FAFAFA" w:val="clear"/>
          </w:tcPr>
          <w:p>
            <w:r>
              <w:rPr>
                <w:sz w:val="17"/>
              </w:rPr>
              <w:t>3,554</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2026-09-15</w:t>
            </w:r>
          </w:p>
        </w:tc>
        <w:tc>
          <w:tcPr>
            <w:tcW w:type="dxa" w:w="1440"/>
            <w:shd w:fill="FAFAFA" w:val="clear"/>
          </w:tcPr>
          <w:p>
            <w:r>
              <w:rPr>
                <w:sz w:val="17"/>
              </w:rPr>
              <w:t>2,714</w:t>
            </w:r>
          </w:p>
        </w:tc>
        <w:tc>
          <w:tcPr>
            <w:tcW w:type="dxa" w:w="1440"/>
            <w:shd w:fill="FAFAFA" w:val="clear"/>
          </w:tcPr>
          <w:p>
            <w:r>
              <w:rPr>
                <w:b/>
                <w:sz w:val="17"/>
              </w:rPr>
              <w:t>3,148</w:t>
            </w:r>
          </w:p>
        </w:tc>
        <w:tc>
          <w:tcPr>
            <w:tcW w:type="dxa" w:w="1440"/>
            <w:shd w:fill="FAFAFA" w:val="clear"/>
          </w:tcPr>
          <w:p>
            <w:r>
              <w:rPr>
                <w:sz w:val="17"/>
              </w:rPr>
              <w:t>3,581</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2026-09-16</w:t>
            </w:r>
          </w:p>
        </w:tc>
        <w:tc>
          <w:tcPr>
            <w:tcW w:type="dxa" w:w="1440"/>
            <w:shd w:fill="FAFAFA" w:val="clear"/>
          </w:tcPr>
          <w:p>
            <w:r>
              <w:rPr>
                <w:sz w:val="17"/>
              </w:rPr>
              <w:t>2,672</w:t>
            </w:r>
          </w:p>
        </w:tc>
        <w:tc>
          <w:tcPr>
            <w:tcW w:type="dxa" w:w="1440"/>
            <w:shd w:fill="FAFAFA" w:val="clear"/>
          </w:tcPr>
          <w:p>
            <w:r>
              <w:rPr>
                <w:b/>
                <w:sz w:val="17"/>
              </w:rPr>
              <w:t>3,139</w:t>
            </w:r>
          </w:p>
        </w:tc>
        <w:tc>
          <w:tcPr>
            <w:tcW w:type="dxa" w:w="1440"/>
            <w:shd w:fill="FAFAFA" w:val="clear"/>
          </w:tcPr>
          <w:p>
            <w:r>
              <w:rPr>
                <w:sz w:val="17"/>
              </w:rPr>
              <w:t>3,606</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2,632</w:t>
            </w:r>
          </w:p>
        </w:tc>
        <w:tc>
          <w:tcPr>
            <w:tcW w:type="dxa" w:w="1440"/>
            <w:shd w:fill="FFDCE0" w:val="clear"/>
          </w:tcPr>
          <w:p>
            <w:r>
              <w:rPr>
                <w:b/>
                <w:sz w:val="17"/>
              </w:rPr>
              <w:t>3,130</w:t>
            </w:r>
          </w:p>
        </w:tc>
        <w:tc>
          <w:tcPr>
            <w:tcW w:type="dxa" w:w="1440"/>
            <w:shd w:fill="FFDCE0" w:val="clear"/>
          </w:tcPr>
          <w:p>
            <w:r>
              <w:rPr>
                <w:sz w:val="17"/>
              </w:rPr>
              <w:t>3,628</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2,594</w:t>
            </w:r>
          </w:p>
        </w:tc>
        <w:tc>
          <w:tcPr>
            <w:tcW w:type="dxa" w:w="1440"/>
            <w:shd w:fill="FFDCE0" w:val="clear"/>
          </w:tcPr>
          <w:p>
            <w:r>
              <w:rPr>
                <w:b/>
                <w:sz w:val="17"/>
              </w:rPr>
              <w:t>3,121</w:t>
            </w:r>
          </w:p>
        </w:tc>
        <w:tc>
          <w:tcPr>
            <w:tcW w:type="dxa" w:w="1440"/>
            <w:shd w:fill="FFDCE0" w:val="clear"/>
          </w:tcPr>
          <w:p>
            <w:r>
              <w:rPr>
                <w:sz w:val="17"/>
              </w:rPr>
              <w:t>3,647</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2,559</w:t>
            </w:r>
          </w:p>
        </w:tc>
        <w:tc>
          <w:tcPr>
            <w:tcW w:type="dxa" w:w="1440"/>
            <w:shd w:fill="FFDCE0" w:val="clear"/>
          </w:tcPr>
          <w:p>
            <w:r>
              <w:rPr>
                <w:b/>
                <w:sz w:val="17"/>
              </w:rPr>
              <w:t>3,112</w:t>
            </w:r>
          </w:p>
        </w:tc>
        <w:tc>
          <w:tcPr>
            <w:tcW w:type="dxa" w:w="1440"/>
            <w:shd w:fill="FFDCE0" w:val="clear"/>
          </w:tcPr>
          <w:p>
            <w:r>
              <w:rPr>
                <w:sz w:val="17"/>
              </w:rPr>
              <w:t>3,665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07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201,48 milliards FCFA, ce qui en fait l'une des valeurs les plus significatives de la cote, reflétant la position dominante de la filiale ivoirienne de TotalEnergies dans la distribution de produits pétroliers. Avec un BPA de 144 FCFA, le titre se négocie à un PER de 22,2x, soit un niveau nettement supérieur à la moyenne historique de la BRVM (8-12x). Cette prime de valorisation suggère que le marché anticipe une croissance future des bénéfices ou intègre une prime de qualité pour ce leader sectoriel. Le P/B de 5,57x confirme cette lecture, indiquant que les investisseurs paient plus de cinq fois la valeur comptable des actifs, une décote significative par rapport aux capitaux propres de 36,2 milliards FCFA. Enfin, l'EV/EBITDA de 11,5x, bien que dans la fourchette haute (10-15x), valorise la capacité opérationnelle de l'entreprise à un niveau exigeant, cohérent avec une société de cette envergure.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de +14,49%, passant d'un plus bas de 2 650 FCFA à un plus haut de 3 595 FCFA, avant de clôturer à 3 200 FCFA. La dernière séance montre un recul notable de -5,04%, suggérant une prise de bénéfices après une période de hausse soutenue. Le cours moyen sur la période est de 2 942 FCFA, avec une médiane de 2 898 FCFA, l'écart entre ces deux valeurs indiquant une distribution légèrement asymétrique à droite. L'écart-type de 199 FCFA (CV=6,8%) témoigne d'une dispersion modérée autour de la moyenne. Le kurtosis positif de 1,162 révèle un risque de mouvements extrêmes, tandis que le skewness de 1,336 confirme une asymétrie positive, avec davantage de journées sous la moyenne mais des pics haussiers prononcés. La volatilité annualisée de 40,9% classe TTLC comme une valeur à forte volatilité (&gt;30%),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3 200 FCFA se situe entre la MM20 (3 270,75 FCFA) et la MM50 (3 057 FCFA), avec une MM20 au-dessus de la MM50, configuration typique d'une tendance haussière de moyen terme. La décision d'achat est justifiée par la dynamique positive, bien que le cours doive repasser au-dessus de la MM20 pour confirmer la reprise.</w:t>
      </w:r>
    </w:p>
    <w:p>
      <w:pPr>
        <w:spacing w:after="120" w:line="276" w:lineRule="auto"/>
      </w:pPr>
      <w:r>
        <w:t>**Bandes de Bollinger** : Le prix se positionne dans la partie médiane des bandes (borne inférieure à 2 919,10 FCFA et borne supérieure à 3 622,40 FCFA), indiquant une volatilité modérée. La décision neutre reflète l'absence de signal directionnel fort, le marché attendant une cassure des bornes pour orienter le mouvement.</w:t>
      </w:r>
    </w:p>
    <w:p>
      <w:pPr>
        <w:spacing w:after="120" w:line="276" w:lineRule="auto"/>
      </w:pPr>
      <w:r>
        <w:t>**MACD** : La valeur MACD (92,08) est inférieure à son signal (111,14), signalant un momentum baissier à court terme. Cette configuration de vente suggère une consolidation après la récente progression, les investisseurs surveillant un éventuel croisement haussier pour réviser leur position.</w:t>
      </w:r>
    </w:p>
    <w:p>
      <w:pPr>
        <w:spacing w:after="120" w:line="276" w:lineRule="auto"/>
      </w:pPr>
      <w:r>
        <w:t>**RSI** : À 49,5, le RSI se situe en zone neutre, indiquant un équilibre entre pression acheteuse et vendeuse. Cette valeur ne montre ni surachat ni survente, laissant place à une évolution dans les deux sens sans signal technique fort.</w:t>
      </w:r>
    </w:p>
    <w:p>
      <w:pPr>
        <w:spacing w:after="120" w:line="276" w:lineRule="auto"/>
      </w:pPr>
      <w:r>
        <w:t>**Stochastique** : Le %K à 0,0 et le %D à 28,83 indiquent une situation de survente extrême pour le %K, bien que le %D reste au-dessus. La décision d'achat suggère un potentiel rebond technique, le %K devant croiser le %D à la hausse pour confirmer ce scénario.</w:t>
      </w:r>
    </w:p>
    <w:p>
      <w:pPr>
        <w:spacing w:after="120" w:line="276" w:lineRule="auto"/>
      </w:pPr>
      <w:r>
        <w:t>**Conclusion technique** : La convergence des indicateurs est mitigée, avec des signaux d'achat (MM, Stochastique) contrebalancés par des signaux de vente (MACD) et neutres (Bollinger, RSI). Cette configuration suggère une phase de consolidation dans une tendance haussière de fond, avec un risque de correction à court terme avant une reprise potentielle.</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repli de 5,2% par rapport à 2024 (621,0 milliards FCFA), mais avec une amélioration notable de la rentabilité opérationnelle : l'EBE progresse de 12% à 22,347 milliards FCFA et le résultat d'exploitation bondit de 18% à 12,329 milliards FCFA. Le résultat net s'établit à 9,087 milliards FCFA, en baisse de 3% (contre 9,37 milliards en 2024), avec une marge nette de 1,54%. Le ROE reste excellent à 25,1%, tandis que le ROA atteint 4,82%. La structure financière montre un endettement élevé (ratio d'endettement de 90,2%), avec des capitaux propres de 36,2 milliards FCFA pour des dettes totales de 152,27 milliards FCFA. Le BFR négatif de -9,662 milliards FCFA est favorable, indiquant une gestion efficace du cycle d'exploitation. Les rapports trimestriels 2025 montrent une dégradation progressive : le S1 2025 affiche un résultat net de 4,79 milliards FCFA (-25,5%), et le T3 cumulé à 6,52 milliards FCFA (-30,2%), principalement due à l'absence de ventes exceptionnelles et à une charge fiscale anticipée. Cependant, le rapport T1 2026 (publié en 2026) indique un chiffre d'affaires de 154,392 milliards FCFA (+4,3%) et un résultat net de 2,329 milliards FCFA (+5,5%), signalant une reprise encourageante. La politique de dividende reste généreuse avec 10 milliards FCFA proposés pour 2025, soit un taux de distribution supérieur à 100%, financé partiellement par les réserves.</w:t>
      </w:r>
    </w:p>
    <w:p>
      <w:pPr>
        <w:spacing w:after="120" w:line="276" w:lineRule="auto"/>
      </w:pPr>
      <w:r>
        <w:t>---</w:t>
      </w:r>
    </w:p>
    <w:p>
      <w:pPr>
        <w:spacing w:after="120" w:line="276" w:lineRule="auto"/>
      </w:pPr>
      <w:r>
        <w:t>### PARTIE 4 : CONCLUSION D'INVESTISSEMENT</w:t>
      </w:r>
    </w:p>
    <w:p>
      <w:pPr>
        <w:spacing w:after="120" w:line="276" w:lineRule="auto"/>
      </w:pPr>
      <w:r>
        <w:t>La valorisation de TTLC (PER 22,2x, P/B 5,57x) indique une prime significative par rapport au marché, suggérant une surévaluation relative malgré la qualité de l'entreprise. Le comportement du cours sur 100 jours montre une tendance haussière de +14,49% avec une volatilité élevée (40,9%) et une asymétrie positive, mais le recul récent de -5,04% et le kurtosis élevé signalent un risque de correction. Les signaux techniques sont mitigés, avec une convergence partielle entre les MM (achat) et le Stochastique (achat) contre le MACD (vente), indiquant une phase de consolidation. Les fondamentaux restent solides avec un ROE de 25,1% et une amélioration opérationnelle en 2025, mais la baisse du CA et la pression sur la trésorerie nette (-21,9 milliards FCFA) sont préoccupantes. Les prédictions IA (3 193 à 3 157 FCFA sur J+1 à J+10) suggèrent une légère érosion du cours, confirmant la prudence à court terme. La recommandation finale est **CONSERVER**, avec un niveau de confiance **Moyen** et un risque global **Élevé**. L'horizon d'investissement optimal est le **moyen terme (3-12 mois)**, en attendant la confirmation de la reprise amorcée au T1 2026 et une meilleure visibilité sur la soutenabilité de la politique de distribution.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2,676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+26.67%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10.51% (Moyenne) — μ=3,540 FCFA, σ=372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β=0.4915 (Défensif) — Cov=0.000018, Var(idx)=0.000037,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σ_j=2.94%/j (Stable) — Vol. annualisée≈46.7%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2026-09-08</w:t>
            </w:r>
          </w:p>
        </w:tc>
        <w:tc>
          <w:tcPr>
            <w:tcW w:type="dxa" w:w="1440"/>
            <w:shd w:fill="FFDCE0" w:val="clear"/>
          </w:tcPr>
          <w:p>
            <w:r>
              <w:rPr>
                <w:sz w:val="17"/>
              </w:rPr>
              <w:t>3,530</w:t>
            </w:r>
          </w:p>
        </w:tc>
        <w:tc>
          <w:tcPr>
            <w:tcW w:type="dxa" w:w="1440"/>
            <w:shd w:fill="FFDCE0" w:val="clear"/>
          </w:tcPr>
          <w:p>
            <w:r>
              <w:rPr>
                <w:b/>
                <w:sz w:val="17"/>
              </w:rPr>
              <w:t>3,671</w:t>
            </w:r>
          </w:p>
        </w:tc>
        <w:tc>
          <w:tcPr>
            <w:tcW w:type="dxa" w:w="1440"/>
            <w:shd w:fill="FFDCE0" w:val="clear"/>
          </w:tcPr>
          <w:p>
            <w:r>
              <w:rPr>
                <w:sz w:val="17"/>
              </w:rPr>
              <w:t>3,812</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2026-09-09</w:t>
            </w:r>
          </w:p>
        </w:tc>
        <w:tc>
          <w:tcPr>
            <w:tcW w:type="dxa" w:w="1440"/>
            <w:shd w:fill="FFDCE0" w:val="clear"/>
          </w:tcPr>
          <w:p>
            <w:r>
              <w:rPr>
                <w:sz w:val="17"/>
              </w:rPr>
              <w:t>3,409</w:t>
            </w:r>
          </w:p>
        </w:tc>
        <w:tc>
          <w:tcPr>
            <w:tcW w:type="dxa" w:w="1440"/>
            <w:shd w:fill="FFDCE0" w:val="clear"/>
          </w:tcPr>
          <w:p>
            <w:r>
              <w:rPr>
                <w:b/>
                <w:sz w:val="17"/>
              </w:rPr>
              <w:t>3,605</w:t>
            </w:r>
          </w:p>
        </w:tc>
        <w:tc>
          <w:tcPr>
            <w:tcW w:type="dxa" w:w="1440"/>
            <w:shd w:fill="FFDCE0" w:val="clear"/>
          </w:tcPr>
          <w:p>
            <w:r>
              <w:rPr>
                <w:sz w:val="17"/>
              </w:rPr>
              <w:t>3,801</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2026-09-10</w:t>
            </w:r>
          </w:p>
        </w:tc>
        <w:tc>
          <w:tcPr>
            <w:tcW w:type="dxa" w:w="1440"/>
            <w:shd w:fill="FFDCE0" w:val="clear"/>
          </w:tcPr>
          <w:p>
            <w:r>
              <w:rPr>
                <w:sz w:val="17"/>
              </w:rPr>
              <w:t>3,313</w:t>
            </w:r>
          </w:p>
        </w:tc>
        <w:tc>
          <w:tcPr>
            <w:tcW w:type="dxa" w:w="1440"/>
            <w:shd w:fill="FFDCE0" w:val="clear"/>
          </w:tcPr>
          <w:p>
            <w:r>
              <w:rPr>
                <w:b/>
                <w:sz w:val="17"/>
              </w:rPr>
              <w:t>3,549</w:t>
            </w:r>
          </w:p>
        </w:tc>
        <w:tc>
          <w:tcPr>
            <w:tcW w:type="dxa" w:w="1440"/>
            <w:shd w:fill="FFDCE0" w:val="clear"/>
          </w:tcPr>
          <w:p>
            <w:r>
              <w:rPr>
                <w:sz w:val="17"/>
              </w:rPr>
              <w:t>3,785</w:t>
            </w:r>
          </w:p>
        </w:tc>
        <w:tc>
          <w:tcPr>
            <w:tcW w:type="dxa" w:w="1440"/>
            <w:shd w:fill="FFDCE0" w:val="clear"/>
          </w:tcPr>
          <w:p>
            <w:r>
              <w:rPr>
                <w:b/>
                <w:color w:val="C00000"/>
                <w:sz w:val="17"/>
              </w:rPr>
              <w:t>-6.6%</w:t>
            </w:r>
          </w:p>
        </w:tc>
      </w:tr>
      <w:tr>
        <w:tc>
          <w:tcPr>
            <w:tcW w:type="dxa" w:w="1440"/>
            <w:shd w:fill="FFDCE0" w:val="clear"/>
          </w:tcPr>
          <w:p>
            <w:r>
              <w:rPr>
                <w:sz w:val="17"/>
              </w:rPr>
              <w:t>J+4  ⭐</w:t>
            </w:r>
          </w:p>
        </w:tc>
        <w:tc>
          <w:tcPr>
            <w:tcW w:type="dxa" w:w="1440"/>
            <w:shd w:fill="FFDCE0" w:val="clear"/>
          </w:tcPr>
          <w:p>
            <w:r>
              <w:rPr>
                <w:sz w:val="17"/>
              </w:rPr>
              <w:t>2026-09-11</w:t>
            </w:r>
          </w:p>
        </w:tc>
        <w:tc>
          <w:tcPr>
            <w:tcW w:type="dxa" w:w="1440"/>
            <w:shd w:fill="FFDCE0" w:val="clear"/>
          </w:tcPr>
          <w:p>
            <w:r>
              <w:rPr>
                <w:sz w:val="17"/>
              </w:rPr>
              <w:t>3,232</w:t>
            </w:r>
          </w:p>
        </w:tc>
        <w:tc>
          <w:tcPr>
            <w:tcW w:type="dxa" w:w="1440"/>
            <w:shd w:fill="FFDCE0" w:val="clear"/>
          </w:tcPr>
          <w:p>
            <w:r>
              <w:rPr>
                <w:b/>
                <w:sz w:val="17"/>
              </w:rPr>
              <w:t>3,500</w:t>
            </w:r>
          </w:p>
        </w:tc>
        <w:tc>
          <w:tcPr>
            <w:tcW w:type="dxa" w:w="1440"/>
            <w:shd w:fill="FFDCE0" w:val="clear"/>
          </w:tcPr>
          <w:p>
            <w:r>
              <w:rPr>
                <w:sz w:val="17"/>
              </w:rPr>
              <w:t>3,769</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2026-09-14</w:t>
            </w:r>
          </w:p>
        </w:tc>
        <w:tc>
          <w:tcPr>
            <w:tcW w:type="dxa" w:w="1440"/>
            <w:shd w:fill="FFDCE0" w:val="clear"/>
          </w:tcPr>
          <w:p>
            <w:r>
              <w:rPr>
                <w:sz w:val="17"/>
              </w:rPr>
              <w:t>3,160</w:t>
            </w:r>
          </w:p>
        </w:tc>
        <w:tc>
          <w:tcPr>
            <w:tcW w:type="dxa" w:w="1440"/>
            <w:shd w:fill="FFDCE0" w:val="clear"/>
          </w:tcPr>
          <w:p>
            <w:r>
              <w:rPr>
                <w:b/>
                <w:sz w:val="17"/>
              </w:rPr>
              <w:t>3,456</w:t>
            </w:r>
          </w:p>
        </w:tc>
        <w:tc>
          <w:tcPr>
            <w:tcW w:type="dxa" w:w="1440"/>
            <w:shd w:fill="FFDCE0" w:val="clear"/>
          </w:tcPr>
          <w:p>
            <w:r>
              <w:rPr>
                <w:sz w:val="17"/>
              </w:rPr>
              <w:t>3,753</w:t>
            </w:r>
          </w:p>
        </w:tc>
        <w:tc>
          <w:tcPr>
            <w:tcW w:type="dxa" w:w="1440"/>
            <w:shd w:fill="FFDCE0" w:val="clear"/>
          </w:tcPr>
          <w:p>
            <w:r>
              <w:rPr>
                <w:b/>
                <w:color w:val="C00000"/>
                <w:sz w:val="17"/>
              </w:rPr>
              <w:t>-9.0%</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3,094</w:t>
            </w:r>
          </w:p>
        </w:tc>
        <w:tc>
          <w:tcPr>
            <w:tcW w:type="dxa" w:w="1440"/>
            <w:shd w:fill="FFDCE0" w:val="clear"/>
          </w:tcPr>
          <w:p>
            <w:r>
              <w:rPr>
                <w:b/>
                <w:sz w:val="17"/>
              </w:rPr>
              <w:t>3,416</w:t>
            </w:r>
          </w:p>
        </w:tc>
        <w:tc>
          <w:tcPr>
            <w:tcW w:type="dxa" w:w="1440"/>
            <w:shd w:fill="FFDCE0" w:val="clear"/>
          </w:tcPr>
          <w:p>
            <w:r>
              <w:rPr>
                <w:sz w:val="17"/>
              </w:rPr>
              <w:t>3,737</w:t>
            </w:r>
          </w:p>
        </w:tc>
        <w:tc>
          <w:tcPr>
            <w:tcW w:type="dxa" w:w="1440"/>
            <w:shd w:fill="FFDCE0" w:val="clear"/>
          </w:tcPr>
          <w:p>
            <w:r>
              <w:rPr>
                <w:b/>
                <w:color w:val="C00000"/>
                <w:sz w:val="17"/>
              </w:rPr>
              <w:t>-10.1%</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3,034</w:t>
            </w:r>
          </w:p>
        </w:tc>
        <w:tc>
          <w:tcPr>
            <w:tcW w:type="dxa" w:w="1440"/>
            <w:shd w:fill="FFDCE0" w:val="clear"/>
          </w:tcPr>
          <w:p>
            <w:r>
              <w:rPr>
                <w:b/>
                <w:sz w:val="17"/>
              </w:rPr>
              <w:t>3,377</w:t>
            </w:r>
          </w:p>
        </w:tc>
        <w:tc>
          <w:tcPr>
            <w:tcW w:type="dxa" w:w="1440"/>
            <w:shd w:fill="FFDCE0" w:val="clear"/>
          </w:tcPr>
          <w:p>
            <w:r>
              <w:rPr>
                <w:sz w:val="17"/>
              </w:rPr>
              <w:t>3,720</w:t>
            </w:r>
          </w:p>
        </w:tc>
        <w:tc>
          <w:tcPr>
            <w:tcW w:type="dxa" w:w="1440"/>
            <w:shd w:fill="FFDCE0" w:val="clear"/>
          </w:tcPr>
          <w:p>
            <w:r>
              <w:rPr>
                <w:b/>
                <w:color w:val="C00000"/>
                <w:sz w:val="17"/>
              </w:rPr>
              <w:t>-11.1%</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2,979</w:t>
            </w:r>
          </w:p>
        </w:tc>
        <w:tc>
          <w:tcPr>
            <w:tcW w:type="dxa" w:w="1440"/>
            <w:shd w:fill="FFDCE0" w:val="clear"/>
          </w:tcPr>
          <w:p>
            <w:r>
              <w:rPr>
                <w:b/>
                <w:sz w:val="17"/>
              </w:rPr>
              <w:t>3,341</w:t>
            </w:r>
          </w:p>
        </w:tc>
        <w:tc>
          <w:tcPr>
            <w:tcW w:type="dxa" w:w="1440"/>
            <w:shd w:fill="FFDCE0" w:val="clear"/>
          </w:tcPr>
          <w:p>
            <w:r>
              <w:rPr>
                <w:sz w:val="17"/>
              </w:rPr>
              <w:t>3,704</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2,927</w:t>
            </w:r>
          </w:p>
        </w:tc>
        <w:tc>
          <w:tcPr>
            <w:tcW w:type="dxa" w:w="1440"/>
            <w:shd w:fill="FFDCE0" w:val="clear"/>
          </w:tcPr>
          <w:p>
            <w:r>
              <w:rPr>
                <w:b/>
                <w:sz w:val="17"/>
              </w:rPr>
              <w:t>3,308</w:t>
            </w:r>
          </w:p>
        </w:tc>
        <w:tc>
          <w:tcPr>
            <w:tcW w:type="dxa" w:w="1440"/>
            <w:shd w:fill="FFDCE0" w:val="clear"/>
          </w:tcPr>
          <w:p>
            <w:r>
              <w:rPr>
                <w:sz w:val="17"/>
              </w:rPr>
              <w:t>3,689</w:t>
            </w:r>
          </w:p>
        </w:tc>
        <w:tc>
          <w:tcPr>
            <w:tcW w:type="dxa" w:w="1440"/>
            <w:shd w:fill="FFDCE0" w:val="clear"/>
          </w:tcPr>
          <w:p>
            <w:r>
              <w:rPr>
                <w:b/>
                <w:color w:val="C00000"/>
                <w:sz w:val="17"/>
              </w:rPr>
              <w:t>-13.0%</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2,878</w:t>
            </w:r>
          </w:p>
        </w:tc>
        <w:tc>
          <w:tcPr>
            <w:tcW w:type="dxa" w:w="1440"/>
            <w:shd w:fill="FFDCE0" w:val="clear"/>
          </w:tcPr>
          <w:p>
            <w:r>
              <w:rPr>
                <w:b/>
                <w:sz w:val="17"/>
              </w:rPr>
              <w:t>3,276</w:t>
            </w:r>
          </w:p>
        </w:tc>
        <w:tc>
          <w:tcPr>
            <w:tcW w:type="dxa" w:w="1440"/>
            <w:shd w:fill="FFDCE0" w:val="clear"/>
          </w:tcPr>
          <w:p>
            <w:r>
              <w:rPr>
                <w:sz w:val="17"/>
              </w:rPr>
              <w:t>3,674</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123,80 milliards FCFA, ce qui en fait une valeur de taille moyenne sur la BRVM, représentant un profil défensif dans le secteur de la distribution d'hydrocarbures. Le BPA de 208 FCFA par action indique que chaque titre a généré un bénéfice net de 208 FCFA sur l'exercice 2025. Le PER de 18,3x est nettement supérieur à la moyenne historique de la BRVM (8-12x), ce qui signifie que les investisseurs paient une prime substantielle pour accéder aux bénéfices de la société. Cette prime se confirme avec un P/B de 4,38x, indiquant que le marché valorise le titre bien au-dessus de sa valeur comptable, traduisant des attentes de croissance ou de rendement élevées. Enfin, l'EV/EBITDA de 7,8x se situe dans une fourchette raisonnable (5-10x), ce qui relativise la cherté apparente du PER en comparant la valeur totale de l'entreprise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+26,67%, mais accuse un léger repli de -1,04% lors de la dernière séance, signe d'une consolidation après une forte hausse. Le cours a évolué dans un range de trading de 2 845 FCFA à 4 500 FCFA, démontrant une amplitude importante de 58% entre le plus bas et le plus haut. La moyenne (3 540 FCFA) et la médiane (3 500 FCFA) sont proches, indiquant une distribution relativement symétrique des prix, tandis que le mode à 3 800 FCFA (le prix actuel) suggère une concentration des échanges à ce niveau. L'écart-type de 374 FCFA, avec un coefficient de variation de 10,6%, révèle une dispersion modérée des cours autour de la moyenne. Le kurtosis de -0,383 (mésokurtique) indique une distribution proche de la normale, sans risque de variations extrêmes, et le skewness de 0,306 confirme une symétrie acceptable. La volatilité annualisée de 46,7% classe le titre comme très volatil, un niveau élevé qui reflète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La MM20 à 3 759 FCFA et la MM50 à 3 840,8 FCFA sont toutes deux inférieures au cours actuel de 3 800 FCFA, mais la MM50 est supérieure à la MM20, créant une configuration baissière à court terme. Le signal de "Vente" émis par cet indicateur suggère que la tendance de fond pourrait s'essouffler après la forte hausse récente, le prix ayant du mal à se maintenir au-dessus de ses moyennes mobiles clés.</w:t>
      </w:r>
    </w:p>
    <w:p>
      <w:pPr>
        <w:spacing w:after="120" w:line="276" w:lineRule="auto"/>
      </w:pPr>
      <w:r>
        <w:t>**Bandes de Bollinger** : Le cours à 3 800 FCFA se positionne entre la borne inférieure à 3 526,97 FCFA et la borne supérieure à 3 991,03 FCFA, proche du milieu de l'intervalle. Cette position neutre indique que le prix n'est ni suracheté ni survendu, avec une volatilité modérée. La décision "Neutre" reflète un équilibre entre les forces acheteuses et vendeuses, le titre n'ayant pas encore choisi une direction claire après la récente consolidation.</w:t>
      </w:r>
    </w:p>
    <w:p>
      <w:pPr>
        <w:spacing w:after="120" w:line="276" w:lineRule="auto"/>
      </w:pPr>
      <w:r>
        <w:t>**MACD** : Le MACD à 26,721 est supérieur à son signal à 17,742, avec un écart positif de 8,979 points. Cette configuration haussière indique que le momentum de court terme reste positif, les acheteurs contrôlant toujours la dynamique des prix. La décision "Achat" est cohérente avec cette lecture, suggérant que la tendance haussière pourrait se poursuivre malgré le signal de vente des moyennes mobiles.</w:t>
      </w:r>
    </w:p>
    <w:p>
      <w:pPr>
        <w:spacing w:after="120" w:line="276" w:lineRule="auto"/>
      </w:pPr>
      <w:r>
        <w:t>**RSI** : Le RSI à 55,155 se situe dans la zone neutre (30-70), sans signal de surachat ni de survente. Cette valeur indique que le titre dispose d'une marge de manœuvre avant d'atteindre des conditions de surachat (au-dessus de 70), ce qui laisse présager un potentiel haussier résiduel. La décision "Neutre" est appropriée, le momentum n'étant ni excessivement positif ni négatif.</w:t>
      </w:r>
    </w:p>
    <w:p>
      <w:pPr>
        <w:spacing w:after="120" w:line="276" w:lineRule="auto"/>
      </w:pPr>
      <w:r>
        <w:t>**Stochastique** : Le %K à 41,071 est inférieur au %D à 55,388, indiquant une configuration baissière à court terme avec un croisement potentiellement vendeur. Cette divergence suggère que la pression acheteuse s'affaiblit, le %K ayant chuté sous le %D. La décision "Neutre" reflète toutefois l'absence de signal extrême, le titre n'étant ni en surachat ni en survente.</w:t>
      </w:r>
    </w:p>
    <w:p>
      <w:pPr>
        <w:spacing w:after="120" w:line="276" w:lineRule="auto"/>
      </w:pPr>
      <w:r>
        <w:t>**Conclusion technique** : La convergence des indicateurs est mitigée, avec un MACD haussier contrastant avec des moyennes mobiles baissières et un stochastique en repli. Le RSI neutre et les bandes de Bollinger équilibrées suggèrent une phase de consolidation après la forte hausse. La prudence est de mise, le titre semblant chercher une direction après avoir atteint des niveaux élevés.</w:t>
      </w:r>
    </w:p>
    <w:p>
      <w:pPr>
        <w:spacing w:after="120" w:line="276" w:lineRule="auto" w:before="240"/>
      </w:pPr>
      <w:r>
        <w:rPr>
          <w:b/>
          <w:color w:val="003366"/>
          <w:sz w:val="24"/>
        </w:rPr>
        <w:t>**PARTIE 3 : ANALYSE FONDAMENTALE (SECTION CRITIQUE)**</w:t>
      </w:r>
    </w:p>
    <w:p>
      <w:pPr>
        <w:spacing w:after="120" w:line="276" w:lineRule="auto"/>
      </w:pPr>
      <w:r>
        <w:t>En 2025, TotalEnergies Marketing Sénégal (TTLS) a réalisé un chiffre d'affaires de 455,209 milliards FCFA, en baisse de 6,1% par rapport à 2024 (484,945 milliards), avec un résultat net de 6,779 milliards FCFA, en repli de 5,1% (contre 7,140 milliards en 2024). La marge nette reste faible à 1,49%, typique du secteur de distribution, mais le ROE de 24,01% est excellent, démontrant une utilisation très efficace des capitaux propres (28,239 milliards FCFA). Le ROA de 3,95% est plus modeste, reflétant la lourdeur du bilan (171,778 milliards FCFA d'actifs). En tant qu'entreprise de distribution, le BFR négatif de -36,899 milliards FCFA est un signal très favorable, indiquant que TTLS finance son exploitation grâce aux délais fournisseurs (97,76 jours) nettement supérieurs aux délais clients (47,43 jours). La trésorerie nette positive de 13,941 milliards FCFA et la capacité de remboursement de 0,94 an renforcent la solidité financière. Les rapports trimestriels 2025 montrent une tendance cohérente : le T1 2025 (110,8 milliards CA, -13%), le S1 2025 (234,9 milliards, -3%) et le T3 2025 (344,9 milliards, -7%) confirment la baisse du CA liée à l'arrêt du fuel lourd, mais avec une amélioration du résultat d'exploitation (+22% au S1). Le rapport T1 2026 (99,9 milliards CA, -10%) révèle une résilience remarquable avec un résultat net en hausse de +5% à 1,585 milliard, grâce à l'amélioration des marges sur les lubrifiants. La recommandation fondamentale est de CONSERVER, la société démontrant sa capacité à maintenir sa rentabilité malgré un environnement réglementaire contraignant, avec des perspectives de croissance liées aux projets Sangomar et GNL.</w:t>
      </w:r>
    </w:p>
    <w:p>
      <w:pPr>
        <w:spacing w:after="120" w:line="276" w:lineRule="auto" w:before="240"/>
      </w:pPr>
      <w:r>
        <w:rPr>
          <w:b/>
          <w:color w:val="003366"/>
          <w:sz w:val="24"/>
        </w:rPr>
        <w:t>**PARTIE 4 : CONCLUSION D'INVESTISSEMENT**</w:t>
      </w:r>
    </w:p>
    <w:p>
      <w:pPr>
        <w:spacing w:after="120" w:line="276" w:lineRule="auto"/>
      </w:pPr>
      <w:r>
        <w:t>La valorisation de TTLS est exigeante avec un PER de 18,3x et un P/B de 4,38x, nettement supérieurs aux moyennes BRVM, indiquant que le marché intègre déjà des attentes élevées de performance future. Le comportement du cours sur 100 jours (+26,67%) avec une volatilité annualisée de 46,7% reflète un enthousiasme certain, mais la distribution statistique (kurtosis mésokurtique, skewness symétrique) suggère une stabilité relative sans risque de krach imminent. Les signaux techniques sont mitigés, avec un MACD haussier contrastant avec des moyennes mobiles baissières et un stochastique en repli, indiquant une phase de consolidation après la forte hausse. Les fondamentaux restent solides avec un ROE de 24%, un BFR négatif favorable et une trésorerie nette positive, mais la baisse du CA (-6,1% en 2025) et la marge nette faible (1,49%) limitent le potentiel de croissance. Les prédictions IA (J+1 à J+10) montrent une trajectoire baissière de 3 671 à 3 456 FCFA, contredisant le momentum haussier du MACD et suggérant une correction à court terme. La convergence entre la valorisation élevée, les signaux techniques mitigés et les prédictions baissières conduit à une recommandation de **CONSERVER** avec un niveau de confiance Moyen et un risque global Moyen. L'horizon d'investissement optimal est le moyen terme (3-12 mois), en attendant une clarification sur la politique de dividende et l'évolution des volumes de vente.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-15.18%</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5.42% (Moyenne) — μ=56,106 FCFA, σ=3,041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β=0.1547 (Défensif) — Cov=0.000006, Var(idx)=0.000037, ρ=0.025,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σ_j=3.76%/j (Modérée) — Vol. annualisée≈59.7%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2026-09-08</w:t>
            </w:r>
          </w:p>
        </w:tc>
        <w:tc>
          <w:tcPr>
            <w:tcW w:type="dxa" w:w="1440"/>
            <w:shd w:fill="C6EFCE" w:val="clear"/>
          </w:tcPr>
          <w:p>
            <w:r>
              <w:rPr>
                <w:sz w:val="17"/>
              </w:rPr>
              <w:t>50,902</w:t>
            </w:r>
          </w:p>
        </w:tc>
        <w:tc>
          <w:tcPr>
            <w:tcW w:type="dxa" w:w="1440"/>
            <w:shd w:fill="C6EFCE" w:val="clear"/>
          </w:tcPr>
          <w:p>
            <w:r>
              <w:rPr>
                <w:b/>
                <w:sz w:val="17"/>
              </w:rPr>
              <w:t>54,234</w:t>
            </w:r>
          </w:p>
        </w:tc>
        <w:tc>
          <w:tcPr>
            <w:tcW w:type="dxa" w:w="1440"/>
            <w:shd w:fill="C6EFCE" w:val="clear"/>
          </w:tcPr>
          <w:p>
            <w:r>
              <w:rPr>
                <w:sz w:val="17"/>
              </w:rPr>
              <w:t>57,565</w:t>
            </w:r>
          </w:p>
        </w:tc>
        <w:tc>
          <w:tcPr>
            <w:tcW w:type="dxa" w:w="1440"/>
            <w:shd w:fill="C6EFCE" w:val="clear"/>
          </w:tcPr>
          <w:p>
            <w:r>
              <w:rPr>
                <w:b/>
                <w:color w:val="008000"/>
                <w:sz w:val="17"/>
              </w:rPr>
              <w:t>+6.3%</w:t>
            </w:r>
          </w:p>
        </w:tc>
      </w:tr>
      <w:tr>
        <w:tc>
          <w:tcPr>
            <w:tcW w:type="dxa" w:w="1440"/>
            <w:shd w:fill="C6EFCE" w:val="clear"/>
          </w:tcPr>
          <w:p>
            <w:r>
              <w:rPr>
                <w:sz w:val="17"/>
              </w:rPr>
              <w:t>J+2  ⭐</w:t>
            </w:r>
          </w:p>
        </w:tc>
        <w:tc>
          <w:tcPr>
            <w:tcW w:type="dxa" w:w="1440"/>
            <w:shd w:fill="C6EFCE" w:val="clear"/>
          </w:tcPr>
          <w:p>
            <w:r>
              <w:rPr>
                <w:sz w:val="17"/>
              </w:rPr>
              <w:t>2026-09-09</w:t>
            </w:r>
          </w:p>
        </w:tc>
        <w:tc>
          <w:tcPr>
            <w:tcW w:type="dxa" w:w="1440"/>
            <w:shd w:fill="C6EFCE" w:val="clear"/>
          </w:tcPr>
          <w:p>
            <w:r>
              <w:rPr>
                <w:sz w:val="17"/>
              </w:rPr>
              <w:t>49,698</w:t>
            </w:r>
          </w:p>
        </w:tc>
        <w:tc>
          <w:tcPr>
            <w:tcW w:type="dxa" w:w="1440"/>
            <w:shd w:fill="C6EFCE" w:val="clear"/>
          </w:tcPr>
          <w:p>
            <w:r>
              <w:rPr>
                <w:b/>
                <w:sz w:val="17"/>
              </w:rPr>
              <w:t>54,426</w:t>
            </w:r>
          </w:p>
        </w:tc>
        <w:tc>
          <w:tcPr>
            <w:tcW w:type="dxa" w:w="1440"/>
            <w:shd w:fill="C6EFCE" w:val="clear"/>
          </w:tcPr>
          <w:p>
            <w:r>
              <w:rPr>
                <w:sz w:val="17"/>
              </w:rPr>
              <w:t>59,154</w:t>
            </w:r>
          </w:p>
        </w:tc>
        <w:tc>
          <w:tcPr>
            <w:tcW w:type="dxa" w:w="1440"/>
            <w:shd w:fill="C6EFCE" w:val="clear"/>
          </w:tcPr>
          <w:p>
            <w:r>
              <w:rPr>
                <w:b/>
                <w:color w:val="008000"/>
                <w:sz w:val="17"/>
              </w:rPr>
              <w:t>+6.7%</w:t>
            </w:r>
          </w:p>
        </w:tc>
      </w:tr>
      <w:tr>
        <w:tc>
          <w:tcPr>
            <w:tcW w:type="dxa" w:w="1440"/>
            <w:shd w:fill="C6EFCE" w:val="clear"/>
          </w:tcPr>
          <w:p>
            <w:r>
              <w:rPr>
                <w:sz w:val="17"/>
              </w:rPr>
              <w:t>J+3  ⭐</w:t>
            </w:r>
          </w:p>
        </w:tc>
        <w:tc>
          <w:tcPr>
            <w:tcW w:type="dxa" w:w="1440"/>
            <w:shd w:fill="C6EFCE" w:val="clear"/>
          </w:tcPr>
          <w:p>
            <w:r>
              <w:rPr>
                <w:sz w:val="17"/>
              </w:rPr>
              <w:t>2026-09-10</w:t>
            </w:r>
          </w:p>
        </w:tc>
        <w:tc>
          <w:tcPr>
            <w:tcW w:type="dxa" w:w="1440"/>
            <w:shd w:fill="C6EFCE" w:val="clear"/>
          </w:tcPr>
          <w:p>
            <w:r>
              <w:rPr>
                <w:sz w:val="17"/>
              </w:rPr>
              <w:t>49,078</w:t>
            </w:r>
          </w:p>
        </w:tc>
        <w:tc>
          <w:tcPr>
            <w:tcW w:type="dxa" w:w="1440"/>
            <w:shd w:fill="C6EFCE" w:val="clear"/>
          </w:tcPr>
          <w:p>
            <w:r>
              <w:rPr>
                <w:b/>
                <w:sz w:val="17"/>
              </w:rPr>
              <w:t>54,921</w:t>
            </w:r>
          </w:p>
        </w:tc>
        <w:tc>
          <w:tcPr>
            <w:tcW w:type="dxa" w:w="1440"/>
            <w:shd w:fill="C6EFCE" w:val="clear"/>
          </w:tcPr>
          <w:p>
            <w:r>
              <w:rPr>
                <w:sz w:val="17"/>
              </w:rPr>
              <w:t>60,765</w:t>
            </w:r>
          </w:p>
        </w:tc>
        <w:tc>
          <w:tcPr>
            <w:tcW w:type="dxa" w:w="1440"/>
            <w:shd w:fill="C6EFCE" w:val="clear"/>
          </w:tcPr>
          <w:p>
            <w:r>
              <w:rPr>
                <w:b/>
                <w:color w:val="008000"/>
                <w:sz w:val="17"/>
              </w:rPr>
              <w:t>+7.7%</w:t>
            </w:r>
          </w:p>
        </w:tc>
      </w:tr>
      <w:tr>
        <w:tc>
          <w:tcPr>
            <w:tcW w:type="dxa" w:w="1440"/>
            <w:shd w:fill="C6EFCE" w:val="clear"/>
          </w:tcPr>
          <w:p>
            <w:r>
              <w:rPr>
                <w:sz w:val="17"/>
              </w:rPr>
              <w:t>J+4  ⭐</w:t>
            </w:r>
          </w:p>
        </w:tc>
        <w:tc>
          <w:tcPr>
            <w:tcW w:type="dxa" w:w="1440"/>
            <w:shd w:fill="C6EFCE" w:val="clear"/>
          </w:tcPr>
          <w:p>
            <w:r>
              <w:rPr>
                <w:sz w:val="17"/>
              </w:rPr>
              <w:t>2026-09-11</w:t>
            </w:r>
          </w:p>
        </w:tc>
        <w:tc>
          <w:tcPr>
            <w:tcW w:type="dxa" w:w="1440"/>
            <w:shd w:fill="C6EFCE" w:val="clear"/>
          </w:tcPr>
          <w:p>
            <w:r>
              <w:rPr>
                <w:sz w:val="17"/>
              </w:rPr>
              <w:t>48,680</w:t>
            </w:r>
          </w:p>
        </w:tc>
        <w:tc>
          <w:tcPr>
            <w:tcW w:type="dxa" w:w="1440"/>
            <w:shd w:fill="C6EFCE" w:val="clear"/>
          </w:tcPr>
          <w:p>
            <w:r>
              <w:rPr>
                <w:b/>
                <w:sz w:val="17"/>
              </w:rPr>
              <w:t>55,499</w:t>
            </w:r>
          </w:p>
        </w:tc>
        <w:tc>
          <w:tcPr>
            <w:tcW w:type="dxa" w:w="1440"/>
            <w:shd w:fill="C6EFCE" w:val="clear"/>
          </w:tcPr>
          <w:p>
            <w:r>
              <w:rPr>
                <w:sz w:val="17"/>
              </w:rPr>
              <w:t>62,317</w:t>
            </w:r>
          </w:p>
        </w:tc>
        <w:tc>
          <w:tcPr>
            <w:tcW w:type="dxa" w:w="1440"/>
            <w:shd w:fill="C6EFCE" w:val="clear"/>
          </w:tcPr>
          <w:p>
            <w:r>
              <w:rPr>
                <w:b/>
                <w:color w:val="008000"/>
                <w:sz w:val="17"/>
              </w:rPr>
              <w:t>+8.8%</w:t>
            </w:r>
          </w:p>
        </w:tc>
      </w:tr>
      <w:tr>
        <w:tc>
          <w:tcPr>
            <w:tcW w:type="dxa" w:w="1440"/>
            <w:shd w:fill="C6EFCE" w:val="clear"/>
          </w:tcPr>
          <w:p>
            <w:r>
              <w:rPr>
                <w:sz w:val="17"/>
              </w:rPr>
              <w:t>J+5  ⭐</w:t>
            </w:r>
          </w:p>
        </w:tc>
        <w:tc>
          <w:tcPr>
            <w:tcW w:type="dxa" w:w="1440"/>
            <w:shd w:fill="C6EFCE" w:val="clear"/>
          </w:tcPr>
          <w:p>
            <w:r>
              <w:rPr>
                <w:sz w:val="17"/>
              </w:rPr>
              <w:t>2026-09-14</w:t>
            </w:r>
          </w:p>
        </w:tc>
        <w:tc>
          <w:tcPr>
            <w:tcW w:type="dxa" w:w="1440"/>
            <w:shd w:fill="C6EFCE" w:val="clear"/>
          </w:tcPr>
          <w:p>
            <w:r>
              <w:rPr>
                <w:sz w:val="17"/>
              </w:rPr>
              <w:t>48,400</w:t>
            </w:r>
          </w:p>
        </w:tc>
        <w:tc>
          <w:tcPr>
            <w:tcW w:type="dxa" w:w="1440"/>
            <w:shd w:fill="C6EFCE" w:val="clear"/>
          </w:tcPr>
          <w:p>
            <w:r>
              <w:rPr>
                <w:b/>
                <w:sz w:val="17"/>
              </w:rPr>
              <w:t>56,107</w:t>
            </w:r>
          </w:p>
        </w:tc>
        <w:tc>
          <w:tcPr>
            <w:tcW w:type="dxa" w:w="1440"/>
            <w:shd w:fill="C6EFCE" w:val="clear"/>
          </w:tcPr>
          <w:p>
            <w:r>
              <w:rPr>
                <w:sz w:val="17"/>
              </w:rPr>
              <w:t>63,814</w:t>
            </w:r>
          </w:p>
        </w:tc>
        <w:tc>
          <w:tcPr>
            <w:tcW w:type="dxa" w:w="1440"/>
            <w:shd w:fill="C6EFCE" w:val="clear"/>
          </w:tcPr>
          <w:p>
            <w:r>
              <w:rPr>
                <w:b/>
                <w:color w:val="008000"/>
                <w:sz w:val="17"/>
              </w:rPr>
              <w:t>+10.0%</w:t>
            </w:r>
          </w:p>
        </w:tc>
      </w:tr>
      <w:tr>
        <w:tc>
          <w:tcPr>
            <w:tcW w:type="dxa" w:w="1440"/>
            <w:shd w:fill="C6EFCE" w:val="clear"/>
          </w:tcPr>
          <w:p>
            <w:r>
              <w:rPr>
                <w:sz w:val="17"/>
              </w:rPr>
              <w:t>J+6  ⭐</w:t>
            </w:r>
          </w:p>
        </w:tc>
        <w:tc>
          <w:tcPr>
            <w:tcW w:type="dxa" w:w="1440"/>
            <w:shd w:fill="C6EFCE" w:val="clear"/>
          </w:tcPr>
          <w:p>
            <w:r>
              <w:rPr>
                <w:sz w:val="17"/>
              </w:rPr>
              <w:t>2026-09-15</w:t>
            </w:r>
          </w:p>
        </w:tc>
        <w:tc>
          <w:tcPr>
            <w:tcW w:type="dxa" w:w="1440"/>
            <w:shd w:fill="C6EFCE" w:val="clear"/>
          </w:tcPr>
          <w:p>
            <w:r>
              <w:rPr>
                <w:sz w:val="17"/>
              </w:rPr>
              <w:t>48,195</w:t>
            </w:r>
          </w:p>
        </w:tc>
        <w:tc>
          <w:tcPr>
            <w:tcW w:type="dxa" w:w="1440"/>
            <w:shd w:fill="C6EFCE" w:val="clear"/>
          </w:tcPr>
          <w:p>
            <w:r>
              <w:rPr>
                <w:b/>
                <w:sz w:val="17"/>
              </w:rPr>
              <w:t>56,731</w:t>
            </w:r>
          </w:p>
        </w:tc>
        <w:tc>
          <w:tcPr>
            <w:tcW w:type="dxa" w:w="1440"/>
            <w:shd w:fill="C6EFCE" w:val="clear"/>
          </w:tcPr>
          <w:p>
            <w:r>
              <w:rPr>
                <w:sz w:val="17"/>
              </w:rPr>
              <w:t>65,268</w:t>
            </w:r>
          </w:p>
        </w:tc>
        <w:tc>
          <w:tcPr>
            <w:tcW w:type="dxa" w:w="1440"/>
            <w:shd w:fill="C6EFCE" w:val="clear"/>
          </w:tcPr>
          <w:p>
            <w:r>
              <w:rPr>
                <w:b/>
                <w:color w:val="008000"/>
                <w:sz w:val="17"/>
              </w:rPr>
              <w:t>+11.2%</w:t>
            </w:r>
          </w:p>
        </w:tc>
      </w:tr>
      <w:tr>
        <w:tc>
          <w:tcPr>
            <w:tcW w:type="dxa" w:w="1440"/>
            <w:shd w:fill="C6EFCE" w:val="clear"/>
          </w:tcPr>
          <w:p>
            <w:r>
              <w:rPr>
                <w:sz w:val="17"/>
              </w:rPr>
              <w:t>J+7  ⭐</w:t>
            </w:r>
          </w:p>
        </w:tc>
        <w:tc>
          <w:tcPr>
            <w:tcW w:type="dxa" w:w="1440"/>
            <w:shd w:fill="C6EFCE" w:val="clear"/>
          </w:tcPr>
          <w:p>
            <w:r>
              <w:rPr>
                <w:sz w:val="17"/>
              </w:rPr>
              <w:t>2026-09-16</w:t>
            </w:r>
          </w:p>
        </w:tc>
        <w:tc>
          <w:tcPr>
            <w:tcW w:type="dxa" w:w="1440"/>
            <w:shd w:fill="C6EFCE" w:val="clear"/>
          </w:tcPr>
          <w:p>
            <w:r>
              <w:rPr>
                <w:sz w:val="17"/>
              </w:rPr>
              <w:t>48,042</w:t>
            </w:r>
          </w:p>
        </w:tc>
        <w:tc>
          <w:tcPr>
            <w:tcW w:type="dxa" w:w="1440"/>
            <w:shd w:fill="C6EFCE" w:val="clear"/>
          </w:tcPr>
          <w:p>
            <w:r>
              <w:rPr>
                <w:b/>
                <w:sz w:val="17"/>
              </w:rPr>
              <w:t>57,366</w:t>
            </w:r>
          </w:p>
        </w:tc>
        <w:tc>
          <w:tcPr>
            <w:tcW w:type="dxa" w:w="1440"/>
            <w:shd w:fill="C6EFCE" w:val="clear"/>
          </w:tcPr>
          <w:p>
            <w:r>
              <w:rPr>
                <w:sz w:val="17"/>
              </w:rPr>
              <w:t>66,689</w:t>
            </w:r>
          </w:p>
        </w:tc>
        <w:tc>
          <w:tcPr>
            <w:tcW w:type="dxa" w:w="1440"/>
            <w:shd w:fill="C6EFCE" w:val="clear"/>
          </w:tcPr>
          <w:p>
            <w:r>
              <w:rPr>
                <w:b/>
                <w:color w:val="008000"/>
                <w:sz w:val="17"/>
              </w:rPr>
              <w:t>+12.5%</w:t>
            </w:r>
          </w:p>
        </w:tc>
      </w:tr>
      <w:tr>
        <w:tc>
          <w:tcPr>
            <w:tcW w:type="dxa" w:w="1440"/>
            <w:shd w:fill="C6EFCE" w:val="clear"/>
          </w:tcPr>
          <w:p>
            <w:r>
              <w:rPr>
                <w:sz w:val="17"/>
              </w:rPr>
              <w:t>J+8  ⭐</w:t>
            </w:r>
          </w:p>
        </w:tc>
        <w:tc>
          <w:tcPr>
            <w:tcW w:type="dxa" w:w="1440"/>
            <w:shd w:fill="C6EFCE" w:val="clear"/>
          </w:tcPr>
          <w:p>
            <w:r>
              <w:rPr>
                <w:sz w:val="17"/>
              </w:rPr>
              <w:t>2026-09-17</w:t>
            </w:r>
          </w:p>
        </w:tc>
        <w:tc>
          <w:tcPr>
            <w:tcW w:type="dxa" w:w="1440"/>
            <w:shd w:fill="C6EFCE" w:val="clear"/>
          </w:tcPr>
          <w:p>
            <w:r>
              <w:rPr>
                <w:sz w:val="17"/>
              </w:rPr>
              <w:t>47,928</w:t>
            </w:r>
          </w:p>
        </w:tc>
        <w:tc>
          <w:tcPr>
            <w:tcW w:type="dxa" w:w="1440"/>
            <w:shd w:fill="C6EFCE" w:val="clear"/>
          </w:tcPr>
          <w:p>
            <w:r>
              <w:rPr>
                <w:b/>
                <w:sz w:val="17"/>
              </w:rPr>
              <w:t>58,007</w:t>
            </w:r>
          </w:p>
        </w:tc>
        <w:tc>
          <w:tcPr>
            <w:tcW w:type="dxa" w:w="1440"/>
            <w:shd w:fill="C6EFCE" w:val="clear"/>
          </w:tcPr>
          <w:p>
            <w:r>
              <w:rPr>
                <w:sz w:val="17"/>
              </w:rPr>
              <w:t>68,085</w:t>
            </w:r>
          </w:p>
        </w:tc>
        <w:tc>
          <w:tcPr>
            <w:tcW w:type="dxa" w:w="1440"/>
            <w:shd w:fill="C6EFCE" w:val="clear"/>
          </w:tcPr>
          <w:p>
            <w:r>
              <w:rPr>
                <w:b/>
                <w:color w:val="008000"/>
                <w:sz w:val="17"/>
              </w:rPr>
              <w:t>+13.7%</w:t>
            </w:r>
          </w:p>
        </w:tc>
      </w:tr>
      <w:tr>
        <w:tc>
          <w:tcPr>
            <w:tcW w:type="dxa" w:w="1440"/>
            <w:shd w:fill="C6EFCE" w:val="clear"/>
          </w:tcPr>
          <w:p>
            <w:r>
              <w:rPr>
                <w:sz w:val="17"/>
              </w:rPr>
              <w:t>J+9  ⭐</w:t>
            </w:r>
          </w:p>
        </w:tc>
        <w:tc>
          <w:tcPr>
            <w:tcW w:type="dxa" w:w="1440"/>
            <w:shd w:fill="C6EFCE" w:val="clear"/>
          </w:tcPr>
          <w:p>
            <w:r>
              <w:rPr>
                <w:sz w:val="17"/>
              </w:rPr>
              <w:t>2026-09-18</w:t>
            </w:r>
          </w:p>
        </w:tc>
        <w:tc>
          <w:tcPr>
            <w:tcW w:type="dxa" w:w="1440"/>
            <w:shd w:fill="C6EFCE" w:val="clear"/>
          </w:tcPr>
          <w:p>
            <w:r>
              <w:rPr>
                <w:sz w:val="17"/>
              </w:rPr>
              <w:t>47,844</w:t>
            </w:r>
          </w:p>
        </w:tc>
        <w:tc>
          <w:tcPr>
            <w:tcW w:type="dxa" w:w="1440"/>
            <w:shd w:fill="C6EFCE" w:val="clear"/>
          </w:tcPr>
          <w:p>
            <w:r>
              <w:rPr>
                <w:b/>
                <w:sz w:val="17"/>
              </w:rPr>
              <w:t>58,652</w:t>
            </w:r>
          </w:p>
        </w:tc>
        <w:tc>
          <w:tcPr>
            <w:tcW w:type="dxa" w:w="1440"/>
            <w:shd w:fill="C6EFCE" w:val="clear"/>
          </w:tcPr>
          <w:p>
            <w:r>
              <w:rPr>
                <w:sz w:val="17"/>
              </w:rPr>
              <w:t>69,461</w:t>
            </w:r>
          </w:p>
        </w:tc>
        <w:tc>
          <w:tcPr>
            <w:tcW w:type="dxa" w:w="1440"/>
            <w:shd w:fill="C6EFCE" w:val="clear"/>
          </w:tcPr>
          <w:p>
            <w:r>
              <w:rPr>
                <w:b/>
                <w:color w:val="008000"/>
                <w:sz w:val="17"/>
              </w:rPr>
              <w:t>+15.0%</w:t>
            </w:r>
          </w:p>
        </w:tc>
      </w:tr>
      <w:tr>
        <w:tc>
          <w:tcPr>
            <w:tcW w:type="dxa" w:w="1440"/>
            <w:shd w:fill="C6EFCE" w:val="clear"/>
          </w:tcPr>
          <w:p>
            <w:r>
              <w:rPr>
                <w:sz w:val="17"/>
              </w:rPr>
              <w:t>J+10  ⭐</w:t>
            </w:r>
          </w:p>
        </w:tc>
        <w:tc>
          <w:tcPr>
            <w:tcW w:type="dxa" w:w="1440"/>
            <w:shd w:fill="C6EFCE" w:val="clear"/>
          </w:tcPr>
          <w:p>
            <w:r>
              <w:rPr>
                <w:sz w:val="17"/>
              </w:rPr>
              <w:t>2026-09-21</w:t>
            </w:r>
          </w:p>
        </w:tc>
        <w:tc>
          <w:tcPr>
            <w:tcW w:type="dxa" w:w="1440"/>
            <w:shd w:fill="C6EFCE" w:val="clear"/>
          </w:tcPr>
          <w:p>
            <w:r>
              <w:rPr>
                <w:sz w:val="17"/>
              </w:rPr>
              <w:t>47,783</w:t>
            </w:r>
          </w:p>
        </w:tc>
        <w:tc>
          <w:tcPr>
            <w:tcW w:type="dxa" w:w="1440"/>
            <w:shd w:fill="C6EFCE" w:val="clear"/>
          </w:tcPr>
          <w:p>
            <w:r>
              <w:rPr>
                <w:b/>
                <w:sz w:val="17"/>
              </w:rPr>
              <w:t>59,302</w:t>
            </w:r>
          </w:p>
        </w:tc>
        <w:tc>
          <w:tcPr>
            <w:tcW w:type="dxa" w:w="1440"/>
            <w:shd w:fill="C6EFCE" w:val="clear"/>
          </w:tcPr>
          <w:p>
            <w:r>
              <w:rPr>
                <w:sz w:val="17"/>
              </w:rPr>
              <w:t>70,822</w:t>
            </w:r>
          </w:p>
        </w:tc>
        <w:tc>
          <w:tcPr>
            <w:tcW w:type="dxa" w:w="1440"/>
            <w:shd w:fill="C6EFCE" w:val="clear"/>
          </w:tcPr>
          <w:p>
            <w:r>
              <w:rPr>
                <w:b/>
                <w:color w:val="008000"/>
                <w:sz w:val="17"/>
              </w:rPr>
              <w:t>+16.3%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 — BRVM**</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468,35 milliards FCFA, un niveau qui la positionne parmi les valeurs à grande capitalisation de la BRVM, lui conférant une liquidité théorique et un poids significatif dans l'indice. Cependant, les ratios de valorisation (BPA, PER, P/B, EV/EBITDA) ne sont pas calculables en raison de l'absence de données financières structurées récentes et consolidées dans la base. Cette lacune est principalement due à la publication tardive des états financiers et à la structure de bilan complexe de la société, marquée par des capitaux propres historiquement négatifs. En l'absence de ces multiples, il est impossible de déterminer si le marché valorise la société au-dessus ou en dessous de sa valeur comptable intrinsèque. L'investisseur doit donc se tourner vers les analyses fondamentales narratives et les indicateurs techniques pour étayer sa décision, en gardant à l'esprit que le niveau de capitalisation actuel intègre probablement des anticipations de redressement futur.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subi une dépréciation significative de -15,18%, avec une chute brutale de -6,16% lors de la dernière séance, traduisant une pression vendeuse intense. Le titre évolue dans un range de trading de 50 000 à 63 345 FCFA, mais se situe actuellement près de son plus bas, ce qui indique une tendance baissière marquée. Les statistiques descriptives révèlent une moyenne (56 106 FCFA) très proche de la médiane (56 000 FCFA), suggérant une distribution symétrique des prix, confirmée par un skewness de 0,087. L'écart-type de 3 057 FCFA (CV=5,4%) montre une dispersion modérée autour de la moyenne, tandis que le kurtosis de -0,526 (mésokurtique) indique l'absence de valeurs extrêmes ou de pics de volatilité inhabituels. La volatilité annualisée de 59,7% est extrêmement élevée (&gt;30%), classant UNLC comme un actif à très haut risque, où les mouvements de prix peuvent être amples et rapides, une caractéristique typique des titres en phase de restructuration ou de faible liquidité (volume moyen de 21 titres/jour).</w:t>
      </w:r>
    </w:p>
    <w:p>
      <w:pPr>
        <w:spacing w:after="120" w:line="276" w:lineRule="auto" w:before="240"/>
      </w:pPr>
      <w:r>
        <w:rPr>
          <w:b/>
          <w:color w:val="003366"/>
          <w:sz w:val="24"/>
        </w:rPr>
        <w:t>**PARTIE 2 : ANALYSE TECHNIQUE DÉTAILLÉE**</w:t>
      </w:r>
    </w:p>
    <w:p>
      <w:pPr>
        <w:spacing w:after="120" w:line="276" w:lineRule="auto"/>
      </w:pPr>
      <w:r>
        <w:t>Les **Moyennes Mobiles** (MM20=54 477 FCFA, MM50=53 922,8 FCFA) sont toutes deux supérieures au cours actuel de 51 000 FCFA, ce qui est un signal baissier classique. Cependant, la MM20 étant au-dessus de la MM50, une dynamique haussière à court terme s'était amorcée avant la récente chute. La décision "Achat" générée par le système semble prématurée, car le prix a cassé sous ces supports dynamiques, indiquant une perte de momentum haussier.</w:t>
      </w:r>
    </w:p>
    <w:p>
      <w:pPr>
        <w:spacing w:after="120" w:line="276" w:lineRule="auto"/>
      </w:pPr>
      <w:r>
        <w:t>Les **Bandes de Bollinger** (Borne supérieure à 58 530 FCFA, borne inférieure à 50 424 FCFA) montrent que le prix se situe très près de la borne inférieure. Cela suggère que le titre est survendu à court terme et pourrait rebondir techniquement. La décision "Neutre" est cohérente, car un test de la borne inférieure peut précéder soit une poursuite de la baisse, soit un rebond technique. L'écart entre les bornes reste large, confirmant la volatilité élevée.</w:t>
      </w:r>
    </w:p>
    <w:p>
      <w:pPr>
        <w:spacing w:after="120" w:line="276" w:lineRule="auto"/>
      </w:pPr>
      <w:r>
        <w:t>Le **MACD** (Valeur=-281, Signal=-63,7) est négatif et sous sa ligne de signal, indiquant une dynamique baissière claire. La décision "Vente" est justifiée, car l'histogramme est en territoire négatif et s'élargit, signalant un renforcement de la pression vendeuse à moyen terme. Le momentum est clairement défavorable.</w:t>
      </w:r>
    </w:p>
    <w:p>
      <w:pPr>
        <w:spacing w:after="120" w:line="276" w:lineRule="auto"/>
      </w:pPr>
      <w:r>
        <w:t>Le **RSI** (Valeur=33,4) est en zone neutre, mais proche du seuil de survente (30). La décision "Neutre" est correcte, mais ce niveau indique que la pression vendeuse s'essouffle. Un passage sous 30 confirmerait une survente et pourrait déclencher un rebond technique, tandis qu'une remontée au-dessus de 40 signalerait un retour de l'intérêt acheteur.</w:t>
      </w:r>
    </w:p>
    <w:p>
      <w:pPr>
        <w:spacing w:after="120" w:line="276" w:lineRule="auto"/>
      </w:pPr>
      <w:r>
        <w:t>Le **Stochastique** (%K=0,0, %D=24,2) montre un %K à zéro, indiquant une condition de survente extrême. Le %K est sous le %D, mais un croisement haussier est imminent si le %K remonte. La décision "Achat" est basée sur l'anticipation d'un rebond technique après cette chute verticale, mais elle doit être confirmée par une reprise des volumes.</w:t>
      </w:r>
    </w:p>
    <w:p>
      <w:pPr>
        <w:spacing w:after="120" w:line="276" w:lineRule="auto"/>
      </w:pPr>
      <w:r>
        <w:t>**Conclusion technique** : Les indicateurs sont mitigés. Le MACD et les Moyennes Mobiles signalent une tendance baissière dominante, tandis que le RSI et le Stochastique suggèrent des conditions de survente extrême. La configuration actuelle est typique d'un "piège à baissiers" potentiel, mais la faiblesse des volumes rend tout rebond fragile. La prudence est de mise, et un signal d'achat ne serait validé qu'en cas de retour du cours au-dessus de la MM20 (54 477 FCFA).</w:t>
      </w:r>
    </w:p>
    <w:p>
      <w:pPr>
        <w:spacing w:after="120" w:line="276" w:lineRule="auto" w:before="240"/>
      </w:pPr>
      <w:r>
        <w:rPr>
          <w:b/>
          <w:color w:val="003366"/>
          <w:sz w:val="24"/>
        </w:rPr>
        <w:t>**PARTIE 3 : ANALYSE FONDAMENTALE (SECTION CRITIQUE)**</w:t>
      </w:r>
    </w:p>
    <w:p>
      <w:pPr>
        <w:spacing w:after="120" w:line="276" w:lineRule="auto"/>
      </w:pPr>
      <w:r>
        <w:t>Les données financières structurées officielles ne sont pas disponibles dans la base, mais les rapports narratifs fournis (datant de 2022, 2023 et 2024) permettent une analyse approfondie. Pour l'exercice clos le **31 décembre 2023** (rapport daté 2024-12-31), UNLC a réalisé un chiffre d'affaires stable de 24,336 milliards FCFA, contre 36,17 milliards FCFA en 2022 (rapport daté 2023-12-31), soit une baisse de 32,7% due à la cession de l'activité Thé. Le résultat net s'est nettement amélioré, passant d'une perte massive de 6,38 milliards FCFA en 2022 à un bénéfice modeste de 640 millions FCFA en 2023, porté par un résultat d'exploitation positif de 3,34 milliards FCFA. La marge nette reste faible (2,63%) et les capitaux propres sont toujours négatifs (-10,66 milliards FCFA), traduisant une structure financière fragile. Aucun dividende n'a été versé, la priorité étant donnée au réinvestissement et à la reconstitution des fonds propres. En 2021 (rapport daté 2022-12-31), le CA était de 24,336 milliards FCFA avec un bénéfice net de 6,09 milliards FCFA, montrant une volatilité extrême des résultats. Sur la base de ces rapports anciens (2022-2023), on estime que l'exercice 2024-2025 devrait poursuivre le redressement opérationnel, mais la croissance du CA reste un défi majeur. La recommandation fondamentale est de **CONSERVER avec vigilance**, car la société montre des signes de stabilisation, mais son bilan reste précaire et son endettement élevé.</w:t>
      </w:r>
    </w:p>
    <w:p>
      <w:pPr>
        <w:spacing w:after="120" w:line="276" w:lineRule="auto" w:before="240"/>
      </w:pPr>
      <w:r>
        <w:rPr>
          <w:b/>
          <w:color w:val="003366"/>
          <w:sz w:val="24"/>
        </w:rPr>
        <w:t>**PARTIE 4 : CONCLUSION D'INVESTISSEMENT**</w:t>
      </w:r>
    </w:p>
    <w:p>
      <w:pPr>
        <w:spacing w:after="120" w:line="276" w:lineRule="auto"/>
      </w:pPr>
      <w:r>
        <w:t>La synthèse globale fait ressortir des signaux contradictoires. La valorisation (Partie 0) est impossible à déterminer faute de ratios calculables, mais la capitalisation de 468 Mds FCFA semble élevée pour une société aux capitaux propres négatifs. Le comportement du cours (Partie 1) est préoccupant avec une chute de -15,18% sur 100 jours, une volatilité annualisée de 59,7% et une distribution statistique symétrique mais sans signe de retournement. Les signaux techniques (Partie 2) sont mitigés : le MACD et les MM sont baissiers, mais le RSI et le Stochastique indiquent une survente extrême, suggérant un rebond technique possible à très court terme. Les fondamentaux (Partie 3) montrent un redressement fragile (bénéfice de 640 M FCFA en 2023 vs perte en 2022), mais sans croissance du CA ni amélioration des capitaux propres. Les **prédictions IA** (J+1 à J+10) anticipent une remontée progressive du cours de 51 000 à 56 107 FCFA, contredisant la tendance baissière récente et suggérant un potentiel de rebond technique. La convergence entre les signaux de survente technique et les prédictions IA est notable, mais elle est contrebalancée par la faiblesse fondamentale. **Recommandation finale : CONSERVER**, avec un niveau de confiance **Moyen** et un risque global **Élevé**. L'horizon d'investissement optimal serait le **court terme (&lt;3 mois)** pour capitaliser sur un éventuel rebond technique, mais une position long terme (&gt;1 an) nécessiterait une amélioration tangible des fondamentaux, notamment une réduction de l'endettement et un retour à une croissance durable du chiffre d'affaires.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13,214 titres</w:t>
            </w:r>
          </w:p>
        </w:tc>
        <w:tc>
          <w:tcPr>
            <w:tcW w:type="dxa" w:w="2268"/>
            <w:shd w:fill="FFF2CC" w:val="clear"/>
          </w:tcPr>
          <w:p>
            <w:r>
              <w:rPr>
                <w:b/>
                <w:color w:val="503200"/>
                <w:sz w:val="16"/>
              </w:rPr>
              <w:t xml:space="preserve">Cours actuel : </w:t>
            </w:r>
            <w:r>
              <w:rPr>
                <w:color w:val="000000"/>
                <w:sz w:val="17"/>
              </w:rPr>
              <w:t>2,340 FCFA</w:t>
            </w:r>
          </w:p>
          <w:p>
            <w:r>
              <w:rPr>
                <w:b/>
                <w:color w:val="503200"/>
                <w:sz w:val="16"/>
              </w:rPr>
              <w:t xml:space="preserve">Var. 100 jours : </w:t>
            </w:r>
            <w:r>
              <w:rPr>
                <w:b/>
                <w:color w:val="007800"/>
                <w:sz w:val="17"/>
              </w:rPr>
              <w:t>+18.48%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13.23% (Moyenne) — μ=1,923 FCFA, σ=254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β=-0.0596 (Contre-cyclique) — Cov=-0.000002, Var(idx)=0.000037, ρ=-0.011,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2026-09-08</w:t>
            </w:r>
          </w:p>
        </w:tc>
        <w:tc>
          <w:tcPr>
            <w:tcW w:type="dxa" w:w="1440"/>
            <w:shd w:fill="FAFAFA" w:val="clear"/>
          </w:tcPr>
          <w:p>
            <w:r>
              <w:rPr>
                <w:sz w:val="17"/>
              </w:rPr>
              <w:t>2,248</w:t>
            </w:r>
          </w:p>
        </w:tc>
        <w:tc>
          <w:tcPr>
            <w:tcW w:type="dxa" w:w="1440"/>
            <w:shd w:fill="FAFAFA" w:val="clear"/>
          </w:tcPr>
          <w:p>
            <w:r>
              <w:rPr>
                <w:b/>
                <w:sz w:val="17"/>
              </w:rPr>
              <w:t>2,355</w:t>
            </w:r>
          </w:p>
        </w:tc>
        <w:tc>
          <w:tcPr>
            <w:tcW w:type="dxa" w:w="1440"/>
            <w:shd w:fill="FAFAFA" w:val="clear"/>
          </w:tcPr>
          <w:p>
            <w:r>
              <w:rPr>
                <w:sz w:val="17"/>
              </w:rPr>
              <w:t>2,461</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2026-09-09</w:t>
            </w:r>
          </w:p>
        </w:tc>
        <w:tc>
          <w:tcPr>
            <w:tcW w:type="dxa" w:w="1440"/>
            <w:shd w:fill="FAFAFA" w:val="clear"/>
          </w:tcPr>
          <w:p>
            <w:r>
              <w:rPr>
                <w:sz w:val="17"/>
              </w:rPr>
              <w:t>2,188</w:t>
            </w:r>
          </w:p>
        </w:tc>
        <w:tc>
          <w:tcPr>
            <w:tcW w:type="dxa" w:w="1440"/>
            <w:shd w:fill="FAFAFA" w:val="clear"/>
          </w:tcPr>
          <w:p>
            <w:r>
              <w:rPr>
                <w:b/>
                <w:sz w:val="17"/>
              </w:rPr>
              <w:t>2,338</w:t>
            </w:r>
          </w:p>
        </w:tc>
        <w:tc>
          <w:tcPr>
            <w:tcW w:type="dxa" w:w="1440"/>
            <w:shd w:fill="FAFAFA" w:val="clear"/>
          </w:tcPr>
          <w:p>
            <w:r>
              <w:rPr>
                <w:sz w:val="17"/>
              </w:rPr>
              <w:t>2,487</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2026-09-10</w:t>
            </w:r>
          </w:p>
        </w:tc>
        <w:tc>
          <w:tcPr>
            <w:tcW w:type="dxa" w:w="1440"/>
            <w:shd w:fill="FAFAFA" w:val="clear"/>
          </w:tcPr>
          <w:p>
            <w:r>
              <w:rPr>
                <w:sz w:val="17"/>
              </w:rPr>
              <w:t>2,142</w:t>
            </w:r>
          </w:p>
        </w:tc>
        <w:tc>
          <w:tcPr>
            <w:tcW w:type="dxa" w:w="1440"/>
            <w:shd w:fill="FAFAFA" w:val="clear"/>
          </w:tcPr>
          <w:p>
            <w:r>
              <w:rPr>
                <w:b/>
                <w:sz w:val="17"/>
              </w:rPr>
              <w:t>2,324</w:t>
            </w:r>
          </w:p>
        </w:tc>
        <w:tc>
          <w:tcPr>
            <w:tcW w:type="dxa" w:w="1440"/>
            <w:shd w:fill="FAFAFA" w:val="clear"/>
          </w:tcPr>
          <w:p>
            <w:r>
              <w:rPr>
                <w:sz w:val="17"/>
              </w:rPr>
              <w:t>2,505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2026-09-11</w:t>
            </w:r>
          </w:p>
        </w:tc>
        <w:tc>
          <w:tcPr>
            <w:tcW w:type="dxa" w:w="1440"/>
            <w:shd w:fill="FAFAFA" w:val="clear"/>
          </w:tcPr>
          <w:p>
            <w:r>
              <w:rPr>
                <w:sz w:val="17"/>
              </w:rPr>
              <w:t>2,102</w:t>
            </w:r>
          </w:p>
        </w:tc>
        <w:tc>
          <w:tcPr>
            <w:tcW w:type="dxa" w:w="1440"/>
            <w:shd w:fill="FAFAFA" w:val="clear"/>
          </w:tcPr>
          <w:p>
            <w:r>
              <w:rPr>
                <w:b/>
                <w:sz w:val="17"/>
              </w:rPr>
              <w:t>2,310</w:t>
            </w:r>
          </w:p>
        </w:tc>
        <w:tc>
          <w:tcPr>
            <w:tcW w:type="dxa" w:w="1440"/>
            <w:shd w:fill="FAFAFA" w:val="clear"/>
          </w:tcPr>
          <w:p>
            <w:r>
              <w:rPr>
                <w:sz w:val="17"/>
              </w:rPr>
              <w:t>2,519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2026-09-14</w:t>
            </w:r>
          </w:p>
        </w:tc>
        <w:tc>
          <w:tcPr>
            <w:tcW w:type="dxa" w:w="1440"/>
            <w:shd w:fill="FAFAFA" w:val="clear"/>
          </w:tcPr>
          <w:p>
            <w:r>
              <w:rPr>
                <w:sz w:val="17"/>
              </w:rPr>
              <w:t>2,065</w:t>
            </w:r>
          </w:p>
        </w:tc>
        <w:tc>
          <w:tcPr>
            <w:tcW w:type="dxa" w:w="1440"/>
            <w:shd w:fill="FAFAFA" w:val="clear"/>
          </w:tcPr>
          <w:p>
            <w:r>
              <w:rPr>
                <w:b/>
                <w:sz w:val="17"/>
              </w:rPr>
              <w:t>2,297</w:t>
            </w:r>
          </w:p>
        </w:tc>
        <w:tc>
          <w:tcPr>
            <w:tcW w:type="dxa" w:w="1440"/>
            <w:shd w:fill="FAFAFA" w:val="clear"/>
          </w:tcPr>
          <w:p>
            <w:r>
              <w:rPr>
                <w:sz w:val="17"/>
              </w:rPr>
              <w:t>2,529</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2026-09-15</w:t>
            </w:r>
          </w:p>
        </w:tc>
        <w:tc>
          <w:tcPr>
            <w:tcW w:type="dxa" w:w="1440"/>
            <w:shd w:fill="FFDCE0" w:val="clear"/>
          </w:tcPr>
          <w:p>
            <w:r>
              <w:rPr>
                <w:sz w:val="17"/>
              </w:rPr>
              <w:t>2,031</w:t>
            </w:r>
          </w:p>
        </w:tc>
        <w:tc>
          <w:tcPr>
            <w:tcW w:type="dxa" w:w="1440"/>
            <w:shd w:fill="FFDCE0" w:val="clear"/>
          </w:tcPr>
          <w:p>
            <w:r>
              <w:rPr>
                <w:b/>
                <w:sz w:val="17"/>
              </w:rPr>
              <w:t>2,283</w:t>
            </w:r>
          </w:p>
        </w:tc>
        <w:tc>
          <w:tcPr>
            <w:tcW w:type="dxa" w:w="1440"/>
            <w:shd w:fill="FFDCE0" w:val="clear"/>
          </w:tcPr>
          <w:p>
            <w:r>
              <w:rPr>
                <w:sz w:val="17"/>
              </w:rPr>
              <w:t>2,536</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2026-09-16</w:t>
            </w:r>
          </w:p>
        </w:tc>
        <w:tc>
          <w:tcPr>
            <w:tcW w:type="dxa" w:w="1440"/>
            <w:shd w:fill="FFDCE0" w:val="clear"/>
          </w:tcPr>
          <w:p>
            <w:r>
              <w:rPr>
                <w:sz w:val="17"/>
              </w:rPr>
              <w:t>1,999</w:t>
            </w:r>
          </w:p>
        </w:tc>
        <w:tc>
          <w:tcPr>
            <w:tcW w:type="dxa" w:w="1440"/>
            <w:shd w:fill="FFDCE0" w:val="clear"/>
          </w:tcPr>
          <w:p>
            <w:r>
              <w:rPr>
                <w:b/>
                <w:sz w:val="17"/>
              </w:rPr>
              <w:t>2,270</w:t>
            </w:r>
          </w:p>
        </w:tc>
        <w:tc>
          <w:tcPr>
            <w:tcW w:type="dxa" w:w="1440"/>
            <w:shd w:fill="FFDCE0" w:val="clear"/>
          </w:tcPr>
          <w:p>
            <w:r>
              <w:rPr>
                <w:sz w:val="17"/>
              </w:rPr>
              <w:t>2,541</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2026-09-17</w:t>
            </w:r>
          </w:p>
        </w:tc>
        <w:tc>
          <w:tcPr>
            <w:tcW w:type="dxa" w:w="1440"/>
            <w:shd w:fill="FFDCE0" w:val="clear"/>
          </w:tcPr>
          <w:p>
            <w:r>
              <w:rPr>
                <w:sz w:val="17"/>
              </w:rPr>
              <w:t>1,968</w:t>
            </w:r>
          </w:p>
        </w:tc>
        <w:tc>
          <w:tcPr>
            <w:tcW w:type="dxa" w:w="1440"/>
            <w:shd w:fill="FFDCE0" w:val="clear"/>
          </w:tcPr>
          <w:p>
            <w:r>
              <w:rPr>
                <w:b/>
                <w:sz w:val="17"/>
              </w:rPr>
              <w:t>2,257</w:t>
            </w:r>
          </w:p>
        </w:tc>
        <w:tc>
          <w:tcPr>
            <w:tcW w:type="dxa" w:w="1440"/>
            <w:shd w:fill="FFDCE0" w:val="clear"/>
          </w:tcPr>
          <w:p>
            <w:r>
              <w:rPr>
                <w:sz w:val="17"/>
              </w:rPr>
              <w:t>2,545</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2026-09-18</w:t>
            </w:r>
          </w:p>
        </w:tc>
        <w:tc>
          <w:tcPr>
            <w:tcW w:type="dxa" w:w="1440"/>
            <w:shd w:fill="FFDCE0" w:val="clear"/>
          </w:tcPr>
          <w:p>
            <w:r>
              <w:rPr>
                <w:sz w:val="17"/>
              </w:rPr>
              <w:t>1,940</w:t>
            </w:r>
          </w:p>
        </w:tc>
        <w:tc>
          <w:tcPr>
            <w:tcW w:type="dxa" w:w="1440"/>
            <w:shd w:fill="FFDCE0" w:val="clear"/>
          </w:tcPr>
          <w:p>
            <w:r>
              <w:rPr>
                <w:b/>
                <w:sz w:val="17"/>
              </w:rPr>
              <w:t>2,244</w:t>
            </w:r>
          </w:p>
        </w:tc>
        <w:tc>
          <w:tcPr>
            <w:tcW w:type="dxa" w:w="1440"/>
            <w:shd w:fill="FFDCE0" w:val="clear"/>
          </w:tcPr>
          <w:p>
            <w:r>
              <w:rPr>
                <w:sz w:val="17"/>
              </w:rPr>
              <w:t>2,548</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2026-09-21</w:t>
            </w:r>
          </w:p>
        </w:tc>
        <w:tc>
          <w:tcPr>
            <w:tcW w:type="dxa" w:w="1440"/>
            <w:shd w:fill="FFDCE0" w:val="clear"/>
          </w:tcPr>
          <w:p>
            <w:r>
              <w:rPr>
                <w:sz w:val="17"/>
              </w:rPr>
              <w:t>1,912</w:t>
            </w:r>
          </w:p>
        </w:tc>
        <w:tc>
          <w:tcPr>
            <w:tcW w:type="dxa" w:w="1440"/>
            <w:shd w:fill="FFDCE0" w:val="clear"/>
          </w:tcPr>
          <w:p>
            <w:r>
              <w:rPr>
                <w:b/>
                <w:sz w:val="17"/>
              </w:rPr>
              <w:t>2,231</w:t>
            </w:r>
          </w:p>
        </w:tc>
        <w:tc>
          <w:tcPr>
            <w:tcW w:type="dxa" w:w="1440"/>
            <w:shd w:fill="FFDCE0" w:val="clear"/>
          </w:tcPr>
          <w:p>
            <w:r>
              <w:rPr>
                <w:sz w:val="17"/>
              </w:rPr>
              <w:t>2,549</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**Date : 14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d'UNXC s'établit à 48,55 milliards FCFA, un niveau qui la positionne comme une valeur de taille moyenne sur la BRVM, lui conférant une liquidité potentielle appréciable. Le BPA étant négatif à -105 FCFA, le PER ressort à -22,2x, une valeur non significative qui traduit l'incapacité de la société à générer des bénéfices par action sur l'exercice 2024. En revanche, le P/B de 3,11x indique que le marché valorise les capitaux propres de l'entreprise avec une prime substantielle (au-delà de la fourchette de 2-4x), ce qui suggère que les investisseurs anticipent une amélioration future de la rentabilité. L'absence de données sur l'EV/EBITDA s'explique par la marge brute d'exploitation négative de la société, rendant ce ratio non pertinent pour l'exercice écoulé.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affiche une performance remarquable de +18,48%, malgré un repli de -2,70% lors de la dernière séance, qui pourrait marquer une prise de bénéfices après une forte progression. Le cours a évolué dans une fourchette très large, entre 1 250 FCFA (plus bas) et 2 495 FCFA (plus haut), démontrant une forte amplitude de trading. La moyenne du cours sur la période (1 923 FCFA) est très proche de la médiane (1 900 FCFA), ce qui, combiné à un skewness positif de 0,278, indique une distribution quasi symétrique avec une légère queue de distribution vers les hausses. L'écart-type de 256 FCFA (CV de 13,3%) révèle une dispersion modérée autour de la moyenne. Le kurtosis de 0,968 (mésokurtique) suggère une distribution proche de la normale, sans risque de variations extrêmes. Enfin, la volatilité annualisée de 51,1% classe le titre comme très volatil, un niveau élevé qui implique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(2 340 FCFA) se situe nettement au-dessus de la MM20 (2 285 FCFA) et de la MM50 (1 956,9 FCFA), confirmant une dynamique haussière de court et moyen terme. La configuration en "courbe ascendante" des moyennes mobiles valide la décision d'**Achat**, car elle signale une tendance soutenue par les volumes et le momentum.</w:t>
      </w:r>
    </w:p>
    <w:p>
      <w:pPr>
        <w:spacing w:after="120" w:line="276" w:lineRule="auto"/>
      </w:pPr>
      <w:r>
        <w:t>**Bandes de Bollinger** : Le prix évolue dans la partie supérieure du canal, entre la borne inférieure (1 840,5 FCFA) et la borne supérieure (2 729,5 FCFA), sans toucher les extrêmes. Cette position médiane-haute indique une volatilité normale sans condition de surachat extrême, justifiant une décision **Neutre** ; le marché laisse la tendance se développer sans signal d'épuisement.</w:t>
      </w:r>
    </w:p>
    <w:p>
      <w:pPr>
        <w:spacing w:after="120" w:line="276" w:lineRule="auto"/>
      </w:pPr>
      <w:r>
        <w:t>**MACD** : La valeur du MACD (133,9) est passée sous sa ligne de signal (148,8), générant un croisement baissier à court terme. Ce signal de **Vente** suggère un ralentissement du momentum haussier, pouvant précéder une phase de consolidation ou de correction technique après la forte progression récente.</w:t>
      </w:r>
    </w:p>
    <w:p>
      <w:pPr>
        <w:spacing w:after="120" w:line="276" w:lineRule="auto"/>
      </w:pPr>
      <w:r>
        <w:t>**RSI** : Avec une valeur de 67,15, l'indice de force relative se situe en zone neutre-haute, sous le seuil de surachat de 70. La décision **Neutre** indique que la pression acheteuse reste dominante mais n'est pas excessive, laissant une marge de progression avant une éventuelle zone de surachat.</w:t>
      </w:r>
    </w:p>
    <w:p>
      <w:pPr>
        <w:spacing w:after="120" w:line="276" w:lineRule="auto"/>
      </w:pPr>
      <w:r>
        <w:t>**Stochastique** : Le %K (34,0) est passé sous le %D (65,6), formant un croisement baissier en zone neutre. Ce signal de **Neutre** à tendance vendeuse reflète un affaiblissement de la dynamique haussière à très court terme, suggérant une possible pause dans la progression.</w:t>
      </w:r>
    </w:p>
    <w:p>
      <w:pPr>
        <w:spacing w:after="120" w:line="276" w:lineRule="auto"/>
      </w:pPr>
      <w:r>
        <w:t>**Conclusion technique** : La tendance de fond reste résolument haussière, portée par des moyennes mobiles orientées à la hausse. Cependant, la convergence des indicateurs de momentum (MACD et Stochastique) vers des signaux de prudence, couplée à un RSI élevé, suggère un risque de consolidation à court terme. Le scénario le plus probable est une phase de sideway entre 2 250 et 2 450 FCFA avant la reprise de la tendance principale.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révèlent une situation financière contrastée. Le chiffre d'affaires s'établit à 27,333 milliards FCFA, en croissance de 15,4% par rapport à 2023, mais la société affiche une perte nette de -2,189 milliards FCFA, contre un bénéfice de 4,188 milliards FCFA en 2023. Cette dégradation s'explique par un EBE négatif de -352 millions FCFA et un résultat d'exploitation de -2,136 milliards FCFA. Les ratios de rentabilité sont logiquement dégradés : ROE de -14,04% et ROA de -6,39%. La structure financière reste saine avec une autonomie financière de 45,53% et une liquidité générale de 126,23%. Cependant, le BFR de 2,149 milliards FCFA et le délai de stockage de 254 jours témoignent d'une immobilisation importante de capital. Les rapports trimestriels 2025 montrent un redressement spectaculaire du résultat net grâce à une cession-bail immobilière (+9,99 milliards FCFA de produit exceptionnel), masquant une activité ordinaire encore déficitaire. Le rapport du 3ème trimestre 2025 (30/09/2025) indique un résultat net cumulé de 8,143 milliards FCFA, mais le résultat des activités ordinaires reste négatif à -371 millions FCFA. Le rapport S1 2026 (30/06/2026) est plus encourageant : le résultat d'exploitation redevient positif à 771 millions FCFA, et le résultat net atteint 771 millions FCFA, sans élément exceptionnel. On estime que l'exercice 2026 pourrait confirmer ce retour à l'équilibre opérationnel, avec un CA semestriel stable à 15,752 milliards FCFA (+0,3%).</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complexe. La valorisation (Partie 0) est difficile à apprécier avec un PER négatif, mais le P/B de 3,11x suggère que le marché anticipe déjà une amélioration. Le comportement du cours (Partie 1) est haussier sur 100 jours (+18,48%), avec une volatilité très élevée (51,1%) qui implique un risque important. Les signaux techniques (Partie 2) sont partagés : les moyennes mobiles sont haussières, mais le MACD et le Stochastique montrent des signes d'essoufflement à court terme. Les fondamentaux (Partie 3) indiquent un redressement réel de l'exploitation en 2026 (EBIT positif au S1 2026), après une année 2024 difficile et un exercice 2025 artificiellement bénéficiaire. Les prédictions IA (J+1 à J+10) prévoient une légère baisse du cours vers 2 297 FCFA, ce qui contredit la tendance haussière récente mais confirme les signaux techniques de consolidation. **Recommandation finale : ACHAT** pour les investisseurs à moyen-long terme, avec un niveau de confiance **Moyen** et un risque global **Élevé**. L'horizon d'investissement optimal est de **6 à 12 mois**, le temps de confirmer la rentabilité opérationnelle durable sur l'ensemble de l'exercice 2026. Les investisseurs devraient surveiller la publication des résultats annuels 2026 et la confirmation de la tendance positive de l'EBIT.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