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13/10/2026 à 11:49</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48 ACHAT  |  0 NEUTRE  |  0 VENTE  (sur 48 sociétés)</w:t>
      </w:r>
    </w:p>
    <w:p>
      <w:pPr>
        <w:spacing w:before="20" w:after="20"/>
        <w:ind w:left="360" w:right="360"/>
        <w:shd w:val="clear" w:color="auto" w:fill="EBF5FB"/>
      </w:pPr>
      <w:r>
        <w:rPr>
          <w:b/>
          <w:sz w:val="19"/>
        </w:rPr>
        <w:t xml:space="preserve">Top opportunité :  </w:t>
      </w:r>
      <w:r>
        <w:rPr>
          <w:color w:val="008000"/>
          <w:sz w:val="19"/>
        </w:rPr>
        <w:t>ECOC  (score 80/100)</w:t>
      </w:r>
    </w:p>
    <w:p>
      <w:pPr>
        <w:spacing w:before="20" w:after="20"/>
        <w:ind w:left="360" w:right="360"/>
        <w:shd w:val="clear" w:color="auto" w:fill="EBF5FB"/>
      </w:pPr>
      <w:r>
        <w:rPr>
          <w:b/>
          <w:sz w:val="19"/>
        </w:rPr>
        <w:t xml:space="preserve">Secteur surperformant :  </w:t>
      </w:r>
      <w:r>
        <w:rPr>
          <w:color w:val="008000"/>
          <w:sz w:val="19"/>
        </w:rPr>
        <w:t>SERVICES PUBLICS  (+52.3%)</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21 sociétés — vérifier avant d'investir</w:t>
      </w:r>
    </w:p>
    <w:p>
      <w:pPr>
        <w:spacing w:before="20" w:after="20"/>
        <w:ind w:left="360" w:right="360"/>
        <w:shd w:val="clear" w:color="auto" w:fill="EBF5FB"/>
      </w:pPr>
      <w:r>
        <w:rPr>
          <w:b/>
          <w:sz w:val="19"/>
        </w:rPr>
        <w:t xml:space="preserve">⚠️ Liquidité réduite :  </w:t>
      </w:r>
      <w:r>
        <w:rPr>
          <w:color w:val="C00000"/>
          <w:sz w:val="19"/>
        </w:rPr>
        <w:t>14 titres à faible liquidité — risque de sortie</w:t>
      </w:r>
    </w:p>
    <w:p/>
    <w:p>
      <w:r>
        <w:br w:type="page"/>
      </w:r>
    </w:p>
    <w:p>
      <w:pPr>
        <w:pStyle w:val="Heading1"/>
      </w:pPr>
      <w:r>
        <w:t>SYNTHÈSE GÉNÉRALE</w:t>
      </w:r>
    </w:p>
    <w:p>
      <w:pPr>
        <w:spacing w:after="240"/>
      </w:pPr>
      <w:r>
        <w:t xml:space="preserve">Ce rapport présente une analyse détaillée de 48 sociétés cotées à la Bourse Régionale des Valeurs Mobilières (BRVM). </w:t>
      </w:r>
      <w:r>
        <w:t xml:space="preserve">L'indice BRVM Composite s'établit à 545.46 points </w:t>
      </w:r>
      <w:r>
        <w:rPr>
          <w:color w:val="C00000"/>
        </w:rPr>
        <w:t>(-0.26%)</w:t>
      </w:r>
      <w:r>
        <w:t xml:space="preserve"> sur la séance. </w:t>
      </w:r>
      <w:r>
        <w:t>La capitalisation globale du marché atteint 21 390,115 milliards FCFA.</w:t>
      </w:r>
    </w:p>
    <w:p/>
    <w:p>
      <w:pPr>
        <w:pStyle w:val="Heading3"/>
      </w:pPr>
      <w:r>
        <w:t>📊 Évolution de l'indice BRVM Composite (100 derniers jours)</w:t>
      </w:r>
    </w:p>
    <w:p>
      <w:r>
        <w:rPr>
          <w:b/>
        </w:rPr>
        <w:t xml:space="preserve">BRVM Composite — </w:t>
      </w:r>
      <w:r>
        <w:t xml:space="preserve">Sur les 100 derniers jours de cotation (2026-05-19 au 2026-10-12), l'indice BRVM Composite a évolué de </w:t>
      </w:r>
      <w:r>
        <w:rPr>
          <w:b/>
          <w:color w:val="008000"/>
        </w:rPr>
        <w:t>+31.10%</w:t>
      </w:r>
      <w:r>
        <w:t>, passant de 416.07 pts à 545.46 pts. Le plus haut atteint est 555.90 pts et le plus bas 416.07 pts. Sur l'ensemble de la période, la moyenne de l'indice s'établit à 489.81 pts, la médiane à 482.68 pts et le mode à 416.07 pts</w:t>
      </w:r>
      <w:r>
        <w:t xml:space="preserve"> (distribution symétrique). </w:t>
      </w:r>
      <w:r>
        <w:t xml:space="preserve">L'écart-type de 45.07 pts (CV=9.2%) traduit une modérée dispersion des cotations. Le kurtosis de -1.39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+33.36%</w:t>
      </w:r>
      <w:r>
        <w:t xml:space="preserve"> sur la période, passant de 16 039,411 Mds FCFA à 21 390,115 Mds FCFA. Le pic de capitalisation observé est de 21 529,927 Mds FCFA et le plancher de 16 039,411 Mds FCFA. La moyenne de la capitalisation sur la période s'établit à 18 921,999 Mds FCFA, la médiane à 18 594,418 Mds FCFA et le mode à 16 039,411 Mds FCFA</w:t>
      </w:r>
      <w:r>
        <w:t xml:space="preserve"> (distribution symétrique). </w:t>
      </w:r>
      <w:r>
        <w:t>L'écart-type de 1 798,618 Mds FCFA (CV=9.5%) reflète une modérée variabilité de la valorisation du marché. Le kurtosis de -1.39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NTLC - NTLC - NESTLE COTE D'IVOIRE</w:t>
      </w:r>
      <w:r>
        <w:t xml:space="preserve"> | Prix: 15000 FCFA | </w:t>
      </w:r>
      <w:r>
        <w:rPr>
          <w:b/>
          <w:color w:val="008000"/>
        </w:rPr>
        <w:t>ACHAT FORT</w:t>
      </w:r>
      <w:r>
        <w:t xml:space="preserve"> | Confiance: Élevée | Risque: Faible</w:t>
      </w:r>
    </w:p>
    <w:p>
      <w:pPr>
        <w:pStyle w:val="ListNumber"/>
      </w:pPr>
      <w:r>
        <w:rPr>
          <w:b/>
        </w:rPr>
        <w:t>PALC - PALC - PALM COTE D'IVOIRE</w:t>
      </w:r>
      <w:r>
        <w:t xml:space="preserve"> | Prix: 7750 FCFA | </w:t>
      </w:r>
      <w:r>
        <w:rPr>
          <w:b/>
          <w:color w:val="008000"/>
        </w:rPr>
        <w:t>ACHAT FORT</w:t>
      </w:r>
      <w:r>
        <w:t xml:space="preserve"> | Confiance: Élevée | Risque: Faible</w:t>
      </w:r>
    </w:p>
    <w:p>
      <w:pPr>
        <w:pStyle w:val="ListNumber"/>
      </w:pPr>
      <w:r>
        <w:rPr>
          <w:b/>
        </w:rPr>
        <w:t>ABJC - ABJC - SERVAIR ABIDJAN CI</w:t>
      </w:r>
      <w:r>
        <w:t xml:space="preserve"> | Prix: 3190 FCFA | </w:t>
      </w:r>
      <w:r>
        <w:rPr>
          <w:b/>
          <w:color w:val="008000"/>
        </w:rPr>
        <w:t>ACHAT</w:t>
      </w:r>
      <w:r>
        <w:t xml:space="preserve"> | Confiance: Élevée | Risque: Faible</w:t>
      </w:r>
    </w:p>
    <w:p>
      <w:pPr>
        <w:pStyle w:val="ListNumber"/>
      </w:pPr>
      <w:r>
        <w:rPr>
          <w:b/>
        </w:rPr>
        <w:t>BBGC - BRIDGE BANK GROUP COTE D'IVOIRE</w:t>
      </w:r>
      <w:r>
        <w:t xml:space="preserve"> | Prix: 10450 FCFA | </w:t>
      </w:r>
      <w:r>
        <w:rPr>
          <w:b/>
          <w:color w:val="008000"/>
        </w:rPr>
        <w:t>ACHAT</w:t>
      </w:r>
      <w:r>
        <w:t xml:space="preserve"> | Confiance: Moyen | Risque: Moyen</w:t>
      </w:r>
    </w:p>
    <w:p>
      <w:pPr>
        <w:pStyle w:val="ListNumber"/>
      </w:pPr>
      <w:r>
        <w:rPr>
          <w:b/>
        </w:rPr>
        <w:t>BICB - BIIC BN - Banque internationale pour le commerce du benin</w:t>
      </w:r>
      <w:r>
        <w:t xml:space="preserve"> | Prix: 8450 FCFA | </w:t>
      </w:r>
      <w:r>
        <w:rPr>
          <w:b/>
          <w:color w:val="008000"/>
        </w:rPr>
        <w:t>ACHAT</w:t>
      </w:r>
      <w:r>
        <w:t xml:space="preserve"> | Confiance: Élevée | Risque: Moyen</w:t>
      </w:r>
    </w:p>
    <w:p>
      <w:pPr>
        <w:pStyle w:val="ListNumber"/>
      </w:pPr>
      <w:r>
        <w:rPr>
          <w:b/>
        </w:rPr>
        <w:t>BICC - BICI CI - Banque internationale pour le commerce et l'industrie de la Côte d'Ivoire</w:t>
      </w:r>
      <w:r>
        <w:t xml:space="preserve"> | Prix: 31450 FCFA | </w:t>
      </w:r>
      <w:r>
        <w:rPr>
          <w:b/>
          <w:color w:val="008000"/>
        </w:rPr>
        <w:t>ACHAT</w:t>
      </w:r>
      <w:r>
        <w:t xml:space="preserve"> | Confiance: Moyen | Risque: Moyen</w:t>
      </w:r>
    </w:p>
    <w:p>
      <w:pPr>
        <w:pStyle w:val="ListNumber"/>
      </w:pPr>
      <w:r>
        <w:rPr>
          <w:b/>
        </w:rPr>
        <w:t>BNBC - BNBC - BERNABE CI</w:t>
      </w:r>
      <w:r>
        <w:t xml:space="preserve"> | Prix: 1885 FCFA | </w:t>
      </w:r>
      <w:r>
        <w:rPr>
          <w:b/>
          <w:color w:val="008000"/>
        </w:rPr>
        <w:t>ACHAT</w:t>
      </w:r>
      <w:r>
        <w:t xml:space="preserve"> | Confiance: Faible | Risque: Faible</w:t>
      </w:r>
    </w:p>
    <w:p>
      <w:pPr>
        <w:pStyle w:val="ListNumber"/>
      </w:pPr>
      <w:r>
        <w:rPr>
          <w:b/>
        </w:rPr>
        <w:t>BOAB - BANK OF AFRICA BENIN</w:t>
      </w:r>
      <w:r>
        <w:t xml:space="preserve"> | Prix: 9200 FCFA | </w:t>
      </w:r>
      <w:r>
        <w:rPr>
          <w:b/>
          <w:color w:val="008000"/>
        </w:rPr>
        <w:t>ACHAT</w:t>
      </w:r>
      <w:r>
        <w:t xml:space="preserve"> | Confiance: Faible | Risque: Faible</w:t>
      </w:r>
    </w:p>
    <w:p>
      <w:pPr>
        <w:pStyle w:val="ListNumber"/>
      </w:pPr>
      <w:r>
        <w:rPr>
          <w:b/>
        </w:rPr>
        <w:t>BOABF - BANK OF AFRICA BURKINA FASO</w:t>
      </w:r>
      <w:r>
        <w:t xml:space="preserve"> | Prix: 8005 FCFA | </w:t>
      </w:r>
      <w:r>
        <w:rPr>
          <w:b/>
          <w:color w:val="008000"/>
        </w:rPr>
        <w:t>ACHAT</w:t>
      </w:r>
      <w:r>
        <w:t xml:space="preserve"> | Confiance: Moyen | Risque: Moyen</w:t>
      </w:r>
    </w:p>
    <w:p>
      <w:pPr>
        <w:pStyle w:val="ListNumber"/>
      </w:pPr>
      <w:r>
        <w:rPr>
          <w:b/>
        </w:rPr>
        <w:t>BOAC - BANK OF AFRICA COTE D'IVOIRE</w:t>
      </w:r>
      <w:r>
        <w:t xml:space="preserve"> | Prix: 11475 FCFA | </w:t>
      </w:r>
      <w:r>
        <w:rPr>
          <w:b/>
          <w:color w:val="008000"/>
        </w:rPr>
        <w:t>ACHAT</w:t>
      </w:r>
      <w:r>
        <w:t xml:space="preserve"> | Confiance: Faible | Risque: Faible</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48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52.31%</w:t>
      </w:r>
      <w:r>
        <w:t xml:space="preserve">  |  </w:t>
      </w:r>
      <w:r>
        <w:rPr>
          <w:b/>
        </w:rPr>
        <w:t xml:space="preserve">vs BRVM Composite: </w:t>
      </w:r>
      <w:r>
        <w:rPr>
          <w:b/>
          <w:color w:val="008000"/>
        </w:rPr>
        <w:t>+21.21%  🟢 Surperformance</w:t>
      </w:r>
      <w:r>
        <w:br/>
      </w:r>
      <w:r>
        <w:rPr>
          <w:b/>
        </w:rPr>
        <w:t xml:space="preserve">Sentiment général: </w:t>
      </w:r>
      <w:r>
        <w:t xml:space="preserve">ACHAT  |  </w:t>
      </w:r>
      <w:r>
        <w:rPr>
          <w:b/>
        </w:rPr>
        <w:t xml:space="preserve">Risque moyen: </w:t>
      </w:r>
      <w:r>
        <w:t xml:space="preserve">Moyen  |  </w:t>
      </w:r>
      <w:r>
        <w:rPr>
          <w:b/>
        </w:rPr>
        <w:t xml:space="preserve">Prix moyen: </w:t>
      </w:r>
      <w:r>
        <w:t>9690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  |  </w:t>
      </w:r>
      <w:r>
        <w:rPr>
          <w:b/>
        </w:rPr>
        <w:t xml:space="preserve">Performance moyenne (100j): </w:t>
      </w:r>
      <w:r>
        <w:rPr>
          <w:color w:val="008000"/>
        </w:rPr>
        <w:t>44.04%</w:t>
      </w:r>
      <w:r>
        <w:t xml:space="preserve">  |  </w:t>
      </w:r>
      <w:r>
        <w:rPr>
          <w:b/>
        </w:rPr>
        <w:t xml:space="preserve">vs BRVM Composite: </w:t>
      </w:r>
      <w:r>
        <w:rPr>
          <w:b/>
          <w:color w:val="008000"/>
        </w:rPr>
        <w:t>+12.94%  🟢 Surperformance</w:t>
      </w:r>
      <w:r>
        <w:br/>
      </w:r>
      <w:r>
        <w:rPr>
          <w:b/>
        </w:rPr>
        <w:t xml:space="preserve">Sentiment général: </w:t>
      </w:r>
      <w:r>
        <w:t xml:space="preserve">ACHAT  |  </w:t>
      </w:r>
      <w:r>
        <w:rPr>
          <w:b/>
        </w:rPr>
        <w:t xml:space="preserve">Risque moyen: </w:t>
      </w:r>
      <w:r>
        <w:t xml:space="preserve">Moyen  |  </w:t>
      </w:r>
      <w:r>
        <w:rPr>
          <w:b/>
        </w:rPr>
        <w:t xml:space="preserve">Prix moyen: </w:t>
      </w:r>
      <w:r>
        <w:t>10450 FCFA</w:t>
        <w:br/>
      </w:r>
      <w:r>
        <w:rPr>
          <w:b/>
        </w:rPr>
        <w:br/>
        <w:t xml:space="preserve">Sociétés: </w:t>
      </w:r>
      <w:r>
        <w:t>BBGC (BRIDGE BANK GROUP COTE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33.66%</w:t>
      </w:r>
      <w:r>
        <w:t xml:space="preserve">  |  </w:t>
      </w:r>
      <w:r>
        <w:rPr>
          <w:b/>
        </w:rPr>
        <w:t xml:space="preserve">vs BRVM Composite: </w:t>
      </w:r>
      <w:r>
        <w:rPr>
          <w:b/>
          <w:color w:val="008000"/>
        </w:rPr>
        <w:t>+2.57%  🟢 Surperformance</w:t>
      </w:r>
      <w:r>
        <w:br/>
      </w:r>
      <w:r>
        <w:rPr>
          <w:b/>
        </w:rPr>
        <w:t xml:space="preserve">Sentiment général: </w:t>
      </w:r>
      <w:r>
        <w:t xml:space="preserve">ACHAT  |  </w:t>
      </w:r>
      <w:r>
        <w:rPr>
          <w:b/>
        </w:rPr>
        <w:t xml:space="preserve">Risque moyen: </w:t>
      </w:r>
      <w:r>
        <w:t xml:space="preserve">Moyen  |  </w:t>
      </w:r>
      <w:r>
        <w:rPr>
          <w:b/>
        </w:rPr>
        <w:t xml:space="preserve">Prix moyen: </w:t>
      </w:r>
      <w:r>
        <w:t>23300 FCFA</w:t>
        <w:br/>
      </w:r>
      <w:r>
        <w:rPr>
          <w:b/>
        </w:rPr>
        <w:br/>
        <w:t xml:space="preserve">Sociétés: </w:t>
      </w:r>
      <w:r>
        <w:t>ONTBF (ONTBF - ONATEL BURKINA FASO), ORAC (ORAC - ORANGE COTE D'IVOIRE), SNTS (SNTS - SONATEL SN)</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28.67%</w:t>
      </w:r>
      <w:r>
        <w:t xml:space="preserve">  |  </w:t>
      </w:r>
      <w:r>
        <w:rPr>
          <w:b/>
        </w:rPr>
        <w:t xml:space="preserve">vs BRVM Composite: </w:t>
      </w:r>
      <w:r>
        <w:rPr>
          <w:b/>
          <w:color w:val="C00000"/>
        </w:rPr>
        <w:t>-2.43%  🔴 Sous-performance</w:t>
      </w:r>
      <w:r>
        <w:br/>
      </w:r>
      <w:r>
        <w:rPr>
          <w:b/>
        </w:rPr>
        <w:t xml:space="preserve">Sentiment général: </w:t>
      </w:r>
      <w:r>
        <w:t xml:space="preserve">ACHAT  |  </w:t>
      </w:r>
      <w:r>
        <w:rPr>
          <w:b/>
        </w:rPr>
        <w:t xml:space="preserve">Risque moyen: </w:t>
      </w:r>
      <w:r>
        <w:t xml:space="preserve">Moyen  |  </w:t>
      </w:r>
      <w:r>
        <w:rPr>
          <w:b/>
        </w:rPr>
        <w:t xml:space="preserve">Prix moyen: </w:t>
      </w:r>
      <w:r>
        <w:t>13164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14.67%</w:t>
      </w:r>
      <w:r>
        <w:t xml:space="preserve">  |  </w:t>
      </w:r>
      <w:r>
        <w:rPr>
          <w:b/>
        </w:rPr>
        <w:t xml:space="preserve">vs BRVM Composite: </w:t>
      </w:r>
      <w:r>
        <w:rPr>
          <w:b/>
          <w:color w:val="C00000"/>
        </w:rPr>
        <w:t>-16.42%  🔴 Sous-performance</w:t>
      </w:r>
      <w:r>
        <w:br/>
      </w:r>
      <w:r>
        <w:rPr>
          <w:b/>
        </w:rPr>
        <w:t xml:space="preserve">Sentiment général: </w:t>
      </w:r>
      <w:r>
        <w:t xml:space="preserve">ACHAT  |  </w:t>
      </w:r>
      <w:r>
        <w:rPr>
          <w:b/>
        </w:rPr>
        <w:t xml:space="preserve">Risque moyen: </w:t>
      </w:r>
      <w:r>
        <w:t xml:space="preserve">Faible  |  </w:t>
      </w:r>
      <w:r>
        <w:rPr>
          <w:b/>
        </w:rPr>
        <w:t xml:space="preserve">Prix moyen: </w:t>
      </w:r>
      <w:r>
        <w:t>17366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14.62%</w:t>
      </w:r>
      <w:r>
        <w:t xml:space="preserve">  |  </w:t>
      </w:r>
      <w:r>
        <w:rPr>
          <w:b/>
        </w:rPr>
        <w:t xml:space="preserve">vs BRVM Composite: </w:t>
      </w:r>
      <w:r>
        <w:rPr>
          <w:b/>
          <w:color w:val="C00000"/>
        </w:rPr>
        <w:t>-16.48%  🔴 Sous-performance</w:t>
      </w:r>
      <w:r>
        <w:br/>
      </w:r>
      <w:r>
        <w:rPr>
          <w:b/>
        </w:rPr>
        <w:t xml:space="preserve">Sentiment général: </w:t>
      </w:r>
      <w:r>
        <w:t xml:space="preserve">ACHAT  |  </w:t>
      </w:r>
      <w:r>
        <w:rPr>
          <w:b/>
        </w:rPr>
        <w:t xml:space="preserve">Risque moyen: </w:t>
      </w:r>
      <w:r>
        <w:t xml:space="preserve">Faible  |  </w:t>
      </w:r>
      <w:r>
        <w:rPr>
          <w:b/>
        </w:rPr>
        <w:t xml:space="preserve">Prix moyen: </w:t>
      </w:r>
      <w:r>
        <w:t>6095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11.68%</w:t>
      </w:r>
      <w:r>
        <w:t xml:space="preserve">  |  </w:t>
      </w:r>
      <w:r>
        <w:rPr>
          <w:b/>
        </w:rPr>
        <w:t xml:space="preserve">vs BRVM Composite: </w:t>
      </w:r>
      <w:r>
        <w:rPr>
          <w:b/>
          <w:color w:val="C00000"/>
        </w:rPr>
        <w:t>-19.42%  🔴 Sous-performance</w:t>
      </w:r>
      <w:r>
        <w:br/>
      </w:r>
      <w:r>
        <w:rPr>
          <w:b/>
        </w:rPr>
        <w:t xml:space="preserve">Sentiment général: </w:t>
      </w:r>
      <w:r>
        <w:t xml:space="preserve">ACHAT  |  </w:t>
      </w:r>
      <w:r>
        <w:rPr>
          <w:b/>
        </w:rPr>
        <w:t xml:space="preserve">Risque moyen: </w:t>
      </w:r>
      <w:r>
        <w:t xml:space="preserve">Faible  |  </w:t>
      </w:r>
      <w:r>
        <w:rPr>
          <w:b/>
        </w:rPr>
        <w:t xml:space="preserve">Prix moyen: </w:t>
      </w:r>
      <w:r>
        <w:t>2713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-3.95%</w:t>
      </w:r>
      <w:r>
        <w:t xml:space="preserve">  |  </w:t>
      </w:r>
      <w:r>
        <w:rPr>
          <w:b/>
        </w:rPr>
        <w:t xml:space="preserve">vs BRVM Composite: </w:t>
      </w:r>
      <w:r>
        <w:rPr>
          <w:b/>
          <w:color w:val="C00000"/>
        </w:rPr>
        <w:t>-35.05%  🔴 Sous-performance</w:t>
      </w:r>
      <w:r>
        <w:br/>
      </w:r>
      <w:r>
        <w:rPr>
          <w:b/>
        </w:rPr>
        <w:t xml:space="preserve">Sentiment général: </w:t>
      </w:r>
      <w:r>
        <w:t xml:space="preserve">ACHAT  |  </w:t>
      </w:r>
      <w:r>
        <w:rPr>
          <w:b/>
        </w:rPr>
        <w:t xml:space="preserve">Risque moyen: </w:t>
      </w:r>
      <w:r>
        <w:t xml:space="preserve">Faible  |  </w:t>
      </w:r>
      <w:r>
        <w:rPr>
          <w:b/>
        </w:rPr>
        <w:t xml:space="preserve">Prix moyen: </w:t>
      </w:r>
      <w:r>
        <w:t>2263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ABJC, BICB, BOAS, CIEC, ECOC, ONTBF, SDCC, SGBC, SHEC, TTLS, UNXC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BBGC, BICC, BOABF, CBIBF, ETIT, LNBB, NEIC, NTLC, PALC, PRSC, SCRC, SDSC, SEMC, SLBC, SPHC, STBC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BNBC, BOAB, BOAC, BOAM, BOAN, CABC, CFAC, FTSC, NSBC, ORAC, ORGT, SAFC, SIBC, SICC, SIVC, SMBC, SNTS, SOGC, STAC, TTLC, UNLC</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1954339</w:t>
            </w:r>
          </w:p>
        </w:tc>
        <w:tc>
          <w:tcPr>
            <w:tcW w:type="dxa" w:w="1728"/>
          </w:tcPr>
          <w:p>
            <w:r>
              <w:t>131307036 FCFA</w:t>
            </w:r>
          </w:p>
        </w:tc>
        <w:tc>
          <w:tcPr>
            <w:tcW w:type="dxa" w:w="1728"/>
          </w:tcPr>
          <w:p>
            <w:r>
              <w:t>123.33%</w:t>
            </w:r>
          </w:p>
        </w:tc>
        <w:tc>
          <w:tcPr>
            <w:tcW w:type="dxa" w:w="1728"/>
          </w:tcPr>
          <w:p>
            <w:r>
              <w:t>ACHAT</w:t>
            </w:r>
          </w:p>
        </w:tc>
      </w:tr>
      <w:tr>
        <w:tc>
          <w:tcPr>
            <w:tcW w:type="dxa" w:w="1728"/>
          </w:tcPr>
          <w:p>
            <w:r>
              <w:t>BBGC (BRIDGE BANK GROUP COTE D'IVOIRE)</w:t>
            </w:r>
          </w:p>
        </w:tc>
        <w:tc>
          <w:tcPr>
            <w:tcW w:type="dxa" w:w="1728"/>
          </w:tcPr>
          <w:p>
            <w:r>
              <w:t>33617</w:t>
            </w:r>
          </w:p>
        </w:tc>
        <w:tc>
          <w:tcPr>
            <w:tcW w:type="dxa" w:w="1728"/>
          </w:tcPr>
          <w:p>
            <w:r>
              <w:t>312254078 FCFA</w:t>
            </w:r>
          </w:p>
        </w:tc>
        <w:tc>
          <w:tcPr>
            <w:tcW w:type="dxa" w:w="1728"/>
          </w:tcPr>
          <w:p>
            <w:r>
              <w:t>44.04%</w:t>
            </w:r>
          </w:p>
        </w:tc>
        <w:tc>
          <w:tcPr>
            <w:tcW w:type="dxa" w:w="1728"/>
          </w:tcPr>
          <w:p>
            <w:r>
              <w:t>ACHAT</w:t>
            </w:r>
          </w:p>
        </w:tc>
      </w:tr>
      <w:tr>
        <w:tc>
          <w:tcPr>
            <w:tcW w:type="dxa" w:w="1728"/>
          </w:tcPr>
          <w:p>
            <w:r>
              <w:t>SNTS (SNTS - SONATEL SN)</w:t>
            </w:r>
          </w:p>
        </w:tc>
        <w:tc>
          <w:tcPr>
            <w:tcW w:type="dxa" w:w="1728"/>
          </w:tcPr>
          <w:p>
            <w:r>
              <w:t>28197</w:t>
            </w:r>
          </w:p>
        </w:tc>
        <w:tc>
          <w:tcPr>
            <w:tcW w:type="dxa" w:w="1728"/>
          </w:tcPr>
          <w:p>
            <w:r>
              <w:t>1202826767 FCFA</w:t>
            </w:r>
          </w:p>
        </w:tc>
        <w:tc>
          <w:tcPr>
            <w:tcW w:type="dxa" w:w="1728"/>
          </w:tcPr>
          <w:p>
            <w:r>
              <w:t>55.98%</w:t>
            </w:r>
          </w:p>
        </w:tc>
        <w:tc>
          <w:tcPr>
            <w:tcW w:type="dxa" w:w="1728"/>
          </w:tcPr>
          <w:p>
            <w:r>
              <w:t>ACHAT</w:t>
            </w:r>
          </w:p>
        </w:tc>
      </w:tr>
      <w:tr>
        <w:tc>
          <w:tcPr>
            <w:tcW w:type="dxa" w:w="1728"/>
          </w:tcPr>
          <w:p>
            <w:r>
              <w:t>BOAS (BANK OF AFRICA SENEGAL)</w:t>
            </w:r>
          </w:p>
        </w:tc>
        <w:tc>
          <w:tcPr>
            <w:tcW w:type="dxa" w:w="1728"/>
          </w:tcPr>
          <w:p>
            <w:r>
              <w:t>13028</w:t>
            </w:r>
          </w:p>
        </w:tc>
        <w:tc>
          <w:tcPr>
            <w:tcW w:type="dxa" w:w="1728"/>
          </w:tcPr>
          <w:p>
            <w:r>
              <w:t>105456816 FCFA</w:t>
            </w:r>
          </w:p>
        </w:tc>
        <w:tc>
          <w:tcPr>
            <w:tcW w:type="dxa" w:w="1728"/>
          </w:tcPr>
          <w:p>
            <w:r>
              <w:t>4.43%</w:t>
            </w:r>
          </w:p>
        </w:tc>
        <w:tc>
          <w:tcPr>
            <w:tcW w:type="dxa" w:w="1728"/>
          </w:tcPr>
          <w:p>
            <w:r>
              <w:t>ACHAT</w:t>
            </w:r>
          </w:p>
        </w:tc>
      </w:tr>
      <w:tr>
        <w:tc>
          <w:tcPr>
            <w:tcW w:type="dxa" w:w="1728"/>
          </w:tcPr>
          <w:p>
            <w:r>
              <w:t>SCRC (SCRC - SUCRIVOIRE)</w:t>
            </w:r>
          </w:p>
        </w:tc>
        <w:tc>
          <w:tcPr>
            <w:tcW w:type="dxa" w:w="1728"/>
          </w:tcPr>
          <w:p>
            <w:r>
              <w:t>12993</w:t>
            </w:r>
          </w:p>
        </w:tc>
        <w:tc>
          <w:tcPr>
            <w:tcW w:type="dxa" w:w="1728"/>
          </w:tcPr>
          <w:p>
            <w:r>
              <w:t>37081426 FCFA</w:t>
            </w:r>
          </w:p>
        </w:tc>
        <w:tc>
          <w:tcPr>
            <w:tcW w:type="dxa" w:w="1728"/>
          </w:tcPr>
          <w:p>
            <w:r>
              <w:t>7.44%</w:t>
            </w:r>
          </w:p>
        </w:tc>
        <w:tc>
          <w:tcPr>
            <w:tcW w:type="dxa" w:w="1728"/>
          </w:tcPr>
          <w:p>
            <w:r>
              <w:t>ACHAT</w:t>
            </w:r>
          </w:p>
        </w:tc>
      </w:tr>
      <w:tr>
        <w:tc>
          <w:tcPr>
            <w:tcW w:type="dxa" w:w="1728"/>
          </w:tcPr>
          <w:p>
            <w:r>
              <w:t>SDSC (SDSC - AFRICA GLOBAL LOGISTICS CI)</w:t>
            </w:r>
          </w:p>
        </w:tc>
        <w:tc>
          <w:tcPr>
            <w:tcW w:type="dxa" w:w="1728"/>
          </w:tcPr>
          <w:p>
            <w:r>
              <w:t>11764</w:t>
            </w:r>
          </w:p>
        </w:tc>
        <w:tc>
          <w:tcPr>
            <w:tcW w:type="dxa" w:w="1728"/>
          </w:tcPr>
          <w:p>
            <w:r>
              <w:t>34026854 FCFA</w:t>
            </w:r>
          </w:p>
        </w:tc>
        <w:tc>
          <w:tcPr>
            <w:tcW w:type="dxa" w:w="1728"/>
          </w:tcPr>
          <w:p>
            <w:r>
              <w:t>74.27%</w:t>
            </w:r>
          </w:p>
        </w:tc>
        <w:tc>
          <w:tcPr>
            <w:tcW w:type="dxa" w:w="1728"/>
          </w:tcPr>
          <w:p>
            <w:r>
              <w:t>ACHAT</w:t>
            </w:r>
          </w:p>
        </w:tc>
      </w:tr>
      <w:tr>
        <w:tc>
          <w:tcPr>
            <w:tcW w:type="dxa" w:w="1728"/>
          </w:tcPr>
          <w:p>
            <w:r>
              <w:t>SIBC (SIBC - SOCIETE IVOIRIENNE DE BANQUE)</w:t>
            </w:r>
          </w:p>
        </w:tc>
        <w:tc>
          <w:tcPr>
            <w:tcW w:type="dxa" w:w="1728"/>
          </w:tcPr>
          <w:p>
            <w:r>
              <w:t>11425</w:t>
            </w:r>
          </w:p>
        </w:tc>
        <w:tc>
          <w:tcPr>
            <w:tcW w:type="dxa" w:w="1728"/>
          </w:tcPr>
          <w:p>
            <w:r>
              <w:t>102796238 FCFA</w:t>
            </w:r>
          </w:p>
        </w:tc>
        <w:tc>
          <w:tcPr>
            <w:tcW w:type="dxa" w:w="1728"/>
          </w:tcPr>
          <w:p>
            <w:r>
              <w:t>16.99%</w:t>
            </w:r>
          </w:p>
        </w:tc>
        <w:tc>
          <w:tcPr>
            <w:tcW w:type="dxa" w:w="1728"/>
          </w:tcPr>
          <w:p>
            <w:r>
              <w:t>ACHAT</w:t>
            </w:r>
          </w:p>
        </w:tc>
      </w:tr>
      <w:tr>
        <w:tc>
          <w:tcPr>
            <w:tcW w:type="dxa" w:w="1728"/>
          </w:tcPr>
          <w:p>
            <w:r>
              <w:t>SEMC (SEMC - EVIOSYS PACKAGING SIEM CI)</w:t>
            </w:r>
          </w:p>
        </w:tc>
        <w:tc>
          <w:tcPr>
            <w:tcW w:type="dxa" w:w="1728"/>
          </w:tcPr>
          <w:p>
            <w:r>
              <w:t>10520</w:t>
            </w:r>
          </w:p>
        </w:tc>
        <w:tc>
          <w:tcPr>
            <w:tcW w:type="dxa" w:w="1728"/>
          </w:tcPr>
          <w:p>
            <w:r>
              <w:t>15621640 FCFA</w:t>
            </w:r>
          </w:p>
        </w:tc>
        <w:tc>
          <w:tcPr>
            <w:tcW w:type="dxa" w:w="1728"/>
          </w:tcPr>
          <w:p>
            <w:r>
              <w:t>-16.94%</w:t>
            </w:r>
          </w:p>
        </w:tc>
        <w:tc>
          <w:tcPr>
            <w:tcW w:type="dxa" w:w="1728"/>
          </w:tcPr>
          <w:p>
            <w:r>
              <w:t>ACHAT</w:t>
            </w:r>
          </w:p>
        </w:tc>
      </w:tr>
      <w:tr>
        <w:tc>
          <w:tcPr>
            <w:tcW w:type="dxa" w:w="1728"/>
          </w:tcPr>
          <w:p>
            <w:r>
              <w:t>BOAC (BANK OF AFRICA COTE D'IVOIRE)</w:t>
            </w:r>
          </w:p>
        </w:tc>
        <w:tc>
          <w:tcPr>
            <w:tcW w:type="dxa" w:w="1728"/>
          </w:tcPr>
          <w:p>
            <w:r>
              <w:t>10447</w:t>
            </w:r>
          </w:p>
        </w:tc>
        <w:tc>
          <w:tcPr>
            <w:tcW w:type="dxa" w:w="1728"/>
          </w:tcPr>
          <w:p>
            <w:r>
              <w:t>119011763 FCFA</w:t>
            </w:r>
          </w:p>
        </w:tc>
        <w:tc>
          <w:tcPr>
            <w:tcW w:type="dxa" w:w="1728"/>
          </w:tcPr>
          <w:p>
            <w:r>
              <w:t>30.47%</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SIVC (SIVC - ERIUM CI (Ex AIR LIQUIDECI))</w:t>
            </w:r>
          </w:p>
        </w:tc>
        <w:tc>
          <w:tcPr>
            <w:tcW w:type="dxa" w:w="1728"/>
          </w:tcPr>
          <w:p>
            <w:r>
              <w:t>3550</w:t>
            </w:r>
          </w:p>
        </w:tc>
        <w:tc>
          <w:tcPr>
            <w:tcW w:type="dxa" w:w="1728"/>
          </w:tcPr>
          <w:p>
            <w:r>
              <w:t>7323385 FCFA</w:t>
            </w:r>
          </w:p>
        </w:tc>
        <w:tc>
          <w:tcPr>
            <w:tcW w:type="dxa" w:w="1728"/>
          </w:tcPr>
          <w:p>
            <w:r>
              <w:t>-31.58%</w:t>
            </w:r>
          </w:p>
        </w:tc>
        <w:tc>
          <w:tcPr>
            <w:tcW w:type="dxa" w:w="1728"/>
          </w:tcPr>
          <w:p>
            <w:r>
              <w:t>ACHAT</w:t>
            </w:r>
          </w:p>
        </w:tc>
      </w:tr>
      <w:tr>
        <w:tc>
          <w:tcPr>
            <w:tcW w:type="dxa" w:w="1728"/>
          </w:tcPr>
          <w:p>
            <w:r>
              <w:t>SPHC (SPHC - Société Africaine de Plantation d'Hévéas de Côte d'Ivoire)</w:t>
            </w:r>
          </w:p>
        </w:tc>
        <w:tc>
          <w:tcPr>
            <w:tcW w:type="dxa" w:w="1728"/>
          </w:tcPr>
          <w:p>
            <w:r>
              <w:t>3413</w:t>
            </w:r>
          </w:p>
        </w:tc>
        <w:tc>
          <w:tcPr>
            <w:tcW w:type="dxa" w:w="1728"/>
          </w:tcPr>
          <w:p>
            <w:r>
              <w:t>27065746 FCFA</w:t>
            </w:r>
          </w:p>
        </w:tc>
        <w:tc>
          <w:tcPr>
            <w:tcW w:type="dxa" w:w="1728"/>
          </w:tcPr>
          <w:p>
            <w:r>
              <w:t>13.87%</w:t>
            </w:r>
          </w:p>
        </w:tc>
        <w:tc>
          <w:tcPr>
            <w:tcW w:type="dxa" w:w="1728"/>
          </w:tcPr>
          <w:p>
            <w:r>
              <w:t>ACHAT</w:t>
            </w:r>
          </w:p>
        </w:tc>
      </w:tr>
      <w:tr>
        <w:tc>
          <w:tcPr>
            <w:tcW w:type="dxa" w:w="1728"/>
          </w:tcPr>
          <w:p>
            <w:r>
              <w:t>ORGT (ORGT - ORAGROUP TOGO)</w:t>
            </w:r>
          </w:p>
        </w:tc>
        <w:tc>
          <w:tcPr>
            <w:tcW w:type="dxa" w:w="1728"/>
          </w:tcPr>
          <w:p>
            <w:r>
              <w:t>3211</w:t>
            </w:r>
          </w:p>
        </w:tc>
        <w:tc>
          <w:tcPr>
            <w:tcW w:type="dxa" w:w="1728"/>
          </w:tcPr>
          <w:p>
            <w:r>
              <w:t>9697827 FCFA</w:t>
            </w:r>
          </w:p>
        </w:tc>
        <w:tc>
          <w:tcPr>
            <w:tcW w:type="dxa" w:w="1728"/>
          </w:tcPr>
          <w:p>
            <w:r>
              <w:t>12.80%</w:t>
            </w:r>
          </w:p>
        </w:tc>
        <w:tc>
          <w:tcPr>
            <w:tcW w:type="dxa" w:w="1728"/>
          </w:tcPr>
          <w:p>
            <w:r>
              <w:t>ACHAT</w:t>
            </w:r>
          </w:p>
        </w:tc>
      </w:tr>
      <w:tr>
        <w:tc>
          <w:tcPr>
            <w:tcW w:type="dxa" w:w="1728"/>
          </w:tcPr>
          <w:p>
            <w:r>
              <w:t>SOGC (SOGC - Société des caoutchoucs de Grand-Béréby)</w:t>
            </w:r>
          </w:p>
        </w:tc>
        <w:tc>
          <w:tcPr>
            <w:tcW w:type="dxa" w:w="1728"/>
          </w:tcPr>
          <w:p>
            <w:r>
              <w:t>2851</w:t>
            </w:r>
          </w:p>
        </w:tc>
        <w:tc>
          <w:tcPr>
            <w:tcW w:type="dxa" w:w="1728"/>
          </w:tcPr>
          <w:p>
            <w:r>
              <w:t>22447978 FCFA</w:t>
            </w:r>
          </w:p>
        </w:tc>
        <w:tc>
          <w:tcPr>
            <w:tcW w:type="dxa" w:w="1728"/>
          </w:tcPr>
          <w:p>
            <w:r>
              <w:t>7.18%</w:t>
            </w:r>
          </w:p>
        </w:tc>
        <w:tc>
          <w:tcPr>
            <w:tcW w:type="dxa" w:w="1728"/>
          </w:tcPr>
          <w:p>
            <w:r>
              <w:t>ACHAT</w:t>
            </w:r>
          </w:p>
        </w:tc>
      </w:tr>
      <w:tr>
        <w:tc>
          <w:tcPr>
            <w:tcW w:type="dxa" w:w="1728"/>
          </w:tcPr>
          <w:p>
            <w:r>
              <w:t>CFAC (CFAC - CFAO MOTORS CI)</w:t>
            </w:r>
          </w:p>
        </w:tc>
        <w:tc>
          <w:tcPr>
            <w:tcW w:type="dxa" w:w="1728"/>
          </w:tcPr>
          <w:p>
            <w:r>
              <w:t>2810</w:t>
            </w:r>
          </w:p>
        </w:tc>
        <w:tc>
          <w:tcPr>
            <w:tcW w:type="dxa" w:w="1728"/>
          </w:tcPr>
          <w:p>
            <w:r>
              <w:t>4432026 FCFA</w:t>
            </w:r>
          </w:p>
        </w:tc>
        <w:tc>
          <w:tcPr>
            <w:tcW w:type="dxa" w:w="1728"/>
          </w:tcPr>
          <w:p>
            <w:r>
              <w:t>-1.33%</w:t>
            </w:r>
          </w:p>
        </w:tc>
        <w:tc>
          <w:tcPr>
            <w:tcW w:type="dxa" w:w="1728"/>
          </w:tcPr>
          <w:p>
            <w:r>
              <w:t>ACHAT</w:t>
            </w:r>
          </w:p>
        </w:tc>
      </w:tr>
      <w:tr>
        <w:tc>
          <w:tcPr>
            <w:tcW w:type="dxa" w:w="1728"/>
          </w:tcPr>
          <w:p>
            <w:r>
              <w:t>FTSC (FTSC - FILTISAC COTE D'IVOIRE)</w:t>
            </w:r>
          </w:p>
        </w:tc>
        <w:tc>
          <w:tcPr>
            <w:tcW w:type="dxa" w:w="1728"/>
          </w:tcPr>
          <w:p>
            <w:r>
              <w:t>2777</w:t>
            </w:r>
          </w:p>
        </w:tc>
        <w:tc>
          <w:tcPr>
            <w:tcW w:type="dxa" w:w="1728"/>
          </w:tcPr>
          <w:p>
            <w:r>
              <w:t>5500624 FCFA</w:t>
            </w:r>
          </w:p>
        </w:tc>
        <w:tc>
          <w:tcPr>
            <w:tcW w:type="dxa" w:w="1728"/>
          </w:tcPr>
          <w:p>
            <w:r>
              <w:t>-17.33%</w:t>
            </w:r>
          </w:p>
        </w:tc>
        <w:tc>
          <w:tcPr>
            <w:tcW w:type="dxa" w:w="1728"/>
          </w:tcPr>
          <w:p>
            <w:r>
              <w:t>ACHAT</w:t>
            </w:r>
          </w:p>
        </w:tc>
      </w:tr>
      <w:tr>
        <w:tc>
          <w:tcPr>
            <w:tcW w:type="dxa" w:w="1728"/>
          </w:tcPr>
          <w:p>
            <w:r>
              <w:t>ECOC (ECOC - ECOBANK COTE D'IVOIRE)</w:t>
            </w:r>
          </w:p>
        </w:tc>
        <w:tc>
          <w:tcPr>
            <w:tcW w:type="dxa" w:w="1728"/>
          </w:tcPr>
          <w:p>
            <w:r>
              <w:t>2706</w:t>
            </w:r>
          </w:p>
        </w:tc>
        <w:tc>
          <w:tcPr>
            <w:tcW w:type="dxa" w:w="1728"/>
          </w:tcPr>
          <w:p>
            <w:r>
              <w:t>45479153 FCFA</w:t>
            </w:r>
          </w:p>
        </w:tc>
        <w:tc>
          <w:tcPr>
            <w:tcW w:type="dxa" w:w="1728"/>
          </w:tcPr>
          <w:p>
            <w:r>
              <w:t>1.23%</w:t>
            </w:r>
          </w:p>
        </w:tc>
        <w:tc>
          <w:tcPr>
            <w:tcW w:type="dxa" w:w="1728"/>
          </w:tcPr>
          <w:p>
            <w:r>
              <w:t>ACHAT</w:t>
            </w:r>
          </w:p>
        </w:tc>
      </w:tr>
      <w:tr>
        <w:tc>
          <w:tcPr>
            <w:tcW w:type="dxa" w:w="1728"/>
          </w:tcPr>
          <w:p>
            <w:r>
              <w:t>ABJC (ABJC - SERVAIR ABIDJAN CI)</w:t>
            </w:r>
          </w:p>
        </w:tc>
        <w:tc>
          <w:tcPr>
            <w:tcW w:type="dxa" w:w="1728"/>
          </w:tcPr>
          <w:p>
            <w:r>
              <w:t>2668</w:t>
            </w:r>
          </w:p>
        </w:tc>
        <w:tc>
          <w:tcPr>
            <w:tcW w:type="dxa" w:w="1728"/>
          </w:tcPr>
          <w:p>
            <w:r>
              <w:t>10046342 FCFA</w:t>
            </w:r>
          </w:p>
        </w:tc>
        <w:tc>
          <w:tcPr>
            <w:tcW w:type="dxa" w:w="1728"/>
          </w:tcPr>
          <w:p>
            <w:r>
              <w:t>12.13%</w:t>
            </w:r>
          </w:p>
        </w:tc>
        <w:tc>
          <w:tcPr>
            <w:tcW w:type="dxa" w:w="1728"/>
          </w:tcPr>
          <w:p>
            <w:r>
              <w:t>ACHAT</w:t>
            </w:r>
          </w:p>
        </w:tc>
      </w:tr>
      <w:tr>
        <w:tc>
          <w:tcPr>
            <w:tcW w:type="dxa" w:w="1728"/>
          </w:tcPr>
          <w:p>
            <w:r>
              <w:t>NEIC (NEIC - NEI-CEDA CI)</w:t>
            </w:r>
          </w:p>
        </w:tc>
        <w:tc>
          <w:tcPr>
            <w:tcW w:type="dxa" w:w="1728"/>
          </w:tcPr>
          <w:p>
            <w:r>
              <w:t>2606</w:t>
            </w:r>
          </w:p>
        </w:tc>
        <w:tc>
          <w:tcPr>
            <w:tcW w:type="dxa" w:w="1728"/>
          </w:tcPr>
          <w:p>
            <w:r>
              <w:t>6024786 FCFA</w:t>
            </w:r>
          </w:p>
        </w:tc>
        <w:tc>
          <w:tcPr>
            <w:tcW w:type="dxa" w:w="1728"/>
          </w:tcPr>
          <w:p>
            <w:r>
              <w:t>10.31%</w:t>
            </w:r>
          </w:p>
        </w:tc>
        <w:tc>
          <w:tcPr>
            <w:tcW w:type="dxa" w:w="1728"/>
          </w:tcPr>
          <w:p>
            <w:r>
              <w:t>ACHAT</w:t>
            </w:r>
          </w:p>
        </w:tc>
      </w:tr>
      <w:tr>
        <w:tc>
          <w:tcPr>
            <w:tcW w:type="dxa" w:w="1728"/>
          </w:tcPr>
          <w:p>
            <w:r>
              <w:t>BNBC (BNBC - BERNABE CI)</w:t>
            </w:r>
          </w:p>
        </w:tc>
        <w:tc>
          <w:tcPr>
            <w:tcW w:type="dxa" w:w="1728"/>
          </w:tcPr>
          <w:p>
            <w:r>
              <w:t>2315</w:t>
            </w:r>
          </w:p>
        </w:tc>
        <w:tc>
          <w:tcPr>
            <w:tcW w:type="dxa" w:w="1728"/>
          </w:tcPr>
          <w:p>
            <w:r>
              <w:t>4515122 FCFA</w:t>
            </w:r>
          </w:p>
        </w:tc>
        <w:tc>
          <w:tcPr>
            <w:tcW w:type="dxa" w:w="1728"/>
          </w:tcPr>
          <w:p>
            <w:r>
              <w:t>25.67%</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BOAC - BANK OF AFRICA COTE D'IVOIRE</w:t>
      </w:r>
    </w:p>
    <w:p>
      <w:r>
        <w:rPr>
          <w:b/>
        </w:rPr>
        <w:t xml:space="preserve">Score de divergence: </w:t>
      </w:r>
      <w:r>
        <w:t>6/8</w:t>
        <w:br/>
      </w:r>
      <w:r>
        <w:rPr>
          <w:b/>
        </w:rPr>
        <w:t xml:space="preserve">Description: </w:t>
      </w:r>
      <w:r>
        <w:t>Signaux de vente: MM, MACD, Stochastique | Recommandation finale: ACHAT</w:t>
        <w:br/>
      </w:r>
    </w:p>
    <w:p/>
    <w:p>
      <w:pPr>
        <w:pStyle w:val="Heading3"/>
      </w:pPr>
      <w:r>
        <w:t>2. BNBC - BNBC - BERNABE CI</w:t>
      </w:r>
    </w:p>
    <w:p>
      <w:r>
        <w:rPr>
          <w:b/>
        </w:rPr>
        <w:t xml:space="preserve">Score de divergence: </w:t>
      </w:r>
      <w:r>
        <w:t>5/8</w:t>
        <w:br/>
      </w:r>
      <w:r>
        <w:rPr>
          <w:b/>
        </w:rPr>
        <w:t xml:space="preserve">Description: </w:t>
      </w:r>
      <w:r>
        <w:t>Signaux de vente: MM, MACD | Recommandation finale: ACHAT</w:t>
        <w:br/>
      </w:r>
    </w:p>
    <w:p/>
    <w:p>
      <w:pPr>
        <w:pStyle w:val="Heading3"/>
      </w:pPr>
      <w:r>
        <w:t>3. BOAB - BANK OF AFRICA BENIN</w:t>
      </w:r>
    </w:p>
    <w:p>
      <w:r>
        <w:rPr>
          <w:b/>
        </w:rPr>
        <w:t xml:space="preserve">Score de divergence: </w:t>
      </w:r>
      <w:r>
        <w:t>5/8</w:t>
        <w:br/>
      </w:r>
      <w:r>
        <w:rPr>
          <w:b/>
        </w:rPr>
        <w:t xml:space="preserve">Description: </w:t>
      </w:r>
      <w:r>
        <w:t>Signaux de vente: MM, MACD | Recommandation finale: ACHAT</w:t>
        <w:br/>
      </w:r>
    </w:p>
    <w:p/>
    <w:p>
      <w:pPr>
        <w:pStyle w:val="Heading3"/>
      </w:pPr>
      <w:r>
        <w:t>4. BOAM - BANK OF AFRICA MALI</w:t>
      </w:r>
    </w:p>
    <w:p>
      <w:r>
        <w:rPr>
          <w:b/>
        </w:rPr>
        <w:t xml:space="preserve">Score de divergence: </w:t>
      </w:r>
      <w:r>
        <w:t>5/8</w:t>
        <w:br/>
      </w:r>
      <w:r>
        <w:rPr>
          <w:b/>
        </w:rPr>
        <w:t xml:space="preserve">Description: </w:t>
      </w:r>
      <w:r>
        <w:t>Signaux de vente: MM, MACD | Recommandation finale: ACHAT</w:t>
        <w:br/>
      </w:r>
    </w:p>
    <w:p/>
    <w:p>
      <w:pPr>
        <w:pStyle w:val="Heading3"/>
      </w:pPr>
      <w:r>
        <w:t>5. CABC - CABC - SICABLE COTE D'IVOIRE</w:t>
      </w:r>
    </w:p>
    <w:p>
      <w:r>
        <w:rPr>
          <w:b/>
        </w:rPr>
        <w:t xml:space="preserve">Score de divergence: </w:t>
      </w:r>
      <w:r>
        <w:t>5/8</w:t>
        <w:br/>
      </w:r>
      <w:r>
        <w:rPr>
          <w:b/>
        </w:rPr>
        <w:t xml:space="preserve">Description: </w:t>
      </w:r>
      <w:r>
        <w:t>Signaux de vente: MM, MACD | Recommandation finale: ACHAT</w:t>
        <w:br/>
      </w:r>
    </w:p>
    <w:p/>
    <w:p>
      <w:pPr>
        <w:pStyle w:val="Heading3"/>
      </w:pPr>
      <w:r>
        <w:t>6. NSBC - NSBC - NSIA BANQUE COTE D'IVOIRE</w:t>
      </w:r>
    </w:p>
    <w:p>
      <w:r>
        <w:rPr>
          <w:b/>
        </w:rPr>
        <w:t xml:space="preserve">Score de divergence: </w:t>
      </w:r>
      <w:r>
        <w:t>5/8</w:t>
        <w:br/>
      </w:r>
      <w:r>
        <w:rPr>
          <w:b/>
        </w:rPr>
        <w:t xml:space="preserve">Description: </w:t>
      </w:r>
      <w:r>
        <w:t>Signaux de vente: MM, MACD | Recommandation finale: ACHAT</w:t>
        <w:br/>
      </w:r>
    </w:p>
    <w:p/>
    <w:p>
      <w:pPr>
        <w:pStyle w:val="Heading3"/>
      </w:pPr>
      <w:r>
        <w:t>7. SAFC - SAFCA CI</w:t>
      </w:r>
    </w:p>
    <w:p>
      <w:r>
        <w:rPr>
          <w:b/>
        </w:rPr>
        <w:t xml:space="preserve">Score de divergence: </w:t>
      </w:r>
      <w:r>
        <w:t>5/8</w:t>
        <w:br/>
      </w:r>
      <w:r>
        <w:rPr>
          <w:b/>
        </w:rPr>
        <w:t xml:space="preserve">Description: </w:t>
      </w:r>
      <w:r>
        <w:t>Signaux de vente: MM, MACD | Recommandation finale: ACHAT</w:t>
        <w:br/>
      </w:r>
    </w:p>
    <w:p/>
    <w:p>
      <w:pPr>
        <w:pStyle w:val="Heading3"/>
      </w:pPr>
      <w:r>
        <w:t>8. SIBC - SIBC - SOCIETE IVOIRIENNE DE BANQUE</w:t>
      </w:r>
    </w:p>
    <w:p>
      <w:r>
        <w:rPr>
          <w:b/>
        </w:rPr>
        <w:t xml:space="preserve">Score de divergence: </w:t>
      </w:r>
      <w:r>
        <w:t>5/8</w:t>
        <w:br/>
      </w:r>
      <w:r>
        <w:rPr>
          <w:b/>
        </w:rPr>
        <w:t xml:space="preserve">Description: </w:t>
      </w:r>
      <w:r>
        <w:t>Signaux de vente: MM, MACD | Recommandation finale: ACHAT</w:t>
        <w:br/>
      </w:r>
    </w:p>
    <w:p/>
    <w:p>
      <w:pPr>
        <w:pStyle w:val="Heading3"/>
      </w:pPr>
      <w:r>
        <w:t>9. SMBC - SMBC - Société Multinationale de Bitumes COTE D'IVOIRE</w:t>
      </w:r>
    </w:p>
    <w:p>
      <w:r>
        <w:rPr>
          <w:b/>
        </w:rPr>
        <w:t xml:space="preserve">Score de divergence: </w:t>
      </w:r>
      <w:r>
        <w:t>5/8</w:t>
        <w:br/>
      </w:r>
      <w:r>
        <w:rPr>
          <w:b/>
        </w:rPr>
        <w:t xml:space="preserve">Description: </w:t>
      </w:r>
      <w:r>
        <w:t>Signaux de vente: MM, MACD | Recommandation finale: ACHAT</w:t>
        <w:br/>
      </w:r>
    </w:p>
    <w:p/>
    <w:p>
      <w:pPr>
        <w:pStyle w:val="Heading3"/>
      </w:pPr>
      <w:r>
        <w:t>10. SNTS - SNTS - SONATEL SN</w:t>
      </w:r>
    </w:p>
    <w:p>
      <w:r>
        <w:rPr>
          <w:b/>
        </w:rPr>
        <w:t xml:space="preserve">Score de divergence: </w:t>
      </w:r>
      <w:r>
        <w:t>5/8</w:t>
        <w:br/>
      </w:r>
      <w:r>
        <w:rPr>
          <w:b/>
        </w:rPr>
        <w:t xml:space="preserve">Description: </w:t>
      </w:r>
      <w:r>
        <w:t>Signaux d'achat: MM | Signaux de vente: MACD, RSI,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28</w:t>
            </w:r>
          </w:p>
        </w:tc>
        <w:tc>
          <w:tcPr>
            <w:tcW w:type="dxa" w:w="2160"/>
          </w:tcPr>
          <w:p>
            <w:r>
              <w:t>0</w:t>
            </w:r>
          </w:p>
        </w:tc>
      </w:tr>
      <w:tr>
        <w:tc>
          <w:tcPr>
            <w:tcW w:type="dxa" w:w="2160"/>
          </w:tcPr>
          <w:p>
            <w:r>
              <w:t>Risque Moyen</w:t>
            </w:r>
          </w:p>
        </w:tc>
        <w:tc>
          <w:tcPr>
            <w:tcW w:type="dxa" w:w="2160"/>
          </w:tcPr>
          <w:p>
            <w:r>
              <w:t>0</w:t>
            </w:r>
          </w:p>
        </w:tc>
        <w:tc>
          <w:tcPr>
            <w:tcW w:type="dxa" w:w="2160"/>
          </w:tcPr>
          <w:p>
            <w:r>
              <w:t>20</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BNBC (BNBC - BERNABE CI)</w:t>
      </w:r>
    </w:p>
    <w:p>
      <w:pPr>
        <w:pStyle w:val="ListBullet"/>
      </w:pPr>
      <w:r>
        <w:t>• BOAB (BANK OF AFRICA BENIN)</w:t>
      </w:r>
    </w:p>
    <w:p>
      <w:pPr>
        <w:pStyle w:val="ListBullet"/>
      </w:pPr>
      <w:r>
        <w:t>• BOAC (BANK OF AFRICA COTE D'IVOIRE)</w:t>
      </w:r>
    </w:p>
    <w:p>
      <w:pPr>
        <w:pStyle w:val="ListBullet"/>
      </w:pPr>
      <w:r>
        <w:t>• BOAS (BANK OF AFRICA SENEGAL)</w:t>
      </w:r>
    </w:p>
    <w:p>
      <w:pPr>
        <w:pStyle w:val="ListBullet"/>
      </w:pPr>
      <w:r>
        <w:t>• CABC (CABC - SICABLE COTE D'IVOIRE)</w:t>
      </w:r>
    </w:p>
    <w:p>
      <w:pPr>
        <w:pStyle w:val="ListBullet"/>
      </w:pPr>
      <w:r>
        <w:t>• CFAC (CFAC - CFAO MOTORS CI)</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PALC (PALC - PALM COTE D'IVOIRE)</w:t>
      </w:r>
    </w:p>
    <w:p>
      <w:pPr>
        <w:pStyle w:val="ListBullet"/>
      </w:pPr>
      <w:r>
        <w:t>• PRSC (PRSC - TRACTAFRIC MOTORS CI)</w:t>
      </w:r>
    </w:p>
    <w:p>
      <w:pPr>
        <w:pStyle w:val="ListBullet"/>
      </w:pPr>
      <w:r>
        <w:t>• SDCC (SDCC - Société de Distribution d'Eau de Côte d'Ivoire)</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SMBC (SMBC - Société Multinationale de Bitumes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TTLC (TTLC - TOTAL ENERGIES MARKETING COTE D'IVOIRE)</w:t>
      </w:r>
    </w:p>
    <w:p>
      <w:pPr>
        <w:pStyle w:val="ListBullet"/>
      </w:pPr>
      <w:r>
        <w:t>• TTLS (TTLS - TOTAL ENERGIES MARKETING SENEGAL)</w:t>
      </w:r>
    </w:p>
    <w:p/>
    <w:p>
      <w:pPr>
        <w:pStyle w:val="Heading3"/>
      </w:pPr>
      <w:r>
        <w:t>🟡 Risque Moyen - Moyen Terme</w:t>
      </w:r>
    </w:p>
    <w:p>
      <w:pPr>
        <w:pStyle w:val="ListBullet"/>
      </w:pPr>
      <w:r>
        <w:t>• BBGC (BRIDGE BANK GROUP COTE D'IVOIRE)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BOABF (BANK OF AFRICA BURKINA FASO)</w:t>
      </w:r>
    </w:p>
    <w:p>
      <w:pPr>
        <w:pStyle w:val="ListBullet"/>
      </w:pPr>
      <w:r>
        <w:t>• BOAM (BANK OF AFRICA MALI)</w:t>
      </w:r>
    </w:p>
    <w:p>
      <w:pPr>
        <w:pStyle w:val="ListBullet"/>
      </w:pPr>
      <w:r>
        <w:t>• BOAN (BANK OF AFRICA NIGER)</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ORAC (ORAC - ORANGE COTE D'IVOIRE)</w:t>
      </w:r>
    </w:p>
    <w:p>
      <w:pPr>
        <w:pStyle w:val="ListBullet"/>
      </w:pPr>
      <w:r>
        <w:t>• SAFC (SAFCA CI)</w:t>
      </w:r>
    </w:p>
    <w:p>
      <w:pPr>
        <w:pStyle w:val="ListBullet"/>
      </w:pPr>
      <w:r>
        <w:t>• SCRC (SCRC - SUCRIVOIRE)</w:t>
      </w:r>
    </w:p>
    <w:p>
      <w:pPr>
        <w:pStyle w:val="ListBullet"/>
      </w:pPr>
      <w:r>
        <w:t>• SDSC (SDSC - AFRICA GLOBAL LOGISTICS CI)</w:t>
      </w:r>
    </w:p>
    <w:p>
      <w:pPr>
        <w:pStyle w:val="ListBullet"/>
      </w:pPr>
      <w:r>
        <w:t>• SICC (SICC - SICOR COTE D'IVOIRE)</w:t>
      </w:r>
    </w:p>
    <w:p>
      <w:pPr>
        <w:pStyle w:val="ListBullet"/>
      </w:pPr>
      <w:r>
        <w:t>• SNTS (SNTS - SONATEL SN)</w:t>
      </w:r>
    </w:p>
    <w:p>
      <w:pPr>
        <w:pStyle w:val="ListBullet"/>
      </w:pPr>
      <w:r>
        <w:t>• STAC (STAC - SETAO COTE D'IVOIRE)</w:t>
      </w:r>
    </w:p>
    <w:p>
      <w:pPr>
        <w:pStyle w:val="ListBullet"/>
      </w:pPr>
      <w:r>
        <w:t>• UNLC (UNLC - UNILEVER COTE D'IVOIRE)</w:t>
      </w:r>
    </w:p>
    <w:p>
      <w:pPr>
        <w:pStyle w:val="ListBullet"/>
      </w:pPr>
      <w:r>
        <w:t>• UNXC (UNXC - UNIWAX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pStyle w:val="ListBullet"/>
        <w:spacing w:before="20" w:after="20"/>
        <w:ind w:left="360"/>
      </w:pPr>
      <w:r>
        <w:rPr>
          <w:color w:val="C00000"/>
          <w:sz w:val="18"/>
        </w:rPr>
        <w:t>**Pression sur les coûts de production et matières premières** (13/10) : inflation importée persistante, sentiment négatif.</w:t>
      </w:r>
    </w:p>
    <w:p>
      <w:pPr>
        <w:pStyle w:val="ListBullet"/>
        <w:spacing w:before="20" w:after="20"/>
        <w:ind w:left="360"/>
      </w:pPr>
      <w:r>
        <w:rPr>
          <w:sz w:val="18"/>
        </w:rPr>
        <w:t>**BCE sans forward guidance** (12/10) : incertitude prolongée sur les taux directeurs, ton neutre.</w:t>
      </w:r>
    </w:p>
    <w:p>
      <w:pPr>
        <w:pStyle w:val="ListBullet"/>
        <w:spacing w:before="20" w:after="20"/>
        <w:ind w:left="360"/>
      </w:pPr>
      <w:r>
        <w:rPr>
          <w:sz w:val="18"/>
        </w:rPr>
        <w:t>**Assemblées FMI/Banque mondiale à Bangkok** (11-12/10) : focus dette et inflation mondiale.</w:t>
      </w:r>
    </w:p>
    <w:p>
      <w:pPr>
        <w:pStyle w:val="Heading3"/>
      </w:pPr>
      <w:r>
        <w:rPr>
          <w:color w:val="500050"/>
        </w:rPr>
        <w:t>⚡ Impact estimé sur la BRVM</w:t>
      </w:r>
    </w:p>
    <w:p>
      <w:pPr>
        <w:spacing w:before="20" w:after="40"/>
        <w:ind w:left="280"/>
      </w:pPr>
      <w:r>
        <w:rPr>
          <w:i/>
          <w:sz w:val="18"/>
        </w:rPr>
        <w:t>La pression sur les matières premières pèse sur les marges des industriels et agro-transformateurs (SITC, SCRC, PALC). L'absence de visibilité BCE maintient un climat d'attentisme sur les flux vers les marchés frontières, limitant les entrées de capitaux étrangers sur la BRVM.</w:t>
      </w:r>
    </w:p>
    <w:p>
      <w:pPr>
        <w:pStyle w:val="Heading2"/>
      </w:pPr>
      <w:r>
        <w:rPr>
          <w:color w:val="006E32"/>
        </w:rPr>
        <w:t>🌍 Plan Africain</w:t>
      </w:r>
    </w:p>
    <w:p>
      <w:pPr>
        <w:pStyle w:val="ListBullet"/>
        <w:spacing w:before="20" w:after="20"/>
        <w:ind w:left="360"/>
      </w:pPr>
      <w:r>
        <w:rPr>
          <w:sz w:val="18"/>
        </w:rPr>
        <w:t>**Dossiers Sénégal, Gabon, croissance africaine aux assemblées FMI/BM** (12/10).</w:t>
      </w:r>
    </w:p>
    <w:p>
      <w:pPr>
        <w:pStyle w:val="ListBullet"/>
        <w:spacing w:before="20" w:after="20"/>
        <w:ind w:left="360"/>
      </w:pPr>
      <w:r>
        <w:rPr>
          <w:sz w:val="18"/>
        </w:rPr>
        <w:t>**Afrique face à la dette et à l'inflation à Bangkok** (11/10).</w:t>
      </w:r>
    </w:p>
    <w:p>
      <w:pPr>
        <w:pStyle w:val="ListBullet"/>
        <w:spacing w:before="20" w:after="20"/>
        <w:ind w:left="360"/>
      </w:pPr>
      <w:r>
        <w:rPr>
          <w:color w:val="008000"/>
          <w:sz w:val="18"/>
        </w:rPr>
        <w:t>**CEDEAO renforce son partenariat FMI/BM** (06/10) : sentiment positif.</w:t>
      </w:r>
    </w:p>
    <w:p>
      <w:pPr>
        <w:pStyle w:val="Heading3"/>
      </w:pPr>
      <w:r>
        <w:rPr>
          <w:color w:val="500050"/>
        </w:rPr>
        <w:t>⚡ Impact estimé sur la BRVM</w:t>
      </w:r>
    </w:p>
    <w:p>
      <w:pPr>
        <w:spacing w:before="20" w:after="40"/>
        <w:ind w:left="280"/>
      </w:pPr>
      <w:r>
        <w:rPr>
          <w:i/>
          <w:sz w:val="18"/>
        </w:rPr>
        <w:t>Les discussions sur la dette souveraine influencent indirectement les banques cotées (SGBC, BICB, BOAS, ECOC) via le risque pays. Le partenariat CEDEAO-FMI est un signal favorable pour la stabilité macro régionale, soutenant les valorisations bancaires.</w:t>
      </w:r>
    </w:p>
    <w:p>
      <w:pPr>
        <w:pStyle w:val="Heading2"/>
      </w:pPr>
      <w:r>
        <w:rPr>
          <w:color w:val="145A28"/>
        </w:rPr>
        <w:t>🌍 Plan Afrique de l'Ouest</w:t>
      </w:r>
    </w:p>
    <w:p>
      <w:pPr>
        <w:pStyle w:val="ListBullet"/>
        <w:spacing w:before="20" w:after="20"/>
        <w:ind w:left="360"/>
      </w:pPr>
      <w:r>
        <w:rPr>
          <w:sz w:val="18"/>
        </w:rPr>
        <w:t>**Forum parlementaire mondial CEDEAO à Bangkok** (12/10).</w:t>
      </w:r>
    </w:p>
    <w:p>
      <w:pPr>
        <w:pStyle w:val="ListBullet"/>
        <w:spacing w:before="20" w:after="20"/>
        <w:ind w:left="360"/>
      </w:pPr>
      <w:r>
        <w:rPr>
          <w:color w:val="008000"/>
          <w:sz w:val="18"/>
        </w:rPr>
        <w:t>**Appel à l'intégration citoyenne (Président Faye)** (09/10) : positif.</w:t>
      </w:r>
    </w:p>
    <w:p>
      <w:pPr>
        <w:pStyle w:val="ListBullet"/>
        <w:spacing w:before="20" w:after="20"/>
        <w:ind w:left="360"/>
      </w:pPr>
      <w:r>
        <w:rPr>
          <w:sz w:val="18"/>
        </w:rPr>
        <w:t>**Guinée-Bissau : tensions politiques, vote bloqué** (09/10) : négatif.</w:t>
      </w:r>
    </w:p>
    <w:p>
      <w:pPr>
        <w:pStyle w:val="Heading3"/>
      </w:pPr>
      <w:r>
        <w:rPr>
          <w:color w:val="500050"/>
        </w:rPr>
        <w:t>⚡ Impact estimé sur la BRVM</w:t>
      </w:r>
    </w:p>
    <w:p>
      <w:pPr>
        <w:spacing w:before="20" w:after="40"/>
        <w:ind w:left="280"/>
      </w:pPr>
      <w:r>
        <w:rPr>
          <w:i/>
          <w:sz w:val="18"/>
        </w:rPr>
        <w:t>L'intégration CEDEAO soutient les perspectives des sociétés à couverture régionale (ECOC, ONTBF, SGBC). Les tensions en Guinée-Bissau restent marginales pour la BRVM, aucun émetteur coté n'y étant fortement exposé.</w:t>
      </w:r>
    </w:p>
    <w:p>
      <w:pPr>
        <w:pStyle w:val="Heading2"/>
      </w:pPr>
      <w:r>
        <w:rPr>
          <w:color w:val="8C4600"/>
        </w:rPr>
        <w:t>🏦 Plan UEMOA / Zone Franc</w:t>
      </w:r>
    </w:p>
    <w:p>
      <w:pPr>
        <w:pStyle w:val="ListBullet"/>
        <w:spacing w:before="20" w:after="20"/>
        <w:ind w:left="360"/>
      </w:pPr>
      <w:r>
        <w:rPr>
          <w:color w:val="C00000"/>
          <w:sz w:val="18"/>
        </w:rPr>
        <w:t>**Tensions sociales au Sénégal (ONG, LGBTQ+)** (12/10) : risque réputationnel.</w:t>
      </w:r>
    </w:p>
    <w:p>
      <w:pPr>
        <w:pStyle w:val="ListBullet"/>
        <w:spacing w:before="20" w:after="20"/>
        <w:ind w:left="360"/>
      </w:pPr>
      <w:r>
        <w:rPr>
          <w:sz w:val="18"/>
        </w:rPr>
        <w:t>**Burkina Faso : rapprochement Moscou** (12/10) : neutral.</w:t>
      </w:r>
    </w:p>
    <w:p>
      <w:pPr>
        <w:pStyle w:val="ListBullet"/>
        <w:spacing w:before="20" w:after="20"/>
        <w:ind w:left="360"/>
      </w:pPr>
      <w:r>
        <w:rPr>
          <w:sz w:val="18"/>
        </w:rPr>
        <w:t>**Pas de décision BCEAO ni données cacao/caoutchouc disponibles.**</w:t>
      </w:r>
    </w:p>
    <w:p>
      <w:pPr>
        <w:pStyle w:val="Heading3"/>
      </w:pPr>
      <w:r>
        <w:rPr>
          <w:color w:val="500050"/>
        </w:rPr>
        <w:t>⚡ Impact estimé sur la BRVM</w:t>
      </w:r>
    </w:p>
    <w:p>
      <w:pPr>
        <w:spacing w:before="20" w:after="40"/>
        <w:ind w:left="280"/>
      </w:pPr>
      <w:r>
        <w:rPr>
          <w:i/>
          <w:sz w:val="18"/>
        </w:rPr>
        <w:t>Données BCEAO et matières premières (cacao, caoutchouc) insuffisantes dans le corpus. Les tensions sénégalaises peuvent affecter marginalement le sentiment sur SONATEL (ONTBF) et les banques à forte exposition sénégalaise (SGBC, BICB).</w:t>
      </w:r>
    </w:p>
    <w:p>
      <w:pPr>
        <w:pStyle w:val="Heading2"/>
      </w:pPr>
      <w:r>
        <w:rPr>
          <w:color w:val="003366"/>
        </w:rPr>
        <w:t>📈 Plan BRVM</w:t>
      </w:r>
    </w:p>
    <w:p>
      <w:pPr>
        <w:pStyle w:val="ListBullet"/>
        <w:spacing w:before="20" w:after="20"/>
        <w:ind w:left="360"/>
      </w:pPr>
      <w:r>
        <w:rPr>
          <w:color w:val="008000"/>
          <w:sz w:val="18"/>
        </w:rPr>
        <w:t>**Résultats encourageants des sociétés cotées ivoiriennes** (09/06) : sentiment positif, seule actualité BRVM spécifique.</w:t>
      </w:r>
    </w:p>
    <w:p>
      <w:pPr>
        <w:pStyle w:val="Heading3"/>
      </w:pPr>
      <w:r>
        <w:rPr>
          <w:color w:val="500050"/>
        </w:rPr>
        <w:t>⚡ Impact estimé sur la BRVM</w:t>
      </w:r>
    </w:p>
    <w:p>
      <w:pPr>
        <w:spacing w:before="20" w:after="40"/>
        <w:ind w:left="280"/>
      </w:pPr>
      <w:r>
        <w:rPr>
          <w:i/>
          <w:sz w:val="18"/>
        </w:rPr>
        <w:t>Signal positif pour les valeurs ivoiriennes : **SGBC, BICB, ECOC, ONTBF, PALC, SCRC** — biais acheteur sur les bancaires et télécoms. Absence de données sur volumes, IPO et dividendes récents.</w:t>
      </w:r>
    </w:p>
    <w:p>
      <w:pPr>
        <w:spacing w:before="20" w:after="40"/>
        <w:ind w:left="280"/>
      </w:pPr>
      <w:r>
        <w:rPr>
          <w:i/>
          <w:sz w:val="18"/>
        </w:rPr>
        <w:t>---</w:t>
      </w:r>
    </w:p>
    <w:p>
      <w:pPr>
        <w:pStyle w:val="Heading1"/>
      </w:pPr>
      <w:r>
        <w:rPr>
          <w:color w:val="8C0000"/>
        </w:rPr>
        <w:t>🏛️ 2. ACTUALITÉS POLITIQUES &amp; GÉOPOLITIQUES</w:t>
      </w:r>
    </w:p>
    <w:p>
      <w:pPr>
        <w:pStyle w:val="Heading2"/>
      </w:pPr>
      <w:r>
        <w:rPr>
          <w:color w:val="00467F"/>
        </w:rPr>
        <w:t>🌐 Plan Mondial</w:t>
      </w:r>
    </w:p>
    <w:p>
      <w:pPr>
        <w:pStyle w:val="ListBullet"/>
        <w:spacing w:before="20" w:after="20"/>
        <w:ind w:left="360"/>
      </w:pPr>
      <w:r>
        <w:rPr>
          <w:sz w:val="18"/>
        </w:rPr>
        <w:t>**BCE sans indications sur les taux** (12/10) : attentisme.</w:t>
      </w:r>
    </w:p>
    <w:p>
      <w:pPr>
        <w:pStyle w:val="ListBullet"/>
        <w:spacing w:before="20" w:after="20"/>
        <w:ind w:left="360"/>
      </w:pPr>
      <w:r>
        <w:rPr>
          <w:sz w:val="18"/>
        </w:rPr>
        <w:t>**Forum parlementaire mondial à Bangkok** (12/10).</w:t>
      </w:r>
    </w:p>
    <w:p>
      <w:pPr>
        <w:pStyle w:val="ListBullet"/>
        <w:spacing w:before="20" w:after="20"/>
        <w:ind w:left="360"/>
      </w:pPr>
      <w:r>
        <w:rPr>
          <w:sz w:val="18"/>
        </w:rPr>
        <w:t>**Critiques ONG sur le Sénégal** (12/10) : négatif.</w:t>
      </w:r>
    </w:p>
    <w:p>
      <w:pPr>
        <w:pStyle w:val="Heading3"/>
      </w:pPr>
      <w:r>
        <w:rPr>
          <w:color w:val="500050"/>
        </w:rPr>
        <w:t>⚡ Impact estimé sur la BRVM</w:t>
      </w:r>
    </w:p>
    <w:p>
      <w:pPr>
        <w:spacing w:before="20" w:after="40"/>
        <w:ind w:left="280"/>
      </w:pPr>
      <w:r>
        <w:rPr>
          <w:i/>
          <w:sz w:val="18"/>
        </w:rPr>
        <w:t>L'incertitude BCE pousse les investisseurs vers des actifs refuges, réduisant l'appétit pour les marchés frontières africains, dont la BRVM. Impact modéré mais réel sur la liquidité.</w:t>
      </w:r>
    </w:p>
    <w:p>
      <w:pPr>
        <w:pStyle w:val="Heading2"/>
      </w:pPr>
      <w:r>
        <w:rPr>
          <w:color w:val="006E32"/>
        </w:rPr>
        <w:t>🌍 Plan Africain</w:t>
      </w:r>
    </w:p>
    <w:p>
      <w:pPr>
        <w:pStyle w:val="ListBullet"/>
        <w:spacing w:before="20" w:after="20"/>
        <w:ind w:left="360"/>
      </w:pPr>
      <w:r>
        <w:rPr>
          <w:color w:val="C00000"/>
          <w:sz w:val="18"/>
        </w:rPr>
        <w:t>**Sénégal sous pression des ONG** (12/10).</w:t>
      </w:r>
    </w:p>
    <w:p>
      <w:pPr>
        <w:pStyle w:val="ListBullet"/>
        <w:spacing w:before="20" w:after="20"/>
        <w:ind w:left="360"/>
      </w:pPr>
      <w:r>
        <w:rPr>
          <w:sz w:val="18"/>
        </w:rPr>
        <w:t>**Burkina Faso : sommet Russie-Afrique à Moscou** (12/10) : realignement géopolitique.</w:t>
      </w:r>
    </w:p>
    <w:p>
      <w:pPr>
        <w:pStyle w:val="Heading3"/>
      </w:pPr>
      <w:r>
        <w:rPr>
          <w:color w:val="500050"/>
        </w:rPr>
        <w:t>⚡ Impact estimé sur la BRVM</w:t>
      </w:r>
    </w:p>
    <w:p>
      <w:pPr>
        <w:spacing w:before="20" w:after="40"/>
        <w:ind w:left="280"/>
      </w:pPr>
      <w:r>
        <w:rPr>
          <w:i/>
          <w:sz w:val="18"/>
        </w:rPr>
        <w:t>Le rapprochement Burkina-Moscou peut refroidir certains investisseurs institutionnels occidentaux sur la zone UEMOA, avec un effet indirect sur la confiance globale envers la BRVM.</w:t>
      </w:r>
    </w:p>
    <w:p>
      <w:pPr>
        <w:pStyle w:val="Heading2"/>
      </w:pPr>
      <w:r>
        <w:rPr>
          <w:color w:val="145A28"/>
        </w:rPr>
        <w:t>🌍 Plan Afrique de l'Ouest</w:t>
      </w:r>
    </w:p>
    <w:p>
      <w:pPr>
        <w:pStyle w:val="ListBullet"/>
        <w:spacing w:before="20" w:after="20"/>
        <w:ind w:left="360"/>
      </w:pPr>
      <w:r>
        <w:rPr>
          <w:sz w:val="18"/>
        </w:rPr>
        <w:t>**CEDEAO : appel au dialogue en Guinée-Bissau** (09/10) : négatif.</w:t>
      </w:r>
    </w:p>
    <w:p>
      <w:pPr>
        <w:pStyle w:val="ListBullet"/>
        <w:spacing w:before="20" w:after="20"/>
        <w:ind w:left="360"/>
      </w:pPr>
      <w:r>
        <w:rPr>
          <w:color w:val="008000"/>
          <w:sz w:val="18"/>
        </w:rPr>
        <w:t>**Intégration citoyenne prônée par Faye** (09/10) : positif.</w:t>
      </w:r>
    </w:p>
    <w:p>
      <w:pPr>
        <w:pStyle w:val="Heading3"/>
      </w:pPr>
      <w:r>
        <w:rPr>
          <w:color w:val="500050"/>
        </w:rPr>
        <w:t>⚡ Impact estimé sur la BRVM</w:t>
      </w:r>
    </w:p>
    <w:p>
      <w:pPr>
        <w:spacing w:before="20" w:after="40"/>
        <w:ind w:left="280"/>
      </w:pPr>
      <w:r>
        <w:rPr>
          <w:i/>
          <w:sz w:val="18"/>
        </w:rPr>
        <w:t>Risque politique contenu en Guinée-Bissau ; impact limité sur les émetteurs cotés. La dynamique d'intégration reste favorable aux sociétés panafricaines (ECOC, ONTBF).</w:t>
      </w:r>
    </w:p>
    <w:p>
      <w:pPr>
        <w:pStyle w:val="Heading2"/>
      </w:pPr>
      <w:r>
        <w:rPr>
          <w:color w:val="8C4600"/>
        </w:rPr>
        <w:t>🏦 Plan UEMOA / Zone Franc</w:t>
      </w:r>
    </w:p>
    <w:p>
      <w:pPr>
        <w:pStyle w:val="ListBullet"/>
        <w:spacing w:before="20" w:after="20"/>
        <w:ind w:left="360"/>
      </w:pPr>
      <w:r>
        <w:rPr>
          <w:sz w:val="18"/>
        </w:rPr>
        <w:t>**Tensions Sénégal (ONG)** (12/10).</w:t>
      </w:r>
    </w:p>
    <w:p>
      <w:pPr>
        <w:pStyle w:val="ListBullet"/>
        <w:spacing w:before="20" w:after="20"/>
        <w:ind w:left="360"/>
      </w:pPr>
      <w:r>
        <w:rPr>
          <w:sz w:val="18"/>
        </w:rPr>
        <w:t>**Burkina Faso : repositionnement diplomatique** (12/10).</w:t>
      </w:r>
    </w:p>
    <w:p>
      <w:pPr>
        <w:pStyle w:val="Heading3"/>
      </w:pPr>
      <w:r>
        <w:rPr>
          <w:color w:val="500050"/>
        </w:rPr>
        <w:t>⚡ Impact estimé sur la BRVM</w:t>
      </w:r>
    </w:p>
    <w:p>
      <w:pPr>
        <w:spacing w:before="20" w:after="40"/>
        <w:ind w:left="280"/>
      </w:pPr>
      <w:r>
        <w:rPr>
          <w:i/>
          <w:sz w:val="18"/>
        </w:rPr>
        <w:t>Risque réglementaire et politique modéré. Surveillance accrue sur les sociétés exposées au Burkina et au Sénégal (banques, télécoms).</w:t>
      </w:r>
    </w:p>
    <w:p>
      <w:pPr>
        <w:pStyle w:val="Heading2"/>
      </w:pPr>
      <w:r>
        <w:rPr>
          <w:color w:val="003366"/>
        </w:rPr>
        <w:t>📈 Plan BRVM</w:t>
      </w:r>
    </w:p>
    <w:p>
      <w:pPr>
        <w:pStyle w:val="ListBullet"/>
        <w:spacing w:before="20" w:after="20"/>
        <w:ind w:left="360"/>
      </w:pPr>
      <w:r>
        <w:rPr>
          <w:sz w:val="18"/>
        </w:rPr>
        <w:t>**Aucune actualité réglementaire CREPMF, cotation ou gouvernance dans le corpus.**</w:t>
      </w:r>
    </w:p>
    <w:p>
      <w:pPr>
        <w:pStyle w:val="Heading3"/>
      </w:pPr>
      <w:r>
        <w:rPr>
          <w:color w:val="500050"/>
        </w:rPr>
        <w:t>⚡ Impact estimé sur la BRVM</w:t>
      </w:r>
    </w:p>
    <w:p>
      <w:pPr>
        <w:spacing w:before="20" w:after="40"/>
        <w:ind w:left="280"/>
      </w:pPr>
      <w:r>
        <w:rPr>
          <w:i/>
          <w:sz w:val="18"/>
        </w:rPr>
        <w:t>Données insuffisantes.</w:t>
      </w:r>
    </w:p>
    <w:p>
      <w:pPr>
        <w:spacing w:before="20" w:after="40"/>
        <w:ind w:left="280"/>
      </w:pPr>
      <w:r>
        <w:rPr>
          <w:i/>
          <w:sz w:val="18"/>
        </w:rPr>
        <w:t>---</w:t>
      </w:r>
    </w:p>
    <w:p>
      <w:pPr>
        <w:pStyle w:val="Heading1"/>
      </w:pPr>
      <w:r>
        <w:rPr>
          <w:color w:val="006428"/>
        </w:rPr>
        <w:t>💹 3. ACTUALITÉS FINANCIÈRES &amp; MARCHÉS</w:t>
      </w:r>
    </w:p>
    <w:p>
      <w:pPr>
        <w:pStyle w:val="Heading2"/>
      </w:pPr>
      <w:r>
        <w:rPr>
          <w:color w:val="00467F"/>
        </w:rPr>
        <w:t>🌐 Plan Mondial</w:t>
      </w:r>
    </w:p>
    <w:p>
      <w:pPr>
        <w:pStyle w:val="ListBullet"/>
        <w:spacing w:before="20" w:after="20"/>
        <w:ind w:left="360"/>
      </w:pPr>
      <w:r>
        <w:rPr>
          <w:sz w:val="18"/>
        </w:rPr>
        <w:t>**BCE sans forward guidance** (12/10) : volatilité taux.</w:t>
      </w:r>
    </w:p>
    <w:p>
      <w:pPr>
        <w:pStyle w:val="ListBullet"/>
        <w:spacing w:before="20" w:after="20"/>
        <w:ind w:left="360"/>
      </w:pPr>
      <w:r>
        <w:rPr>
          <w:color w:val="C00000"/>
          <w:sz w:val="18"/>
        </w:rPr>
        <w:t>**Pression matières premières** (13/10) : inflation.</w:t>
      </w:r>
    </w:p>
    <w:p>
      <w:pPr>
        <w:pStyle w:val="Heading3"/>
      </w:pPr>
      <w:r>
        <w:rPr>
          <w:color w:val="500050"/>
        </w:rPr>
        <w:t>⚡ Impact estimé sur la BRVM</w:t>
      </w:r>
    </w:p>
    <w:p>
      <w:pPr>
        <w:spacing w:before="20" w:after="40"/>
        <w:ind w:left="280"/>
      </w:pPr>
      <w:r>
        <w:rPr>
          <w:i/>
          <w:sz w:val="18"/>
        </w:rPr>
        <w:t>Corrélation limitée mais réelle : un environnement de taux incertain détourne les flux des marchés frontières. Impact négatif modéré sur la liquidité BRVM.</w:t>
      </w:r>
    </w:p>
    <w:p>
      <w:pPr>
        <w:pStyle w:val="Heading2"/>
      </w:pPr>
      <w:r>
        <w:rPr>
          <w:color w:val="006E32"/>
        </w:rPr>
        <w:t>🌍 Plan Africain</w:t>
      </w:r>
    </w:p>
    <w:p>
      <w:pPr>
        <w:pStyle w:val="ListBullet"/>
        <w:spacing w:before="20" w:after="20"/>
        <w:ind w:left="360"/>
      </w:pPr>
      <w:r>
        <w:rPr>
          <w:sz w:val="18"/>
        </w:rPr>
        <w:t>**FMI/BM : dette et inflation africaines** (11/10).</w:t>
      </w:r>
    </w:p>
    <w:p>
      <w:pPr>
        <w:pStyle w:val="ListBullet"/>
        <w:spacing w:before="20" w:after="20"/>
        <w:ind w:left="360"/>
      </w:pPr>
      <w:r>
        <w:rPr>
          <w:color w:val="008000"/>
          <w:sz w:val="18"/>
        </w:rPr>
        <w:t>**Partenariat CEDEAO-FMI/BM** (06/10) : positif.</w:t>
      </w:r>
    </w:p>
    <w:p>
      <w:pPr>
        <w:pStyle w:val="Heading3"/>
      </w:pPr>
      <w:r>
        <w:rPr>
          <w:color w:val="500050"/>
        </w:rPr>
        <w:t>⚡ Impact estimé sur la BRVM</w:t>
      </w:r>
    </w:p>
    <w:p>
      <w:pPr>
        <w:spacing w:before="20" w:after="40"/>
        <w:ind w:left="280"/>
      </w:pPr>
      <w:r>
        <w:rPr>
          <w:i/>
          <w:sz w:val="18"/>
        </w:rPr>
        <w:t>La question de la dette souveraine africaine concurrence les actions BRVM auprès des investisseurs obligataires. Le partenariat CEDEAO améliore légèrement le climat.</w:t>
      </w:r>
    </w:p>
    <w:p>
      <w:pPr>
        <w:pStyle w:val="Heading2"/>
      </w:pPr>
      <w:r>
        <w:rPr>
          <w:color w:val="145A28"/>
        </w:rPr>
        <w:t>🌍 Plan Afrique de l'Ouest</w:t>
      </w:r>
    </w:p>
    <w:p>
      <w:pPr>
        <w:pStyle w:val="ListBullet"/>
        <w:spacing w:before="20" w:after="20"/>
        <w:ind w:left="360"/>
      </w:pPr>
      <w:r>
        <w:rPr>
          <w:sz w:val="18"/>
        </w:rPr>
        <w:t>**Aucune donnée sur bourses concurrentes (Ghana, Nigeria) dans le corpus.**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8C4600"/>
        </w:rPr>
        <w:t>🏦 Plan UEMOA / Zone Franc</w:t>
      </w:r>
    </w:p>
    <w:p>
      <w:pPr>
        <w:pStyle w:val="ListBullet"/>
        <w:spacing w:before="20" w:after="20"/>
        <w:ind w:left="360"/>
      </w:pPr>
      <w:r>
        <w:rPr>
          <w:sz w:val="18"/>
        </w:rPr>
        <w:t>**Aucune donnée sur le marché des titres publics UEMOA ni taux interbancaire.**</w:t>
      </w:r>
    </w:p>
    <w:p>
      <w:pPr>
        <w:pStyle w:val="Heading3"/>
      </w:pPr>
      <w:r>
        <w:rPr>
          <w:color w:val="500050"/>
        </w:rPr>
        <w:t>⚡ Impact estimé sur la BRVM</w:t>
      </w:r>
    </w:p>
    <w:p>
      <w:pPr>
        <w:spacing w:before="20" w:after="40"/>
        <w:ind w:left="280"/>
      </w:pPr>
      <w:r>
        <w:rPr>
          <w:i/>
          <w:sz w:val="18"/>
        </w:rPr>
        <w:t>Données insuffisantes. À surveiller : arbitrage classique entre rendements souverains et actions BRVM.</w:t>
      </w:r>
    </w:p>
    <w:p>
      <w:pPr>
        <w:pStyle w:val="Heading2"/>
      </w:pPr>
      <w:r>
        <w:rPr>
          <w:color w:val="003366"/>
        </w:rPr>
        <w:t>📈 Plan BRVM</w:t>
      </w:r>
    </w:p>
    <w:p>
      <w:pPr>
        <w:pStyle w:val="ListBullet"/>
        <w:spacing w:before="20" w:after="20"/>
        <w:ind w:left="360"/>
      </w:pPr>
      <w:r>
        <w:rPr>
          <w:sz w:val="18"/>
        </w:rPr>
        <w:t>**Résultats encourageants des sociétés ivoiriennes** (09/06).</w:t>
      </w:r>
    </w:p>
    <w:p>
      <w:pPr>
        <w:pStyle w:val="ListBullet"/>
        <w:spacing w:before="20" w:after="20"/>
        <w:ind w:left="360"/>
      </w:pPr>
      <w:r>
        <w:rPr>
          <w:sz w:val="18"/>
        </w:rPr>
        <w:t>**Indice BRVM Composite : 545,46.**</w:t>
      </w:r>
    </w:p>
    <w:p>
      <w:pPr>
        <w:pStyle w:val="Heading3"/>
      </w:pPr>
      <w:r>
        <w:rPr>
          <w:color w:val="500050"/>
        </w:rPr>
        <w:t>⚡ Impact estimé sur la BRVM</w:t>
      </w:r>
    </w:p>
    <w:p>
      <w:pPr>
        <w:pStyle w:val="ListBullet"/>
        <w:spacing w:before="20" w:after="20"/>
        <w:ind w:left="560"/>
      </w:pPr>
      <w:r>
        <w:rPr>
          <w:color w:val="008000"/>
          <w:sz w:val="18"/>
        </w:rPr>
        <w:t>**SGBC, BICB, ECOC** : biais positif, résultats bancaires solides.</w:t>
      </w:r>
    </w:p>
    <w:p>
      <w:pPr>
        <w:pStyle w:val="ListBullet"/>
        <w:spacing w:before="20" w:after="20"/>
        <w:ind w:left="560"/>
      </w:pPr>
      <w:r>
        <w:rPr>
          <w:color w:val="500050"/>
          <w:sz w:val="18"/>
        </w:rPr>
        <w:t>**ONTBF** : valeur défensive, à conserver.</w:t>
      </w:r>
    </w:p>
    <w:p>
      <w:pPr>
        <w:pStyle w:val="ListBullet"/>
        <w:spacing w:before="20" w:after="20"/>
        <w:ind w:left="560"/>
      </w:pPr>
      <w:r>
        <w:rPr>
          <w:color w:val="500050"/>
          <w:sz w:val="18"/>
        </w:rPr>
        <w:t>**PALC, SCRC, NTLC** : sensibles aux coûts matières premières, prudence.</w:t>
      </w:r>
    </w:p>
    <w:p>
      <w:pPr>
        <w:pStyle w:val="ListBullet"/>
        <w:spacing w:before="20" w:after="20"/>
        <w:ind w:left="560"/>
      </w:pPr>
      <w:r>
        <w:rPr>
          <w:color w:val="C00000"/>
          <w:sz w:val="18"/>
        </w:rPr>
        <w:t>**SHEC, TTLS** : secteur énergie sous pression des coûts.</w:t>
      </w:r>
    </w:p>
    <w:p>
      <w:pPr>
        <w:pStyle w:val="ListBullet"/>
        <w:spacing w:before="20" w:after="20"/>
        <w:ind w:left="560"/>
      </w:pPr>
      <w:r>
        <w:rPr>
          <w:color w:val="500050"/>
          <w:sz w:val="18"/>
        </w:rPr>
        <w:t>**ABJC, UNXC, NEIC** : consommation discrétionnaire, dépend du moral des ménages.</w:t>
      </w:r>
    </w:p>
    <w:p>
      <w:pPr>
        <w:pStyle w:val="ListBullet"/>
        <w:spacing w:before="20" w:after="20"/>
        <w:ind w:left="560"/>
      </w:pPr>
      <w:r>
        <w:rPr>
          <w:color w:val="500050"/>
          <w:sz w:val="18"/>
        </w:rPr>
        <w:t>**SDCC, CIEC** : services publics, stabilité attendue.</w:t>
      </w:r>
    </w:p>
    <w:p>
      <w:pPr>
        <w:spacing w:before="20" w:after="40"/>
        <w:ind w:left="280"/>
      </w:pPr>
      <w:r>
        <w:rPr>
          <w:i/>
          <w:sz w:val="18"/>
        </w:rPr>
        <w:t>---</w:t>
      </w:r>
    </w:p>
    <w:p>
      <w:pPr>
        <w:pStyle w:val="Heading1"/>
      </w:pPr>
      <w:r>
        <w:rPr>
          <w:color w:val="003366"/>
        </w:rPr>
        <w:t>🎯 SYNTHÈSE &amp; RECOMMANDATION FINALE</w:t>
      </w:r>
    </w:p>
    <w:p>
      <w:pPr>
        <w:spacing w:before="120"/>
      </w:pPr>
      <w:r>
        <w:rPr>
          <w:b/>
          <w:color w:val="C85000"/>
          <w:sz w:val="22"/>
        </w:rPr>
        <w:t>**Niveau d'alerte global : ORANGE**</w:t>
      </w:r>
    </w:p>
    <w:p>
      <w:pPr>
        <w:spacing w:before="20" w:after="40"/>
        <w:ind w:left="0"/>
      </w:pPr>
      <w:r>
        <w:rPr>
          <w:sz w:val="18"/>
        </w:rPr>
        <w:t>Le climat macro reste incertain (BCE sans guidance, pression sur les matières premières, dette africaine sous surveillance), mais les résultats encourageants des sociétés ivoiriennes cotées offrent un contrepoids positif. La BRVM à 545,46 points évolue dans un contexte de faible liquidité et de flux étrangers limités. **Recommandation** : privilégier les valeurs bancaires et télécoms à résultats solides (SGBC, BICB, ONTBF, ECOC), rester prudent sur l'agro-industrie et l'énergie exposées aux coûts (PALC, SCRC, SHEC), et conserver une poche de liquidités en attendant des signaux plus clairs sur les taux BCE et la BCEAO.</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2026-10-13</w:t>
            </w:r>
          </w:p>
        </w:tc>
        <w:tc>
          <w:tcPr>
            <w:tcW w:type="dxa" w:w="1728"/>
          </w:tcPr>
          <w:p>
            <w:r>
              <w:rPr>
                <w:sz w:val="14"/>
              </w:rPr>
              <w:t>De nombreux facteurs exercent une pression sur les coûts de production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2026-10-12</w:t>
            </w:r>
          </w:p>
        </w:tc>
        <w:tc>
          <w:tcPr>
            <w:tcW w:type="dxa" w:w="1728"/>
          </w:tcPr>
          <w:p>
            <w:r>
              <w:rPr>
                <w:sz w:val="14"/>
              </w:rPr>
              <w:t>La BCE s'abstient de donner des indications sur les taux - compte-rend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2026-10-12</w:t>
            </w:r>
          </w:p>
        </w:tc>
        <w:tc>
          <w:tcPr>
            <w:tcW w:type="dxa" w:w="1728"/>
          </w:tcPr>
          <w:p>
            <w:r>
              <w:rPr>
                <w:sz w:val="14"/>
              </w:rPr>
              <w:t>La BCE s'abstient de donner des indications sur les taux - compte-rend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2026-10-08</w:t>
            </w:r>
          </w:p>
        </w:tc>
        <w:tc>
          <w:tcPr>
            <w:tcW w:type="dxa" w:w="1728"/>
          </w:tcPr>
          <w:p>
            <w:r>
              <w:rPr>
                <w:sz w:val="14"/>
              </w:rPr>
              <w:t>Wall Street en ordre dispersé avec la hausse des prix du pétrole - Inv</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2026-10-09</w:t>
            </w:r>
          </w:p>
        </w:tc>
        <w:tc>
          <w:tcPr>
            <w:tcW w:type="dxa" w:w="1728"/>
          </w:tcPr>
          <w:p>
            <w:r>
              <w:rPr>
                <w:sz w:val="14"/>
              </w:rPr>
              <w:t>Les pics internationaux du pétrole brut ; Analyse des tendances des ma</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2026-10-12</w:t>
            </w:r>
          </w:p>
        </w:tc>
        <w:tc>
          <w:tcPr>
            <w:tcW w:type="dxa" w:w="1728"/>
          </w:tcPr>
          <w:p>
            <w:r>
              <w:rPr>
                <w:sz w:val="14"/>
              </w:rPr>
              <w:t>Alors que les produits verts dominent le marché, c'est le diesel qui a</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 xml:space="preserve">Sénégal, Gabon, croissance : les dossiers africains des assemblées du </w:t>
            </w:r>
          </w:p>
        </w:tc>
        <w:tc>
          <w:tcPr>
            <w:tcW w:type="dxa" w:w="1728"/>
          </w:tcPr>
          <w:p>
            <w:r>
              <w:rPr>
                <w:sz w:val="14"/>
              </w:rPr>
              <w:t>Neutre</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2026-10-11</w:t>
            </w:r>
          </w:p>
        </w:tc>
        <w:tc>
          <w:tcPr>
            <w:tcW w:type="dxa" w:w="1728"/>
          </w:tcPr>
          <w:p>
            <w:r>
              <w:rPr>
                <w:sz w:val="14"/>
              </w:rPr>
              <w:t>FMI-Banque mondiale : à Bangkok, l’Afrique face à la dette et à l’infl</w:t>
            </w:r>
          </w:p>
        </w:tc>
        <w:tc>
          <w:tcPr>
            <w:tcW w:type="dxa" w:w="1728"/>
          </w:tcPr>
          <w:p>
            <w:r>
              <w:rPr>
                <w:sz w:val="14"/>
              </w:rPr>
              <w:t>Neutre</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2026-10-06</w:t>
            </w:r>
          </w:p>
        </w:tc>
        <w:tc>
          <w:tcPr>
            <w:tcW w:type="dxa" w:w="1728"/>
          </w:tcPr>
          <w:p>
            <w:r>
              <w:rPr>
                <w:sz w:val="14"/>
              </w:rPr>
              <w:t>CEDEAO : le Général Birame Diop renforce le partenariat avec le FMI et</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2026-10-01</w:t>
            </w:r>
          </w:p>
        </w:tc>
        <w:tc>
          <w:tcPr>
            <w:tcW w:type="dxa" w:w="1728"/>
          </w:tcPr>
          <w:p>
            <w:r>
              <w:rPr>
                <w:sz w:val="14"/>
              </w:rPr>
              <w:t>Afrique : une croissance solide face au défi de l’investissement [Busi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2026-09-23</w:t>
            </w:r>
          </w:p>
        </w:tc>
        <w:tc>
          <w:tcPr>
            <w:tcW w:type="dxa" w:w="1728"/>
          </w:tcPr>
          <w:p>
            <w:r>
              <w:rPr>
                <w:sz w:val="14"/>
              </w:rPr>
              <w:t>Dette : l'Afrique reste accro au dollar malgré l'offensive de la Chine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2026-09-26</w:t>
            </w:r>
          </w:p>
        </w:tc>
        <w:tc>
          <w:tcPr>
            <w:tcW w:type="dxa" w:w="1728"/>
          </w:tcPr>
          <w:p>
            <w:r>
              <w:rPr>
                <w:sz w:val="14"/>
              </w:rPr>
              <w:t>Investissement et emploi : le plaidoyer d'Amara pour la transformation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 xml:space="preserve">Forum parlementaire mondial : Hadja Mémounatou Ibrahima représente le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Cedeao : Parlement, le Président Faye appelle à renforcer l'intégratio</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Guinée-Bissau: la Cedeao appelle au dialogue face au vote bloqué - tv5</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FEWACCI : Mamadou Baldé explique les enjeux de son élection au poste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Diplomatie économique : la Chambre de commerce de Guinée fait son entr</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Niger : le FMI valide un programme de 203 millions de dollars - Africt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Sénégal : la répression des LGBTQ+ sous le feu des ONG - DW.com</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2026-10-12</w:t>
            </w:r>
          </w:p>
        </w:tc>
        <w:tc>
          <w:tcPr>
            <w:tcW w:type="dxa" w:w="1728"/>
          </w:tcPr>
          <w:p>
            <w:r>
              <w:rPr>
                <w:sz w:val="14"/>
              </w:rPr>
              <w:t xml:space="preserve">Burkina Faso : le Capitaine Traoré annoncé à Moscou pour le 3e sommet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2026-10-12</w:t>
            </w:r>
          </w:p>
        </w:tc>
        <w:tc>
          <w:tcPr>
            <w:tcW w:type="dxa" w:w="1728"/>
          </w:tcPr>
          <w:p>
            <w:r>
              <w:rPr>
                <w:sz w:val="14"/>
              </w:rPr>
              <w:t>Éliminatoires CAN 2027, refonte de la politique sportive au Togo et pl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2026-10-12</w:t>
            </w:r>
          </w:p>
        </w:tc>
        <w:tc>
          <w:tcPr>
            <w:tcW w:type="dxa" w:w="1728"/>
          </w:tcPr>
          <w:p>
            <w:r>
              <w:rPr>
                <w:sz w:val="14"/>
              </w:rPr>
              <w:t>Sénégal : la bataille des mœurs est devenue un enjeu politique - The C</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2026-10-07</w:t>
            </w:r>
          </w:p>
        </w:tc>
        <w:tc>
          <w:tcPr>
            <w:tcW w:type="dxa" w:w="1728"/>
          </w:tcPr>
          <w:p>
            <w:r>
              <w:rPr>
                <w:sz w:val="14"/>
              </w:rPr>
              <w:t>Côte d'Ivoire-Guinée : Décès de l'ancien PM Guinéen, le Gouvernement p</w:t>
            </w:r>
          </w:p>
        </w:tc>
        <w:tc>
          <w:tcPr>
            <w:tcW w:type="dxa" w:w="1728"/>
          </w:tcPr>
          <w:p>
            <w:r>
              <w:rPr>
                <w:sz w:val="14"/>
              </w:rPr>
              <w:t>Neutre</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2026-10-12</w:t>
            </w:r>
          </w:p>
        </w:tc>
        <w:tc>
          <w:tcPr>
            <w:tcW w:type="dxa" w:w="1728"/>
          </w:tcPr>
          <w:p>
            <w:r>
              <w:rPr>
                <w:sz w:val="14"/>
              </w:rPr>
              <w:t>Togo : pour les 16 ans de l’ANC, Jean-Pierre Fabre charge le pouvoir 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La BCE s'abstient de donner des indications sur les taux - compte-rend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2026-10-12</w:t>
            </w:r>
          </w:p>
        </w:tc>
        <w:tc>
          <w:tcPr>
            <w:tcW w:type="dxa" w:w="1728"/>
          </w:tcPr>
          <w:p>
            <w:r>
              <w:rPr>
                <w:sz w:val="14"/>
              </w:rPr>
              <w:t xml:space="preserve">Forum parlementaire mondial : Hadja Mémounatou Ibrahima représente le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2026-10-12</w:t>
            </w:r>
          </w:p>
        </w:tc>
        <w:tc>
          <w:tcPr>
            <w:tcW w:type="dxa" w:w="1728"/>
          </w:tcPr>
          <w:p>
            <w:r>
              <w:rPr>
                <w:sz w:val="14"/>
              </w:rPr>
              <w:t>Sénégal : la répression des LGBTQ+ sous le feu des ONG - DW.com</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2026-10-12</w:t>
            </w:r>
          </w:p>
        </w:tc>
        <w:tc>
          <w:tcPr>
            <w:tcW w:type="dxa" w:w="1728"/>
          </w:tcPr>
          <w:p>
            <w:r>
              <w:rPr>
                <w:sz w:val="14"/>
              </w:rPr>
              <w:t xml:space="preserve">Burkina Faso : le Capitaine Traoré annoncé à Moscou pour le 3e sommet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2026-10-12</w:t>
            </w:r>
          </w:p>
        </w:tc>
        <w:tc>
          <w:tcPr>
            <w:tcW w:type="dxa" w:w="1728"/>
          </w:tcPr>
          <w:p>
            <w:r>
              <w:rPr>
                <w:sz w:val="14"/>
              </w:rPr>
              <w:t>Éliminatoires CAN 2027, refonte de la politique sportive au Togo et pl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 xml:space="preserve">Forum parlementaire mondial : Hadja Mémounatou Ibrahima représente le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2026-10-12</w:t>
            </w:r>
          </w:p>
        </w:tc>
        <w:tc>
          <w:tcPr>
            <w:tcW w:type="dxa" w:w="1728"/>
          </w:tcPr>
          <w:p>
            <w:r>
              <w:rPr>
                <w:sz w:val="14"/>
              </w:rPr>
              <w:t>Sénégal : la répression des LGBTQ+ sous le feu des ONG - DW.com</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2026-10-12</w:t>
            </w:r>
          </w:p>
        </w:tc>
        <w:tc>
          <w:tcPr>
            <w:tcW w:type="dxa" w:w="1728"/>
          </w:tcPr>
          <w:p>
            <w:r>
              <w:rPr>
                <w:sz w:val="14"/>
              </w:rPr>
              <w:t xml:space="preserve">Burkina Faso : le Capitaine Traoré annoncé à Moscou pour le 3e sommet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2026-10-12</w:t>
            </w:r>
          </w:p>
        </w:tc>
        <w:tc>
          <w:tcPr>
            <w:tcW w:type="dxa" w:w="1728"/>
          </w:tcPr>
          <w:p>
            <w:r>
              <w:rPr>
                <w:sz w:val="14"/>
              </w:rPr>
              <w:t>Éliminatoires CAN 2027, refonte de la politique sportive au Togo et pl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2026-10-12</w:t>
            </w:r>
          </w:p>
        </w:tc>
        <w:tc>
          <w:tcPr>
            <w:tcW w:type="dxa" w:w="1728"/>
          </w:tcPr>
          <w:p>
            <w:r>
              <w:rPr>
                <w:sz w:val="14"/>
              </w:rPr>
              <w:t>Sénégal : la bataille des mœurs est devenue un enjeu politique - The C</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 xml:space="preserve">Forum parlementaire mondial : Hadja Mémounatou Ibrahima représente le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2026-10-12</w:t>
            </w:r>
          </w:p>
        </w:tc>
        <w:tc>
          <w:tcPr>
            <w:tcW w:type="dxa" w:w="1728"/>
          </w:tcPr>
          <w:p>
            <w:r>
              <w:rPr>
                <w:sz w:val="14"/>
              </w:rPr>
              <w:t>Sénégal : la répression des LGBTQ+ sous le feu des ONG - DW.com</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2026-10-12</w:t>
            </w:r>
          </w:p>
        </w:tc>
        <w:tc>
          <w:tcPr>
            <w:tcW w:type="dxa" w:w="1728"/>
          </w:tcPr>
          <w:p>
            <w:r>
              <w:rPr>
                <w:sz w:val="14"/>
              </w:rPr>
              <w:t xml:space="preserve">Burkina Faso : le Capitaine Traoré annoncé à Moscou pour le 3e sommet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2026-10-12</w:t>
            </w:r>
          </w:p>
        </w:tc>
        <w:tc>
          <w:tcPr>
            <w:tcW w:type="dxa" w:w="1728"/>
          </w:tcPr>
          <w:p>
            <w:r>
              <w:rPr>
                <w:sz w:val="14"/>
              </w:rPr>
              <w:t>Éliminatoires CAN 2027, refonte de la politique sportive au Togo et pl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2026-10-12</w:t>
            </w:r>
          </w:p>
        </w:tc>
        <w:tc>
          <w:tcPr>
            <w:tcW w:type="dxa" w:w="1728"/>
          </w:tcPr>
          <w:p>
            <w:r>
              <w:rPr>
                <w:sz w:val="14"/>
              </w:rPr>
              <w:t>Sénégal : la bataille des mœurs est devenue un enjeu politique - The C</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 xml:space="preserve">Forum parlementaire mondial : Hadja Mémounatou Ibrahima représente le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2026-10-12</w:t>
            </w:r>
          </w:p>
        </w:tc>
        <w:tc>
          <w:tcPr>
            <w:tcW w:type="dxa" w:w="1728"/>
          </w:tcPr>
          <w:p>
            <w:r>
              <w:rPr>
                <w:sz w:val="14"/>
              </w:rPr>
              <w:t>Sénégal : la répression des LGBTQ+ sous le feu des ONG - DW.com</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2026-10-12</w:t>
            </w:r>
          </w:p>
        </w:tc>
        <w:tc>
          <w:tcPr>
            <w:tcW w:type="dxa" w:w="1728"/>
          </w:tcPr>
          <w:p>
            <w:r>
              <w:rPr>
                <w:sz w:val="14"/>
              </w:rPr>
              <w:t xml:space="preserve">Burkina Faso : le Capitaine Traoré annoncé à Moscou pour le 3e sommet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2026-10-12</w:t>
            </w:r>
          </w:p>
        </w:tc>
        <w:tc>
          <w:tcPr>
            <w:tcW w:type="dxa" w:w="1728"/>
          </w:tcPr>
          <w:p>
            <w:r>
              <w:rPr>
                <w:sz w:val="14"/>
              </w:rPr>
              <w:t>Éliminatoires CAN 2027, refonte de la politique sportive au Togo et pl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2026-10-12</w:t>
            </w:r>
          </w:p>
        </w:tc>
        <w:tc>
          <w:tcPr>
            <w:tcW w:type="dxa" w:w="1728"/>
          </w:tcPr>
          <w:p>
            <w:r>
              <w:rPr>
                <w:sz w:val="14"/>
              </w:rPr>
              <w:t>Sénégal : la bataille des mœurs est devenue un enjeu politique - The C</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 xml:space="preserve">Forum parlementaire mondial : Hadja Mémounatou Ibrahima représente le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2026-10-12</w:t>
            </w:r>
          </w:p>
        </w:tc>
        <w:tc>
          <w:tcPr>
            <w:tcW w:type="dxa" w:w="1728"/>
          </w:tcPr>
          <w:p>
            <w:r>
              <w:rPr>
                <w:sz w:val="14"/>
              </w:rPr>
              <w:t>Sénégal : la répression des LGBTQ+ sous le feu des ONG - DW.com</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2026-10-12</w:t>
            </w:r>
          </w:p>
        </w:tc>
        <w:tc>
          <w:tcPr>
            <w:tcW w:type="dxa" w:w="1728"/>
          </w:tcPr>
          <w:p>
            <w:r>
              <w:rPr>
                <w:sz w:val="14"/>
              </w:rPr>
              <w:t xml:space="preserve">Burkina Faso : le Capitaine Traoré annoncé à Moscou pour le 3e sommet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2026-10-12</w:t>
            </w:r>
          </w:p>
        </w:tc>
        <w:tc>
          <w:tcPr>
            <w:tcW w:type="dxa" w:w="1728"/>
          </w:tcPr>
          <w:p>
            <w:r>
              <w:rPr>
                <w:sz w:val="14"/>
              </w:rPr>
              <w:t>Éliminatoires CAN 2027, refonte de la politique sportive au Togo et pl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2026-10-12</w:t>
            </w:r>
          </w:p>
        </w:tc>
        <w:tc>
          <w:tcPr>
            <w:tcW w:type="dxa" w:w="1728"/>
          </w:tcPr>
          <w:p>
            <w:r>
              <w:rPr>
                <w:sz w:val="14"/>
              </w:rPr>
              <w:t>Sénégal : la bataille des mœurs est devenue un enjeu politique - The C</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La BCE s'abstient de donner des indications sur les taux - compte-rend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2026-10-12</w:t>
            </w:r>
          </w:p>
        </w:tc>
        <w:tc>
          <w:tcPr>
            <w:tcW w:type="dxa" w:w="1728"/>
          </w:tcPr>
          <w:p>
            <w:r>
              <w:rPr>
                <w:sz w:val="14"/>
              </w:rPr>
              <w:t xml:space="preserve">Forum parlementaire mondial : Hadja Mémounatou Ibrahima représente le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2026-10-12</w:t>
            </w:r>
          </w:p>
        </w:tc>
        <w:tc>
          <w:tcPr>
            <w:tcW w:type="dxa" w:w="1728"/>
          </w:tcPr>
          <w:p>
            <w:r>
              <w:rPr>
                <w:sz w:val="14"/>
              </w:rPr>
              <w:t>La BCE s'abstient de donner des indications sur les taux - compte-rend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2026-10-12</w:t>
            </w:r>
          </w:p>
        </w:tc>
        <w:tc>
          <w:tcPr>
            <w:tcW w:type="dxa" w:w="1728"/>
          </w:tcPr>
          <w:p>
            <w:r>
              <w:rPr>
                <w:sz w:val="14"/>
              </w:rPr>
              <w:t>Togo : pour les 16 ans de l’ANC, Jean-Pierre Fabre charge le pouvoir 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2026-10-08</w:t>
            </w:r>
          </w:p>
        </w:tc>
        <w:tc>
          <w:tcPr>
            <w:tcW w:type="dxa" w:w="1728"/>
          </w:tcPr>
          <w:p>
            <w:r>
              <w:rPr>
                <w:sz w:val="14"/>
              </w:rPr>
              <w:t>Wall Street en ordre dispersé avec la hausse des prix du pétrole - Inv</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La BCE s'abstient de donner des indications sur les taux - compte-rend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2026-10-12</w:t>
            </w:r>
          </w:p>
        </w:tc>
        <w:tc>
          <w:tcPr>
            <w:tcW w:type="dxa" w:w="1728"/>
          </w:tcPr>
          <w:p>
            <w:r>
              <w:rPr>
                <w:sz w:val="14"/>
              </w:rPr>
              <w:t xml:space="preserve">Forum parlementaire mondial : Hadja Mémounatou Ibrahima représente le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2026-10-12</w:t>
            </w:r>
          </w:p>
        </w:tc>
        <w:tc>
          <w:tcPr>
            <w:tcW w:type="dxa" w:w="1728"/>
          </w:tcPr>
          <w:p>
            <w:r>
              <w:rPr>
                <w:sz w:val="14"/>
              </w:rPr>
              <w:t xml:space="preserve">Burkina Faso : le Capitaine Traoré annoncé à Moscou pour le 3e sommet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2026-10-12</w:t>
            </w:r>
          </w:p>
        </w:tc>
        <w:tc>
          <w:tcPr>
            <w:tcW w:type="dxa" w:w="1728"/>
          </w:tcPr>
          <w:p>
            <w:r>
              <w:rPr>
                <w:sz w:val="14"/>
              </w:rPr>
              <w:t>Éliminatoires CAN 2027, refonte de la politique sportive au Togo et pl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2026-10-12</w:t>
            </w:r>
          </w:p>
        </w:tc>
        <w:tc>
          <w:tcPr>
            <w:tcW w:type="dxa" w:w="1728"/>
          </w:tcPr>
          <w:p>
            <w:r>
              <w:rPr>
                <w:sz w:val="14"/>
              </w:rPr>
              <w:t>La BCE s'abstient de donner des indications sur les taux - compte-rend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La BCE s'abstient de donner des indications sur les taux - compte-rend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2026-10-12</w:t>
            </w:r>
          </w:p>
        </w:tc>
        <w:tc>
          <w:tcPr>
            <w:tcW w:type="dxa" w:w="1728"/>
          </w:tcPr>
          <w:p>
            <w:r>
              <w:rPr>
                <w:sz w:val="14"/>
              </w:rPr>
              <w:t xml:space="preserve">Forum parlementaire mondial : Hadja Mémounatou Ibrahima représente le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2026-10-12</w:t>
            </w:r>
          </w:p>
        </w:tc>
        <w:tc>
          <w:tcPr>
            <w:tcW w:type="dxa" w:w="1728"/>
          </w:tcPr>
          <w:p>
            <w:r>
              <w:rPr>
                <w:sz w:val="14"/>
              </w:rPr>
              <w:t>La BCE s'abstient de donner des indications sur les taux - compte-rend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2026-10-12</w:t>
            </w:r>
          </w:p>
        </w:tc>
        <w:tc>
          <w:tcPr>
            <w:tcW w:type="dxa" w:w="1728"/>
          </w:tcPr>
          <w:p>
            <w:r>
              <w:rPr>
                <w:sz w:val="14"/>
              </w:rPr>
              <w:t>Togo : pour les 16 ans de l’ANC, Jean-Pierre Fabre charge le pouvoir 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2026-10-08</w:t>
            </w:r>
          </w:p>
        </w:tc>
        <w:tc>
          <w:tcPr>
            <w:tcW w:type="dxa" w:w="1728"/>
          </w:tcPr>
          <w:p>
            <w:r>
              <w:rPr>
                <w:sz w:val="14"/>
              </w:rPr>
              <w:t>Wall Street en ordre dispersé avec la hausse des prix du pétrole - Inv</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La BCE s'abstient de donner des indications sur les taux - compte-rend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2026-10-12</w:t>
            </w:r>
          </w:p>
        </w:tc>
        <w:tc>
          <w:tcPr>
            <w:tcW w:type="dxa" w:w="1728"/>
          </w:tcPr>
          <w:p>
            <w:r>
              <w:rPr>
                <w:sz w:val="14"/>
              </w:rPr>
              <w:t xml:space="preserve">Forum parlementaire mondial : Hadja Mémounatou Ibrahima représente le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2026-10-12</w:t>
            </w:r>
          </w:p>
        </w:tc>
        <w:tc>
          <w:tcPr>
            <w:tcW w:type="dxa" w:w="1728"/>
          </w:tcPr>
          <w:p>
            <w:r>
              <w:rPr>
                <w:sz w:val="14"/>
              </w:rPr>
              <w:t>Sénégal : la répression des LGBTQ+ sous le feu des ONG - DW.com</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2026-10-12</w:t>
            </w:r>
          </w:p>
        </w:tc>
        <w:tc>
          <w:tcPr>
            <w:tcW w:type="dxa" w:w="1728"/>
          </w:tcPr>
          <w:p>
            <w:r>
              <w:rPr>
                <w:sz w:val="14"/>
              </w:rPr>
              <w:t xml:space="preserve">Burkina Faso : le Capitaine Traoré annoncé à Moscou pour le 3e sommet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2026-10-12</w:t>
            </w:r>
          </w:p>
        </w:tc>
        <w:tc>
          <w:tcPr>
            <w:tcW w:type="dxa" w:w="1728"/>
          </w:tcPr>
          <w:p>
            <w:r>
              <w:rPr>
                <w:sz w:val="14"/>
              </w:rPr>
              <w:t>Éliminatoires CAN 2027, refonte de la politique sportive au Togo et pl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La BCE s'abstient de donner des indications sur les taux - compte-rend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2026-10-12</w:t>
            </w:r>
          </w:p>
        </w:tc>
        <w:tc>
          <w:tcPr>
            <w:tcW w:type="dxa" w:w="1728"/>
          </w:tcPr>
          <w:p>
            <w:r>
              <w:rPr>
                <w:sz w:val="14"/>
              </w:rPr>
              <w:t xml:space="preserve">Forum parlementaire mondial : Hadja Mémounatou Ibrahima représente le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2026-10-12</w:t>
            </w:r>
          </w:p>
        </w:tc>
        <w:tc>
          <w:tcPr>
            <w:tcW w:type="dxa" w:w="1728"/>
          </w:tcPr>
          <w:p>
            <w:r>
              <w:rPr>
                <w:sz w:val="14"/>
              </w:rPr>
              <w:t>La BCE s'abstient de donner des indications sur les taux - compte-rend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2026-10-12</w:t>
            </w:r>
          </w:p>
        </w:tc>
        <w:tc>
          <w:tcPr>
            <w:tcW w:type="dxa" w:w="1728"/>
          </w:tcPr>
          <w:p>
            <w:r>
              <w:rPr>
                <w:sz w:val="14"/>
              </w:rPr>
              <w:t>Togo : pour les 16 ans de l’ANC, Jean-Pierre Fabre charge le pouvoir 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2026-10-08</w:t>
            </w:r>
          </w:p>
        </w:tc>
        <w:tc>
          <w:tcPr>
            <w:tcW w:type="dxa" w:w="1728"/>
          </w:tcPr>
          <w:p>
            <w:r>
              <w:rPr>
                <w:sz w:val="14"/>
              </w:rPr>
              <w:t>Wall Street en ordre dispersé avec la hausse des prix du pétrole - Inv</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matieres_premieres  (2 alerte(s))</w:t>
      </w:r>
    </w:p>
    <w:p>
      <w:pPr>
        <w:spacing w:before="40" w:after="40"/>
        <w:ind w:left="360"/>
      </w:pPr>
      <w:r>
        <w:rPr>
          <w:color w:val="646464"/>
          <w:sz w:val="17"/>
        </w:rPr>
        <w:t xml:space="preserve">[13/10/2026] 🔴  </w:t>
      </w:r>
      <w:r>
        <w:rPr>
          <w:b/>
          <w:color w:val="C00000"/>
          <w:sz w:val="18"/>
        </w:rPr>
        <w:t>De nombreux facteurs exercent une pression sur les coûts de production et les prix des matières premières. - Vietnam.vn</w:t>
      </w:r>
      <w:r>
        <w:rPr>
          <w:color w:val="787878"/>
          <w:sz w:val="15"/>
        </w:rPr>
        <w:t xml:space="preserve">  [matieres_premieres]</w:t>
      </w:r>
      <w:r>
        <w:rPr>
          <w:color w:val="B47800"/>
          <w:sz w:val="16"/>
        </w:rPr>
        <w:t xml:space="preserve">  ★ 50/10</w:t>
      </w:r>
    </w:p>
    <w:p>
      <w:pPr>
        <w:spacing w:before="0" w:after="20"/>
        <w:ind w:left="600"/>
      </w:pPr>
      <w:r>
        <w:rPr>
          <w:color w:val="323232"/>
          <w:sz w:val="17"/>
        </w:rPr>
        <w:t>L'article évoque une pression généralisée sur les coûts de production et les prix des matières premières, sans fournir de détails spécifiques sur les causes ou les régions concernées. Cette situation pourrait entraîner une volatilité accrue des prix des matières premières à l'échelle mondiale. Pour les investisseurs, cela implique une vigilance acc</w:t>
      </w:r>
    </w:p>
    <w:p>
      <w:pPr>
        <w:spacing w:before="0" w:after="40"/>
        <w:ind w:left="600"/>
      </w:pPr>
      <w:r>
        <w:rPr>
          <w:color w:val="00643C"/>
          <w:sz w:val="16"/>
        </w:rPr>
        <w:t>Points clés : Pression sur les coûts de production  •  Hausse potentielle des prix des matières premières  •  Manque de détails spécifiques dans l'article</w:t>
      </w:r>
    </w:p>
    <w:p>
      <w:pPr>
        <w:spacing w:before="0" w:after="60"/>
        <w:ind w:left="600"/>
      </w:pPr>
      <w:r>
        <w:rPr>
          <w:color w:val="0064B4"/>
          <w:sz w:val="15"/>
        </w:rPr>
        <w:t>Source : https://news.google.com/rss/articles/CBMijwFBVV95cUxNT1pjNC1ldU1OblY1UG9wbm1uRWd</w:t>
      </w:r>
    </w:p>
    <w:p>
      <w:pPr>
        <w:spacing w:before="40" w:after="40"/>
        <w:ind w:left="360"/>
      </w:pPr>
      <w:r>
        <w:rPr>
          <w:color w:val="646464"/>
          <w:sz w:val="17"/>
        </w:rPr>
        <w:t xml:space="preserve">[12/10/2026] ⚪  </w:t>
      </w:r>
      <w:r>
        <w:rPr>
          <w:b/>
          <w:color w:val="505050"/>
          <w:sz w:val="18"/>
        </w:rPr>
        <w:t>Alors que les produits verts dominent le marché, c'est le diesel qui a pris la tête du marché la semaine dernière. - Vie</w:t>
      </w:r>
      <w:r>
        <w:rPr>
          <w:color w:val="787878"/>
          <w:sz w:val="15"/>
        </w:rPr>
        <w:t xml:space="preserve">  [matieres_premieres]</w:t>
      </w:r>
      <w:r>
        <w:rPr>
          <w:color w:val="B47800"/>
          <w:sz w:val="16"/>
        </w:rPr>
        <w:t xml:space="preserve">  ★ 50/10</w:t>
      </w:r>
    </w:p>
    <w:p>
      <w:pPr>
        <w:spacing w:before="0" w:after="20"/>
        <w:ind w:left="600"/>
      </w:pPr>
      <w:r>
        <w:rPr>
          <w:color w:val="323232"/>
          <w:sz w:val="17"/>
        </w:rPr>
        <w:t>Le marché des matières premières a été marqué la semaine dernière par la performance du diesel, qui a pris la tête des échanges alors que les produits verts continuaient de dominer globalement. Cette dynamique souligne une demande soutenue pour les carburants traditionnels malgré la transition énergétique en cours. Pour la BRVM, cet article n'a pas</w:t>
      </w:r>
    </w:p>
    <w:p>
      <w:pPr>
        <w:spacing w:before="0" w:after="40"/>
        <w:ind w:left="600"/>
      </w:pPr>
      <w:r>
        <w:rPr>
          <w:color w:val="00643C"/>
          <w:sz w:val="16"/>
        </w:rPr>
        <w:t>Points clés : Le diesel a enregistré la meilleure performance hebdomadaire sur le marché des matières premières.  •  Les produits verts restent majoritaires mais cèdent la tête du classement au diesel.  •  Aucune implication directe pour les sociétés cotées à la BRVM.</w:t>
      </w:r>
    </w:p>
    <w:p>
      <w:pPr>
        <w:spacing w:before="0" w:after="60"/>
        <w:ind w:left="600"/>
      </w:pPr>
      <w:r>
        <w:rPr>
          <w:color w:val="0064B4"/>
          <w:sz w:val="15"/>
        </w:rPr>
        <w:t>Source : https://news.google.com/rss/articles/CBMiiAFBVV95cUxNRk9iSnNxWUczMHFaOW8wWXJxYUx</w:t>
      </w:r>
    </w:p>
    <w:p>
      <w:pPr>
        <w:spacing w:before="120" w:after="40"/>
      </w:pPr>
      <w:r>
        <w:rPr>
          <w:b/>
          <w:color w:val="00467F"/>
          <w:sz w:val="20"/>
        </w:rPr>
        <w:t>🔑 économique  (5 alerte(s))</w:t>
      </w:r>
    </w:p>
    <w:p>
      <w:pPr>
        <w:spacing w:before="40" w:after="40"/>
        <w:ind w:left="360"/>
      </w:pPr>
      <w:r>
        <w:rPr>
          <w:color w:val="646464"/>
          <w:sz w:val="17"/>
        </w:rPr>
        <w:t xml:space="preserve">[12/10/2026] ⚪  </w:t>
      </w:r>
      <w:r>
        <w:rPr>
          <w:b/>
          <w:color w:val="505050"/>
          <w:sz w:val="18"/>
        </w:rPr>
        <w:t>Forum parlementaire mondial : Hadja Mémounatou Ibrahima représente le Parlement de la Cédéao à Bangkok - Le Nouveau Repo</w:t>
      </w:r>
      <w:r>
        <w:rPr>
          <w:color w:val="787878"/>
          <w:sz w:val="15"/>
        </w:rPr>
        <w:t xml:space="preserve">  [économique]</w:t>
      </w:r>
      <w:r>
        <w:rPr>
          <w:color w:val="B47800"/>
          <w:sz w:val="16"/>
        </w:rPr>
        <w:t xml:space="preserve">  ★ 50/10</w:t>
      </w:r>
    </w:p>
    <w:p>
      <w:pPr>
        <w:spacing w:before="0" w:after="20"/>
        <w:ind w:left="600"/>
      </w:pPr>
      <w:r>
        <w:rPr>
          <w:color w:val="323232"/>
          <w:sz w:val="17"/>
        </w:rPr>
        <w:t>La Présidente du Parlement de la Cédéao, Hadja Mémounatou Ibrahima, a représenté l'institution lors du Forum parlementaire mondial qui s'est tenu à Bangkok. Cette participation s'inscrit dans le cadre du renforcement de la coopération interparlementaire et de la diplomatie parlementaire régionale. L'événement a permis d'échanger sur les grands enje</w:t>
      </w:r>
    </w:p>
    <w:p>
      <w:pPr>
        <w:spacing w:before="0" w:after="40"/>
        <w:ind w:left="600"/>
      </w:pPr>
      <w:r>
        <w:rPr>
          <w:color w:val="00643C"/>
          <w:sz w:val="16"/>
        </w:rPr>
        <w:t>Points clés : Hadja Mémounatou Ibrahima, Présidente du Parlement de la Cédéao, a représenté l'institution à Bangkok.  •  Participation au Forum parlementaire mondial, cadre de dialogue interparlementaire international.  •  Aucune annonce économique ou commerciale impactant directement les marchés n'a été faite.</w:t>
      </w:r>
    </w:p>
    <w:p>
      <w:pPr>
        <w:spacing w:before="0" w:after="60"/>
        <w:ind w:left="600"/>
      </w:pPr>
      <w:r>
        <w:rPr>
          <w:color w:val="0064B4"/>
          <w:sz w:val="15"/>
        </w:rPr>
        <w:t>Source : https://news.google.com/rss/articles/CBMiywFBVV95cUxQS25iZWVOWGxDUi14ZTRvcHZKNFV</w:t>
      </w:r>
    </w:p>
    <w:p>
      <w:pPr>
        <w:spacing w:before="40" w:after="40"/>
        <w:ind w:left="360"/>
      </w:pPr>
      <w:r>
        <w:rPr>
          <w:color w:val="646464"/>
          <w:sz w:val="17"/>
        </w:rPr>
        <w:t xml:space="preserve">[12/10/2026] ⚪  </w:t>
      </w:r>
      <w:r>
        <w:rPr>
          <w:b/>
          <w:color w:val="505050"/>
          <w:sz w:val="18"/>
        </w:rPr>
        <w:t>Sénégal, Gabon, croissance : les dossiers africains des assemblées du FMI et de la Banque mondiale - Jeune Afrique</w:t>
      </w:r>
      <w:r>
        <w:rPr>
          <w:color w:val="787878"/>
          <w:sz w:val="15"/>
        </w:rPr>
        <w:t xml:space="preserve">  [économique]</w:t>
      </w:r>
      <w:r>
        <w:rPr>
          <w:color w:val="B47800"/>
          <w:sz w:val="16"/>
        </w:rPr>
        <w:t xml:space="preserve">  ★ 50/10</w:t>
      </w:r>
    </w:p>
    <w:p>
      <w:pPr>
        <w:spacing w:before="0" w:after="20"/>
        <w:ind w:left="600"/>
      </w:pPr>
      <w:r>
        <w:rPr>
          <w:color w:val="323232"/>
          <w:sz w:val="17"/>
        </w:rPr>
        <w:t xml:space="preserve">Les assemblées annuelles du FMI et de la Banque mondiale ont été l'occasion d'aborder les dossiers économiques africains, notamment la croissance du Sénégal et du Gabon. Les discussions ont porté sur les réformes structurelles, la gestion de la dette et les perspectives de croissance dans un contexte mondial incertain. Ces rencontres ont permis de </w:t>
      </w:r>
    </w:p>
    <w:p>
      <w:pPr>
        <w:spacing w:before="0" w:after="40"/>
        <w:ind w:left="600"/>
      </w:pPr>
      <w:r>
        <w:rPr>
          <w:color w:val="00643C"/>
          <w:sz w:val="16"/>
        </w:rPr>
        <w:t>Points clés : Examen des dossiers économiques du Sénégal et du Gabon lors des assemblées du FMI et de la Banque mondiale  •  Discussions sur les réformes structurelles et la gestion de la dette  •  Perspectives de croissance et défis pour les économies africaines</w:t>
      </w:r>
    </w:p>
    <w:p>
      <w:pPr>
        <w:spacing w:before="0" w:after="60"/>
        <w:ind w:left="600"/>
      </w:pPr>
      <w:r>
        <w:rPr>
          <w:color w:val="0064B4"/>
          <w:sz w:val="15"/>
        </w:rPr>
        <w:t>Source : https://news.google.com/rss/articles/CBMi6AFBVV95cUxNQW9ERzAxRnpId0Uyb0V6TExjS29</w:t>
      </w:r>
    </w:p>
    <w:p>
      <w:pPr>
        <w:spacing w:before="40" w:after="40"/>
        <w:ind w:left="360"/>
      </w:pPr>
      <w:r>
        <w:rPr>
          <w:color w:val="646464"/>
          <w:sz w:val="17"/>
        </w:rPr>
        <w:t xml:space="preserve">[11/10/2026] ⚪  </w:t>
      </w:r>
      <w:r>
        <w:rPr>
          <w:b/>
          <w:color w:val="505050"/>
          <w:sz w:val="18"/>
        </w:rPr>
        <w:t>FMI-Banque mondiale : à Bangkok, l’Afrique face à la dette et à l’inflation - Bénin Web TV</w:t>
      </w:r>
      <w:r>
        <w:rPr>
          <w:color w:val="787878"/>
          <w:sz w:val="15"/>
        </w:rPr>
        <w:t xml:space="preserve">  [économique]</w:t>
      </w:r>
      <w:r>
        <w:rPr>
          <w:color w:val="B47800"/>
          <w:sz w:val="16"/>
        </w:rPr>
        <w:t xml:space="preserve">  ★ 50/10</w:t>
      </w:r>
    </w:p>
    <w:p>
      <w:pPr>
        <w:spacing w:before="0" w:after="20"/>
        <w:ind w:left="600"/>
      </w:pPr>
      <w:r>
        <w:rPr>
          <w:color w:val="323232"/>
          <w:sz w:val="17"/>
        </w:rPr>
        <w:t>Les assemblées annuelles du FMI et de la Banque mondiale se tiennent à Bangkok, avec une attention particulière portée aux défis de la dette et de l'inflation en Afrique. Les discussions portent sur les moyens de soutenir les pays africains confrontés à des niveaux d'endettement élevés et à une inflation persistante. Les institutions financières in</w:t>
      </w:r>
    </w:p>
    <w:p>
      <w:pPr>
        <w:spacing w:before="0" w:after="40"/>
        <w:ind w:left="600"/>
      </w:pPr>
      <w:r>
        <w:rPr>
          <w:color w:val="00643C"/>
          <w:sz w:val="16"/>
        </w:rPr>
        <w:t>Points clés : Réunion du FMI et de la Banque mondiale à Bangkok  •  L'Afrique confrontée à la dette et à l'inflation  •  Recherche de solutions pour la stabilité financière</w:t>
      </w:r>
    </w:p>
    <w:p>
      <w:pPr>
        <w:spacing w:before="0" w:after="60"/>
        <w:ind w:left="600"/>
      </w:pPr>
      <w:r>
        <w:rPr>
          <w:color w:val="0064B4"/>
          <w:sz w:val="15"/>
        </w:rPr>
        <w:t>Source : https://news.google.com/rss/articles/CBMif0FVX3lxTE02YmUwNk5JZE5LVVZYVEdqcTJkcEJ</w:t>
      </w:r>
    </w:p>
    <w:p>
      <w:pPr>
        <w:spacing w:before="40" w:after="40"/>
        <w:ind w:left="360"/>
      </w:pPr>
      <w:r>
        <w:rPr>
          <w:color w:val="646464"/>
          <w:sz w:val="17"/>
        </w:rPr>
        <w:t xml:space="preserve">[09/10/2026] 🔴  </w:t>
      </w:r>
      <w:r>
        <w:rPr>
          <w:b/>
          <w:color w:val="C00000"/>
          <w:sz w:val="18"/>
        </w:rPr>
        <w:t>Guinée-Bissau: la Cedeao appelle au dialogue face au vote bloqué - tv5monde</w:t>
      </w:r>
      <w:r>
        <w:rPr>
          <w:color w:val="787878"/>
          <w:sz w:val="15"/>
        </w:rPr>
        <w:t xml:space="preserve">  [économique]</w:t>
      </w:r>
      <w:r>
        <w:rPr>
          <w:color w:val="B47800"/>
          <w:sz w:val="16"/>
        </w:rPr>
        <w:t xml:space="preserve">  ★ 50/10</w:t>
      </w:r>
    </w:p>
    <w:p>
      <w:pPr>
        <w:spacing w:before="0" w:after="20"/>
        <w:ind w:left="600"/>
      </w:pPr>
      <w:r>
        <w:rPr>
          <w:color w:val="323232"/>
          <w:sz w:val="17"/>
        </w:rPr>
        <w:t>La Cedeao appelle au dialogue en Guinée-Bissau après un vote bloqué au Parlement, sur fond de tensions politiques persistantes. Cette situation institutionnelle risque de paralyser la gouvernance et de retarder les réformes économiques. L'instabilité politique chronique du pays pèse sur la confiance des investisseurs et sur les perspectives de croi</w:t>
      </w:r>
    </w:p>
    <w:p>
      <w:pPr>
        <w:spacing w:before="0" w:after="40"/>
        <w:ind w:left="600"/>
      </w:pPr>
      <w:r>
        <w:rPr>
          <w:color w:val="00643C"/>
          <w:sz w:val="16"/>
        </w:rPr>
        <w:t>Points clés : Appel de la Cedeao au dialogue face au blocage du vote  •  Tensions politiques persistantes en Guinée-Bissau  •  Risque de paralysie institutionnelle et de retard des réformes  •  Impact indirect sur le sentiment des investisseurs en zone UEMOA</w:t>
      </w:r>
    </w:p>
    <w:p>
      <w:pPr>
        <w:spacing w:before="0" w:after="60"/>
        <w:ind w:left="600"/>
      </w:pPr>
      <w:r>
        <w:rPr>
          <w:color w:val="0064B4"/>
          <w:sz w:val="15"/>
        </w:rPr>
        <w:t>Source : https://news.google.com/rss/articles/CBMisgFBVV95cUxOWktFcUlMMXFxbUFtbFNFbGVQbkh</w:t>
      </w:r>
    </w:p>
    <w:p>
      <w:pPr>
        <w:spacing w:before="40" w:after="40"/>
        <w:ind w:left="360"/>
      </w:pPr>
      <w:r>
        <w:rPr>
          <w:color w:val="646464"/>
          <w:sz w:val="17"/>
        </w:rPr>
        <w:t xml:space="preserve">[09/10/2026] 🟢  </w:t>
      </w:r>
      <w:r>
        <w:rPr>
          <w:b/>
          <w:color w:val="008000"/>
          <w:sz w:val="18"/>
        </w:rPr>
        <w:t xml:space="preserve">FEWACCI : Mamadou Baldé explique les enjeux de son élection au poste de 3ᵉ vice-président et les ambitions de la Guinée </w:t>
      </w:r>
      <w:r>
        <w:rPr>
          <w:color w:val="787878"/>
          <w:sz w:val="15"/>
        </w:rPr>
        <w:t xml:space="preserve">  [économique]</w:t>
      </w:r>
      <w:r>
        <w:rPr>
          <w:color w:val="B47800"/>
          <w:sz w:val="16"/>
        </w:rPr>
        <w:t xml:space="preserve">  ★ 50/10</w:t>
      </w:r>
    </w:p>
    <w:p>
      <w:pPr>
        <w:spacing w:before="0" w:after="20"/>
        <w:ind w:left="600"/>
      </w:pPr>
      <w:r>
        <w:rPr>
          <w:color w:val="323232"/>
          <w:sz w:val="17"/>
        </w:rPr>
        <w:t>Mamadou Baldé a été élu 3ᵉ vice-président de la FEWACCI (Fédération des Chambres de Commerce et d'Industrie de l'Afrique de l'Ouest). Il explique les enjeux de cette élection pour la Guinée et les ambitions qu'il porte au sein de l'organisation. Cette nomination renforce la représentation guinéenne dans les instances économiques régionales.</w:t>
      </w:r>
    </w:p>
    <w:p>
      <w:pPr>
        <w:spacing w:before="0" w:after="40"/>
        <w:ind w:left="600"/>
      </w:pPr>
      <w:r>
        <w:rPr>
          <w:color w:val="00643C"/>
          <w:sz w:val="16"/>
        </w:rPr>
        <w:t>Points clés : Élection de Mamadou Baldé au poste de 3ᵉ vice-président de la FEWACCI  •  Enjeux pour la Guinée et ambitions portées par le nouveau vice-président  •  Renforcement de la présence guinéenne dans les instances économiques ouest-africaines</w:t>
      </w:r>
    </w:p>
    <w:p>
      <w:pPr>
        <w:spacing w:before="0" w:after="60"/>
        <w:ind w:left="600"/>
      </w:pPr>
      <w:r>
        <w:rPr>
          <w:color w:val="0064B4"/>
          <w:sz w:val="15"/>
        </w:rPr>
        <w:t>Source : https://news.google.com/rss/articles/CBMi8wFBVV95cUxNSU8yeU1OQmlqOFVNeHo2QV82Szd</w:t>
      </w:r>
    </w:p>
    <w:p>
      <w:pPr>
        <w:spacing w:before="120" w:after="40"/>
      </w:pPr>
      <w:r>
        <w:rPr>
          <w:b/>
          <w:color w:val="00467F"/>
          <w:sz w:val="20"/>
        </w:rPr>
        <w:t>🔑 politique  (9 alerte(s))</w:t>
      </w:r>
    </w:p>
    <w:p>
      <w:pPr>
        <w:spacing w:before="40" w:after="40"/>
        <w:ind w:left="360"/>
      </w:pPr>
      <w:r>
        <w:rPr>
          <w:color w:val="646464"/>
          <w:sz w:val="17"/>
        </w:rPr>
        <w:t xml:space="preserve">[12/10/2026] 🔴  </w:t>
      </w:r>
      <w:r>
        <w:rPr>
          <w:b/>
          <w:color w:val="C00000"/>
          <w:sz w:val="18"/>
        </w:rPr>
        <w:t>Sénégal : la répression des LGBTQ+ sous le feu des ONG - DW.com</w:t>
      </w:r>
      <w:r>
        <w:rPr>
          <w:color w:val="787878"/>
          <w:sz w:val="15"/>
        </w:rPr>
        <w:t xml:space="preserve">  [politique]</w:t>
      </w:r>
      <w:r>
        <w:rPr>
          <w:color w:val="B47800"/>
          <w:sz w:val="16"/>
        </w:rPr>
        <w:t xml:space="preserve">  ★ 50/10</w:t>
      </w:r>
    </w:p>
    <w:p>
      <w:pPr>
        <w:spacing w:before="0" w:after="20"/>
        <w:ind w:left="600"/>
      </w:pPr>
      <w:r>
        <w:rPr>
          <w:color w:val="323232"/>
          <w:sz w:val="17"/>
        </w:rPr>
        <w:t>Des organisations non gouvernementales critiquent la répression des personnes LGBTQ+ au Sénégal, dénonçant des arrestations et des discriminations croissantes. Cette situation suscite des tensions entre les autorités sénégalaises et les défenseurs des droits humains. Les ONG appellent à la protection des minorités et au respect des engagements inte</w:t>
      </w:r>
    </w:p>
    <w:p>
      <w:pPr>
        <w:spacing w:before="0" w:after="40"/>
        <w:ind w:left="600"/>
      </w:pPr>
      <w:r>
        <w:rPr>
          <w:color w:val="00643C"/>
          <w:sz w:val="16"/>
        </w:rPr>
        <w:t>Points clés : Les ONG dénoncent une répression accrue contre les LGBTQ+ au Sénégal  •  Appels à la protection des droits humains et au respect des traités internationaux  •  Tensions entre autorités sénégalaises et organisations de défense des droits</w:t>
      </w:r>
    </w:p>
    <w:p>
      <w:pPr>
        <w:spacing w:before="0" w:after="60"/>
        <w:ind w:left="600"/>
      </w:pPr>
      <w:r>
        <w:rPr>
          <w:color w:val="0064B4"/>
          <w:sz w:val="15"/>
        </w:rPr>
        <w:t>Source : https://news.google.com/rss/articles/CBMidEFVX3lxTE1ydEtnZ3d1VHk5MGlNWUZCLVV5RVl</w:t>
      </w:r>
    </w:p>
    <w:p>
      <w:pPr>
        <w:spacing w:before="40" w:after="40"/>
        <w:ind w:left="360"/>
      </w:pPr>
      <w:r>
        <w:rPr>
          <w:color w:val="646464"/>
          <w:sz w:val="17"/>
        </w:rPr>
        <w:t xml:space="preserve">[12/10/2026] ⚪  </w:t>
      </w:r>
      <w:r>
        <w:rPr>
          <w:b/>
          <w:color w:val="505050"/>
          <w:sz w:val="18"/>
        </w:rPr>
        <w:t>Burkina Faso : le Capitaine Traoré annoncé à Moscou pour le 3e sommet Russie-Afrique - Koaci</w:t>
      </w:r>
      <w:r>
        <w:rPr>
          <w:color w:val="787878"/>
          <w:sz w:val="15"/>
        </w:rPr>
        <w:t xml:space="preserve">  [politique]</w:t>
      </w:r>
      <w:r>
        <w:rPr>
          <w:color w:val="B47800"/>
          <w:sz w:val="16"/>
        </w:rPr>
        <w:t xml:space="preserve">  ★ 50/10</w:t>
      </w:r>
    </w:p>
    <w:p>
      <w:pPr>
        <w:spacing w:before="0" w:after="20"/>
        <w:ind w:left="600"/>
      </w:pPr>
      <w:r>
        <w:rPr>
          <w:color w:val="323232"/>
          <w:sz w:val="17"/>
        </w:rPr>
        <w:t>Le Capitaine Ibrahim Traoré, président du Burkina Faso, est annoncé à Moscou pour participer au 3e sommet Russie-Afrique. Cet événement s'inscrit dans le cadre du renforcement des relations entre la Russie et plusieurs pays africains, dont le Burkina Faso. Cette visite intervient dans un contexte de repositionnement géopolitique du pays sahélien, q</w:t>
      </w:r>
    </w:p>
    <w:p>
      <w:pPr>
        <w:spacing w:before="0" w:after="40"/>
        <w:ind w:left="600"/>
      </w:pPr>
      <w:r>
        <w:rPr>
          <w:color w:val="00643C"/>
          <w:sz w:val="16"/>
        </w:rPr>
        <w:t>Points clés : Participation du Capitaine Traoré au 3e sommet Russie-Afrique à Moscou  •  Renforcement des liens entre le Burkina Faso et la Russie  •  Contexte de diversification des partenariats géopolitiques du Burkina Faso</w:t>
      </w:r>
    </w:p>
    <w:p>
      <w:pPr>
        <w:spacing w:before="0" w:after="60"/>
        <w:ind w:left="600"/>
      </w:pPr>
      <w:r>
        <w:rPr>
          <w:color w:val="0064B4"/>
          <w:sz w:val="15"/>
        </w:rPr>
        <w:t>Source : https://news.google.com/rss/articles/CBMi7wFBVV95cUxOaHNNYlBoOVFRQ3dHRWY2UkJBMGR</w:t>
      </w:r>
    </w:p>
    <w:p>
      <w:pPr>
        <w:spacing w:before="40" w:after="40"/>
        <w:ind w:left="360"/>
      </w:pPr>
      <w:r>
        <w:rPr>
          <w:color w:val="646464"/>
          <w:sz w:val="17"/>
        </w:rPr>
        <w:t xml:space="preserve">[12/10/2026] ⚪  </w:t>
      </w:r>
      <w:r>
        <w:rPr>
          <w:b/>
          <w:color w:val="505050"/>
          <w:sz w:val="18"/>
        </w:rPr>
        <w:t>Éliminatoires CAN 2027, refonte de la politique sportive au Togo et plus : Patrice Neveu se lâche - AfricaFoot</w:t>
      </w:r>
      <w:r>
        <w:rPr>
          <w:color w:val="787878"/>
          <w:sz w:val="15"/>
        </w:rPr>
        <w:t xml:space="preserve">  [politique]</w:t>
      </w:r>
      <w:r>
        <w:rPr>
          <w:color w:val="B47800"/>
          <w:sz w:val="16"/>
        </w:rPr>
        <w:t xml:space="preserve">  ★ 50/10</w:t>
      </w:r>
    </w:p>
    <w:p>
      <w:pPr>
        <w:spacing w:before="0" w:after="20"/>
        <w:ind w:left="600"/>
      </w:pPr>
      <w:r>
        <w:rPr>
          <w:color w:val="323232"/>
          <w:sz w:val="17"/>
        </w:rPr>
        <w:t>L'article rapporte les déclarations de Patrice Neveu, entraîneur de l'équipe nationale du Togo, concernant les éliminatoires de la CAN 2027 et la refonte de la politique sportive togolaise. Il évoque les défis et les ambitions du football togolais dans ce contexte de réorganisation. Aucune information économique ou financière n'est abordée.</w:t>
      </w:r>
    </w:p>
    <w:p>
      <w:pPr>
        <w:spacing w:before="0" w:after="40"/>
        <w:ind w:left="600"/>
      </w:pPr>
      <w:r>
        <w:rPr>
          <w:color w:val="00643C"/>
          <w:sz w:val="16"/>
        </w:rPr>
        <w:t>Points clés : Patrice Neveu s'exprime sur les éliminatoires de la CAN 2027  •  Refonte de la politique sportive au Togo  •  Déclarations sans lien direct avec les marchés financiers</w:t>
      </w:r>
    </w:p>
    <w:p>
      <w:pPr>
        <w:spacing w:before="0" w:after="60"/>
        <w:ind w:left="600"/>
      </w:pPr>
      <w:r>
        <w:rPr>
          <w:color w:val="0064B4"/>
          <w:sz w:val="15"/>
        </w:rPr>
        <w:t>Source : https://news.google.com/rss/articles/CBMiugFBVV95cUxOM21zN25Nc0Y1ekktOUhwU3lMWTI</w:t>
      </w:r>
    </w:p>
    <w:p>
      <w:pPr>
        <w:spacing w:before="40" w:after="40"/>
        <w:ind w:left="360"/>
      </w:pPr>
      <w:r>
        <w:rPr>
          <w:color w:val="646464"/>
          <w:sz w:val="17"/>
        </w:rPr>
        <w:t xml:space="preserve">[12/10/2026] ⚪  </w:t>
      </w:r>
      <w:r>
        <w:rPr>
          <w:b/>
          <w:color w:val="505050"/>
          <w:sz w:val="18"/>
        </w:rPr>
        <w:t>Sénégal : la bataille des mœurs est devenue un enjeu politique - The Conversation</w:t>
      </w:r>
      <w:r>
        <w:rPr>
          <w:color w:val="787878"/>
          <w:sz w:val="15"/>
        </w:rPr>
        <w:t xml:space="preserve">  [politique]</w:t>
      </w:r>
      <w:r>
        <w:rPr>
          <w:color w:val="B47800"/>
          <w:sz w:val="16"/>
        </w:rPr>
        <w:t xml:space="preserve">  ★ 50/10</w:t>
      </w:r>
    </w:p>
    <w:p>
      <w:pPr>
        <w:spacing w:before="0" w:after="20"/>
        <w:ind w:left="600"/>
      </w:pPr>
      <w:r>
        <w:rPr>
          <w:color w:val="323232"/>
          <w:sz w:val="17"/>
        </w:rPr>
        <w:t>L'article de The Conversation analyse comment les débats sur les mœurs au Sénégal sont devenus un enjeu politique majeur. Cette politisation des questions sociétales s'inscrit dans un contexte de tensions entre valeurs traditionnelles et modernité. Elle pourrait influencer la stabilité politique et sociale du pays, avec des répercussions potentiell</w:t>
      </w:r>
    </w:p>
    <w:p>
      <w:pPr>
        <w:spacing w:before="0" w:after="40"/>
        <w:ind w:left="600"/>
      </w:pPr>
      <w:r>
        <w:rPr>
          <w:color w:val="00643C"/>
          <w:sz w:val="16"/>
        </w:rPr>
        <w:t>Points clés : La politisation des questions de mœurs au Sénégal  •  Tensions entre valeurs traditionnelles et modernité  •  Risques potentiels pour la stabilité politique et sociale  •  Impact possible sur le climat des affaires et les investissements</w:t>
      </w:r>
    </w:p>
    <w:p>
      <w:pPr>
        <w:spacing w:before="0" w:after="60"/>
        <w:ind w:left="600"/>
      </w:pPr>
      <w:r>
        <w:rPr>
          <w:color w:val="0064B4"/>
          <w:sz w:val="15"/>
        </w:rPr>
        <w:t>Source : https://news.google.com/rss/articles/CBMinAFBVV95cUxQRk5wUkpSd1BtU2JaY050Wm0zX0d</w:t>
      </w:r>
    </w:p>
    <w:p>
      <w:pPr>
        <w:spacing w:before="40" w:after="40"/>
        <w:ind w:left="360"/>
      </w:pPr>
      <w:r>
        <w:rPr>
          <w:color w:val="646464"/>
          <w:sz w:val="17"/>
        </w:rPr>
        <w:t xml:space="preserve">[12/10/2026] 🔴  </w:t>
      </w:r>
      <w:r>
        <w:rPr>
          <w:b/>
          <w:color w:val="C00000"/>
          <w:sz w:val="18"/>
        </w:rPr>
        <w:t>Togo : pour les 16 ans de l’ANC, Jean-Pierre Fabre charge le pouvoir et relance le combat pour l’alternance - 24heureinf</w:t>
      </w:r>
      <w:r>
        <w:rPr>
          <w:color w:val="787878"/>
          <w:sz w:val="15"/>
        </w:rPr>
        <w:t xml:space="preserve">  [politique]</w:t>
      </w:r>
      <w:r>
        <w:rPr>
          <w:color w:val="B47800"/>
          <w:sz w:val="16"/>
        </w:rPr>
        <w:t xml:space="preserve">  ★ 50/10</w:t>
      </w:r>
    </w:p>
    <w:p>
      <w:pPr>
        <w:spacing w:before="0" w:after="20"/>
        <w:ind w:left="600"/>
      </w:pPr>
      <w:r>
        <w:rPr>
          <w:color w:val="323232"/>
          <w:sz w:val="17"/>
        </w:rPr>
        <w:t>À l'occasion des 16 ans de l'Alliance Nationale pour le Changement (ANC), Jean-Pierre Fabre a vivement critiqué le pouvoir en place au Togo et a relancé son appel à l'alternance politique. Le leader de l'opposition dénonce la gouvernance actuelle et appelle les citoyens à se mobiliser pour un changement démocratique. Cette prise de parole intervien</w:t>
      </w:r>
    </w:p>
    <w:p>
      <w:pPr>
        <w:spacing w:before="0" w:after="40"/>
        <w:ind w:left="600"/>
      </w:pPr>
      <w:r>
        <w:rPr>
          <w:color w:val="00643C"/>
          <w:sz w:val="16"/>
        </w:rPr>
        <w:t>Points clés : Jean-Pierre Fabre critique le pouvoir togolais lors des 16 ans de l'ANC  •  Appel renouvelé à l'alternance politique au Togo  •  Contexte politique tendu et mobilisation de l'opposition</w:t>
      </w:r>
    </w:p>
    <w:p>
      <w:pPr>
        <w:spacing w:before="0" w:after="60"/>
        <w:ind w:left="600"/>
      </w:pPr>
      <w:r>
        <w:rPr>
          <w:color w:val="0064B4"/>
          <w:sz w:val="15"/>
        </w:rPr>
        <w:t>Source : https://news.google.com/rss/articles/CBMi0wFBVV95cUxQa0R1X3RrbDZyUE5Kd0c2cjhBUTJ</w:t>
      </w:r>
    </w:p>
    <w:p>
      <w:pPr>
        <w:spacing w:before="120" w:after="40"/>
      </w:pPr>
      <w:r>
        <w:rPr>
          <w:b/>
          <w:color w:val="00467F"/>
          <w:sz w:val="20"/>
        </w:rPr>
        <w:t>🔑 politique_monetaire  (3 alerte(s))</w:t>
      </w:r>
    </w:p>
    <w:p>
      <w:pPr>
        <w:spacing w:before="40" w:after="40"/>
        <w:ind w:left="360"/>
      </w:pPr>
      <w:r>
        <w:rPr>
          <w:color w:val="646464"/>
          <w:sz w:val="17"/>
        </w:rPr>
        <w:t xml:space="preserve">[12/10/2026] ⚪  </w:t>
      </w:r>
      <w:r>
        <w:rPr>
          <w:b/>
          <w:color w:val="505050"/>
          <w:sz w:val="18"/>
        </w:rPr>
        <w:t>La BCE s'abstient de donner des indications sur les taux - compte-rendu - Boursorama</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a décidé de ne pas fournir d'indications prospectives sur l'évolution future de ses taux directeurs, selon le compte-rendu de sa dernière réunion. Cette abstention reflète l'incertitude persistante entourant l'inflation et la croissance dans la zone euro. Les marchés devront donc se fier aux données économiques à</w:t>
      </w:r>
    </w:p>
    <w:p>
      <w:pPr>
        <w:spacing w:before="0" w:after="40"/>
        <w:ind w:left="600"/>
      </w:pPr>
      <w:r>
        <w:rPr>
          <w:color w:val="00643C"/>
          <w:sz w:val="16"/>
        </w:rPr>
        <w:t>Points clés : La BCE ne donne aucune indication sur la trajectoire future des taux.  •  Le compte-rendu souligne une incertitude élevée sur l'inflation et la croissance.  •  Les marchés sont invités à se baser sur les données plutôt que sur un guidage.  •  La BCE privilégie la flexibilité face à un environnement économique volatil.</w:t>
      </w:r>
    </w:p>
    <w:p>
      <w:pPr>
        <w:spacing w:before="0" w:after="60"/>
        <w:ind w:left="600"/>
      </w:pPr>
      <w:r>
        <w:rPr>
          <w:color w:val="0064B4"/>
          <w:sz w:val="15"/>
        </w:rPr>
        <w:t>Source : https://news.google.com/rss/articles/CBMi8wFBVV95cUxNOU16MkE1VGV3ZHplQ29ydUFNUHJ</w:t>
      </w:r>
    </w:p>
    <w:p>
      <w:pPr>
        <w:spacing w:before="40" w:after="40"/>
        <w:ind w:left="360"/>
      </w:pPr>
      <w:r>
        <w:rPr>
          <w:color w:val="646464"/>
          <w:sz w:val="17"/>
        </w:rPr>
        <w:t xml:space="preserve">[12/10/2026] ⚪  </w:t>
      </w:r>
      <w:r>
        <w:rPr>
          <w:b/>
          <w:color w:val="505050"/>
          <w:sz w:val="18"/>
        </w:rPr>
        <w:t>La BCE s'abstient de donner des indications sur les taux - compte-rendu - Boursorama</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a décidé de ne pas fournir d'indications prospectives sur l'évolution future de ses taux directeurs, selon le compte-rendu de sa dernière réunion. Cette abstention reflète l'incertitude entourant l'inflation et la croissance dans la zone euro. Les marchés devront donc se fier aux données économiques à venir plutô</w:t>
      </w:r>
    </w:p>
    <w:p>
      <w:pPr>
        <w:spacing w:before="0" w:after="40"/>
        <w:ind w:left="600"/>
      </w:pPr>
      <w:r>
        <w:rPr>
          <w:color w:val="00643C"/>
          <w:sz w:val="16"/>
        </w:rPr>
        <w:t>Points clés : La BCE ne donne pas d'indications sur la trajectoire des taux  •  Le compte-rendu souligne une approche dépendante des données  •  Incertitude accrue pour les investisseurs</w:t>
      </w:r>
    </w:p>
    <w:p>
      <w:pPr>
        <w:spacing w:before="0" w:after="60"/>
        <w:ind w:left="600"/>
      </w:pPr>
      <w:r>
        <w:rPr>
          <w:color w:val="0064B4"/>
          <w:sz w:val="15"/>
        </w:rPr>
        <w:t>Source : https://news.google.com/rss/articles/CBMi-AFBVV95cUxPT2VVaHUxWkJDbEZBcjlkVUR6MFd</w:t>
      </w:r>
    </w:p>
    <w:p>
      <w:pPr>
        <w:spacing w:before="40" w:after="40"/>
        <w:ind w:left="360"/>
      </w:pPr>
      <w:r>
        <w:rPr>
          <w:color w:val="646464"/>
          <w:sz w:val="17"/>
        </w:rPr>
        <w:t xml:space="preserve">[10/10/2026] 🔴  </w:t>
      </w:r>
      <w:r>
        <w:rPr>
          <w:b/>
          <w:color w:val="C00000"/>
          <w:sz w:val="18"/>
        </w:rPr>
        <w:t>"Aucun suspense, elle interviendra": si la France s'enfonce dans la crise de la dette, la BCE dispose de trois armes pou</w:t>
      </w:r>
      <w:r>
        <w:rPr>
          <w:color w:val="787878"/>
          <w:sz w:val="15"/>
        </w:rPr>
        <w:t xml:space="preserve">  [politique_monetaire]</w:t>
      </w:r>
      <w:r>
        <w:rPr>
          <w:color w:val="B47800"/>
          <w:sz w:val="16"/>
        </w:rPr>
        <w:t xml:space="preserve">  ★ 50/10</w:t>
      </w:r>
    </w:p>
    <w:p>
      <w:pPr>
        <w:spacing w:before="0" w:after="20"/>
        <w:ind w:left="600"/>
      </w:pPr>
      <w:r>
        <w:rPr>
          <w:color w:val="323232"/>
          <w:sz w:val="17"/>
        </w:rPr>
        <w:t>L'article évoque la possibilité d'une crise de la dette en France et les trois types d'interventions dont dispose la BCE pour la sauver : douce, puissante et douloureuse. Il souligne qu'il n'y a aucun suspense quant à l'intervention de la BCE en cas de besoin. Cette perspective met en lumière les risques pesant sur la zone euro et les mécanismes de</w:t>
      </w:r>
    </w:p>
    <w:p>
      <w:pPr>
        <w:spacing w:before="0" w:after="40"/>
        <w:ind w:left="600"/>
      </w:pPr>
      <w:r>
        <w:rPr>
          <w:color w:val="00643C"/>
          <w:sz w:val="16"/>
        </w:rPr>
        <w:t>Points clés : La France pourrait faire face à une crise de la dette.  •  La BCE dispose de trois armes pour intervenir : douce, puissante et douloureuse.  •  L'intervention de la BCE est présentée comme certaine en cas de crise.</w:t>
      </w:r>
    </w:p>
    <w:p>
      <w:pPr>
        <w:spacing w:before="0" w:after="60"/>
        <w:ind w:left="600"/>
      </w:pPr>
      <w:r>
        <w:rPr>
          <w:color w:val="0064B4"/>
          <w:sz w:val="15"/>
        </w:rPr>
        <w:t>Source : https://news.google.com/rss/articles/CBMi7gJBVV95cUxQb1ZZbmNRejdSRzYzcTc0U00wczc</w:t>
      </w:r>
    </w:p>
    <w:p>
      <w:pPr>
        <w:spacing w:before="120" w:after="40"/>
      </w:pPr>
      <w:r>
        <w:rPr>
          <w:b/>
          <w:color w:val="00467F"/>
          <w:sz w:val="20"/>
        </w:rPr>
        <w:t>🔑 marche_financier  (1 alerte(s))</w:t>
      </w:r>
    </w:p>
    <w:p>
      <w:pPr>
        <w:spacing w:before="40" w:after="40"/>
        <w:ind w:left="360"/>
      </w:pPr>
      <w:r>
        <w:rPr>
          <w:color w:val="646464"/>
          <w:sz w:val="17"/>
        </w:rPr>
        <w:t xml:space="preserve">[10/10/2026] 🟢  </w:t>
      </w:r>
      <w:r>
        <w:rPr>
          <w:b/>
          <w:color w:val="008000"/>
          <w:sz w:val="18"/>
        </w:rPr>
        <w:t>Sonatel fait voter la division de son action en assemblée extraordinaire - Africtelegraph</w:t>
      </w:r>
      <w:r>
        <w:rPr>
          <w:color w:val="787878"/>
          <w:sz w:val="15"/>
        </w:rPr>
        <w:t xml:space="preserve">  [marche_financier]</w:t>
      </w:r>
      <w:r>
        <w:rPr>
          <w:color w:val="B47800"/>
          <w:sz w:val="16"/>
        </w:rPr>
        <w:t xml:space="preserve">  ★ 50/10</w:t>
      </w:r>
    </w:p>
    <w:p>
      <w:pPr>
        <w:spacing w:before="0" w:after="20"/>
        <w:ind w:left="600"/>
      </w:pPr>
      <w:r>
        <w:rPr>
          <w:color w:val="323232"/>
          <w:sz w:val="17"/>
        </w:rPr>
        <w:t>Sonatel, l'opérateur télécoms historique du Sénégal coté à la BRVM, a convoqué une assemblée générale extraordinaire pour faire approuver la division de la valeur nominale de son action. Cette opération, souvent appelée split, vise à rendre le titre plus accessible aux petits investisseurs en réduisant son prix unitaire. Elle devrait améliorer la l</w:t>
      </w:r>
    </w:p>
    <w:p>
      <w:pPr>
        <w:spacing w:before="0" w:after="40"/>
        <w:ind w:left="600"/>
      </w:pPr>
      <w:r>
        <w:rPr>
          <w:color w:val="00643C"/>
          <w:sz w:val="16"/>
        </w:rPr>
        <w:t>Points clés : Sonatel convoque une AGE pour voter la division de son action (split).  •  Objectif : réduire le prix nominal pour améliorer l'accessibilité et la liquidité.  •  Opération soumise au vote des actionnaires.  •  Impact potentiellement positif sur le volume d'échanges à la BRVM.</w:t>
      </w:r>
    </w:p>
    <w:p>
      <w:pPr>
        <w:spacing w:before="0" w:after="60"/>
        <w:ind w:left="600"/>
      </w:pPr>
      <w:r>
        <w:rPr>
          <w:color w:val="0064B4"/>
          <w:sz w:val="15"/>
        </w:rPr>
        <w:t>Source : https://news.google.com/rss/articles/CBMiqAFBVV95cUxQTlM3Q1RPamlhWFlzRzY0YWlFSDF</w:t>
      </w:r>
    </w:p>
    <w:p>
      <w:r>
        <w:br w:type="page"/>
      </w:r>
    </w:p>
    <w:p>
      <w:pPr>
        <w:pStyle w:val="Heading1"/>
      </w:pPr>
      <w:r>
        <w:t>🏆 CLASSEMENT DES SOCIÉTÉS — SCORE COMPOSITE /100</w:t>
      </w:r>
    </w:p>
    <w:p>
      <w:r>
        <w:t>Les 48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ECOC</w:t>
            </w:r>
          </w:p>
        </w:tc>
        <w:tc>
          <w:tcPr>
            <w:tcW w:type="dxa" w:w="1080"/>
            <w:shd w:fill="C6EFCE" w:val="clear"/>
          </w:tcPr>
          <w:p>
            <w:r>
              <w:rPr>
                <w:sz w:val="16"/>
              </w:rPr>
              <w:t>SERVICES FINANCIER</w:t>
            </w:r>
          </w:p>
        </w:tc>
        <w:tc>
          <w:tcPr>
            <w:tcW w:type="dxa" w:w="1080"/>
            <w:shd w:fill="C6EFCE" w:val="clear"/>
          </w:tcPr>
          <w:p>
            <w:r>
              <w:rPr>
                <w:sz w:val="16"/>
              </w:rPr>
              <w:t>16,500</w:t>
            </w:r>
          </w:p>
        </w:tc>
        <w:tc>
          <w:tcPr>
            <w:tcW w:type="dxa" w:w="1080"/>
            <w:shd w:fill="C6EFCE" w:val="clear"/>
          </w:tcPr>
          <w:p>
            <w:r>
              <w:rPr>
                <w:b/>
                <w:sz w:val="16"/>
              </w:rPr>
              <w:t>80/100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3,190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2,215</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8,250</w:t>
            </w:r>
          </w:p>
        </w:tc>
        <w:tc>
          <w:tcPr>
            <w:tcW w:type="dxa" w:w="1080"/>
            <w:shd w:fill="C6EFCE" w:val="clear"/>
          </w:tcPr>
          <w:p>
            <w:r>
              <w:rPr>
                <w:b/>
                <w:sz w:val="16"/>
              </w:rPr>
              <w:t>77/100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7,750</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6</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8,450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3,000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2,455</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39,195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2,240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13,180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TTLS</w:t>
            </w:r>
          </w:p>
        </w:tc>
        <w:tc>
          <w:tcPr>
            <w:tcW w:type="dxa" w:w="1080"/>
            <w:shd w:fill="C6EFCE" w:val="clear"/>
          </w:tcPr>
          <w:p>
            <w:r>
              <w:rPr>
                <w:sz w:val="16"/>
              </w:rPr>
              <w:t>ENERGIE</w:t>
            </w:r>
          </w:p>
        </w:tc>
        <w:tc>
          <w:tcPr>
            <w:tcW w:type="dxa" w:w="1080"/>
            <w:shd w:fill="C6EFCE" w:val="clear"/>
          </w:tcPr>
          <w:p>
            <w:r>
              <w:rPr>
                <w:sz w:val="16"/>
              </w:rPr>
              <w:t>3,605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2,140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6,200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NTLC</w:t>
            </w:r>
          </w:p>
        </w:tc>
        <w:tc>
          <w:tcPr>
            <w:tcW w:type="dxa" w:w="1080"/>
            <w:shd w:fill="C6EFCE" w:val="clear"/>
          </w:tcPr>
          <w:p>
            <w:r>
              <w:rPr>
                <w:sz w:val="16"/>
              </w:rPr>
              <w:t>CONSOMMATION DE BA</w:t>
            </w:r>
          </w:p>
        </w:tc>
        <w:tc>
          <w:tcPr>
            <w:tcW w:type="dxa" w:w="1080"/>
            <w:shd w:fill="C6EFCE" w:val="clear"/>
          </w:tcPr>
          <w:p>
            <w:r>
              <w:rPr>
                <w:sz w:val="16"/>
              </w:rPr>
              <w:t>15,000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EBF5FB" w:val="clear"/>
          </w:tcPr>
          <w:p>
            <w:r>
              <w:rPr>
                <w:sz w:val="16"/>
              </w:rPr>
              <w:t>16</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3,905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17</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2,980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18</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37,605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19</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21,295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1,860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4,150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SNTS</w:t>
            </w:r>
          </w:p>
        </w:tc>
        <w:tc>
          <w:tcPr>
            <w:tcW w:type="dxa" w:w="1080"/>
            <w:shd w:fill="EBF5FB" w:val="clear"/>
          </w:tcPr>
          <w:p>
            <w:r>
              <w:rPr>
                <w:sz w:val="16"/>
              </w:rPr>
              <w:t>TELECOMMUNICATIONS</w:t>
            </w:r>
          </w:p>
        </w:tc>
        <w:tc>
          <w:tcPr>
            <w:tcW w:type="dxa" w:w="1080"/>
            <w:shd w:fill="EBF5FB" w:val="clear"/>
          </w:tcPr>
          <w:p>
            <w:r>
              <w:rPr>
                <w:sz w:val="16"/>
              </w:rPr>
              <w:t>45,000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7,985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SPHC</w:t>
            </w:r>
          </w:p>
        </w:tc>
        <w:tc>
          <w:tcPr>
            <w:tcW w:type="dxa" w:w="1080"/>
            <w:shd w:fill="EBF5FB" w:val="clear"/>
          </w:tcPr>
          <w:p>
            <w:r>
              <w:rPr>
                <w:sz w:val="16"/>
              </w:rPr>
              <w:t>CONSOMMATION DE BA</w:t>
            </w:r>
          </w:p>
        </w:tc>
        <w:tc>
          <w:tcPr>
            <w:tcW w:type="dxa" w:w="1080"/>
            <w:shd w:fill="EBF5FB" w:val="clear"/>
          </w:tcPr>
          <w:p>
            <w:r>
              <w:rPr>
                <w:sz w:val="16"/>
              </w:rPr>
              <w:t>7,800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4,475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1,480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67</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ORAC</w:t>
            </w:r>
          </w:p>
        </w:tc>
        <w:tc>
          <w:tcPr>
            <w:tcW w:type="dxa" w:w="1080"/>
            <w:shd w:fill="EBF5FB" w:val="clear"/>
          </w:tcPr>
          <w:p>
            <w:r>
              <w:rPr>
                <w:sz w:val="16"/>
              </w:rPr>
              <w:t>TELECOMMUNICATIONS</w:t>
            </w:r>
          </w:p>
        </w:tc>
        <w:tc>
          <w:tcPr>
            <w:tcW w:type="dxa" w:w="1080"/>
            <w:shd w:fill="EBF5FB" w:val="clear"/>
          </w:tcPr>
          <w:p>
            <w:r>
              <w:rPr>
                <w:sz w:val="16"/>
              </w:rPr>
              <w:t>21,900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2,820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SIBC</w:t>
            </w:r>
          </w:p>
        </w:tc>
        <w:tc>
          <w:tcPr>
            <w:tcW w:type="dxa" w:w="1080"/>
            <w:shd w:fill="EBF5FB" w:val="clear"/>
          </w:tcPr>
          <w:p>
            <w:r>
              <w:rPr>
                <w:sz w:val="16"/>
              </w:rPr>
              <w:t>SERVICES FINANCIER</w:t>
            </w:r>
          </w:p>
        </w:tc>
        <w:tc>
          <w:tcPr>
            <w:tcW w:type="dxa" w:w="1080"/>
            <w:shd w:fill="EBF5FB" w:val="clear"/>
          </w:tcPr>
          <w:p>
            <w:r>
              <w:rPr>
                <w:sz w:val="16"/>
              </w:rPr>
              <w:t>8,780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1,950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8,005</w:t>
            </w:r>
          </w:p>
        </w:tc>
        <w:tc>
          <w:tcPr>
            <w:tcW w:type="dxa" w:w="1080"/>
            <w:shd w:fill="EBF5FB" w:val="clear"/>
          </w:tcPr>
          <w:p>
            <w:r>
              <w:rPr>
                <w:b/>
                <w:sz w:val="16"/>
              </w:rPr>
              <w:t>65/100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BOAC</w:t>
            </w:r>
          </w:p>
        </w:tc>
        <w:tc>
          <w:tcPr>
            <w:tcW w:type="dxa" w:w="1080"/>
            <w:shd w:fill="EBF5FB" w:val="clear"/>
          </w:tcPr>
          <w:p>
            <w:r>
              <w:rPr>
                <w:sz w:val="16"/>
              </w:rPr>
              <w:t>SERVICES FINANCIER</w:t>
            </w:r>
          </w:p>
        </w:tc>
        <w:tc>
          <w:tcPr>
            <w:tcW w:type="dxa" w:w="1080"/>
            <w:shd w:fill="EBF5FB" w:val="clear"/>
          </w:tcPr>
          <w:p>
            <w:r>
              <w:rPr>
                <w:sz w:val="16"/>
              </w:rPr>
              <w:t>11,475</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30,015</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2,005</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BBGC</w:t>
            </w:r>
          </w:p>
        </w:tc>
        <w:tc>
          <w:tcPr>
            <w:tcW w:type="dxa" w:w="1080"/>
            <w:shd w:fill="EBF5FB" w:val="clear"/>
          </w:tcPr>
          <w:p>
            <w:r>
              <w:rPr>
                <w:sz w:val="16"/>
              </w:rPr>
              <w:t>Services Financier</w:t>
            </w:r>
          </w:p>
        </w:tc>
        <w:tc>
          <w:tcPr>
            <w:tcW w:type="dxa" w:w="1080"/>
            <w:shd w:fill="EBF5FB" w:val="clear"/>
          </w:tcPr>
          <w:p>
            <w:r>
              <w:rPr>
                <w:sz w:val="16"/>
              </w:rPr>
              <w:t>10,450</w:t>
            </w:r>
          </w:p>
        </w:tc>
        <w:tc>
          <w:tcPr>
            <w:tcW w:type="dxa" w:w="1080"/>
            <w:shd w:fill="EBF5FB" w:val="clear"/>
          </w:tcPr>
          <w:p>
            <w:r>
              <w:rPr>
                <w:b/>
                <w:sz w:val="16"/>
              </w:rPr>
              <w:t>63/100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1,495</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31,450</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1,885</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9,200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3,290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15,560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3,000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6,100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21,695</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SAFC</w:t>
            </w:r>
          </w:p>
        </w:tc>
        <w:tc>
          <w:tcPr>
            <w:tcW w:type="dxa" w:w="1080"/>
            <w:shd w:fill="EBF5FB" w:val="clear"/>
          </w:tcPr>
          <w:p>
            <w:r>
              <w:rPr>
                <w:sz w:val="16"/>
              </w:rPr>
              <w:t>SERVICES FINANCIER</w:t>
            </w:r>
          </w:p>
        </w:tc>
        <w:tc>
          <w:tcPr>
            <w:tcW w:type="dxa" w:w="1080"/>
            <w:shd w:fill="EBF5FB" w:val="clear"/>
          </w:tcPr>
          <w:p>
            <w:r>
              <w:rPr>
                <w:sz w:val="16"/>
              </w:rPr>
              <w:t>4,145</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47</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8,400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48</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48,000</w:t>
            </w:r>
          </w:p>
        </w:tc>
        <w:tc>
          <w:tcPr>
            <w:tcW w:type="dxa" w:w="1080"/>
            <w:shd w:fill="EBF5FB" w:val="clear"/>
          </w:tcPr>
          <w:p>
            <w:r>
              <w:rPr>
                <w:b/>
                <w:sz w:val="16"/>
              </w:rPr>
              <w:t>55/100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16,500</w:t>
            </w:r>
          </w:p>
        </w:tc>
        <w:tc>
          <w:tcPr>
            <w:tcW w:type="dxa" w:w="1728"/>
            <w:shd w:fill="DEEAF1" w:val="clear"/>
          </w:tcPr>
          <w:p>
            <w:r>
              <w:rPr>
                <w:sz w:val="17"/>
              </w:rPr>
              <w:t>80/100</w:t>
            </w:r>
          </w:p>
        </w:tc>
        <w:tc>
          <w:tcPr>
            <w:tcW w:type="dxa" w:w="1728"/>
            <w:shd w:fill="DEEAF1" w:val="clear"/>
          </w:tcPr>
          <w:p>
            <w:r>
              <w:rPr>
                <w:sz w:val="17"/>
              </w:rPr>
              <w:t>10.6%</w:t>
            </w:r>
          </w:p>
        </w:tc>
      </w:tr>
      <w:tr>
        <w:tc>
          <w:tcPr>
            <w:tcW w:type="dxa" w:w="1728"/>
            <w:shd w:fill="DEEAF1" w:val="clear"/>
          </w:tcPr>
          <w:p>
            <w:r>
              <w:rPr>
                <w:sz w:val="17"/>
              </w:rPr>
              <w:t>ABJC</w:t>
            </w:r>
          </w:p>
        </w:tc>
        <w:tc>
          <w:tcPr>
            <w:tcW w:type="dxa" w:w="1728"/>
            <w:shd w:fill="DEEAF1" w:val="clear"/>
          </w:tcPr>
          <w:p>
            <w:r>
              <w:rPr>
                <w:sz w:val="17"/>
              </w:rPr>
              <w:t>ABJC - SERVAIR ABIDJAN CI</w:t>
            </w:r>
          </w:p>
        </w:tc>
        <w:tc>
          <w:tcPr>
            <w:tcW w:type="dxa" w:w="1728"/>
            <w:shd w:fill="DEEAF1" w:val="clear"/>
          </w:tcPr>
          <w:p>
            <w:r>
              <w:rPr>
                <w:sz w:val="17"/>
              </w:rPr>
              <w:t>3,190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SHEC</w:t>
            </w:r>
          </w:p>
        </w:tc>
        <w:tc>
          <w:tcPr>
            <w:tcW w:type="dxa" w:w="1728"/>
            <w:shd w:fill="DEEAF1" w:val="clear"/>
          </w:tcPr>
          <w:p>
            <w:r>
              <w:rPr>
                <w:sz w:val="17"/>
              </w:rPr>
              <w:t>SHEC - VIVO ENERGY COTE D'IV</w:t>
            </w:r>
          </w:p>
        </w:tc>
        <w:tc>
          <w:tcPr>
            <w:tcW w:type="dxa" w:w="1728"/>
            <w:shd w:fill="DEEAF1" w:val="clear"/>
          </w:tcPr>
          <w:p>
            <w:r>
              <w:rPr>
                <w:sz w:val="17"/>
              </w:rPr>
              <w:t>2,215</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8,250</w:t>
            </w:r>
          </w:p>
        </w:tc>
        <w:tc>
          <w:tcPr>
            <w:tcW w:type="dxa" w:w="1728"/>
            <w:shd w:fill="DEEAF1" w:val="clear"/>
          </w:tcPr>
          <w:p>
            <w:r>
              <w:rPr>
                <w:sz w:val="17"/>
              </w:rPr>
              <w:t>77/100</w:t>
            </w:r>
          </w:p>
        </w:tc>
        <w:tc>
          <w:tcPr>
            <w:tcW w:type="dxa" w:w="1728"/>
            <w:shd w:fill="DEEAF1" w:val="clear"/>
          </w:tcPr>
          <w:p>
            <w:r>
              <w:rPr>
                <w:sz w:val="17"/>
              </w:rPr>
              <w:t>10.6%</w:t>
            </w:r>
          </w:p>
        </w:tc>
      </w:tr>
      <w:tr>
        <w:tc>
          <w:tcPr>
            <w:tcW w:type="dxa" w:w="1728"/>
            <w:shd w:fill="DEEAF1" w:val="clear"/>
          </w:tcPr>
          <w:p>
            <w:r>
              <w:rPr>
                <w:sz w:val="17"/>
              </w:rPr>
              <w:t>PALC</w:t>
            </w:r>
          </w:p>
        </w:tc>
        <w:tc>
          <w:tcPr>
            <w:tcW w:type="dxa" w:w="1728"/>
            <w:shd w:fill="DEEAF1" w:val="clear"/>
          </w:tcPr>
          <w:p>
            <w:r>
              <w:rPr>
                <w:sz w:val="17"/>
              </w:rPr>
              <w:t>PALC - PALM COTE D'IVOIRE</w:t>
            </w:r>
          </w:p>
        </w:tc>
        <w:tc>
          <w:tcPr>
            <w:tcW w:type="dxa" w:w="1728"/>
            <w:shd w:fill="DEEAF1" w:val="clear"/>
          </w:tcPr>
          <w:p>
            <w:r>
              <w:rPr>
                <w:sz w:val="17"/>
              </w:rPr>
              <w:t>7,750</w:t>
            </w:r>
          </w:p>
        </w:tc>
        <w:tc>
          <w:tcPr>
            <w:tcW w:type="dxa" w:w="1728"/>
            <w:shd w:fill="DEEAF1" w:val="clear"/>
          </w:tcPr>
          <w:p>
            <w:r>
              <w:rPr>
                <w:sz w:val="17"/>
              </w:rPr>
              <w:t>75/100</w:t>
            </w:r>
          </w:p>
        </w:tc>
        <w:tc>
          <w:tcPr>
            <w:tcW w:type="dxa" w:w="1728"/>
            <w:shd w:fill="DEEAF1" w:val="clear"/>
          </w:tcPr>
          <w:p>
            <w:r>
              <w:rPr>
                <w:sz w:val="17"/>
              </w:rPr>
              <w:t>10.6%</w:t>
            </w:r>
          </w:p>
        </w:tc>
      </w:tr>
      <w:tr>
        <w:tc>
          <w:tcPr>
            <w:tcW w:type="dxa" w:w="1728"/>
            <w:shd w:fill="DEEAF1" w:val="clear"/>
          </w:tcPr>
          <w:p>
            <w:r>
              <w:rPr>
                <w:sz w:val="17"/>
              </w:rPr>
              <w:t>ONTBF</w:t>
            </w:r>
          </w:p>
        </w:tc>
        <w:tc>
          <w:tcPr>
            <w:tcW w:type="dxa" w:w="1728"/>
            <w:shd w:fill="DEEAF1" w:val="clear"/>
          </w:tcPr>
          <w:p>
            <w:r>
              <w:rPr>
                <w:sz w:val="17"/>
              </w:rPr>
              <w:t>ONTBF - ONATEL BURKINA FASO</w:t>
            </w:r>
          </w:p>
        </w:tc>
        <w:tc>
          <w:tcPr>
            <w:tcW w:type="dxa" w:w="1728"/>
            <w:shd w:fill="DEEAF1" w:val="clear"/>
          </w:tcPr>
          <w:p>
            <w:r>
              <w:rPr>
                <w:sz w:val="17"/>
              </w:rPr>
              <w:t>3,000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39,195</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SDCC</w:t>
            </w:r>
          </w:p>
        </w:tc>
        <w:tc>
          <w:tcPr>
            <w:tcW w:type="dxa" w:w="1728"/>
            <w:shd w:fill="DEEAF1" w:val="clear"/>
          </w:tcPr>
          <w:p>
            <w:r>
              <w:rPr>
                <w:sz w:val="17"/>
              </w:rPr>
              <w:t>SDCC - Société de Distributi</w:t>
            </w:r>
          </w:p>
        </w:tc>
        <w:tc>
          <w:tcPr>
            <w:tcW w:type="dxa" w:w="1728"/>
            <w:shd w:fill="DEEAF1" w:val="clear"/>
          </w:tcPr>
          <w:p>
            <w:r>
              <w:rPr>
                <w:sz w:val="17"/>
              </w:rPr>
              <w:t>13,180</w:t>
            </w:r>
          </w:p>
        </w:tc>
        <w:tc>
          <w:tcPr>
            <w:tcW w:type="dxa" w:w="1728"/>
            <w:shd w:fill="DEEAF1" w:val="clear"/>
          </w:tcPr>
          <w:p>
            <w:r>
              <w:rPr>
                <w:sz w:val="17"/>
              </w:rPr>
              <w:t>73/100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ECOC</w:t>
            </w:r>
          </w:p>
        </w:tc>
        <w:tc>
          <w:tcPr>
            <w:tcW w:type="dxa" w:w="1728"/>
            <w:shd w:fill="E2EFDA" w:val="clear"/>
          </w:tcPr>
          <w:p>
            <w:r>
              <w:rPr>
                <w:sz w:val="17"/>
              </w:rPr>
              <w:t>ECOC - ECOBANK COTE D'IVOIRE</w:t>
            </w:r>
          </w:p>
        </w:tc>
        <w:tc>
          <w:tcPr>
            <w:tcW w:type="dxa" w:w="1728"/>
            <w:shd w:fill="E2EFDA" w:val="clear"/>
          </w:tcPr>
          <w:p>
            <w:r>
              <w:rPr>
                <w:sz w:val="17"/>
              </w:rPr>
              <w:t>16,500</w:t>
            </w:r>
          </w:p>
        </w:tc>
        <w:tc>
          <w:tcPr>
            <w:tcW w:type="dxa" w:w="1728"/>
            <w:shd w:fill="E2EFDA" w:val="clear"/>
          </w:tcPr>
          <w:p>
            <w:r>
              <w:rPr>
                <w:sz w:val="17"/>
              </w:rPr>
              <w:t>80/100</w:t>
            </w:r>
          </w:p>
        </w:tc>
        <w:tc>
          <w:tcPr>
            <w:tcW w:type="dxa" w:w="1728"/>
            <w:shd w:fill="E2EFDA" w:val="clear"/>
          </w:tcPr>
          <w:p>
            <w:r>
              <w:rPr>
                <w:sz w:val="17"/>
              </w:rPr>
              <w:t>11.2%</w:t>
            </w:r>
          </w:p>
        </w:tc>
      </w:tr>
      <w:tr>
        <w:tc>
          <w:tcPr>
            <w:tcW w:type="dxa" w:w="1728"/>
            <w:shd w:fill="E2EFDA" w:val="clear"/>
          </w:tcPr>
          <w:p>
            <w:r>
              <w:rPr>
                <w:sz w:val="17"/>
              </w:rPr>
              <w:t>ABJC</w:t>
            </w:r>
          </w:p>
        </w:tc>
        <w:tc>
          <w:tcPr>
            <w:tcW w:type="dxa" w:w="1728"/>
            <w:shd w:fill="E2EFDA" w:val="clear"/>
          </w:tcPr>
          <w:p>
            <w:r>
              <w:rPr>
                <w:sz w:val="17"/>
              </w:rPr>
              <w:t>ABJC - SERVAIR ABIDJAN CI</w:t>
            </w:r>
          </w:p>
        </w:tc>
        <w:tc>
          <w:tcPr>
            <w:tcW w:type="dxa" w:w="1728"/>
            <w:shd w:fill="E2EFDA" w:val="clear"/>
          </w:tcPr>
          <w:p>
            <w:r>
              <w:rPr>
                <w:sz w:val="17"/>
              </w:rPr>
              <w:t>3,190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SHEC</w:t>
            </w:r>
          </w:p>
        </w:tc>
        <w:tc>
          <w:tcPr>
            <w:tcW w:type="dxa" w:w="1728"/>
            <w:shd w:fill="E2EFDA" w:val="clear"/>
          </w:tcPr>
          <w:p>
            <w:r>
              <w:rPr>
                <w:sz w:val="17"/>
              </w:rPr>
              <w:t>SHEC - VIVO ENERGY COTE D'IV</w:t>
            </w:r>
          </w:p>
        </w:tc>
        <w:tc>
          <w:tcPr>
            <w:tcW w:type="dxa" w:w="1728"/>
            <w:shd w:fill="E2EFDA" w:val="clear"/>
          </w:tcPr>
          <w:p>
            <w:r>
              <w:rPr>
                <w:sz w:val="17"/>
              </w:rPr>
              <w:t>2,215</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BOAS</w:t>
            </w:r>
          </w:p>
        </w:tc>
        <w:tc>
          <w:tcPr>
            <w:tcW w:type="dxa" w:w="1728"/>
            <w:shd w:fill="E2EFDA" w:val="clear"/>
          </w:tcPr>
          <w:p>
            <w:r>
              <w:rPr>
                <w:sz w:val="17"/>
              </w:rPr>
              <w:t>BANK OF AFRICA SENEGAL</w:t>
            </w:r>
          </w:p>
        </w:tc>
        <w:tc>
          <w:tcPr>
            <w:tcW w:type="dxa" w:w="1728"/>
            <w:shd w:fill="E2EFDA" w:val="clear"/>
          </w:tcPr>
          <w:p>
            <w:r>
              <w:rPr>
                <w:sz w:val="17"/>
              </w:rPr>
              <w:t>8,250</w:t>
            </w:r>
          </w:p>
        </w:tc>
        <w:tc>
          <w:tcPr>
            <w:tcW w:type="dxa" w:w="1728"/>
            <w:shd w:fill="E2EFDA" w:val="clear"/>
          </w:tcPr>
          <w:p>
            <w:r>
              <w:rPr>
                <w:sz w:val="17"/>
              </w:rPr>
              <w:t>77/100</w:t>
            </w:r>
          </w:p>
        </w:tc>
        <w:tc>
          <w:tcPr>
            <w:tcW w:type="dxa" w:w="1728"/>
            <w:shd w:fill="E2EFDA" w:val="clear"/>
          </w:tcPr>
          <w:p>
            <w:r>
              <w:rPr>
                <w:sz w:val="17"/>
              </w:rPr>
              <w:t>11.2%</w:t>
            </w:r>
          </w:p>
        </w:tc>
      </w:tr>
      <w:tr>
        <w:tc>
          <w:tcPr>
            <w:tcW w:type="dxa" w:w="1728"/>
            <w:shd w:fill="E2EFDA" w:val="clear"/>
          </w:tcPr>
          <w:p>
            <w:r>
              <w:rPr>
                <w:sz w:val="17"/>
              </w:rPr>
              <w:t>PALC</w:t>
            </w:r>
          </w:p>
        </w:tc>
        <w:tc>
          <w:tcPr>
            <w:tcW w:type="dxa" w:w="1728"/>
            <w:shd w:fill="E2EFDA" w:val="clear"/>
          </w:tcPr>
          <w:p>
            <w:r>
              <w:rPr>
                <w:sz w:val="17"/>
              </w:rPr>
              <w:t>PALC - PALM COTE D'IVOIRE</w:t>
            </w:r>
          </w:p>
        </w:tc>
        <w:tc>
          <w:tcPr>
            <w:tcW w:type="dxa" w:w="1728"/>
            <w:shd w:fill="E2EFDA" w:val="clear"/>
          </w:tcPr>
          <w:p>
            <w:r>
              <w:rPr>
                <w:sz w:val="17"/>
              </w:rPr>
              <w:t>7,750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8,450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ONTBF</w:t>
            </w:r>
          </w:p>
        </w:tc>
        <w:tc>
          <w:tcPr>
            <w:tcW w:type="dxa" w:w="1728"/>
            <w:shd w:fill="E2EFDA" w:val="clear"/>
          </w:tcPr>
          <w:p>
            <w:r>
              <w:rPr>
                <w:sz w:val="17"/>
              </w:rPr>
              <w:t>ONTBF - ONATEL BURKINA FASO</w:t>
            </w:r>
          </w:p>
        </w:tc>
        <w:tc>
          <w:tcPr>
            <w:tcW w:type="dxa" w:w="1728"/>
            <w:shd w:fill="E2EFDA" w:val="clear"/>
          </w:tcPr>
          <w:p>
            <w:r>
              <w:rPr>
                <w:sz w:val="17"/>
              </w:rPr>
              <w:t>3,000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2,455</w:t>
            </w:r>
          </w:p>
        </w:tc>
        <w:tc>
          <w:tcPr>
            <w:tcW w:type="dxa" w:w="1728"/>
            <w:shd w:fill="E2EFDA" w:val="clear"/>
          </w:tcPr>
          <w:p>
            <w:r>
              <w:rPr>
                <w:sz w:val="17"/>
              </w:rPr>
              <w:t>74/100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ECOC</w:t>
            </w:r>
          </w:p>
        </w:tc>
        <w:tc>
          <w:tcPr>
            <w:tcW w:type="dxa" w:w="1728"/>
            <w:shd w:fill="FCE4D6" w:val="clear"/>
          </w:tcPr>
          <w:p>
            <w:r>
              <w:rPr>
                <w:sz w:val="17"/>
              </w:rPr>
              <w:t>ECOC - ECOBANK COTE D'IVOIRE</w:t>
            </w:r>
          </w:p>
        </w:tc>
        <w:tc>
          <w:tcPr>
            <w:tcW w:type="dxa" w:w="1728"/>
            <w:shd w:fill="FCE4D6" w:val="clear"/>
          </w:tcPr>
          <w:p>
            <w:r>
              <w:rPr>
                <w:sz w:val="17"/>
              </w:rPr>
              <w:t>16,500</w:t>
            </w:r>
          </w:p>
        </w:tc>
        <w:tc>
          <w:tcPr>
            <w:tcW w:type="dxa" w:w="1728"/>
            <w:shd w:fill="FCE4D6" w:val="clear"/>
          </w:tcPr>
          <w:p>
            <w:r>
              <w:rPr>
                <w:sz w:val="17"/>
              </w:rPr>
              <w:t>80/100</w:t>
            </w:r>
          </w:p>
        </w:tc>
        <w:tc>
          <w:tcPr>
            <w:tcW w:type="dxa" w:w="1728"/>
            <w:shd w:fill="FCE4D6" w:val="clear"/>
          </w:tcPr>
          <w:p>
            <w:r>
              <w:rPr>
                <w:sz w:val="17"/>
              </w:rPr>
              <w:t>11.9%</w:t>
            </w:r>
          </w:p>
        </w:tc>
      </w:tr>
      <w:tr>
        <w:tc>
          <w:tcPr>
            <w:tcW w:type="dxa" w:w="1728"/>
            <w:shd w:fill="FCE4D6" w:val="clear"/>
          </w:tcPr>
          <w:p>
            <w:r>
              <w:rPr>
                <w:sz w:val="17"/>
              </w:rPr>
              <w:t>ABJC</w:t>
            </w:r>
          </w:p>
        </w:tc>
        <w:tc>
          <w:tcPr>
            <w:tcW w:type="dxa" w:w="1728"/>
            <w:shd w:fill="FCE4D6" w:val="clear"/>
          </w:tcPr>
          <w:p>
            <w:r>
              <w:rPr>
                <w:sz w:val="17"/>
              </w:rPr>
              <w:t>ABJC - SERVAIR ABIDJAN CI</w:t>
            </w:r>
          </w:p>
        </w:tc>
        <w:tc>
          <w:tcPr>
            <w:tcW w:type="dxa" w:w="1728"/>
            <w:shd w:fill="FCE4D6" w:val="clear"/>
          </w:tcPr>
          <w:p>
            <w:r>
              <w:rPr>
                <w:sz w:val="17"/>
              </w:rPr>
              <w:t>3,190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SHEC</w:t>
            </w:r>
          </w:p>
        </w:tc>
        <w:tc>
          <w:tcPr>
            <w:tcW w:type="dxa" w:w="1728"/>
            <w:shd w:fill="FCE4D6" w:val="clear"/>
          </w:tcPr>
          <w:p>
            <w:r>
              <w:rPr>
                <w:sz w:val="17"/>
              </w:rPr>
              <w:t>SHEC - VIVO ENERGY COTE D'IV</w:t>
            </w:r>
          </w:p>
        </w:tc>
        <w:tc>
          <w:tcPr>
            <w:tcW w:type="dxa" w:w="1728"/>
            <w:shd w:fill="FCE4D6" w:val="clear"/>
          </w:tcPr>
          <w:p>
            <w:r>
              <w:rPr>
                <w:sz w:val="17"/>
              </w:rPr>
              <w:t>2,215</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BOAS</w:t>
            </w:r>
          </w:p>
        </w:tc>
        <w:tc>
          <w:tcPr>
            <w:tcW w:type="dxa" w:w="1728"/>
            <w:shd w:fill="FCE4D6" w:val="clear"/>
          </w:tcPr>
          <w:p>
            <w:r>
              <w:rPr>
                <w:sz w:val="17"/>
              </w:rPr>
              <w:t>BANK OF AFRICA SENEGAL</w:t>
            </w:r>
          </w:p>
        </w:tc>
        <w:tc>
          <w:tcPr>
            <w:tcW w:type="dxa" w:w="1728"/>
            <w:shd w:fill="FCE4D6" w:val="clear"/>
          </w:tcPr>
          <w:p>
            <w:r>
              <w:rPr>
                <w:sz w:val="17"/>
              </w:rPr>
              <w:t>8,250</w:t>
            </w:r>
          </w:p>
        </w:tc>
        <w:tc>
          <w:tcPr>
            <w:tcW w:type="dxa" w:w="1728"/>
            <w:shd w:fill="FCE4D6" w:val="clear"/>
          </w:tcPr>
          <w:p>
            <w:r>
              <w:rPr>
                <w:sz w:val="17"/>
              </w:rPr>
              <w:t>77/100</w:t>
            </w:r>
          </w:p>
        </w:tc>
        <w:tc>
          <w:tcPr>
            <w:tcW w:type="dxa" w:w="1728"/>
            <w:shd w:fill="FCE4D6" w:val="clear"/>
          </w:tcPr>
          <w:p>
            <w:r>
              <w:rPr>
                <w:sz w:val="17"/>
              </w:rPr>
              <w:t>11.9%</w:t>
            </w:r>
          </w:p>
        </w:tc>
      </w:tr>
      <w:tr>
        <w:tc>
          <w:tcPr>
            <w:tcW w:type="dxa" w:w="1728"/>
            <w:shd w:fill="FCE4D6" w:val="clear"/>
          </w:tcPr>
          <w:p>
            <w:r>
              <w:rPr>
                <w:sz w:val="17"/>
              </w:rPr>
              <w:t>PALC</w:t>
            </w:r>
          </w:p>
        </w:tc>
        <w:tc>
          <w:tcPr>
            <w:tcW w:type="dxa" w:w="1728"/>
            <w:shd w:fill="FCE4D6" w:val="clear"/>
          </w:tcPr>
          <w:p>
            <w:r>
              <w:rPr>
                <w:sz w:val="17"/>
              </w:rPr>
              <w:t>PALC - PALM COTE D'IVOIRE</w:t>
            </w:r>
          </w:p>
        </w:tc>
        <w:tc>
          <w:tcPr>
            <w:tcW w:type="dxa" w:w="1728"/>
            <w:shd w:fill="FCE4D6" w:val="clear"/>
          </w:tcPr>
          <w:p>
            <w:r>
              <w:rPr>
                <w:sz w:val="17"/>
              </w:rPr>
              <w:t>7,750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8,450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ONTBF</w:t>
            </w:r>
          </w:p>
        </w:tc>
        <w:tc>
          <w:tcPr>
            <w:tcW w:type="dxa" w:w="1728"/>
            <w:shd w:fill="FCE4D6" w:val="clear"/>
          </w:tcPr>
          <w:p>
            <w:r>
              <w:rPr>
                <w:sz w:val="17"/>
              </w:rPr>
              <w:t>ONTBF - ONATEL BURKINA FASO</w:t>
            </w:r>
          </w:p>
        </w:tc>
        <w:tc>
          <w:tcPr>
            <w:tcW w:type="dxa" w:w="1728"/>
            <w:shd w:fill="FCE4D6" w:val="clear"/>
          </w:tcPr>
          <w:p>
            <w:r>
              <w:rPr>
                <w:sz w:val="17"/>
              </w:rPr>
              <w:t>3,000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2,455</w:t>
            </w:r>
          </w:p>
        </w:tc>
        <w:tc>
          <w:tcPr>
            <w:tcW w:type="dxa" w:w="1728"/>
            <w:shd w:fill="FCE4D6" w:val="clear"/>
          </w:tcPr>
          <w:p>
            <w:r>
              <w:rPr>
                <w:sz w:val="17"/>
              </w:rPr>
              <w:t>74/100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SNTS — SNTS - SONATEL SN</w:t>
      </w:r>
    </w:p>
    <w:p>
      <w:pPr>
        <w:pStyle w:val="ListBullet"/>
        <w:spacing w:before="20"/>
        <w:ind w:left="400"/>
      </w:pPr>
      <w:r>
        <w:rPr>
          <w:sz w:val="18"/>
        </w:rPr>
        <w:t>🔴 RSI surachat (79.6 &gt; 70) — risque de correction</w:t>
      </w:r>
    </w:p>
    <w:p>
      <w:pPr>
        <w:pStyle w:val="ListBullet"/>
        <w:spacing w:before="20"/>
        <w:ind w:left="400"/>
      </w:pPr>
      <w:r>
        <w:rPr>
          <w:sz w:val="18"/>
        </w:rPr>
        <w:t>⚠️ Cours à 0.0% du plus haut 100j (45,000 FCFA)</w:t>
      </w:r>
    </w:p>
    <w:p>
      <w:pPr>
        <w:pStyle w:val="ListBullet"/>
        <w:spacing w:before="20"/>
        <w:ind w:left="400"/>
      </w:pPr>
      <w:r>
        <w:rPr>
          <w:sz w:val="18"/>
        </w:rPr>
        <w:t>🟠 Divergence tech(VENTE) / fond(ACHAT) — recommandation ajustée à ACHAT</w:t>
      </w:r>
    </w:p>
    <w:p>
      <w:pPr>
        <w:spacing w:before="120"/>
      </w:pPr>
      <w:r>
        <w:rPr>
          <w:b/>
          <w:color w:val="0050A0"/>
          <w:sz w:val="20"/>
        </w:rPr>
        <w:t>CFAC — CFAC - CFAO MOTORS CI</w:t>
      </w:r>
    </w:p>
    <w:p>
      <w:pPr>
        <w:pStyle w:val="ListBullet"/>
        <w:spacing w:before="20"/>
        <w:ind w:left="400"/>
      </w:pPr>
      <w:r>
        <w:rPr>
          <w:sz w:val="18"/>
        </w:rPr>
        <w:t>⚠️ Cours à 1.4% du plus bas 100j (1,460 FCFA)</w:t>
      </w:r>
    </w:p>
    <w:p>
      <w:pPr>
        <w:pStyle w:val="ListBullet"/>
        <w:spacing w:before="20"/>
        <w:ind w:left="400"/>
      </w:pPr>
      <w:r>
        <w:rPr>
          <w:sz w:val="18"/>
        </w:rPr>
        <w:t>🟠 Divergence tech(VENTE) / fond(ACHAT) — recommandation ajustée à ACHAT</w:t>
      </w:r>
    </w:p>
    <w:p>
      <w:pPr>
        <w:spacing w:before="120"/>
      </w:pPr>
      <w:r>
        <w:rPr>
          <w:b/>
          <w:color w:val="0050A0"/>
          <w:sz w:val="20"/>
        </w:rPr>
        <w:t>FTSC — FTSC - FILTISAC COTE D'IVOIRE</w:t>
      </w:r>
    </w:p>
    <w:p>
      <w:pPr>
        <w:pStyle w:val="ListBullet"/>
        <w:spacing w:before="20"/>
        <w:ind w:left="400"/>
      </w:pPr>
      <w:r>
        <w:rPr>
          <w:sz w:val="18"/>
        </w:rPr>
        <w:t>⚠️ Cours à 0.5% du plus bas 100j (1,850 FCFA)</w:t>
      </w:r>
    </w:p>
    <w:p>
      <w:pPr>
        <w:pStyle w:val="ListBullet"/>
        <w:spacing w:before="20"/>
        <w:ind w:left="400"/>
      </w:pPr>
      <w:r>
        <w:rPr>
          <w:sz w:val="18"/>
        </w:rPr>
        <w:t>🟠 Divergence tech(VENTE) / fond(ACHAT) — recommandation ajustée à ACHAT</w:t>
      </w:r>
    </w:p>
    <w:p>
      <w:pPr>
        <w:spacing w:before="120"/>
      </w:pPr>
      <w:r>
        <w:rPr>
          <w:b/>
          <w:color w:val="0050A0"/>
          <w:sz w:val="20"/>
        </w:rPr>
        <w:t>ORAC — ORAC - ORANGE COTE D'IVOIRE</w:t>
      </w:r>
    </w:p>
    <w:p>
      <w:pPr>
        <w:pStyle w:val="ListBullet"/>
        <w:spacing w:before="20"/>
        <w:ind w:left="400"/>
      </w:pPr>
      <w:r>
        <w:rPr>
          <w:sz w:val="18"/>
        </w:rPr>
        <w:t>⚠️ Cours à 2.7% du plus haut 100j (22,500 FCFA)</w:t>
      </w:r>
    </w:p>
    <w:p>
      <w:pPr>
        <w:pStyle w:val="ListBullet"/>
        <w:spacing w:before="20"/>
        <w:ind w:left="400"/>
      </w:pPr>
      <w:r>
        <w:rPr>
          <w:sz w:val="18"/>
        </w:rPr>
        <w:t>🟠 Divergence tech(VENTE) / fond(ACHAT) — recommandation ajustée à ACHAT</w:t>
      </w:r>
    </w:p>
    <w:p>
      <w:pPr>
        <w:spacing w:before="120"/>
      </w:pPr>
      <w:r>
        <w:rPr>
          <w:b/>
          <w:color w:val="0050A0"/>
          <w:sz w:val="20"/>
        </w:rPr>
        <w:t>PALC — PALC - PALM COTE D'IVOIRE</w:t>
      </w:r>
    </w:p>
    <w:p>
      <w:pPr>
        <w:pStyle w:val="ListBullet"/>
        <w:spacing w:before="20"/>
        <w:ind w:left="400"/>
      </w:pPr>
      <w:r>
        <w:rPr>
          <w:sz w:val="18"/>
        </w:rPr>
        <w:t>🟢 RSI survente (29.0 &lt; 30) — opportunité potentielle</w:t>
      </w:r>
    </w:p>
    <w:p>
      <w:pPr>
        <w:pStyle w:val="ListBullet"/>
        <w:spacing w:before="20"/>
        <w:ind w:left="400"/>
      </w:pPr>
      <w:r>
        <w:rPr>
          <w:sz w:val="18"/>
        </w:rPr>
        <w:t>⚠️ Cours à 0.9% du plus bas 100j (7,680 FCFA)</w:t>
      </w:r>
    </w:p>
    <w:p>
      <w:pPr>
        <w:spacing w:before="120"/>
      </w:pPr>
      <w:r>
        <w:rPr>
          <w:b/>
          <w:color w:val="0050A0"/>
          <w:sz w:val="20"/>
        </w:rPr>
        <w:t>SIVC — SIVC - ERIUM CI (Ex AIR LIQUIDECI)</w:t>
      </w:r>
    </w:p>
    <w:p>
      <w:pPr>
        <w:pStyle w:val="ListBullet"/>
        <w:spacing w:before="20"/>
        <w:ind w:left="400"/>
      </w:pPr>
      <w:r>
        <w:rPr>
          <w:sz w:val="18"/>
        </w:rPr>
        <w:t>⚠️ Cours à 1.6% du plus bas 100j (1,920 FCFA)</w:t>
      </w:r>
    </w:p>
    <w:p>
      <w:pPr>
        <w:pStyle w:val="ListBullet"/>
        <w:spacing w:before="20"/>
        <w:ind w:left="400"/>
      </w:pPr>
      <w:r>
        <w:rPr>
          <w:sz w:val="18"/>
        </w:rPr>
        <w:t>🟠 Divergence tech(VENTE) / fond(ACHAT) — recommandation ajustée à ACHAT</w:t>
      </w:r>
    </w:p>
    <w:p>
      <w:pPr>
        <w:spacing w:before="120"/>
      </w:pPr>
      <w:r>
        <w:rPr>
          <w:b/>
          <w:color w:val="0050A0"/>
          <w:sz w:val="20"/>
        </w:rPr>
        <w:t>STAC — STAC - SETAO COTE D'IVOIRE</w:t>
      </w:r>
    </w:p>
    <w:p>
      <w:pPr>
        <w:pStyle w:val="ListBullet"/>
        <w:spacing w:before="20"/>
        <w:ind w:left="400"/>
      </w:pPr>
      <w:r>
        <w:rPr>
          <w:sz w:val="18"/>
        </w:rPr>
        <w:t>⚠️ Cours à 0.0% du plus bas 100j (2,005 FCFA)</w:t>
      </w:r>
    </w:p>
    <w:p>
      <w:pPr>
        <w:pStyle w:val="ListBullet"/>
        <w:spacing w:before="20"/>
        <w:ind w:left="400"/>
      </w:pPr>
      <w:r>
        <w:rPr>
          <w:sz w:val="18"/>
        </w:rPr>
        <w:t>🟠 Divergence tech(VENTE) / fond(ACHAT) — recommandation ajustée à ACHAT</w:t>
      </w:r>
    </w:p>
    <w:p>
      <w:pPr>
        <w:spacing w:before="120"/>
      </w:pPr>
      <w:r>
        <w:rPr>
          <w:b/>
          <w:color w:val="0050A0"/>
          <w:sz w:val="20"/>
        </w:rPr>
        <w:t>UNLC — UNLC - UNILEVER COTE D'IVOIRE</w:t>
      </w:r>
    </w:p>
    <w:p>
      <w:pPr>
        <w:pStyle w:val="ListBullet"/>
        <w:spacing w:before="20"/>
        <w:ind w:left="400"/>
      </w:pPr>
      <w:r>
        <w:rPr>
          <w:sz w:val="18"/>
        </w:rPr>
        <w:t>⚠️ Cours à 1.7% du plus bas 100j (47,215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survente (15.5 &lt; 30) — opportunité potentielle</w:t>
      </w:r>
    </w:p>
    <w:p>
      <w:pPr>
        <w:spacing w:before="120"/>
      </w:pPr>
      <w:r>
        <w:rPr>
          <w:b/>
          <w:color w:val="0050A0"/>
          <w:sz w:val="20"/>
        </w:rPr>
        <w:t>BBGC — BRIDGE BANK GROUP COTE D'IVOIRE</w:t>
      </w:r>
    </w:p>
    <w:p>
      <w:pPr>
        <w:pStyle w:val="ListBullet"/>
        <w:spacing w:before="20"/>
        <w:ind w:left="400"/>
      </w:pPr>
      <w:r>
        <w:rPr>
          <w:sz w:val="18"/>
        </w:rPr>
        <w:t>⚠️ Cours à 0.0% du plus haut 100j (10,450 FCFA)</w:t>
      </w:r>
    </w:p>
    <w:p>
      <w:pPr>
        <w:spacing w:before="120"/>
      </w:pPr>
      <w:r>
        <w:rPr>
          <w:b/>
          <w:color w:val="0050A0"/>
          <w:sz w:val="20"/>
        </w:rPr>
        <w:t>BICB — BIIC BN - Banque internationale pour le commerce du benin</w:t>
      </w:r>
    </w:p>
    <w:p>
      <w:pPr>
        <w:pStyle w:val="ListBullet"/>
        <w:spacing w:before="20"/>
        <w:ind w:left="400"/>
      </w:pPr>
      <w:r>
        <w:rPr>
          <w:sz w:val="18"/>
        </w:rPr>
        <w:t>🟢 RSI survente (28.8 &lt; 30) — opportunité potentielle</w:t>
      </w:r>
    </w:p>
    <w:p>
      <w:pPr>
        <w:spacing w:before="120"/>
      </w:pPr>
      <w:r>
        <w:rPr>
          <w:b/>
          <w:color w:val="0050A0"/>
          <w:sz w:val="20"/>
        </w:rPr>
        <w:t>BNBC — BNBC - BERNABE CI</w:t>
      </w:r>
    </w:p>
    <w:p>
      <w:pPr>
        <w:pStyle w:val="ListBullet"/>
        <w:spacing w:before="20"/>
        <w:ind w:left="400"/>
      </w:pPr>
      <w:r>
        <w:rPr>
          <w:sz w:val="18"/>
        </w:rPr>
        <w:t>🟠 Divergence tech(VENTE) / fond(ACHAT) — recommandation ajustée à ACHAT</w:t>
      </w:r>
    </w:p>
    <w:p>
      <w:pPr>
        <w:spacing w:before="120"/>
      </w:pPr>
      <w:r>
        <w:rPr>
          <w:b/>
          <w:color w:val="0050A0"/>
          <w:sz w:val="20"/>
        </w:rPr>
        <w:t>BOAB — BANK OF AFRICA BENIN</w:t>
      </w:r>
    </w:p>
    <w:p>
      <w:pPr>
        <w:pStyle w:val="ListBullet"/>
        <w:spacing w:before="20"/>
        <w:ind w:left="400"/>
      </w:pPr>
      <w:r>
        <w:rPr>
          <w:sz w:val="18"/>
        </w:rPr>
        <w:t>🟠 Divergence tech(VENTE) / fond(ACHAT) — recommandation ajustée à ACHAT</w:t>
      </w:r>
    </w:p>
    <w:p>
      <w:pPr>
        <w:spacing w:before="120"/>
      </w:pPr>
      <w:r>
        <w:rPr>
          <w:b/>
          <w:color w:val="0050A0"/>
          <w:sz w:val="20"/>
        </w:rPr>
        <w:t>BOAC — BANK OF AFRICA COTE D'IVOIRE</w:t>
      </w:r>
    </w:p>
    <w:p>
      <w:pPr>
        <w:pStyle w:val="ListBullet"/>
        <w:spacing w:before="20"/>
        <w:ind w:left="400"/>
      </w:pPr>
      <w:r>
        <w:rPr>
          <w:sz w:val="18"/>
        </w:rPr>
        <w:t>🟠 Divergence tech(VENTE) / fond(ACHAT) — recommandation ajustée à ACHAT</w:t>
      </w:r>
    </w:p>
    <w:p>
      <w:pPr>
        <w:spacing w:before="120"/>
      </w:pPr>
      <w:r>
        <w:rPr>
          <w:b/>
          <w:color w:val="0050A0"/>
          <w:sz w:val="20"/>
        </w:rPr>
        <w:t>BOAM — BANK OF AFRICA MALI</w:t>
      </w:r>
    </w:p>
    <w:p>
      <w:pPr>
        <w:pStyle w:val="ListBullet"/>
        <w:spacing w:before="20"/>
        <w:ind w:left="400"/>
      </w:pPr>
      <w:r>
        <w:rPr>
          <w:sz w:val="18"/>
        </w:rPr>
        <w:t>🟠 Divergence tech(VENTE) / fond(ACHAT) — recommandation ajustée à ACHAT</w:t>
      </w:r>
    </w:p>
    <w:p>
      <w:pPr>
        <w:spacing w:before="120"/>
      </w:pPr>
      <w:r>
        <w:rPr>
          <w:b/>
          <w:color w:val="0050A0"/>
          <w:sz w:val="20"/>
        </w:rPr>
        <w:t>BOAN — BANK OF AFRICA NIGER</w:t>
      </w:r>
    </w:p>
    <w:p>
      <w:pPr>
        <w:pStyle w:val="ListBullet"/>
        <w:spacing w:before="20"/>
        <w:ind w:left="400"/>
      </w:pPr>
      <w:r>
        <w:rPr>
          <w:sz w:val="18"/>
        </w:rPr>
        <w:t>🟠 Divergence tech(VENTE) / fond(ACHAT) — recommandation ajustée à ACHAT</w:t>
      </w:r>
    </w:p>
    <w:p>
      <w:pPr>
        <w:spacing w:before="120"/>
      </w:pPr>
      <w:r>
        <w:rPr>
          <w:b/>
          <w:color w:val="0050A0"/>
          <w:sz w:val="20"/>
        </w:rPr>
        <w:t>BOAS — BANK OF AFRICA SENEGAL</w:t>
      </w:r>
    </w:p>
    <w:p>
      <w:pPr>
        <w:pStyle w:val="ListBullet"/>
        <w:spacing w:before="20"/>
        <w:ind w:left="400"/>
      </w:pPr>
      <w:r>
        <w:rPr>
          <w:sz w:val="18"/>
        </w:rPr>
        <w:t>⚠️ Cours à 2.9% du plus haut 100j (8,500 FCFA)</w:t>
      </w:r>
    </w:p>
    <w:p>
      <w:pPr>
        <w:spacing w:before="120"/>
      </w:pPr>
      <w:r>
        <w:rPr>
          <w:b/>
          <w:color w:val="0050A0"/>
          <w:sz w:val="20"/>
        </w:rPr>
        <w:t>CABC — CABC - SICABLE COTE D'IVOIRE</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survente (21.6 &lt; 30) — opportunité potentielle</w:t>
      </w:r>
    </w:p>
    <w:p>
      <w:pPr>
        <w:spacing w:before="120"/>
      </w:pPr>
      <w:r>
        <w:rPr>
          <w:b/>
          <w:color w:val="0050A0"/>
          <w:sz w:val="20"/>
        </w:rPr>
        <w:t>NSBC — NSBC - NSIA BANQUE COTE D'IVOIRE</w:t>
      </w:r>
    </w:p>
    <w:p>
      <w:pPr>
        <w:pStyle w:val="ListBullet"/>
        <w:spacing w:before="20"/>
        <w:ind w:left="400"/>
      </w:pPr>
      <w:r>
        <w:rPr>
          <w:sz w:val="18"/>
        </w:rPr>
        <w:t>🟠 Divergence tech(VENTE) / fond(ACHAT) — recommandation ajustée à ACHAT</w:t>
      </w:r>
    </w:p>
    <w:p>
      <w:pPr>
        <w:spacing w:before="120"/>
      </w:pPr>
      <w:r>
        <w:rPr>
          <w:b/>
          <w:color w:val="0050A0"/>
          <w:sz w:val="20"/>
        </w:rPr>
        <w:t>ONTBF — ONTBF - ONATEL BURKINA FASO</w:t>
      </w:r>
    </w:p>
    <w:p>
      <w:pPr>
        <w:pStyle w:val="ListBullet"/>
        <w:spacing w:before="20"/>
        <w:ind w:left="400"/>
      </w:pPr>
      <w:r>
        <w:rPr>
          <w:sz w:val="18"/>
        </w:rPr>
        <w:t>⚠️ Cours à 2.3% du plus haut 100j (3,070 FCFA)</w:t>
      </w:r>
    </w:p>
    <w:p>
      <w:pPr>
        <w:spacing w:before="120"/>
      </w:pPr>
      <w:r>
        <w:rPr>
          <w:b/>
          <w:color w:val="0050A0"/>
          <w:sz w:val="20"/>
        </w:rPr>
        <w:t>ORGT — ORGT - ORAGROUP TOGO</w:t>
      </w:r>
    </w:p>
    <w:p>
      <w:pPr>
        <w:pStyle w:val="ListBullet"/>
        <w:spacing w:before="20"/>
        <w:ind w:left="400"/>
      </w:pPr>
      <w:r>
        <w:rPr>
          <w:sz w:val="18"/>
        </w:rPr>
        <w:t>🟠 Divergence tech(VENTE) / fond(ACHAT) — recommandation ajustée à ACHAT</w:t>
      </w:r>
    </w:p>
    <w:p>
      <w:pPr>
        <w:spacing w:before="120"/>
      </w:pPr>
      <w:r>
        <w:rPr>
          <w:b/>
          <w:color w:val="0050A0"/>
          <w:sz w:val="20"/>
        </w:rPr>
        <w:t>SAFC — SAFCA CI</w:t>
      </w:r>
    </w:p>
    <w:p>
      <w:pPr>
        <w:pStyle w:val="ListBullet"/>
        <w:spacing w:before="20"/>
        <w:ind w:left="400"/>
      </w:pPr>
      <w:r>
        <w:rPr>
          <w:sz w:val="18"/>
        </w:rPr>
        <w:t>🟠 Divergence tech(VENTE) / fond(ACHAT) — recommandation ajustée à ACHAT</w:t>
      </w:r>
    </w:p>
    <w:p>
      <w:pPr>
        <w:spacing w:before="120"/>
      </w:pPr>
      <w:r>
        <w:rPr>
          <w:b/>
          <w:color w:val="0050A0"/>
          <w:sz w:val="20"/>
        </w:rPr>
        <w:t>SCRC — SCRC - SUCRIVOIRE</w:t>
      </w:r>
    </w:p>
    <w:p>
      <w:pPr>
        <w:pStyle w:val="ListBullet"/>
        <w:spacing w:before="20"/>
        <w:ind w:left="400"/>
      </w:pPr>
      <w:r>
        <w:rPr>
          <w:sz w:val="18"/>
        </w:rPr>
        <w:t>🟢 RSI survente (28.7 &lt; 30) — opportunité potentielle</w:t>
      </w:r>
    </w:p>
    <w:p>
      <w:pPr>
        <w:spacing w:before="120"/>
      </w:pPr>
      <w:r>
        <w:rPr>
          <w:b/>
          <w:color w:val="0050A0"/>
          <w:sz w:val="20"/>
        </w:rPr>
        <w:t>SGBC — SGBC - SOCIETE GENERALE COTE D'IVOIRE</w:t>
      </w:r>
    </w:p>
    <w:p>
      <w:pPr>
        <w:pStyle w:val="ListBullet"/>
        <w:spacing w:before="20"/>
        <w:ind w:left="400"/>
      </w:pPr>
      <w:r>
        <w:rPr>
          <w:sz w:val="18"/>
        </w:rPr>
        <w:t>⚠️ Cours à 0.3% du plus haut 100j (39,300 FCFA)</w:t>
      </w:r>
    </w:p>
    <w:p>
      <w:pPr>
        <w:spacing w:before="120"/>
      </w:pPr>
      <w:r>
        <w:rPr>
          <w:b/>
          <w:color w:val="0050A0"/>
          <w:sz w:val="20"/>
        </w:rPr>
        <w:t>SHEC — SHEC - VIVO ENERGY COTE D'IVOIRE</w:t>
      </w:r>
    </w:p>
    <w:p>
      <w:pPr>
        <w:pStyle w:val="ListBullet"/>
        <w:spacing w:before="20"/>
        <w:ind w:left="400"/>
      </w:pPr>
      <w:r>
        <w:rPr>
          <w:sz w:val="18"/>
        </w:rPr>
        <w:t>🟢 RSI survente (15.7 &lt; 30) — opportunité potentielle</w:t>
      </w:r>
    </w:p>
    <w:p>
      <w:pPr>
        <w:spacing w:before="120"/>
      </w:pPr>
      <w:r>
        <w:rPr>
          <w:b/>
          <w:color w:val="0050A0"/>
          <w:sz w:val="20"/>
        </w:rPr>
        <w:t>SIBC — SIBC - SOCIETE IVOIRIENNE DE BANQUE</w:t>
      </w:r>
    </w:p>
    <w:p>
      <w:pPr>
        <w:pStyle w:val="ListBullet"/>
        <w:spacing w:before="20"/>
        <w:ind w:left="400"/>
      </w:pPr>
      <w:r>
        <w:rPr>
          <w:sz w:val="18"/>
        </w:rPr>
        <w:t>🟠 Divergence tech(VENTE) / fond(ACHAT) — recommandation ajustée à ACHAT</w:t>
      </w:r>
    </w:p>
    <w:p>
      <w:pPr>
        <w:spacing w:before="120"/>
      </w:pPr>
      <w:r>
        <w:rPr>
          <w:b/>
          <w:color w:val="0050A0"/>
          <w:sz w:val="20"/>
        </w:rPr>
        <w:t>SICC — SICC - SICOR COTE D'IVOIRE</w:t>
      </w:r>
    </w:p>
    <w:p>
      <w:pPr>
        <w:pStyle w:val="ListBullet"/>
        <w:spacing w:before="20"/>
        <w:ind w:left="400"/>
      </w:pPr>
      <w:r>
        <w:rPr>
          <w:sz w:val="18"/>
        </w:rPr>
        <w:t>🟠 Divergence tech(VENTE) / fond(ACHAT) — recommandation ajustée à ACHAT</w:t>
      </w:r>
    </w:p>
    <w:p>
      <w:pPr>
        <w:spacing w:before="120"/>
      </w:pPr>
      <w:r>
        <w:rPr>
          <w:b/>
          <w:color w:val="0050A0"/>
          <w:sz w:val="20"/>
        </w:rPr>
        <w:t>SLBC — SLBC - SOLIBRA COTE D'IVOIRE</w:t>
      </w:r>
    </w:p>
    <w:p>
      <w:pPr>
        <w:pStyle w:val="ListBullet"/>
        <w:spacing w:before="20"/>
        <w:ind w:left="400"/>
      </w:pPr>
      <w:r>
        <w:rPr>
          <w:sz w:val="18"/>
        </w:rPr>
        <w:t>⚠️ Cours à 1.9% du plus bas 100j (36,900 FCFA)</w:t>
      </w:r>
    </w:p>
    <w:p>
      <w:pPr>
        <w:spacing w:before="120"/>
      </w:pPr>
      <w:r>
        <w:rPr>
          <w:b/>
          <w:color w:val="0050A0"/>
          <w:sz w:val="20"/>
        </w:rPr>
        <w:t>SMBC — SMBC - Société Multinationale de Bitumes COTE D'IVOIRE</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STBC — STBC - SITAB COTE D'IVOIRE</w:t>
      </w:r>
    </w:p>
    <w:p>
      <w:pPr>
        <w:pStyle w:val="ListBullet"/>
        <w:spacing w:before="20"/>
        <w:ind w:left="400"/>
      </w:pPr>
      <w:r>
        <w:rPr>
          <w:sz w:val="18"/>
        </w:rPr>
        <w:t>⚠️ Cours à 1.9% du plus bas 100j (20,895 FCFA)</w:t>
      </w:r>
    </w:p>
    <w:p>
      <w:pPr>
        <w:spacing w:before="120"/>
      </w:pPr>
      <w:r>
        <w:rPr>
          <w:b/>
          <w:color w:val="0050A0"/>
          <w:sz w:val="20"/>
        </w:rPr>
        <w:t>TTLC — TTLC - TOTAL ENERGIES MARKETING COTE D'IVOIRE</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28 société(s) (58%)</w:t>
            </w:r>
          </w:p>
        </w:tc>
        <w:tc>
          <w:tcPr>
            <w:tcW w:type="dxa" w:w="1644"/>
            <w:shd w:fill="FFEB9C" w:val="clear"/>
          </w:tcPr>
          <w:p>
            <w:r>
              <w:rPr>
                <w:b/>
                <w:color w:val="825A00"/>
                <w:sz w:val="19"/>
              </w:rPr>
              <w:t>20 société(s) (42%)</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19.6/100</w:t>
            </w:r>
          </w:p>
        </w:tc>
        <w:tc>
          <w:tcPr>
            <w:tcW w:type="dxa" w:w="1644"/>
            <w:shd w:fill="DEEAF1" w:val="clear"/>
          </w:tcPr>
          <w:p>
            <w:r>
              <w:rPr>
                <w:b/>
                <w:color w:val="000000"/>
                <w:sz w:val="19"/>
              </w:rPr>
              <w:t>19.1/100</w:t>
            </w:r>
          </w:p>
        </w:tc>
      </w:tr>
    </w:tbl>
    <w:p/>
    <w:p>
      <w:r>
        <w:rPr>
          <w:i/>
          <w:color w:val="006400"/>
          <w:sz w:val="18"/>
        </w:rPr>
        <w:t>✅ Le marché BRVM présente globalement un profil de risque FAIBLE (score moyen 19.6/100).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CBIBF</w:t>
            </w:r>
          </w:p>
        </w:tc>
        <w:tc>
          <w:tcPr>
            <w:tcW w:type="dxa" w:w="2268"/>
            <w:shd w:fill="FFFFFF" w:val="clear"/>
          </w:tcPr>
          <w:p>
            <w:r>
              <w:rPr>
                <w:sz w:val="16"/>
              </w:rPr>
              <w:t>CBIBF - CORIS BANK INTERNATI…</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31.0/100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STAC</w:t>
            </w:r>
          </w:p>
        </w:tc>
        <w:tc>
          <w:tcPr>
            <w:tcW w:type="dxa" w:w="2268"/>
            <w:shd w:fill="FFFFFF" w:val="clear"/>
          </w:tcPr>
          <w:p>
            <w:r>
              <w:rPr>
                <w:sz w:val="16"/>
              </w:rPr>
              <w:t>STAC - SETAO COTE D'IVOIRE</w:t>
            </w:r>
          </w:p>
        </w:tc>
        <w:tc>
          <w:tcPr>
            <w:tcW w:type="dxa" w:w="1701"/>
            <w:shd w:fill="FFFFFF" w:val="clear"/>
          </w:tcPr>
          <w:p>
            <w:r>
              <w:rPr>
                <w:sz w:val="16"/>
              </w:rPr>
              <w:t>INDUSTRIELS</w:t>
            </w:r>
          </w:p>
        </w:tc>
        <w:tc>
          <w:tcPr>
            <w:tcW w:type="dxa" w:w="1020"/>
            <w:shd w:fill="FFEB9C" w:val="clear"/>
          </w:tcPr>
          <w:p>
            <w:r>
              <w:rPr>
                <w:b/>
                <w:color w:val="B40000"/>
                <w:sz w:val="16"/>
              </w:rPr>
              <w:t>30.8/100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CBIBF (31.3/100 — Moyen) : </w:t>
      </w:r>
      <w:r>
        <w:rPr>
          <w:sz w:val="17"/>
        </w:rPr>
        <w:t>Volatilité=Élevée | Bêta=Agressif | Liquidité=Bonne | Divergence signaux=taux divergence=20% (Mixte ⚠️) | Stabilité=Stable</w:t>
      </w:r>
    </w:p>
    <w:p>
      <w:pPr>
        <w:pStyle w:val="ListBullet"/>
      </w:pPr>
      <w:r>
        <w:rPr>
          <w:b/>
          <w:color w:val="B40000"/>
          <w:sz w:val="18"/>
        </w:rPr>
        <w:t xml:space="preserve">#4 SAFC (31.0/100 — Moyen) : </w:t>
      </w:r>
      <w:r>
        <w:rPr>
          <w:sz w:val="17"/>
        </w:rPr>
        <w:t>Volatilité=Élevée | Bêta=Agressif | Liquidité=Bonne | Divergence signaux=taux divergence=0% (Convergent ✅) | Stabilité=Modérée</w:t>
      </w:r>
    </w:p>
    <w:p>
      <w:pPr>
        <w:pStyle w:val="ListBullet"/>
      </w:pPr>
      <w:r>
        <w:rPr>
          <w:b/>
          <w:color w:val="B40000"/>
          <w:sz w:val="18"/>
        </w:rPr>
        <w:t xml:space="preserve">#5 STAC (30.8/100 — Moyen) : </w:t>
      </w:r>
      <w:r>
        <w:rPr>
          <w:sz w:val="17"/>
        </w:rPr>
        <w:t>Volatilité=Élevée | Bêta=Contre-cyclique | Liquidité=Bonne | Divergence signaux=taux divergence=20% (Mixte ⚠️) | Stabilité=Modérée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SIBC</w:t>
            </w:r>
          </w:p>
        </w:tc>
        <w:tc>
          <w:tcPr>
            <w:tcW w:type="dxa" w:w="2268"/>
            <w:shd w:fill="FFFFFF" w:val="clear"/>
          </w:tcPr>
          <w:p>
            <w:r>
              <w:rPr>
                <w:sz w:val="16"/>
              </w:rPr>
              <w:t>SIBC - SOCIETE IVOIRIENNE DE…</w:t>
            </w:r>
          </w:p>
        </w:tc>
        <w:tc>
          <w:tcPr>
            <w:tcW w:type="dxa" w:w="1701"/>
            <w:shd w:fill="FFFFFF" w:val="clear"/>
          </w:tcPr>
          <w:p>
            <w:r>
              <w:rPr>
                <w:sz w:val="16"/>
              </w:rPr>
              <w:t>SERVICES FINANCIER</w:t>
            </w:r>
          </w:p>
        </w:tc>
        <w:tc>
          <w:tcPr>
            <w:tcW w:type="dxa" w:w="1020"/>
            <w:shd w:fill="C6EFCE" w:val="clear"/>
          </w:tcPr>
          <w:p>
            <w:r>
              <w:rPr>
                <w:b/>
                <w:color w:val="007800"/>
                <w:sz w:val="16"/>
              </w:rPr>
              <w:t>7.5/100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BOAS</w:t>
            </w:r>
          </w:p>
        </w:tc>
        <w:tc>
          <w:tcPr>
            <w:tcW w:type="dxa" w:w="2268"/>
            <w:shd w:fill="FFFFFF" w:val="clear"/>
          </w:tcPr>
          <w:p>
            <w:r>
              <w:rPr>
                <w:sz w:val="16"/>
              </w:rPr>
              <w:t>BANK OF AFRICA SENEGAL</w:t>
            </w:r>
          </w:p>
        </w:tc>
        <w:tc>
          <w:tcPr>
            <w:tcW w:type="dxa" w:w="1701"/>
            <w:shd w:fill="FFFFFF" w:val="clear"/>
          </w:tcPr>
          <w:p>
            <w:r>
              <w:rPr>
                <w:sz w:val="16"/>
              </w:rPr>
              <w:t>SERVICES FINANCIER</w:t>
            </w:r>
          </w:p>
        </w:tc>
        <w:tc>
          <w:tcPr>
            <w:tcW w:type="dxa" w:w="1020"/>
            <w:shd w:fill="C6EFCE" w:val="clear"/>
          </w:tcPr>
          <w:p>
            <w:r>
              <w:rPr>
                <w:b/>
                <w:color w:val="007800"/>
                <w:sz w:val="16"/>
              </w:rPr>
              <w:t>9.3/100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STBC</w:t>
            </w:r>
          </w:p>
        </w:tc>
        <w:tc>
          <w:tcPr>
            <w:tcW w:type="dxa" w:w="2268"/>
            <w:shd w:fill="FFFFFF" w:val="clear"/>
          </w:tcPr>
          <w:p>
            <w:r>
              <w:rPr>
                <w:sz w:val="16"/>
              </w:rPr>
              <w:t>STBC - SITAB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31.0</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29.3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24.8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BBGC</w:t>
            </w:r>
          </w:p>
        </w:tc>
        <w:tc>
          <w:tcPr>
            <w:tcW w:type="dxa" w:w="1984"/>
            <w:shd w:fill="FFFFFF" w:val="clear"/>
          </w:tcPr>
          <w:p>
            <w:r>
              <w:rPr>
                <w:sz w:val="15"/>
              </w:rPr>
              <w:t>BRIDGE BANK GROUP COTE…</w:t>
            </w:r>
          </w:p>
        </w:tc>
        <w:tc>
          <w:tcPr>
            <w:tcW w:type="dxa" w:w="1417"/>
            <w:shd w:fill="FFFFFF" w:val="clear"/>
          </w:tcPr>
          <w:p>
            <w:r>
              <w:rPr>
                <w:sz w:val="15"/>
              </w:rPr>
              <w:t>Services Financi</w:t>
            </w:r>
          </w:p>
        </w:tc>
        <w:tc>
          <w:tcPr>
            <w:tcW w:type="dxa" w:w="737"/>
            <w:shd w:fill="FFEB9C" w:val="clear"/>
          </w:tcPr>
          <w:p>
            <w:r>
              <w:rPr>
                <w:b/>
                <w:color w:val="825A00"/>
                <w:sz w:val="15"/>
              </w:rPr>
              <w:t>22.2</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FFEB9C" w:val="clear"/>
          </w:tcPr>
          <w:p>
            <w:r>
              <w:rPr>
                <w:b/>
                <w:color w:val="825A00"/>
                <w:sz w:val="15"/>
              </w:rPr>
              <w:t>20.5</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20.5</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17.0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13.5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Convergent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9.3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7.5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Convergent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48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2F2F2" w:val="clear"/>
          </w:tcPr>
          <w:p>
            <w:r>
              <w:rPr>
                <w:b/>
                <w:color w:val="505050"/>
                <w:sz w:val="18"/>
              </w:rPr>
              <w:t>⚪ NEUTRE / CONSOLIDATION</w:t>
            </w:r>
          </w:p>
        </w:tc>
      </w:tr>
      <w:tr>
        <w:tc>
          <w:tcPr>
            <w:tcW w:type="dxa" w:w="2835"/>
            <w:shd w:fill="DEEAF1" w:val="clear"/>
          </w:tcPr>
          <w:p>
            <w:r>
              <w:rPr>
                <w:b/>
                <w:sz w:val="18"/>
              </w:rPr>
              <w:t>Variation moyenne J+10</w:t>
            </w:r>
          </w:p>
        </w:tc>
        <w:tc>
          <w:tcPr>
            <w:tcW w:type="dxa" w:w="7370"/>
          </w:tcPr>
          <w:p>
            <w:r>
              <w:rPr>
                <w:b/>
                <w:sz w:val="18"/>
              </w:rPr>
              <w:t>-0.38%  |  Médiane : -1.06%</w:t>
            </w:r>
          </w:p>
        </w:tc>
      </w:tr>
      <w:tr>
        <w:tc>
          <w:tcPr>
            <w:tcW w:type="dxa" w:w="2835"/>
            <w:shd w:fill="DEEAF1" w:val="clear"/>
          </w:tcPr>
          <w:p>
            <w:r>
              <w:rPr>
                <w:b/>
                <w:sz w:val="18"/>
              </w:rPr>
              <w:t>Répartition</w:t>
            </w:r>
          </w:p>
        </w:tc>
        <w:tc>
          <w:tcPr>
            <w:tcW w:type="dxa" w:w="7370"/>
          </w:tcPr>
          <w:p>
            <w:r>
              <w:rPr>
                <w:b/>
                <w:sz w:val="18"/>
              </w:rPr>
              <w:t>📈 13 sociétés en hausse (&gt;+1%)   📉 24 en baisse (&lt;-1%)   ➡️ 8 neutres</w:t>
            </w:r>
          </w:p>
        </w:tc>
      </w:tr>
      <w:tr>
        <w:tc>
          <w:tcPr>
            <w:tcW w:type="dxa" w:w="2835"/>
            <w:shd w:fill="DEEAF1" w:val="clear"/>
          </w:tcPr>
          <w:p>
            <w:r>
              <w:rPr>
                <w:b/>
                <w:sz w:val="18"/>
              </w:rPr>
              <w:t>Confiance globale</w:t>
            </w:r>
          </w:p>
        </w:tc>
        <w:tc>
          <w:tcPr>
            <w:tcW w:type="dxa" w:w="7370"/>
          </w:tcPr>
          <w:p>
            <w:r>
              <w:rPr>
                <w:b/>
                <w:sz w:val="18"/>
              </w:rPr>
              <w:t>Élevée : 0 sociétés (0%)   Moyenne : 9   Faible : 36 (80%)   → Confiance dominante : Faible</w:t>
            </w:r>
          </w:p>
        </w:tc>
      </w:tr>
    </w:tbl>
    <w:p/>
    <w:p>
      <w:r>
        <w:rPr>
          <w:i/>
          <w:color w:val="282828"/>
          <w:sz w:val="18"/>
        </w:rPr>
        <w:t>📝 Analyse : Les modèles n'anticipent pas de mouvement directionnel clair. La variation moyenne est de -0.38% avec 8 sociétés en zone neutre (±1%).</w:t>
      </w:r>
    </w:p>
    <w:p>
      <w:r>
        <w:rPr>
          <w:i/>
          <w:color w:val="282828"/>
          <w:sz w:val="18"/>
        </w:rPr>
        <w:t>🎯 Fiabilité : ⚠️ La confiance est globalement FAIBLE (80%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2,455 FCFA</w:t>
            </w:r>
          </w:p>
        </w:tc>
        <w:tc>
          <w:tcPr>
            <w:tcW w:type="dxa" w:w="1417"/>
            <w:shd w:fill="FFFFFF" w:val="clear"/>
          </w:tcPr>
          <w:p>
            <w:r>
              <w:rPr>
                <w:sz w:val="16"/>
              </w:rPr>
              <w:t>3,189 FCFA</w:t>
            </w:r>
          </w:p>
        </w:tc>
        <w:tc>
          <w:tcPr>
            <w:tcW w:type="dxa" w:w="1134"/>
            <w:shd w:fill="C6EFCE" w:val="clear"/>
          </w:tcPr>
          <w:p>
            <w:r>
              <w:rPr>
                <w:b/>
                <w:color w:val="007800"/>
                <w:sz w:val="16"/>
              </w:rPr>
              <w:t>+29.91%</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21,295 FCFA</w:t>
            </w:r>
          </w:p>
        </w:tc>
        <w:tc>
          <w:tcPr>
            <w:tcW w:type="dxa" w:w="1417"/>
            <w:shd w:fill="FFFFFF" w:val="clear"/>
          </w:tcPr>
          <w:p>
            <w:r>
              <w:rPr>
                <w:sz w:val="16"/>
              </w:rPr>
              <w:t>24,098 FCFA</w:t>
            </w:r>
          </w:p>
        </w:tc>
        <w:tc>
          <w:tcPr>
            <w:tcW w:type="dxa" w:w="1134"/>
            <w:shd w:fill="C6EFCE" w:val="clear"/>
          </w:tcPr>
          <w:p>
            <w:r>
              <w:rPr>
                <w:b/>
                <w:color w:val="007800"/>
                <w:sz w:val="16"/>
              </w:rPr>
              <w:t>+13.16%</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BICB — BIIC BN - Banque internationale pou...</w:t>
            </w:r>
          </w:p>
        </w:tc>
        <w:tc>
          <w:tcPr>
            <w:tcW w:type="dxa" w:w="1701"/>
            <w:shd w:fill="FFFFFF" w:val="clear"/>
          </w:tcPr>
          <w:p>
            <w:r>
              <w:rPr>
                <w:sz w:val="16"/>
              </w:rPr>
              <w:t>SERVICES FINANCIERS</w:t>
            </w:r>
          </w:p>
        </w:tc>
        <w:tc>
          <w:tcPr>
            <w:tcW w:type="dxa" w:w="1417"/>
            <w:shd w:fill="FFFFFF" w:val="clear"/>
          </w:tcPr>
          <w:p>
            <w:r>
              <w:rPr>
                <w:sz w:val="16"/>
              </w:rPr>
              <w:t>8,450 FCFA</w:t>
            </w:r>
          </w:p>
        </w:tc>
        <w:tc>
          <w:tcPr>
            <w:tcW w:type="dxa" w:w="1417"/>
            <w:shd w:fill="FFFFFF" w:val="clear"/>
          </w:tcPr>
          <w:p>
            <w:r>
              <w:rPr>
                <w:sz w:val="16"/>
              </w:rPr>
              <w:t>9,319 FCFA</w:t>
            </w:r>
          </w:p>
        </w:tc>
        <w:tc>
          <w:tcPr>
            <w:tcW w:type="dxa" w:w="1134"/>
            <w:shd w:fill="C6EFCE" w:val="clear"/>
          </w:tcPr>
          <w:p>
            <w:r>
              <w:rPr>
                <w:b/>
                <w:color w:val="007800"/>
                <w:sz w:val="16"/>
              </w:rPr>
              <w:t>+10.29%</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BOAN — BANK OF AFRICA NIGER</w:t>
            </w:r>
          </w:p>
        </w:tc>
        <w:tc>
          <w:tcPr>
            <w:tcW w:type="dxa" w:w="1701"/>
            <w:shd w:fill="FFFFFF" w:val="clear"/>
          </w:tcPr>
          <w:p>
            <w:r>
              <w:rPr>
                <w:sz w:val="16"/>
              </w:rPr>
              <w:t>SERVICES FINANCIERS</w:t>
            </w:r>
          </w:p>
        </w:tc>
        <w:tc>
          <w:tcPr>
            <w:tcW w:type="dxa" w:w="1417"/>
            <w:shd w:fill="FFFFFF" w:val="clear"/>
          </w:tcPr>
          <w:p>
            <w:r>
              <w:rPr>
                <w:sz w:val="16"/>
              </w:rPr>
              <w:t>4,475 FCFA</w:t>
            </w:r>
          </w:p>
        </w:tc>
        <w:tc>
          <w:tcPr>
            <w:tcW w:type="dxa" w:w="1417"/>
            <w:shd w:fill="FFFFFF" w:val="clear"/>
          </w:tcPr>
          <w:p>
            <w:r>
              <w:rPr>
                <w:sz w:val="16"/>
              </w:rPr>
              <w:t>4,848 FCFA</w:t>
            </w:r>
          </w:p>
        </w:tc>
        <w:tc>
          <w:tcPr>
            <w:tcW w:type="dxa" w:w="1134"/>
            <w:shd w:fill="C6EFCE" w:val="clear"/>
          </w:tcPr>
          <w:p>
            <w:r>
              <w:rPr>
                <w:b/>
                <w:color w:val="007800"/>
                <w:sz w:val="16"/>
              </w:rPr>
              <w:t>+8.34%</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CFAC — CFAC - CFAO MOTORS CI</w:t>
            </w:r>
          </w:p>
        </w:tc>
        <w:tc>
          <w:tcPr>
            <w:tcW w:type="dxa" w:w="1701"/>
            <w:shd w:fill="FFFFFF" w:val="clear"/>
          </w:tcPr>
          <w:p>
            <w:r>
              <w:rPr>
                <w:sz w:val="16"/>
              </w:rPr>
              <w:t>CONSOMMATION DISCRET</w:t>
            </w:r>
          </w:p>
        </w:tc>
        <w:tc>
          <w:tcPr>
            <w:tcW w:type="dxa" w:w="1417"/>
            <w:shd w:fill="FFFFFF" w:val="clear"/>
          </w:tcPr>
          <w:p>
            <w:r>
              <w:rPr>
                <w:sz w:val="16"/>
              </w:rPr>
              <w:t>1,480 FCFA</w:t>
            </w:r>
          </w:p>
        </w:tc>
        <w:tc>
          <w:tcPr>
            <w:tcW w:type="dxa" w:w="1417"/>
            <w:shd w:fill="FFFFFF" w:val="clear"/>
          </w:tcPr>
          <w:p>
            <w:r>
              <w:rPr>
                <w:sz w:val="16"/>
              </w:rPr>
              <w:t>1,546 FCFA</w:t>
            </w:r>
          </w:p>
        </w:tc>
        <w:tc>
          <w:tcPr>
            <w:tcW w:type="dxa" w:w="1134"/>
            <w:shd w:fill="C6EFCE" w:val="clear"/>
          </w:tcPr>
          <w:p>
            <w:r>
              <w:rPr>
                <w:b/>
                <w:color w:val="007800"/>
                <w:sz w:val="16"/>
              </w:rPr>
              <w:t>+4.43%</w:t>
            </w:r>
          </w:p>
        </w:tc>
        <w:tc>
          <w:tcPr>
            <w:tcW w:type="dxa" w:w="1020"/>
            <w:shd w:fill="FFC7CE" w:val="clear"/>
          </w:tcPr>
          <w:p>
            <w:r>
              <w:rPr>
                <w:sz w:val="16"/>
              </w:rPr>
              <w:t>Faible</w:t>
            </w:r>
          </w:p>
        </w:tc>
      </w:tr>
    </w:tbl>
    <w:p/>
    <w:p>
      <w:pPr>
        <w:pStyle w:val="ListBullet"/>
      </w:pPr>
      <w:r>
        <w:rPr>
          <w:b/>
          <w:color w:val="006400"/>
          <w:sz w:val="18"/>
        </w:rPr>
        <w:t xml:space="preserve">#1 SCRC </w:t>
      </w:r>
      <w:r>
        <w:rPr>
          <w:sz w:val="17"/>
        </w:rPr>
        <w:t>(SCRC - SUCRIVOIRE) — hausse très forte (+29.9%) — signal potentiellement excessif, à croiser avec l'analyse technique. Trajectoire : 📈 Hausse continue. Cours actuel : 2,455 FCFA → prédit J+10 : 3,189 FCFA. ⚠️ Confiance limitée — volatilité élevée ou données insuffisantes. Résultat indicatif uniquement.</w:t>
      </w:r>
    </w:p>
    <w:p>
      <w:pPr>
        <w:pStyle w:val="ListBullet"/>
      </w:pPr>
      <w:r>
        <w:rPr>
          <w:b/>
          <w:color w:val="006400"/>
          <w:sz w:val="18"/>
        </w:rPr>
        <w:t xml:space="preserve">#2 STBC </w:t>
      </w:r>
      <w:r>
        <w:rPr>
          <w:sz w:val="17"/>
        </w:rPr>
        <w:t>(STBC - SITAB COTE D'IVOIRE) — hausse significative (+13.2%) — potentiel de revalorisation notable. Trajectoire : 📈 Hausse continue. Cours actuel : 21,295 FCFA → prédit J+10 : 24,098 FCFA. ⚠️ Confiance limitée — volatilité élevée ou données insuffisantes. Résultat indicatif uniquement.</w:t>
      </w:r>
    </w:p>
    <w:p>
      <w:pPr>
        <w:pStyle w:val="ListBullet"/>
      </w:pPr>
      <w:r>
        <w:rPr>
          <w:b/>
          <w:color w:val="006400"/>
          <w:sz w:val="18"/>
        </w:rPr>
        <w:t xml:space="preserve">#3 BICB </w:t>
      </w:r>
      <w:r>
        <w:rPr>
          <w:sz w:val="17"/>
        </w:rPr>
        <w:t>(BIIC BN - Banque internationale pour le ) — hausse significative (+10.3%) — potentiel de revalorisation notable. Trajectoire : 📈 Hausse continue. Cours actuel : 8,450 FCFA → prédit J+10 : 9,319 FCFA. ⚠️ Confiance limitée — volatilité élevée ou données insuffisantes. Résultat indicatif uniquement.</w:t>
      </w:r>
    </w:p>
    <w:p>
      <w:pPr>
        <w:pStyle w:val="ListBullet"/>
      </w:pPr>
      <w:r>
        <w:rPr>
          <w:b/>
          <w:color w:val="006400"/>
          <w:sz w:val="18"/>
        </w:rPr>
        <w:t xml:space="preserve">#4 BOAN </w:t>
      </w:r>
      <w:r>
        <w:rPr>
          <w:sz w:val="17"/>
        </w:rPr>
        <w:t>(BANK OF AFRICA NIGER) — hausse modérée (+8.3%) — signal raisonnable et crédible. Trajectoire : 📈 Hausse continue. Cours actuel : 4,475 FCFA → prédit J+10 : 4,848 FCFA. ⚠️ Confiance limitée — volatilité élevée ou données insuffisantes. Résultat indicatif uniquement.</w:t>
      </w:r>
    </w:p>
    <w:p>
      <w:pPr>
        <w:pStyle w:val="ListBullet"/>
      </w:pPr>
      <w:r>
        <w:rPr>
          <w:b/>
          <w:color w:val="006400"/>
          <w:sz w:val="18"/>
        </w:rPr>
        <w:t xml:space="preserve">#5 CFAC </w:t>
      </w:r>
      <w:r>
        <w:rPr>
          <w:sz w:val="17"/>
        </w:rPr>
        <w:t>(CFAC - CFAO MOTORS CI) — légère hausse (+4.4%) — progression graduelle attendue. Trajectoire : 📈 Hausse continue. Cours actuel : 1,480 FCFA → prédit J+10 : 1,546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BOAS — BANK OF AFRICA SENEGAL</w:t>
            </w:r>
          </w:p>
        </w:tc>
        <w:tc>
          <w:tcPr>
            <w:tcW w:type="dxa" w:w="1701"/>
            <w:shd w:fill="FFFFFF" w:val="clear"/>
          </w:tcPr>
          <w:p>
            <w:r>
              <w:rPr>
                <w:sz w:val="16"/>
              </w:rPr>
              <w:t>SERVICES FINANCIERS</w:t>
            </w:r>
          </w:p>
        </w:tc>
        <w:tc>
          <w:tcPr>
            <w:tcW w:type="dxa" w:w="1417"/>
            <w:shd w:fill="FFFFFF" w:val="clear"/>
          </w:tcPr>
          <w:p>
            <w:r>
              <w:rPr>
                <w:sz w:val="16"/>
              </w:rPr>
              <w:t>8,250 FCFA</w:t>
            </w:r>
          </w:p>
        </w:tc>
        <w:tc>
          <w:tcPr>
            <w:tcW w:type="dxa" w:w="1417"/>
            <w:shd w:fill="FFFFFF" w:val="clear"/>
          </w:tcPr>
          <w:p>
            <w:r>
              <w:rPr>
                <w:sz w:val="16"/>
              </w:rPr>
              <w:t>7,165 FCFA</w:t>
            </w:r>
          </w:p>
        </w:tc>
        <w:tc>
          <w:tcPr>
            <w:tcW w:type="dxa" w:w="1134"/>
            <w:shd w:fill="FFC7CE" w:val="clear"/>
          </w:tcPr>
          <w:p>
            <w:r>
              <w:rPr>
                <w:b/>
                <w:color w:val="B40000"/>
                <w:sz w:val="16"/>
              </w:rPr>
              <w:t>-13.15%</w:t>
            </w:r>
          </w:p>
        </w:tc>
        <w:tc>
          <w:tcPr>
            <w:tcW w:type="dxa" w:w="1020"/>
            <w:shd w:fill="FFEB9C" w:val="clear"/>
          </w:tcPr>
          <w:p>
            <w:r>
              <w:rPr>
                <w:sz w:val="16"/>
              </w:rPr>
              <w:t>Moyenne</w:t>
            </w:r>
          </w:p>
        </w:tc>
      </w:tr>
      <w:tr>
        <w:tc>
          <w:tcPr>
            <w:tcW w:type="dxa" w:w="680"/>
            <w:shd w:fill="FFFFFF" w:val="clear"/>
          </w:tcPr>
          <w:p>
            <w:r>
              <w:rPr>
                <w:b/>
                <w:sz w:val="16"/>
              </w:rPr>
              <w:t>#2</w:t>
            </w:r>
          </w:p>
        </w:tc>
        <w:tc>
          <w:tcPr>
            <w:tcW w:type="dxa" w:w="2835"/>
            <w:shd w:fill="FFC7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21,695 FCFA</w:t>
            </w:r>
          </w:p>
        </w:tc>
        <w:tc>
          <w:tcPr>
            <w:tcW w:type="dxa" w:w="1417"/>
            <w:shd w:fill="FFFFFF" w:val="clear"/>
          </w:tcPr>
          <w:p>
            <w:r>
              <w:rPr>
                <w:sz w:val="16"/>
              </w:rPr>
              <w:t>19,146 FCFA</w:t>
            </w:r>
          </w:p>
        </w:tc>
        <w:tc>
          <w:tcPr>
            <w:tcW w:type="dxa" w:w="1134"/>
            <w:shd w:fill="FFC7CE" w:val="clear"/>
          </w:tcPr>
          <w:p>
            <w:r>
              <w:rPr>
                <w:b/>
                <w:color w:val="B40000"/>
                <w:sz w:val="16"/>
              </w:rPr>
              <w:t>-11.75%</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BOAM — BANK OF AFRICA MALI</w:t>
            </w:r>
          </w:p>
        </w:tc>
        <w:tc>
          <w:tcPr>
            <w:tcW w:type="dxa" w:w="1701"/>
            <w:shd w:fill="FFFFFF" w:val="clear"/>
          </w:tcPr>
          <w:p>
            <w:r>
              <w:rPr>
                <w:sz w:val="16"/>
              </w:rPr>
              <w:t>SERVICES FINANCIERS</w:t>
            </w:r>
          </w:p>
        </w:tc>
        <w:tc>
          <w:tcPr>
            <w:tcW w:type="dxa" w:w="1417"/>
            <w:shd w:fill="FFFFFF" w:val="clear"/>
          </w:tcPr>
          <w:p>
            <w:r>
              <w:rPr>
                <w:sz w:val="16"/>
              </w:rPr>
              <w:t>6,100 FCFA</w:t>
            </w:r>
          </w:p>
        </w:tc>
        <w:tc>
          <w:tcPr>
            <w:tcW w:type="dxa" w:w="1417"/>
            <w:shd w:fill="FFFFFF" w:val="clear"/>
          </w:tcPr>
          <w:p>
            <w:r>
              <w:rPr>
                <w:sz w:val="16"/>
              </w:rPr>
              <w:t>5,510 FCFA</w:t>
            </w:r>
          </w:p>
        </w:tc>
        <w:tc>
          <w:tcPr>
            <w:tcW w:type="dxa" w:w="1134"/>
            <w:shd w:fill="FFC7CE" w:val="clear"/>
          </w:tcPr>
          <w:p>
            <w:r>
              <w:rPr>
                <w:b/>
                <w:color w:val="B40000"/>
                <w:sz w:val="16"/>
              </w:rPr>
              <w:t>-9.68%</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ABJC — ABJC - SERVAIR ABIDJAN CI</w:t>
            </w:r>
          </w:p>
        </w:tc>
        <w:tc>
          <w:tcPr>
            <w:tcW w:type="dxa" w:w="1701"/>
            <w:shd w:fill="FFFFFF" w:val="clear"/>
          </w:tcPr>
          <w:p>
            <w:r>
              <w:rPr>
                <w:sz w:val="16"/>
              </w:rPr>
              <w:t>CONSOMMATION DISCRET</w:t>
            </w:r>
          </w:p>
        </w:tc>
        <w:tc>
          <w:tcPr>
            <w:tcW w:type="dxa" w:w="1417"/>
            <w:shd w:fill="FFFFFF" w:val="clear"/>
          </w:tcPr>
          <w:p>
            <w:r>
              <w:rPr>
                <w:sz w:val="16"/>
              </w:rPr>
              <w:t>3,190 FCFA</w:t>
            </w:r>
          </w:p>
        </w:tc>
        <w:tc>
          <w:tcPr>
            <w:tcW w:type="dxa" w:w="1417"/>
            <w:shd w:fill="FFFFFF" w:val="clear"/>
          </w:tcPr>
          <w:p>
            <w:r>
              <w:rPr>
                <w:sz w:val="16"/>
              </w:rPr>
              <w:t>2,991 FCFA</w:t>
            </w:r>
          </w:p>
        </w:tc>
        <w:tc>
          <w:tcPr>
            <w:tcW w:type="dxa" w:w="1134"/>
            <w:shd w:fill="FFC7CE" w:val="clear"/>
          </w:tcPr>
          <w:p>
            <w:r>
              <w:rPr>
                <w:b/>
                <w:color w:val="B40000"/>
                <w:sz w:val="16"/>
              </w:rPr>
              <w:t>-6.25%</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1,860 FCFA</w:t>
            </w:r>
          </w:p>
        </w:tc>
        <w:tc>
          <w:tcPr>
            <w:tcW w:type="dxa" w:w="1417"/>
            <w:shd w:fill="FFFFFF" w:val="clear"/>
          </w:tcPr>
          <w:p>
            <w:r>
              <w:rPr>
                <w:sz w:val="16"/>
              </w:rPr>
              <w:t>1,745 FCFA</w:t>
            </w:r>
          </w:p>
        </w:tc>
        <w:tc>
          <w:tcPr>
            <w:tcW w:type="dxa" w:w="1134"/>
            <w:shd w:fill="FFC7CE" w:val="clear"/>
          </w:tcPr>
          <w:p>
            <w:r>
              <w:rPr>
                <w:b/>
                <w:color w:val="B40000"/>
                <w:sz w:val="16"/>
              </w:rPr>
              <w:t>-6.20%</w:t>
            </w:r>
          </w:p>
        </w:tc>
        <w:tc>
          <w:tcPr>
            <w:tcW w:type="dxa" w:w="1020"/>
            <w:shd w:fill="FFC7CE" w:val="clear"/>
          </w:tcPr>
          <w:p>
            <w:r>
              <w:rPr>
                <w:sz w:val="16"/>
              </w:rPr>
              <w:t>Faible</w:t>
            </w:r>
          </w:p>
        </w:tc>
      </w:tr>
    </w:tbl>
    <w:p/>
    <w:p>
      <w:pPr>
        <w:pStyle w:val="ListBullet"/>
      </w:pPr>
      <w:r>
        <w:rPr>
          <w:b/>
          <w:color w:val="B40000"/>
          <w:sz w:val="18"/>
        </w:rPr>
        <w:t xml:space="preserve">#1 BOAS </w:t>
      </w:r>
      <w:r>
        <w:rPr>
          <w:sz w:val="17"/>
        </w:rPr>
        <w:t>(BANK OF AFRICA SENEGAL) — baisse modérée (-13.1%) — repli technique attendu. Trajectoire : 📉 Baisse continue. Cours actuel : 8,250 FCFA → prédit J+10 : 7,165 FCFA. Confiance partielle — surveiller l'évolution réelle des premiers jours.</w:t>
      </w:r>
    </w:p>
    <w:p>
      <w:pPr>
        <w:pStyle w:val="ListBullet"/>
      </w:pPr>
      <w:r>
        <w:rPr>
          <w:b/>
          <w:color w:val="B40000"/>
          <w:sz w:val="18"/>
        </w:rPr>
        <w:t xml:space="preserve">#2 NSBC </w:t>
      </w:r>
      <w:r>
        <w:rPr>
          <w:sz w:val="17"/>
        </w:rPr>
        <w:t>(NSBC - NSIA BANQUE COTE D'IVOIRE) — baisse modérée (-11.7%) — repli technique attendu. Trajectoire : 📉 Baisse continue. Cours actuel : 21,695 FCFA → prédit J+10 : 19,146 FCFA. ⚠️ Confiance limitée — volatilité élevée. Ne pas agir sur ce seul signal.</w:t>
      </w:r>
    </w:p>
    <w:p>
      <w:pPr>
        <w:pStyle w:val="ListBullet"/>
      </w:pPr>
      <w:r>
        <w:rPr>
          <w:b/>
          <w:color w:val="B40000"/>
          <w:sz w:val="18"/>
        </w:rPr>
        <w:t xml:space="preserve">#3 BOAM </w:t>
      </w:r>
      <w:r>
        <w:rPr>
          <w:sz w:val="17"/>
        </w:rPr>
        <w:t>(BANK OF AFRICA MALI) — baisse modérée (-9.7%) — repli technique attendu. Trajectoire : 📉 Baisse continue. Cours actuel : 6,100 FCFA → prédit J+10 : 5,510 FCFA. ⚠️ Confiance limitée — volatilité élevée. Ne pas agir sur ce seul signal.</w:t>
      </w:r>
    </w:p>
    <w:p>
      <w:pPr>
        <w:pStyle w:val="ListBullet"/>
      </w:pPr>
      <w:r>
        <w:rPr>
          <w:b/>
          <w:color w:val="B40000"/>
          <w:sz w:val="18"/>
        </w:rPr>
        <w:t xml:space="preserve">#4 ABJC </w:t>
      </w:r>
      <w:r>
        <w:rPr>
          <w:sz w:val="17"/>
        </w:rPr>
        <w:t>(ABJC - SERVAIR ABIDJAN CI) — baisse modérée (-6.3%) — repli technique attendu. Trajectoire : 📉 Baisse continue. Cours actuel : 3,190 FCFA → prédit J+10 : 2,991 FCFA. ⚠️ Confiance limitée — volatilité élevée. Ne pas agir sur ce seul signal.</w:t>
      </w:r>
    </w:p>
    <w:p>
      <w:pPr>
        <w:pStyle w:val="ListBullet"/>
      </w:pPr>
      <w:r>
        <w:rPr>
          <w:b/>
          <w:color w:val="B40000"/>
          <w:sz w:val="18"/>
        </w:rPr>
        <w:t xml:space="preserve">#5 FTSC </w:t>
      </w:r>
      <w:r>
        <w:rPr>
          <w:sz w:val="17"/>
        </w:rPr>
        <w:t>(FTSC - FILTISAC COTE D'IVOIRE) — baisse modérée (-6.2%) — repli technique attendu. Trajectoire : 📉 Baisse continue. Cours actuel : 1,860 FCFA → prédit J+10 : 1,745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2,455</w:t>
            </w:r>
          </w:p>
        </w:tc>
        <w:tc>
          <w:tcPr>
            <w:tcW w:type="dxa" w:w="1417"/>
            <w:shd w:fill="FFFFFF" w:val="clear"/>
          </w:tcPr>
          <w:p>
            <w:r>
              <w:rPr>
                <w:sz w:val="16"/>
              </w:rPr>
              <w:t>3,189</w:t>
            </w:r>
          </w:p>
        </w:tc>
        <w:tc>
          <w:tcPr>
            <w:tcW w:type="dxa" w:w="1134"/>
            <w:shd w:fill="C6EFCE" w:val="clear"/>
          </w:tcPr>
          <w:p>
            <w:r>
              <w:rPr>
                <w:b/>
                <w:color w:val="007800"/>
                <w:sz w:val="16"/>
              </w:rPr>
              <w:t>+29.91%</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21,295</w:t>
            </w:r>
          </w:p>
        </w:tc>
        <w:tc>
          <w:tcPr>
            <w:tcW w:type="dxa" w:w="1417"/>
            <w:shd w:fill="FFFFFF" w:val="clear"/>
          </w:tcPr>
          <w:p>
            <w:r>
              <w:rPr>
                <w:sz w:val="16"/>
              </w:rPr>
              <w:t>24,098</w:t>
            </w:r>
          </w:p>
        </w:tc>
        <w:tc>
          <w:tcPr>
            <w:tcW w:type="dxa" w:w="1134"/>
            <w:shd w:fill="C6EFCE" w:val="clear"/>
          </w:tcPr>
          <w:p>
            <w:r>
              <w:rPr>
                <w:b/>
                <w:color w:val="007800"/>
                <w:sz w:val="16"/>
              </w:rPr>
              <w:t>+13.16%</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8,450</w:t>
            </w:r>
          </w:p>
        </w:tc>
        <w:tc>
          <w:tcPr>
            <w:tcW w:type="dxa" w:w="1417"/>
            <w:shd w:fill="FFFFFF" w:val="clear"/>
          </w:tcPr>
          <w:p>
            <w:r>
              <w:rPr>
                <w:sz w:val="16"/>
              </w:rPr>
              <w:t>9,319</w:t>
            </w:r>
          </w:p>
        </w:tc>
        <w:tc>
          <w:tcPr>
            <w:tcW w:type="dxa" w:w="1134"/>
            <w:shd w:fill="C6EFCE" w:val="clear"/>
          </w:tcPr>
          <w:p>
            <w:r>
              <w:rPr>
                <w:b/>
                <w:color w:val="007800"/>
                <w:sz w:val="16"/>
              </w:rPr>
              <w:t>+10.29%</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4,475</w:t>
            </w:r>
          </w:p>
        </w:tc>
        <w:tc>
          <w:tcPr>
            <w:tcW w:type="dxa" w:w="1417"/>
            <w:shd w:fill="FFFFFF" w:val="clear"/>
          </w:tcPr>
          <w:p>
            <w:r>
              <w:rPr>
                <w:sz w:val="16"/>
              </w:rPr>
              <w:t>4,848</w:t>
            </w:r>
          </w:p>
        </w:tc>
        <w:tc>
          <w:tcPr>
            <w:tcW w:type="dxa" w:w="1134"/>
            <w:shd w:fill="C6EFCE" w:val="clear"/>
          </w:tcPr>
          <w:p>
            <w:r>
              <w:rPr>
                <w:b/>
                <w:color w:val="007800"/>
                <w:sz w:val="16"/>
              </w:rPr>
              <w:t>+8.34%</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1,480</w:t>
            </w:r>
          </w:p>
        </w:tc>
        <w:tc>
          <w:tcPr>
            <w:tcW w:type="dxa" w:w="1417"/>
            <w:shd w:fill="FFFFFF" w:val="clear"/>
          </w:tcPr>
          <w:p>
            <w:r>
              <w:rPr>
                <w:sz w:val="16"/>
              </w:rPr>
              <w:t>1,546</w:t>
            </w:r>
          </w:p>
        </w:tc>
        <w:tc>
          <w:tcPr>
            <w:tcW w:type="dxa" w:w="1134"/>
            <w:shd w:fill="C6EFCE" w:val="clear"/>
          </w:tcPr>
          <w:p>
            <w:r>
              <w:rPr>
                <w:b/>
                <w:color w:val="007800"/>
                <w:sz w:val="16"/>
              </w:rPr>
              <w:t>+4.43%</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37,605</w:t>
            </w:r>
          </w:p>
        </w:tc>
        <w:tc>
          <w:tcPr>
            <w:tcW w:type="dxa" w:w="1417"/>
            <w:shd w:fill="FFFFFF" w:val="clear"/>
          </w:tcPr>
          <w:p>
            <w:r>
              <w:rPr>
                <w:sz w:val="16"/>
              </w:rPr>
              <w:t>39,223</w:t>
            </w:r>
          </w:p>
        </w:tc>
        <w:tc>
          <w:tcPr>
            <w:tcW w:type="dxa" w:w="1134"/>
            <w:shd w:fill="C6EFCE" w:val="clear"/>
          </w:tcPr>
          <w:p>
            <w:r>
              <w:rPr>
                <w:b/>
                <w:color w:val="007800"/>
                <w:sz w:val="16"/>
              </w:rPr>
              <w:t>+4.30%</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1,950</w:t>
            </w:r>
          </w:p>
        </w:tc>
        <w:tc>
          <w:tcPr>
            <w:tcW w:type="dxa" w:w="1417"/>
            <w:shd w:fill="FFFFFF" w:val="clear"/>
          </w:tcPr>
          <w:p>
            <w:r>
              <w:rPr>
                <w:sz w:val="16"/>
              </w:rPr>
              <w:t>2,006</w:t>
            </w:r>
          </w:p>
        </w:tc>
        <w:tc>
          <w:tcPr>
            <w:tcW w:type="dxa" w:w="1134"/>
            <w:shd w:fill="C6EFCE" w:val="clear"/>
          </w:tcPr>
          <w:p>
            <w:r>
              <w:rPr>
                <w:b/>
                <w:color w:val="007800"/>
                <w:sz w:val="16"/>
              </w:rPr>
              <w:t>+2.89%</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16,500</w:t>
            </w:r>
          </w:p>
        </w:tc>
        <w:tc>
          <w:tcPr>
            <w:tcW w:type="dxa" w:w="1417"/>
            <w:shd w:fill="FFFFFF" w:val="clear"/>
          </w:tcPr>
          <w:p>
            <w:r>
              <w:rPr>
                <w:sz w:val="16"/>
              </w:rPr>
              <w:t>16,862</w:t>
            </w:r>
          </w:p>
        </w:tc>
        <w:tc>
          <w:tcPr>
            <w:tcW w:type="dxa" w:w="1134"/>
            <w:shd w:fill="C6EFCE" w:val="clear"/>
          </w:tcPr>
          <w:p>
            <w:r>
              <w:rPr>
                <w:b/>
                <w:color w:val="007800"/>
                <w:sz w:val="16"/>
              </w:rPr>
              <w:t>+2.20%</w:t>
            </w:r>
          </w:p>
        </w:tc>
        <w:tc>
          <w:tcPr>
            <w:tcW w:type="dxa" w:w="1134"/>
            <w:shd w:fill="FFEB9C" w:val="clear"/>
          </w:tcPr>
          <w:p>
            <w:r>
              <w:rPr>
                <w:sz w:val="16"/>
              </w:rPr>
              <w:t>Moyenne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2,215</w:t>
            </w:r>
          </w:p>
        </w:tc>
        <w:tc>
          <w:tcPr>
            <w:tcW w:type="dxa" w:w="1417"/>
            <w:shd w:fill="FFFFFF" w:val="clear"/>
          </w:tcPr>
          <w:p>
            <w:r>
              <w:rPr>
                <w:sz w:val="16"/>
              </w:rPr>
              <w:t>2,255</w:t>
            </w:r>
          </w:p>
        </w:tc>
        <w:tc>
          <w:tcPr>
            <w:tcW w:type="dxa" w:w="1134"/>
            <w:shd w:fill="C6EFCE" w:val="clear"/>
          </w:tcPr>
          <w:p>
            <w:r>
              <w:rPr>
                <w:b/>
                <w:color w:val="007800"/>
                <w:sz w:val="16"/>
              </w:rPr>
              <w:t>+1.81%</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2,005</w:t>
            </w:r>
          </w:p>
        </w:tc>
        <w:tc>
          <w:tcPr>
            <w:tcW w:type="dxa" w:w="1417"/>
            <w:shd w:fill="FFFFFF" w:val="clear"/>
          </w:tcPr>
          <w:p>
            <w:r>
              <w:rPr>
                <w:sz w:val="16"/>
              </w:rPr>
              <w:t>2,041</w:t>
            </w:r>
          </w:p>
        </w:tc>
        <w:tc>
          <w:tcPr>
            <w:tcW w:type="dxa" w:w="1134"/>
            <w:shd w:fill="C6EFCE" w:val="clear"/>
          </w:tcPr>
          <w:p>
            <w:r>
              <w:rPr>
                <w:b/>
                <w:color w:val="007800"/>
                <w:sz w:val="16"/>
              </w:rPr>
              <w:t>+1.78%</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2,820</w:t>
            </w:r>
          </w:p>
        </w:tc>
        <w:tc>
          <w:tcPr>
            <w:tcW w:type="dxa" w:w="1417"/>
            <w:shd w:fill="FFFFFF" w:val="clear"/>
          </w:tcPr>
          <w:p>
            <w:r>
              <w:rPr>
                <w:sz w:val="16"/>
              </w:rPr>
              <w:t>2,865</w:t>
            </w:r>
          </w:p>
        </w:tc>
        <w:tc>
          <w:tcPr>
            <w:tcW w:type="dxa" w:w="1134"/>
            <w:shd w:fill="C6EFCE" w:val="clear"/>
          </w:tcPr>
          <w:p>
            <w:r>
              <w:rPr>
                <w:b/>
                <w:color w:val="007800"/>
                <w:sz w:val="16"/>
              </w:rPr>
              <w:t>+1.58%</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3,905</w:t>
            </w:r>
          </w:p>
        </w:tc>
        <w:tc>
          <w:tcPr>
            <w:tcW w:type="dxa" w:w="1417"/>
            <w:shd w:fill="FFFFFF" w:val="clear"/>
          </w:tcPr>
          <w:p>
            <w:r>
              <w:rPr>
                <w:sz w:val="16"/>
              </w:rPr>
              <w:t>3,953</w:t>
            </w:r>
          </w:p>
        </w:tc>
        <w:tc>
          <w:tcPr>
            <w:tcW w:type="dxa" w:w="1134"/>
            <w:shd w:fill="C6EFCE" w:val="clear"/>
          </w:tcPr>
          <w:p>
            <w:r>
              <w:rPr>
                <w:b/>
                <w:color w:val="007800"/>
                <w:sz w:val="16"/>
              </w:rPr>
              <w:t>+1.22%</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4,145</w:t>
            </w:r>
          </w:p>
        </w:tc>
        <w:tc>
          <w:tcPr>
            <w:tcW w:type="dxa" w:w="1417"/>
            <w:shd w:fill="FFFFFF" w:val="clear"/>
          </w:tcPr>
          <w:p>
            <w:r>
              <w:rPr>
                <w:sz w:val="16"/>
              </w:rPr>
              <w:t>4,192</w:t>
            </w:r>
          </w:p>
        </w:tc>
        <w:tc>
          <w:tcPr>
            <w:tcW w:type="dxa" w:w="1134"/>
            <w:shd w:fill="C6EFCE" w:val="clear"/>
          </w:tcPr>
          <w:p>
            <w:r>
              <w:rPr>
                <w:b/>
                <w:color w:val="007800"/>
                <w:sz w:val="16"/>
              </w:rPr>
              <w:t>+1.14%</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15,000</w:t>
            </w:r>
          </w:p>
        </w:tc>
        <w:tc>
          <w:tcPr>
            <w:tcW w:type="dxa" w:w="1417"/>
            <w:shd w:fill="FFFFFF" w:val="clear"/>
          </w:tcPr>
          <w:p>
            <w:r>
              <w:rPr>
                <w:sz w:val="16"/>
              </w:rPr>
              <w:t>15,145</w:t>
            </w:r>
          </w:p>
        </w:tc>
        <w:tc>
          <w:tcPr>
            <w:tcW w:type="dxa" w:w="1134"/>
            <w:shd w:fill="FFEB9C" w:val="clear"/>
          </w:tcPr>
          <w:p>
            <w:r>
              <w:rPr>
                <w:b/>
                <w:color w:val="646400"/>
                <w:sz w:val="16"/>
              </w:rPr>
              <w:t>+0.97%</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11,475</w:t>
            </w:r>
          </w:p>
        </w:tc>
        <w:tc>
          <w:tcPr>
            <w:tcW w:type="dxa" w:w="1417"/>
            <w:shd w:fill="FFFFFF" w:val="clear"/>
          </w:tcPr>
          <w:p>
            <w:r>
              <w:rPr>
                <w:sz w:val="16"/>
              </w:rPr>
              <w:t>11,562</w:t>
            </w:r>
          </w:p>
        </w:tc>
        <w:tc>
          <w:tcPr>
            <w:tcW w:type="dxa" w:w="1134"/>
            <w:shd w:fill="FFEB9C" w:val="clear"/>
          </w:tcPr>
          <w:p>
            <w:r>
              <w:rPr>
                <w:b/>
                <w:color w:val="646400"/>
                <w:sz w:val="16"/>
              </w:rPr>
              <w:t>+0.76%</w:t>
            </w:r>
          </w:p>
        </w:tc>
        <w:tc>
          <w:tcPr>
            <w:tcW w:type="dxa" w:w="1134"/>
            <w:shd w:fill="FFEB9C" w:val="clear"/>
          </w:tcPr>
          <w:p>
            <w:r>
              <w:rPr>
                <w:sz w:val="16"/>
              </w:rPr>
              <w:t>Moyenne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48,000</w:t>
            </w:r>
          </w:p>
        </w:tc>
        <w:tc>
          <w:tcPr>
            <w:tcW w:type="dxa" w:w="1417"/>
            <w:shd w:fill="FFFFFF" w:val="clear"/>
          </w:tcPr>
          <w:p>
            <w:r>
              <w:rPr>
                <w:sz w:val="16"/>
              </w:rPr>
              <w:t>47,943</w:t>
            </w:r>
          </w:p>
        </w:tc>
        <w:tc>
          <w:tcPr>
            <w:tcW w:type="dxa" w:w="1134"/>
            <w:shd w:fill="FFEB9C" w:val="clear"/>
          </w:tcPr>
          <w:p>
            <w:r>
              <w:rPr>
                <w:b/>
                <w:color w:val="646400"/>
                <w:sz w:val="16"/>
              </w:rPr>
              <w:t>-0.12%</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13,180</w:t>
            </w:r>
          </w:p>
        </w:tc>
        <w:tc>
          <w:tcPr>
            <w:tcW w:type="dxa" w:w="1417"/>
            <w:shd w:fill="FFFFFF" w:val="clear"/>
          </w:tcPr>
          <w:p>
            <w:r>
              <w:rPr>
                <w:sz w:val="16"/>
              </w:rPr>
              <w:t>13,152</w:t>
            </w:r>
          </w:p>
        </w:tc>
        <w:tc>
          <w:tcPr>
            <w:tcW w:type="dxa" w:w="1134"/>
            <w:shd w:fill="FFEB9C" w:val="clear"/>
          </w:tcPr>
          <w:p>
            <w:r>
              <w:rPr>
                <w:b/>
                <w:color w:val="646400"/>
                <w:sz w:val="16"/>
              </w:rPr>
              <w:t>-0.21%</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4,150</w:t>
            </w:r>
          </w:p>
        </w:tc>
        <w:tc>
          <w:tcPr>
            <w:tcW w:type="dxa" w:w="1417"/>
            <w:shd w:fill="FFFFFF" w:val="clear"/>
          </w:tcPr>
          <w:p>
            <w:r>
              <w:rPr>
                <w:sz w:val="16"/>
              </w:rPr>
              <w:t>4,128</w:t>
            </w:r>
          </w:p>
        </w:tc>
        <w:tc>
          <w:tcPr>
            <w:tcW w:type="dxa" w:w="1134"/>
            <w:shd w:fill="FFEB9C" w:val="clear"/>
          </w:tcPr>
          <w:p>
            <w:r>
              <w:rPr>
                <w:b/>
                <w:color w:val="646400"/>
                <w:sz w:val="16"/>
              </w:rPr>
              <w:t>-0.54%</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15,560</w:t>
            </w:r>
          </w:p>
        </w:tc>
        <w:tc>
          <w:tcPr>
            <w:tcW w:type="dxa" w:w="1417"/>
            <w:shd w:fill="FFFFFF" w:val="clear"/>
          </w:tcPr>
          <w:p>
            <w:r>
              <w:rPr>
                <w:sz w:val="16"/>
              </w:rPr>
              <w:t>15,461</w:t>
            </w:r>
          </w:p>
        </w:tc>
        <w:tc>
          <w:tcPr>
            <w:tcW w:type="dxa" w:w="1134"/>
            <w:shd w:fill="FFEB9C" w:val="clear"/>
          </w:tcPr>
          <w:p>
            <w:r>
              <w:rPr>
                <w:b/>
                <w:color w:val="646400"/>
                <w:sz w:val="16"/>
              </w:rPr>
              <w:t>-0.63%</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31,450</w:t>
            </w:r>
          </w:p>
        </w:tc>
        <w:tc>
          <w:tcPr>
            <w:tcW w:type="dxa" w:w="1417"/>
            <w:shd w:fill="FFFFFF" w:val="clear"/>
          </w:tcPr>
          <w:p>
            <w:r>
              <w:rPr>
                <w:sz w:val="16"/>
              </w:rPr>
              <w:t>31,179</w:t>
            </w:r>
          </w:p>
        </w:tc>
        <w:tc>
          <w:tcPr>
            <w:tcW w:type="dxa" w:w="1134"/>
            <w:shd w:fill="FFEB9C" w:val="clear"/>
          </w:tcPr>
          <w:p>
            <w:r>
              <w:rPr>
                <w:b/>
                <w:color w:val="646400"/>
                <w:sz w:val="16"/>
              </w:rPr>
              <w:t>-0.86%</w:t>
            </w:r>
          </w:p>
        </w:tc>
        <w:tc>
          <w:tcPr>
            <w:tcW w:type="dxa" w:w="1134"/>
            <w:shd w:fill="FFC7CE" w:val="clear"/>
          </w:tcPr>
          <w:p>
            <w:r>
              <w:rPr>
                <w:sz w:val="16"/>
              </w:rPr>
              <w:t>Faible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3,290</w:t>
            </w:r>
          </w:p>
        </w:tc>
        <w:tc>
          <w:tcPr>
            <w:tcW w:type="dxa" w:w="1417"/>
            <w:shd w:fill="FFFFFF" w:val="clear"/>
          </w:tcPr>
          <w:p>
            <w:r>
              <w:rPr>
                <w:sz w:val="16"/>
              </w:rPr>
              <w:t>3,257</w:t>
            </w:r>
          </w:p>
        </w:tc>
        <w:tc>
          <w:tcPr>
            <w:tcW w:type="dxa" w:w="1134"/>
            <w:shd w:fill="FFEB9C" w:val="clear"/>
          </w:tcPr>
          <w:p>
            <w:r>
              <w:rPr>
                <w:b/>
                <w:color w:val="646400"/>
                <w:sz w:val="16"/>
              </w:rPr>
              <w:t>-0.99%</w:t>
            </w:r>
          </w:p>
        </w:tc>
        <w:tc>
          <w:tcPr>
            <w:tcW w:type="dxa" w:w="1134"/>
            <w:shd w:fill="FFEB9C" w:val="clear"/>
          </w:tcPr>
          <w:p>
            <w:r>
              <w:rPr>
                <w:sz w:val="16"/>
              </w:rPr>
              <w:t>Moyenne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3,605</w:t>
            </w:r>
          </w:p>
        </w:tc>
        <w:tc>
          <w:tcPr>
            <w:tcW w:type="dxa" w:w="1417"/>
            <w:shd w:fill="FFFFFF" w:val="clear"/>
          </w:tcPr>
          <w:p>
            <w:r>
              <w:rPr>
                <w:sz w:val="16"/>
              </w:rPr>
              <w:t>3,567</w:t>
            </w:r>
          </w:p>
        </w:tc>
        <w:tc>
          <w:tcPr>
            <w:tcW w:type="dxa" w:w="1134"/>
            <w:shd w:fill="FFC7CE" w:val="clear"/>
          </w:tcPr>
          <w:p>
            <w:r>
              <w:rPr>
                <w:b/>
                <w:color w:val="B40000"/>
                <w:sz w:val="16"/>
              </w:rPr>
              <w:t>-1.04%</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45,000</w:t>
            </w:r>
          </w:p>
        </w:tc>
        <w:tc>
          <w:tcPr>
            <w:tcW w:type="dxa" w:w="1417"/>
            <w:shd w:fill="FFFFFF" w:val="clear"/>
          </w:tcPr>
          <w:p>
            <w:r>
              <w:rPr>
                <w:sz w:val="16"/>
              </w:rPr>
              <w:t>44,525</w:t>
            </w:r>
          </w:p>
        </w:tc>
        <w:tc>
          <w:tcPr>
            <w:tcW w:type="dxa" w:w="1134"/>
            <w:shd w:fill="FFC7CE" w:val="clear"/>
          </w:tcPr>
          <w:p>
            <w:r>
              <w:rPr>
                <w:b/>
                <w:color w:val="B40000"/>
                <w:sz w:val="16"/>
              </w:rPr>
              <w:t>-1.06%</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9,200</w:t>
            </w:r>
          </w:p>
        </w:tc>
        <w:tc>
          <w:tcPr>
            <w:tcW w:type="dxa" w:w="1417"/>
            <w:shd w:fill="FFFFFF" w:val="clear"/>
          </w:tcPr>
          <w:p>
            <w:r>
              <w:rPr>
                <w:sz w:val="16"/>
              </w:rPr>
              <w:t>9,094</w:t>
            </w:r>
          </w:p>
        </w:tc>
        <w:tc>
          <w:tcPr>
            <w:tcW w:type="dxa" w:w="1134"/>
            <w:shd w:fill="FFC7CE" w:val="clear"/>
          </w:tcPr>
          <w:p>
            <w:r>
              <w:rPr>
                <w:b/>
                <w:color w:val="B40000"/>
                <w:sz w:val="16"/>
              </w:rPr>
              <w:t>-1.15%</w:t>
            </w:r>
          </w:p>
        </w:tc>
        <w:tc>
          <w:tcPr>
            <w:tcW w:type="dxa" w:w="1134"/>
            <w:shd w:fill="FFEB9C" w:val="clear"/>
          </w:tcPr>
          <w:p>
            <w:r>
              <w:rPr>
                <w:sz w:val="16"/>
              </w:rPr>
              <w:t>Moyenne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6,200</w:t>
            </w:r>
          </w:p>
        </w:tc>
        <w:tc>
          <w:tcPr>
            <w:tcW w:type="dxa" w:w="1417"/>
            <w:shd w:fill="FFFFFF" w:val="clear"/>
          </w:tcPr>
          <w:p>
            <w:r>
              <w:rPr>
                <w:sz w:val="16"/>
              </w:rPr>
              <w:t>6,120</w:t>
            </w:r>
          </w:p>
        </w:tc>
        <w:tc>
          <w:tcPr>
            <w:tcW w:type="dxa" w:w="1134"/>
            <w:shd w:fill="FFC7CE" w:val="clear"/>
          </w:tcPr>
          <w:p>
            <w:r>
              <w:rPr>
                <w:b/>
                <w:color w:val="B40000"/>
                <w:sz w:val="16"/>
              </w:rPr>
              <w:t>-1.29%</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2,980</w:t>
            </w:r>
          </w:p>
        </w:tc>
        <w:tc>
          <w:tcPr>
            <w:tcW w:type="dxa" w:w="1417"/>
            <w:shd w:fill="FFFFFF" w:val="clear"/>
          </w:tcPr>
          <w:p>
            <w:r>
              <w:rPr>
                <w:sz w:val="16"/>
              </w:rPr>
              <w:t>2,936</w:t>
            </w:r>
          </w:p>
        </w:tc>
        <w:tc>
          <w:tcPr>
            <w:tcW w:type="dxa" w:w="1134"/>
            <w:shd w:fill="FFC7CE" w:val="clear"/>
          </w:tcPr>
          <w:p>
            <w:r>
              <w:rPr>
                <w:b/>
                <w:color w:val="B40000"/>
                <w:sz w:val="16"/>
              </w:rPr>
              <w:t>-1.48%</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1,885</w:t>
            </w:r>
          </w:p>
        </w:tc>
        <w:tc>
          <w:tcPr>
            <w:tcW w:type="dxa" w:w="1417"/>
            <w:shd w:fill="FFFFFF" w:val="clear"/>
          </w:tcPr>
          <w:p>
            <w:r>
              <w:rPr>
                <w:sz w:val="16"/>
              </w:rPr>
              <w:t>1,855</w:t>
            </w:r>
          </w:p>
        </w:tc>
        <w:tc>
          <w:tcPr>
            <w:tcW w:type="dxa" w:w="1134"/>
            <w:shd w:fill="FFC7CE" w:val="clear"/>
          </w:tcPr>
          <w:p>
            <w:r>
              <w:rPr>
                <w:b/>
                <w:color w:val="B40000"/>
                <w:sz w:val="16"/>
              </w:rPr>
              <w:t>-1.60%</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21,900</w:t>
            </w:r>
          </w:p>
        </w:tc>
        <w:tc>
          <w:tcPr>
            <w:tcW w:type="dxa" w:w="1417"/>
            <w:shd w:fill="FFFFFF" w:val="clear"/>
          </w:tcPr>
          <w:p>
            <w:r>
              <w:rPr>
                <w:sz w:val="16"/>
              </w:rPr>
              <w:t>21,526</w:t>
            </w:r>
          </w:p>
        </w:tc>
        <w:tc>
          <w:tcPr>
            <w:tcW w:type="dxa" w:w="1134"/>
            <w:shd w:fill="FFC7CE" w:val="clear"/>
          </w:tcPr>
          <w:p>
            <w:r>
              <w:rPr>
                <w:b/>
                <w:color w:val="B40000"/>
                <w:sz w:val="16"/>
              </w:rPr>
              <w:t>-1.71%</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3,000</w:t>
            </w:r>
          </w:p>
        </w:tc>
        <w:tc>
          <w:tcPr>
            <w:tcW w:type="dxa" w:w="1417"/>
            <w:shd w:fill="FFFFFF" w:val="clear"/>
          </w:tcPr>
          <w:p>
            <w:r>
              <w:rPr>
                <w:sz w:val="16"/>
              </w:rPr>
              <w:t>2,941</w:t>
            </w:r>
          </w:p>
        </w:tc>
        <w:tc>
          <w:tcPr>
            <w:tcW w:type="dxa" w:w="1134"/>
            <w:shd w:fill="FFC7CE" w:val="clear"/>
          </w:tcPr>
          <w:p>
            <w:r>
              <w:rPr>
                <w:b/>
                <w:color w:val="B40000"/>
                <w:sz w:val="16"/>
              </w:rPr>
              <w:t>-1.96%</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67</w:t>
            </w:r>
          </w:p>
        </w:tc>
        <w:tc>
          <w:tcPr>
            <w:tcW w:type="dxa" w:w="1417"/>
            <w:shd w:fill="FFFFFF" w:val="clear"/>
          </w:tcPr>
          <w:p>
            <w:r>
              <w:rPr>
                <w:sz w:val="16"/>
              </w:rPr>
              <w:t>65</w:t>
            </w:r>
          </w:p>
        </w:tc>
        <w:tc>
          <w:tcPr>
            <w:tcW w:type="dxa" w:w="1134"/>
            <w:shd w:fill="FFC7CE" w:val="clear"/>
          </w:tcPr>
          <w:p>
            <w:r>
              <w:rPr>
                <w:b/>
                <w:color w:val="B40000"/>
                <w:sz w:val="16"/>
              </w:rPr>
              <w:t>-2.27%</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39,195</w:t>
            </w:r>
          </w:p>
        </w:tc>
        <w:tc>
          <w:tcPr>
            <w:tcW w:type="dxa" w:w="1417"/>
            <w:shd w:fill="FFFFFF" w:val="clear"/>
          </w:tcPr>
          <w:p>
            <w:r>
              <w:rPr>
                <w:sz w:val="16"/>
              </w:rPr>
              <w:t>38,219</w:t>
            </w:r>
          </w:p>
        </w:tc>
        <w:tc>
          <w:tcPr>
            <w:tcW w:type="dxa" w:w="1134"/>
            <w:shd w:fill="FFC7CE" w:val="clear"/>
          </w:tcPr>
          <w:p>
            <w:r>
              <w:rPr>
                <w:b/>
                <w:color w:val="B40000"/>
                <w:sz w:val="16"/>
              </w:rPr>
              <w:t>-2.49%</w:t>
            </w:r>
          </w:p>
        </w:tc>
        <w:tc>
          <w:tcPr>
            <w:tcW w:type="dxa" w:w="1134"/>
            <w:shd w:fill="FFEB9C" w:val="clear"/>
          </w:tcPr>
          <w:p>
            <w:r>
              <w:rPr>
                <w:sz w:val="16"/>
              </w:rPr>
              <w:t>Moyenne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8,005</w:t>
            </w:r>
          </w:p>
        </w:tc>
        <w:tc>
          <w:tcPr>
            <w:tcW w:type="dxa" w:w="1417"/>
            <w:shd w:fill="FFFFFF" w:val="clear"/>
          </w:tcPr>
          <w:p>
            <w:r>
              <w:rPr>
                <w:sz w:val="16"/>
              </w:rPr>
              <w:t>7,768</w:t>
            </w:r>
          </w:p>
        </w:tc>
        <w:tc>
          <w:tcPr>
            <w:tcW w:type="dxa" w:w="1134"/>
            <w:shd w:fill="FFC7CE" w:val="clear"/>
          </w:tcPr>
          <w:p>
            <w:r>
              <w:rPr>
                <w:b/>
                <w:color w:val="B40000"/>
                <w:sz w:val="16"/>
              </w:rPr>
              <w:t>-2.96%</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3,000</w:t>
            </w:r>
          </w:p>
        </w:tc>
        <w:tc>
          <w:tcPr>
            <w:tcW w:type="dxa" w:w="1417"/>
            <w:shd w:fill="FFFFFF" w:val="clear"/>
          </w:tcPr>
          <w:p>
            <w:r>
              <w:rPr>
                <w:sz w:val="16"/>
              </w:rPr>
              <w:t>2,911</w:t>
            </w:r>
          </w:p>
        </w:tc>
        <w:tc>
          <w:tcPr>
            <w:tcW w:type="dxa" w:w="1134"/>
            <w:shd w:fill="FFC7CE" w:val="clear"/>
          </w:tcPr>
          <w:p>
            <w:r>
              <w:rPr>
                <w:b/>
                <w:color w:val="B40000"/>
                <w:sz w:val="16"/>
              </w:rPr>
              <w:t>-2.97%</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7,985</w:t>
            </w:r>
          </w:p>
        </w:tc>
        <w:tc>
          <w:tcPr>
            <w:tcW w:type="dxa" w:w="1417"/>
            <w:shd w:fill="FFFFFF" w:val="clear"/>
          </w:tcPr>
          <w:p>
            <w:r>
              <w:rPr>
                <w:sz w:val="16"/>
              </w:rPr>
              <w:t>7,730</w:t>
            </w:r>
          </w:p>
        </w:tc>
        <w:tc>
          <w:tcPr>
            <w:tcW w:type="dxa" w:w="1134"/>
            <w:shd w:fill="FFC7CE" w:val="clear"/>
          </w:tcPr>
          <w:p>
            <w:r>
              <w:rPr>
                <w:b/>
                <w:color w:val="B40000"/>
                <w:sz w:val="16"/>
              </w:rPr>
              <w:t>-3.19%</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7,750</w:t>
            </w:r>
          </w:p>
        </w:tc>
        <w:tc>
          <w:tcPr>
            <w:tcW w:type="dxa" w:w="1417"/>
            <w:shd w:fill="FFFFFF" w:val="clear"/>
          </w:tcPr>
          <w:p>
            <w:r>
              <w:rPr>
                <w:sz w:val="16"/>
              </w:rPr>
              <w:t>7,483</w:t>
            </w:r>
          </w:p>
        </w:tc>
        <w:tc>
          <w:tcPr>
            <w:tcW w:type="dxa" w:w="1134"/>
            <w:shd w:fill="FFC7CE" w:val="clear"/>
          </w:tcPr>
          <w:p>
            <w:r>
              <w:rPr>
                <w:b/>
                <w:color w:val="B40000"/>
                <w:sz w:val="16"/>
              </w:rPr>
              <w:t>-3.45%</w:t>
            </w:r>
          </w:p>
        </w:tc>
        <w:tc>
          <w:tcPr>
            <w:tcW w:type="dxa" w:w="1134"/>
            <w:shd w:fill="FFEB9C" w:val="clear"/>
          </w:tcPr>
          <w:p>
            <w:r>
              <w:rPr>
                <w:sz w:val="16"/>
              </w:rPr>
              <w:t>Moyenne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7,800</w:t>
            </w:r>
          </w:p>
        </w:tc>
        <w:tc>
          <w:tcPr>
            <w:tcW w:type="dxa" w:w="1417"/>
            <w:shd w:fill="FFFFFF" w:val="clear"/>
          </w:tcPr>
          <w:p>
            <w:r>
              <w:rPr>
                <w:sz w:val="16"/>
              </w:rPr>
              <w:t>7,529</w:t>
            </w:r>
          </w:p>
        </w:tc>
        <w:tc>
          <w:tcPr>
            <w:tcW w:type="dxa" w:w="1134"/>
            <w:shd w:fill="FFC7CE" w:val="clear"/>
          </w:tcPr>
          <w:p>
            <w:r>
              <w:rPr>
                <w:b/>
                <w:color w:val="B40000"/>
                <w:sz w:val="16"/>
              </w:rPr>
              <w:t>-3.47%</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2,140</w:t>
            </w:r>
          </w:p>
        </w:tc>
        <w:tc>
          <w:tcPr>
            <w:tcW w:type="dxa" w:w="1417"/>
            <w:shd w:fill="FFFFFF" w:val="clear"/>
          </w:tcPr>
          <w:p>
            <w:r>
              <w:rPr>
                <w:sz w:val="16"/>
              </w:rPr>
              <w:t>2,046</w:t>
            </w:r>
          </w:p>
        </w:tc>
        <w:tc>
          <w:tcPr>
            <w:tcW w:type="dxa" w:w="1134"/>
            <w:shd w:fill="FFC7CE" w:val="clear"/>
          </w:tcPr>
          <w:p>
            <w:r>
              <w:rPr>
                <w:b/>
                <w:color w:val="B40000"/>
                <w:sz w:val="16"/>
              </w:rPr>
              <w:t>-4.40%</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30,015</w:t>
            </w:r>
          </w:p>
        </w:tc>
        <w:tc>
          <w:tcPr>
            <w:tcW w:type="dxa" w:w="1417"/>
            <w:shd w:fill="FFFFFF" w:val="clear"/>
          </w:tcPr>
          <w:p>
            <w:r>
              <w:rPr>
                <w:sz w:val="16"/>
              </w:rPr>
              <w:t>28,649</w:t>
            </w:r>
          </w:p>
        </w:tc>
        <w:tc>
          <w:tcPr>
            <w:tcW w:type="dxa" w:w="1134"/>
            <w:shd w:fill="FFC7CE" w:val="clear"/>
          </w:tcPr>
          <w:p>
            <w:r>
              <w:rPr>
                <w:b/>
                <w:color w:val="B40000"/>
                <w:sz w:val="16"/>
              </w:rPr>
              <w:t>-4.55%</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8,780</w:t>
            </w:r>
          </w:p>
        </w:tc>
        <w:tc>
          <w:tcPr>
            <w:tcW w:type="dxa" w:w="1417"/>
            <w:shd w:fill="FFFFFF" w:val="clear"/>
          </w:tcPr>
          <w:p>
            <w:r>
              <w:rPr>
                <w:sz w:val="16"/>
              </w:rPr>
              <w:t>8,369</w:t>
            </w:r>
          </w:p>
        </w:tc>
        <w:tc>
          <w:tcPr>
            <w:tcW w:type="dxa" w:w="1134"/>
            <w:shd w:fill="FFC7CE" w:val="clear"/>
          </w:tcPr>
          <w:p>
            <w:r>
              <w:rPr>
                <w:b/>
                <w:color w:val="B40000"/>
                <w:sz w:val="16"/>
              </w:rPr>
              <w:t>-4.68%</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2,240</w:t>
            </w:r>
          </w:p>
        </w:tc>
        <w:tc>
          <w:tcPr>
            <w:tcW w:type="dxa" w:w="1417"/>
            <w:shd w:fill="FFFFFF" w:val="clear"/>
          </w:tcPr>
          <w:p>
            <w:r>
              <w:rPr>
                <w:sz w:val="16"/>
              </w:rPr>
              <w:t>2,111</w:t>
            </w:r>
          </w:p>
        </w:tc>
        <w:tc>
          <w:tcPr>
            <w:tcW w:type="dxa" w:w="1134"/>
            <w:shd w:fill="FFC7CE" w:val="clear"/>
          </w:tcPr>
          <w:p>
            <w:r>
              <w:rPr>
                <w:b/>
                <w:color w:val="B40000"/>
                <w:sz w:val="16"/>
              </w:rPr>
              <w:t>-5.77%</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1,860</w:t>
            </w:r>
          </w:p>
        </w:tc>
        <w:tc>
          <w:tcPr>
            <w:tcW w:type="dxa" w:w="1417"/>
            <w:shd w:fill="FFFFFF" w:val="clear"/>
          </w:tcPr>
          <w:p>
            <w:r>
              <w:rPr>
                <w:sz w:val="16"/>
              </w:rPr>
              <w:t>1,745</w:t>
            </w:r>
          </w:p>
        </w:tc>
        <w:tc>
          <w:tcPr>
            <w:tcW w:type="dxa" w:w="1134"/>
            <w:shd w:fill="FFC7CE" w:val="clear"/>
          </w:tcPr>
          <w:p>
            <w:r>
              <w:rPr>
                <w:b/>
                <w:color w:val="B40000"/>
                <w:sz w:val="16"/>
              </w:rPr>
              <w:t>-6.20%</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3,190</w:t>
            </w:r>
          </w:p>
        </w:tc>
        <w:tc>
          <w:tcPr>
            <w:tcW w:type="dxa" w:w="1417"/>
            <w:shd w:fill="FFFFFF" w:val="clear"/>
          </w:tcPr>
          <w:p>
            <w:r>
              <w:rPr>
                <w:sz w:val="16"/>
              </w:rPr>
              <w:t>2,991</w:t>
            </w:r>
          </w:p>
        </w:tc>
        <w:tc>
          <w:tcPr>
            <w:tcW w:type="dxa" w:w="1134"/>
            <w:shd w:fill="FFC7CE" w:val="clear"/>
          </w:tcPr>
          <w:p>
            <w:r>
              <w:rPr>
                <w:b/>
                <w:color w:val="B40000"/>
                <w:sz w:val="16"/>
              </w:rPr>
              <w:t>-6.25%</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6,100</w:t>
            </w:r>
          </w:p>
        </w:tc>
        <w:tc>
          <w:tcPr>
            <w:tcW w:type="dxa" w:w="1417"/>
            <w:shd w:fill="FFFFFF" w:val="clear"/>
          </w:tcPr>
          <w:p>
            <w:r>
              <w:rPr>
                <w:sz w:val="16"/>
              </w:rPr>
              <w:t>5,510</w:t>
            </w:r>
          </w:p>
        </w:tc>
        <w:tc>
          <w:tcPr>
            <w:tcW w:type="dxa" w:w="1134"/>
            <w:shd w:fill="FFC7CE" w:val="clear"/>
          </w:tcPr>
          <w:p>
            <w:r>
              <w:rPr>
                <w:b/>
                <w:color w:val="B40000"/>
                <w:sz w:val="16"/>
              </w:rPr>
              <w:t>-9.68%</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21,695</w:t>
            </w:r>
          </w:p>
        </w:tc>
        <w:tc>
          <w:tcPr>
            <w:tcW w:type="dxa" w:w="1417"/>
            <w:shd w:fill="FFFFFF" w:val="clear"/>
          </w:tcPr>
          <w:p>
            <w:r>
              <w:rPr>
                <w:sz w:val="16"/>
              </w:rPr>
              <w:t>19,146</w:t>
            </w:r>
          </w:p>
        </w:tc>
        <w:tc>
          <w:tcPr>
            <w:tcW w:type="dxa" w:w="1134"/>
            <w:shd w:fill="FFC7CE" w:val="clear"/>
          </w:tcPr>
          <w:p>
            <w:r>
              <w:rPr>
                <w:b/>
                <w:color w:val="B40000"/>
                <w:sz w:val="16"/>
              </w:rPr>
              <w:t>-11.75%</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8,250</w:t>
            </w:r>
          </w:p>
        </w:tc>
        <w:tc>
          <w:tcPr>
            <w:tcW w:type="dxa" w:w="1417"/>
            <w:shd w:fill="FFFFFF" w:val="clear"/>
          </w:tcPr>
          <w:p>
            <w:r>
              <w:rPr>
                <w:sz w:val="16"/>
              </w:rPr>
              <w:t>7,165</w:t>
            </w:r>
          </w:p>
        </w:tc>
        <w:tc>
          <w:tcPr>
            <w:tcW w:type="dxa" w:w="1134"/>
            <w:shd w:fill="FFC7CE" w:val="clear"/>
          </w:tcPr>
          <w:p>
            <w:r>
              <w:rPr>
                <w:b/>
                <w:color w:val="B40000"/>
                <w:sz w:val="16"/>
              </w:rPr>
              <w:t>-13.15%</w:t>
            </w:r>
          </w:p>
        </w:tc>
        <w:tc>
          <w:tcPr>
            <w:tcW w:type="dxa" w:w="1134"/>
            <w:shd w:fill="FFEB9C" w:val="clear"/>
          </w:tcPr>
          <w:p>
            <w:r>
              <w:rPr>
                <w:sz w:val="16"/>
              </w:rPr>
              <w:t>Moyenne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45 société(s) sur 48.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(2025)</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-2.54%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-1.97%</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-2.15%</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-624.11 M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6.21%</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FFFFFF" w:val="clear"/>
          </w:tcPr>
          <w:p>
            <w:r>
              <w:rPr>
                <w:b/>
                <w:color w:val="000000"/>
                <w:sz w:val="16"/>
              </w:rPr>
              <w:t>77.01%</w:t>
            </w:r>
          </w:p>
        </w:tc>
        <w:tc>
          <w:tcPr>
            <w:tcW w:type="dxa" w:w="1053"/>
            <w:shd w:fill="FFFFFF" w:val="clear"/>
          </w:tcPr>
          <w:p>
            <w:r>
              <w:rPr>
                <w:b/>
                <w:color w:val="000000"/>
                <w:sz w:val="16"/>
              </w:rPr>
              <w:t>24.10%</w:t>
            </w:r>
          </w:p>
        </w:tc>
        <w:tc>
          <w:tcPr>
            <w:tcW w:type="dxa" w:w="1053"/>
            <w:shd w:fill="C6EFCE" w:val="clear"/>
          </w:tcPr>
          <w:p>
            <w:r>
              <w:rPr>
                <w:b/>
                <w:color w:val="006400"/>
                <w:sz w:val="16"/>
              </w:rPr>
              <w:t>77.58%</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FFFFFF" w:val="clear"/>
          </w:tcPr>
          <w:p>
            <w:r>
              <w:rPr>
                <w:b/>
                <w:color w:val="0000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C6EFCE" w:val="clear"/>
          </w:tcPr>
          <w:p>
            <w:r>
              <w:rPr>
                <w:b/>
                <w:color w:val="006400"/>
                <w:sz w:val="16"/>
              </w:rPr>
              <w:t>1.50%</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FFFFFF" w:val="clear"/>
          </w:tcPr>
          <w:p>
            <w:r>
              <w:rPr>
                <w:b/>
                <w:color w:val="000000"/>
                <w:sz w:val="16"/>
              </w:rPr>
              <w:t>435.02%</w:t>
            </w:r>
          </w:p>
        </w:tc>
        <w:tc>
          <w:tcPr>
            <w:tcW w:type="dxa" w:w="1053"/>
            <w:shd w:fill="FFFFFF" w:val="clear"/>
          </w:tcPr>
          <w:p>
            <w:r>
              <w:rPr>
                <w:b/>
                <w:color w:val="000000"/>
                <w:sz w:val="16"/>
              </w:rPr>
              <w:t>131.76%</w:t>
            </w:r>
          </w:p>
        </w:tc>
        <w:tc>
          <w:tcPr>
            <w:tcW w:type="dxa" w:w="1053"/>
            <w:shd w:fill="C6EFCE" w:val="clear"/>
          </w:tcPr>
          <w:p>
            <w:r>
              <w:rPr>
                <w:b/>
                <w:color w:val="006400"/>
                <w:sz w:val="16"/>
              </w:rPr>
              <w:t>445.93%</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346.19%</w:t>
            </w:r>
          </w:p>
        </w:tc>
      </w:tr>
      <w:tr>
        <w:tc>
          <w:tcPr>
            <w:tcW w:type="dxa" w:w="2551"/>
            <w:shd w:fill="EEF2F7" w:val="clear"/>
          </w:tcPr>
          <w:p>
            <w:r>
              <w:rPr>
                <w:b/>
                <w:sz w:val="15"/>
              </w:rPr>
              <w:t>Free Cash Flow</w:t>
            </w:r>
          </w:p>
        </w:tc>
        <w:tc>
          <w:tcPr>
            <w:tcW w:type="dxa" w:w="1053"/>
            <w:shd w:fill="C6EFCE" w:val="clear"/>
          </w:tcPr>
          <w:p>
            <w:r>
              <w:rPr>
                <w:b/>
                <w:color w:val="0064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FFFF" w:val="clear"/>
          </w:tcPr>
          <w:p>
            <w:r>
              <w:rPr>
                <w:b/>
                <w:color w:val="000000"/>
                <w:sz w:val="16"/>
              </w:rPr>
              <w:t>-2.616 Mds FCFA</w:t>
            </w:r>
          </w:p>
        </w:tc>
        <w:tc>
          <w:tcPr>
            <w:tcW w:type="dxa" w:w="1053"/>
            <w:shd w:fill="FFC7CE" w:val="clear"/>
          </w:tcPr>
          <w:p>
            <w:r>
              <w:rPr>
                <w:b/>
                <w:color w:val="B40000"/>
                <w:sz w:val="16"/>
              </w:rPr>
              <w:t>-8.239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-1.46%</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45.8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325.0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-2.54%</w:t>
            </w:r>
          </w:p>
        </w:tc>
        <w:tc>
          <w:tcPr>
            <w:tcW w:type="dxa" w:w="5669"/>
            <w:shd w:fill="FFFFFF" w:val="clear"/>
          </w:tcPr>
          <w:p>
            <w:r>
              <w:rPr>
                <w:sz w:val="15"/>
              </w:rPr>
              <w:t>❌ ROE négatif (-2.5%)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-1.97%</w:t>
            </w:r>
          </w:p>
        </w:tc>
        <w:tc>
          <w:tcPr>
            <w:tcW w:type="dxa" w:w="5669"/>
            <w:shd w:fill="FFFFFF" w:val="clear"/>
          </w:tcPr>
          <w:p>
            <w:r>
              <w:rPr>
                <w:sz w:val="15"/>
              </w:rPr>
              <w:t>❌ ROA négatif (-1.97%) — actifs non rentables.</w:t>
            </w:r>
          </w:p>
        </w:tc>
      </w:tr>
      <w:tr>
        <w:tc>
          <w:tcPr>
            <w:tcW w:type="dxa" w:w="2268"/>
            <w:shd w:fill="EEF2F7" w:val="clear"/>
          </w:tcPr>
          <w:p>
            <w:r>
              <w:rPr>
                <w:b/>
                <w:sz w:val="15"/>
              </w:rPr>
              <w:t>Marge nette</w:t>
            </w:r>
          </w:p>
        </w:tc>
        <w:tc>
          <w:tcPr>
            <w:tcW w:type="dxa" w:w="1984"/>
            <w:shd w:fill="FFC7CE" w:val="clear"/>
          </w:tcPr>
          <w:p>
            <w:r>
              <w:rPr>
                <w:b/>
                <w:color w:val="B40000"/>
                <w:sz w:val="17"/>
              </w:rPr>
              <w:t>-2.15%</w:t>
            </w:r>
          </w:p>
        </w:tc>
        <w:tc>
          <w:tcPr>
            <w:tcW w:type="dxa" w:w="5669"/>
            <w:shd w:fill="FFFFFF" w:val="clear"/>
          </w:tcPr>
          <w:p>
            <w:r>
              <w:rPr>
                <w:sz w:val="15"/>
              </w:rPr>
              <w:t>❌ Marge nette négative (-2.1%)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-624.11 M FCFA</w:t>
            </w:r>
          </w:p>
        </w:tc>
        <w:tc>
          <w:tcPr>
            <w:tcW w:type="dxa" w:w="5669"/>
            <w:shd w:fill="FFFFFF" w:val="clear"/>
          </w:tcPr>
          <w:p>
            <w:r>
              <w:rPr>
                <w:sz w:val="15"/>
              </w:rPr>
              <w:t>❌ Perte nette de 624.11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6.21%</w:t>
            </w:r>
          </w:p>
        </w:tc>
        <w:tc>
          <w:tcPr>
            <w:tcW w:type="dxa" w:w="5669"/>
            <w:shd w:fill="FFFFFF" w:val="clear"/>
          </w:tcPr>
          <w:p>
            <w:r>
              <w:rPr>
                <w:sz w:val="15"/>
              </w:rPr>
              <w:t>✅ Croissance de 6.2%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77.58%</w:t>
            </w:r>
          </w:p>
        </w:tc>
        <w:tc>
          <w:tcPr>
            <w:tcW w:type="dxa" w:w="5669"/>
            <w:shd w:fill="FFFFFF" w:val="clear"/>
          </w:tcPr>
          <w:p>
            <w:r>
              <w:rPr>
                <w:sz w:val="15"/>
              </w:rPr>
              <w:t>✅ Autonomie financière de 77.6%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1.50%</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445.93%</w:t>
            </w:r>
          </w:p>
        </w:tc>
        <w:tc>
          <w:tcPr>
            <w:tcW w:type="dxa" w:w="5669"/>
            <w:shd w:fill="FFFFFF" w:val="clear"/>
          </w:tcPr>
          <w:p>
            <w:r>
              <w:rPr>
                <w:sz w:val="15"/>
              </w:rPr>
              <w:t>✅ Solvabilité de 446%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346.19%</w:t>
            </w:r>
          </w:p>
        </w:tc>
        <w:tc>
          <w:tcPr>
            <w:tcW w:type="dxa" w:w="5669"/>
            <w:shd w:fill="FFFFFF" w:val="clear"/>
          </w:tcPr>
          <w:p>
            <w:r>
              <w:rPr>
                <w:sz w:val="15"/>
              </w:rPr>
              <w:t>✅ Liquidité générale de 346x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-8.239 Mds FCFA</w:t>
            </w:r>
          </w:p>
        </w:tc>
        <w:tc>
          <w:tcPr>
            <w:tcW w:type="dxa" w:w="5669"/>
            <w:shd w:fill="FFFFFF" w:val="clear"/>
          </w:tcPr>
          <w:p>
            <w:r>
              <w:rPr>
                <w:sz w:val="15"/>
              </w:rPr>
              <w:t>❌ FCF négatif significatif (-8.239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-1.46%</w:t>
            </w:r>
          </w:p>
        </w:tc>
        <w:tc>
          <w:tcPr>
            <w:tcW w:type="dxa" w:w="5669"/>
            <w:shd w:fill="FFFFFF" w:val="clear"/>
          </w:tcPr>
          <w:p>
            <w:r>
              <w:rPr>
                <w:sz w:val="15"/>
              </w:rPr>
              <w:t>❌ Marge opérationnelle négative (-1.5%)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45.8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325.0 j</w:t>
            </w:r>
          </w:p>
        </w:tc>
        <w:tc>
          <w:tcPr>
            <w:tcW w:type="dxa" w:w="5669"/>
            <w:shd w:fill="FFFFFF" w:val="clear"/>
          </w:tcPr>
          <w:p>
            <w:r>
              <w:rPr>
                <w:sz w:val="15"/>
              </w:rPr>
              <w:t>❌ Stock quasi-bloqué (325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-2.54%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-2.15%</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UNXC</w:t>
            </w:r>
          </w:p>
        </w:tc>
        <w:tc>
          <w:tcPr>
            <w:tcW w:type="dxa" w:w="1728"/>
            <w:shd w:fill="C6EFCE" w:val="clear"/>
          </w:tcPr>
          <w:p>
            <w:r>
              <w:rPr>
                <w:color w:val="006400"/>
                <w:sz w:val="16"/>
              </w:rPr>
              <w:t>77.58%</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ABJC</w:t>
            </w:r>
          </w:p>
        </w:tc>
        <w:tc>
          <w:tcPr>
            <w:tcW w:type="dxa" w:w="1728"/>
            <w:shd w:fill="C6EFCE" w:val="clear"/>
          </w:tcPr>
          <w:p>
            <w:r>
              <w:rPr>
                <w:color w:val="006400"/>
                <w:sz w:val="16"/>
              </w:rPr>
              <w:t>619.83 M FCFA</w:t>
            </w:r>
          </w:p>
        </w:tc>
        <w:tc>
          <w:tcPr>
            <w:tcW w:type="dxa" w:w="1728"/>
            <w:shd w:fill="FFC7CE" w:val="clear"/>
          </w:tcPr>
          <w:p>
            <w:r>
              <w:rPr>
                <w:b/>
                <w:color w:val="B40000"/>
                <w:sz w:val="16"/>
              </w:rPr>
              <w:t>UNXC</w:t>
            </w:r>
          </w:p>
        </w:tc>
        <w:tc>
          <w:tcPr>
            <w:tcW w:type="dxa" w:w="1728"/>
            <w:shd w:fill="FFC7CE" w:val="clear"/>
          </w:tcPr>
          <w:p>
            <w:r>
              <w:rPr>
                <w:color w:val="B40000"/>
                <w:sz w:val="16"/>
              </w:rPr>
              <w:t>-8.239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(2025)</w:t>
            </w:r>
          </w:p>
        </w:tc>
        <w:tc>
          <w:tcPr>
            <w:tcW w:type="dxa" w:w="1474"/>
            <w:shd w:fill="1F4E79" w:val="clear"/>
          </w:tcPr>
          <w:p>
            <w:r>
              <w:rPr>
                <w:b/>
                <w:color w:val="FFFFFF"/>
                <w:sz w:val="15"/>
              </w:rPr>
              <w:t>SIVC (2025)</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C6EFCE" w:val="clear"/>
          </w:tcPr>
          <w:p>
            <w:r>
              <w:rPr>
                <w:b/>
                <w:color w:val="006400"/>
                <w:sz w:val="16"/>
              </w:rPr>
              <w:t>15.40%</w:t>
            </w:r>
          </w:p>
        </w:tc>
        <w:tc>
          <w:tcPr>
            <w:tcW w:type="dxa" w:w="1474"/>
            <w:shd w:fill="FFFFFF" w:val="clear"/>
          </w:tcPr>
          <w:p>
            <w:r>
              <w:rPr>
                <w:b/>
                <w:color w:val="000000"/>
                <w:sz w:val="16"/>
              </w:rPr>
              <w:t>2.97%</w:t>
            </w:r>
          </w:p>
        </w:tc>
        <w:tc>
          <w:tcPr>
            <w:tcW w:type="dxa" w:w="1474"/>
            <w:shd w:fill="FFFFFF" w:val="clear"/>
          </w:tcPr>
          <w:p>
            <w:r>
              <w:rPr>
                <w:b/>
                <w:color w:val="000000"/>
                <w:sz w:val="16"/>
              </w:rPr>
              <w:t>1.07%</w:t>
            </w:r>
          </w:p>
        </w:tc>
        <w:tc>
          <w:tcPr>
            <w:tcW w:type="dxa" w:w="1474"/>
            <w:shd w:fill="FFFFFF" w:val="clear"/>
          </w:tcPr>
          <w:p>
            <w:r>
              <w:rPr>
                <w:b/>
                <w:color w:val="000000"/>
                <w:sz w:val="16"/>
              </w:rPr>
              <w:t>7.10%</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C6EFCE" w:val="clear"/>
          </w:tcPr>
          <w:p>
            <w:r>
              <w:rPr>
                <w:b/>
                <w:color w:val="006400"/>
                <w:sz w:val="16"/>
              </w:rPr>
              <w:t>6.10%</w:t>
            </w:r>
          </w:p>
        </w:tc>
        <w:tc>
          <w:tcPr>
            <w:tcW w:type="dxa" w:w="1474"/>
            <w:shd w:fill="FFFFFF" w:val="clear"/>
          </w:tcPr>
          <w:p>
            <w:r>
              <w:rPr>
                <w:b/>
                <w:color w:val="000000"/>
                <w:sz w:val="16"/>
              </w:rPr>
              <w:t>1.19%</w:t>
            </w:r>
          </w:p>
        </w:tc>
        <w:tc>
          <w:tcPr>
            <w:tcW w:type="dxa" w:w="1474"/>
            <w:shd w:fill="FFFFFF" w:val="clear"/>
          </w:tcPr>
          <w:p>
            <w:r>
              <w:rPr>
                <w:b/>
                <w:color w:val="000000"/>
                <w:sz w:val="16"/>
              </w:rPr>
              <w:t>0.30%</w:t>
            </w:r>
          </w:p>
        </w:tc>
        <w:tc>
          <w:tcPr>
            <w:tcW w:type="dxa" w:w="1474"/>
            <w:shd w:fill="FFFFFF" w:val="clear"/>
          </w:tcPr>
          <w:p>
            <w:r>
              <w:rPr>
                <w:b/>
                <w:color w:val="000000"/>
                <w:sz w:val="16"/>
              </w:rPr>
              <w:t>1.23%</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C6EFCE" w:val="clear"/>
          </w:tcPr>
          <w:p>
            <w:r>
              <w:rPr>
                <w:b/>
                <w:color w:val="006400"/>
                <w:sz w:val="16"/>
              </w:rPr>
              <w:t>6.77%</w:t>
            </w:r>
          </w:p>
        </w:tc>
        <w:tc>
          <w:tcPr>
            <w:tcW w:type="dxa" w:w="1474"/>
            <w:shd w:fill="FFFFFF" w:val="clear"/>
          </w:tcPr>
          <w:p>
            <w:r>
              <w:rPr>
                <w:b/>
                <w:color w:val="000000"/>
                <w:sz w:val="16"/>
              </w:rPr>
              <w:t>1.45%</w:t>
            </w:r>
          </w:p>
        </w:tc>
        <w:tc>
          <w:tcPr>
            <w:tcW w:type="dxa" w:w="1474"/>
            <w:shd w:fill="FFFFFF" w:val="clear"/>
          </w:tcPr>
          <w:p>
            <w:r>
              <w:rPr>
                <w:b/>
                <w:color w:val="000000"/>
                <w:sz w:val="16"/>
              </w:rPr>
              <w:t>0.85%</w:t>
            </w:r>
          </w:p>
        </w:tc>
        <w:tc>
          <w:tcPr>
            <w:tcW w:type="dxa" w:w="1474"/>
            <w:shd w:fill="FFFFFF" w:val="clear"/>
          </w:tcPr>
          <w:p>
            <w:r>
              <w:rPr>
                <w:b/>
                <w:color w:val="000000"/>
                <w:sz w:val="16"/>
              </w:rPr>
              <w:t>1.78%</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C6EFCE" w:val="clear"/>
          </w:tcPr>
          <w:p>
            <w:r>
              <w:rPr>
                <w:b/>
                <w:color w:val="006400"/>
                <w:sz w:val="16"/>
              </w:rPr>
              <w:t>1.439 Mds FCFA</w:t>
            </w:r>
          </w:p>
        </w:tc>
        <w:tc>
          <w:tcPr>
            <w:tcW w:type="dxa" w:w="1474"/>
            <w:shd w:fill="FFFFFF" w:val="clear"/>
          </w:tcPr>
          <w:p>
            <w:r>
              <w:rPr>
                <w:b/>
                <w:color w:val="000000"/>
                <w:sz w:val="16"/>
              </w:rPr>
              <w:t>465.98 M FCFA</w:t>
            </w:r>
          </w:p>
        </w:tc>
        <w:tc>
          <w:tcPr>
            <w:tcW w:type="dxa" w:w="1474"/>
            <w:shd w:fill="FFFFFF" w:val="clear"/>
          </w:tcPr>
          <w:p>
            <w:r>
              <w:rPr>
                <w:b/>
                <w:color w:val="000000"/>
                <w:sz w:val="16"/>
              </w:rPr>
              <w:t>784.97 M FCFA</w:t>
            </w:r>
          </w:p>
        </w:tc>
        <w:tc>
          <w:tcPr>
            <w:tcW w:type="dxa" w:w="1474"/>
            <w:shd w:fill="FFFFFF" w:val="clear"/>
          </w:tcPr>
          <w:p>
            <w:r>
              <w:rPr>
                <w:b/>
                <w:color w:val="000000"/>
                <w:sz w:val="16"/>
              </w:rPr>
              <w:t>179.29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C7CE" w:val="clear"/>
          </w:tcPr>
          <w:p>
            <w:r>
              <w:rPr>
                <w:b/>
                <w:color w:val="B40000"/>
                <w:sz w:val="16"/>
              </w:rPr>
              <w:t>4.61%</w:t>
            </w:r>
          </w:p>
        </w:tc>
        <w:tc>
          <w:tcPr>
            <w:tcW w:type="dxa" w:w="1474"/>
            <w:shd w:fill="FFFFFF" w:val="clear"/>
          </w:tcPr>
          <w:p>
            <w:r>
              <w:rPr>
                <w:b/>
                <w:color w:val="000000"/>
                <w:sz w:val="16"/>
              </w:rPr>
              <w:t>7.43%</w:t>
            </w:r>
          </w:p>
        </w:tc>
        <w:tc>
          <w:tcPr>
            <w:tcW w:type="dxa" w:w="1474"/>
            <w:shd w:fill="FFFFFF" w:val="clear"/>
          </w:tcPr>
          <w:p>
            <w:r>
              <w:rPr>
                <w:b/>
                <w:color w:val="000000"/>
                <w:sz w:val="16"/>
              </w:rPr>
              <w:t>8.53%</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C6EFCE" w:val="clear"/>
          </w:tcPr>
          <w:p>
            <w:r>
              <w:rPr>
                <w:b/>
                <w:color w:val="006400"/>
                <w:sz w:val="16"/>
              </w:rPr>
              <w:t>40.11%</w:t>
            </w:r>
          </w:p>
        </w:tc>
        <w:tc>
          <w:tcPr>
            <w:tcW w:type="dxa" w:w="1474"/>
            <w:shd w:fill="FFFFFF" w:val="clear"/>
          </w:tcPr>
          <w:p>
            <w:r>
              <w:rPr>
                <w:b/>
                <w:color w:val="000000"/>
                <w:sz w:val="16"/>
              </w:rPr>
              <w:t>28.35%</w:t>
            </w:r>
          </w:p>
        </w:tc>
        <w:tc>
          <w:tcPr>
            <w:tcW w:type="dxa" w:w="1474"/>
            <w:shd w:fill="FFFFFF" w:val="clear"/>
          </w:tcPr>
          <w:p>
            <w:r>
              <w:rPr>
                <w:b/>
                <w:color w:val="000000"/>
                <w:sz w:val="16"/>
              </w:rPr>
              <w:t>17.29%</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FFFF" w:val="clear"/>
          </w:tcPr>
          <w:p>
            <w:r>
              <w:rPr>
                <w:b/>
                <w:color w:val="000000"/>
                <w:sz w:val="16"/>
              </w:rPr>
              <w:t>97.60%</w:t>
            </w:r>
          </w:p>
        </w:tc>
        <w:tc>
          <w:tcPr>
            <w:tcW w:type="dxa" w:w="1474"/>
            <w:shd w:fill="C6EFCE" w:val="clear"/>
          </w:tcPr>
          <w:p>
            <w:r>
              <w:rPr>
                <w:b/>
                <w:color w:val="006400"/>
                <w:sz w:val="16"/>
              </w:rPr>
              <w:t>13.91%</w:t>
            </w:r>
          </w:p>
        </w:tc>
        <w:tc>
          <w:tcPr>
            <w:tcW w:type="dxa" w:w="1474"/>
            <w:shd w:fill="FFC7CE" w:val="clear"/>
          </w:tcPr>
          <w:p>
            <w:r>
              <w:rPr>
                <w:b/>
                <w:color w:val="B40000"/>
                <w:sz w:val="16"/>
              </w:rPr>
              <w:t>228.41%</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C6EFCE" w:val="clear"/>
          </w:tcPr>
          <w:p>
            <w:r>
              <w:rPr>
                <w:b/>
                <w:color w:val="006400"/>
                <w:sz w:val="16"/>
              </w:rPr>
              <w:t>166.98%</w:t>
            </w:r>
          </w:p>
        </w:tc>
        <w:tc>
          <w:tcPr>
            <w:tcW w:type="dxa" w:w="1474"/>
            <w:shd w:fill="FFFFFF" w:val="clear"/>
          </w:tcPr>
          <w:p>
            <w:r>
              <w:rPr>
                <w:b/>
                <w:color w:val="000000"/>
                <w:sz w:val="16"/>
              </w:rPr>
              <w:t>139.57%</w:t>
            </w:r>
          </w:p>
        </w:tc>
        <w:tc>
          <w:tcPr>
            <w:tcW w:type="dxa" w:w="1474"/>
            <w:shd w:fill="FFFFFF" w:val="clear"/>
          </w:tcPr>
          <w:p>
            <w:r>
              <w:rPr>
                <w:b/>
                <w:color w:val="000000"/>
                <w:sz w:val="16"/>
              </w:rPr>
              <w:t>120.91%</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109.82%</w:t>
            </w:r>
          </w:p>
        </w:tc>
        <w:tc>
          <w:tcPr>
            <w:tcW w:type="dxa" w:w="1474"/>
            <w:shd w:fill="FFC7CE" w:val="clear"/>
          </w:tcPr>
          <w:p>
            <w:r>
              <w:rPr>
                <w:b/>
                <w:color w:val="B40000"/>
                <w:sz w:val="16"/>
              </w:rPr>
              <w:t>73.09%</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55.471 Mds FCFA</w:t>
            </w:r>
          </w:p>
        </w:tc>
        <w:tc>
          <w:tcPr>
            <w:tcW w:type="dxa" w:w="1474"/>
            <w:shd w:fill="FFFFFF" w:val="clear"/>
          </w:tcPr>
          <w:p>
            <w:r>
              <w:rPr>
                <w:b/>
                <w:color w:val="000000"/>
                <w:sz w:val="16"/>
              </w:rPr>
              <w:t>-935.89 M FCFA</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-2.47%</w:t>
            </w:r>
          </w:p>
        </w:tc>
        <w:tc>
          <w:tcPr>
            <w:tcW w:type="dxa" w:w="1474"/>
            <w:shd w:fill="FFFFFF" w:val="clear"/>
          </w:tcPr>
          <w:p>
            <w:r>
              <w:rPr>
                <w:b/>
                <w:color w:val="000000"/>
                <w:sz w:val="16"/>
              </w:rPr>
              <w:t>8.60%</w:t>
            </w:r>
          </w:p>
        </w:tc>
        <w:tc>
          <w:tcPr>
            <w:tcW w:type="dxa" w:w="1474"/>
            <w:shd w:fill="FFC7CE" w:val="clear"/>
          </w:tcPr>
          <w:p>
            <w:r>
              <w:rPr>
                <w:b/>
                <w:color w:val="B40000"/>
                <w:sz w:val="16"/>
              </w:rPr>
              <w:t>-19.90%</w:t>
            </w:r>
          </w:p>
        </w:tc>
      </w:tr>
      <w:tr>
        <w:tc>
          <w:tcPr>
            <w:tcW w:type="dxa" w:w="2551"/>
            <w:shd w:fill="EEF2F7" w:val="clear"/>
          </w:tcPr>
          <w:p>
            <w:r>
              <w:rPr>
                <w:b/>
                <w:sz w:val="15"/>
              </w:rPr>
              <w:t>Délai clients</w:t>
            </w:r>
          </w:p>
        </w:tc>
        <w:tc>
          <w:tcPr>
            <w:tcW w:type="dxa" w:w="1474"/>
            <w:shd w:fill="FFFFFF" w:val="clear"/>
          </w:tcPr>
          <w:p>
            <w:r>
              <w:rPr>
                <w:b/>
                <w:color w:val="000000"/>
                <w:sz w:val="16"/>
              </w:rPr>
              <w:t>144.7 j</w:t>
            </w:r>
          </w:p>
        </w:tc>
        <w:tc>
          <w:tcPr>
            <w:tcW w:type="dxa" w:w="1474"/>
            <w:shd w:fill="FFC7CE" w:val="clear"/>
          </w:tcPr>
          <w:p>
            <w:r>
              <w:rPr>
                <w:b/>
                <w:color w:val="B40000"/>
                <w:sz w:val="16"/>
              </w:rPr>
              <w:t>213.7 j</w:t>
            </w:r>
          </w:p>
        </w:tc>
        <w:tc>
          <w:tcPr>
            <w:tcW w:type="dxa" w:w="1474"/>
            <w:shd w:fill="F2F2F2" w:val="clear"/>
          </w:tcPr>
          <w:p>
            <w:r>
              <w:rPr>
                <w:b/>
                <w:sz w:val="16"/>
              </w:rPr>
              <w:t>N/D</w:t>
            </w:r>
          </w:p>
        </w:tc>
        <w:tc>
          <w:tcPr>
            <w:tcW w:type="dxa" w:w="1474"/>
            <w:shd w:fill="C6EFCE" w:val="clear"/>
          </w:tcPr>
          <w:p>
            <w:r>
              <w:rPr>
                <w:b/>
                <w:color w:val="006400"/>
                <w:sz w:val="16"/>
              </w:rPr>
              <w:t>79.3 j</w:t>
            </w:r>
          </w:p>
        </w:tc>
        <w:tc>
          <w:tcPr>
            <w:tcW w:type="dxa" w:w="1474"/>
            <w:shd w:fill="F2F2F2" w:val="clear"/>
          </w:tcPr>
          <w:p>
            <w:r>
              <w:rPr>
                <w:b/>
                <w:sz w:val="16"/>
              </w:rPr>
              <w:t>N/D</w:t>
            </w:r>
          </w:p>
        </w:tc>
      </w:tr>
      <w:tr>
        <w:tc>
          <w:tcPr>
            <w:tcW w:type="dxa" w:w="2551"/>
            <w:shd w:fill="EEF2F7" w:val="clear"/>
          </w:tcPr>
          <w:p>
            <w:r>
              <w:rPr>
                <w:b/>
                <w:sz w:val="15"/>
              </w:rPr>
              <w:t>Durée stockage</w:t>
            </w:r>
          </w:p>
        </w:tc>
        <w:tc>
          <w:tcPr>
            <w:tcW w:type="dxa" w:w="1474"/>
            <w:shd w:fill="C6EFCE" w:val="clear"/>
          </w:tcPr>
          <w:p>
            <w:r>
              <w:rPr>
                <w:b/>
                <w:color w:val="006400"/>
                <w:sz w:val="16"/>
              </w:rPr>
              <w:t>152.1 j</w:t>
            </w:r>
          </w:p>
        </w:tc>
        <w:tc>
          <w:tcPr>
            <w:tcW w:type="dxa" w:w="1474"/>
            <w:shd w:fill="FFC7CE" w:val="clear"/>
          </w:tcPr>
          <w:p>
            <w:r>
              <w:rPr>
                <w:b/>
                <w:color w:val="B40000"/>
                <w:sz w:val="16"/>
              </w:rPr>
              <w:t>214.7 j</w:t>
            </w:r>
          </w:p>
        </w:tc>
        <w:tc>
          <w:tcPr>
            <w:tcW w:type="dxa" w:w="1474"/>
            <w:shd w:fill="F2F2F2" w:val="clear"/>
          </w:tcPr>
          <w:p>
            <w:r>
              <w:rPr>
                <w:b/>
                <w:sz w:val="16"/>
              </w:rPr>
              <w:t>N/D</w:t>
            </w:r>
          </w:p>
        </w:tc>
        <w:tc>
          <w:tcPr>
            <w:tcW w:type="dxa" w:w="1474"/>
            <w:shd w:fill="FFFFFF" w:val="clear"/>
          </w:tcPr>
          <w:p>
            <w:r>
              <w:rPr>
                <w:b/>
                <w:color w:val="000000"/>
                <w:sz w:val="16"/>
              </w:rPr>
              <w:t>189.3 j</w:t>
            </w:r>
          </w:p>
        </w:tc>
        <w:tc>
          <w:tcPr>
            <w:tcW w:type="dxa" w:w="1474"/>
            <w:shd w:fill="F2F2F2" w:val="clear"/>
          </w:tcPr>
          <w:p>
            <w:r>
              <w:rPr>
                <w:b/>
                <w:sz w:val="16"/>
              </w:rPr>
              <w:t>N/D</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r>
        <w:tc>
          <w:tcPr>
            <w:tcW w:type="dxa" w:w="2268"/>
            <w:shd w:fill="EEF2F7" w:val="clear"/>
          </w:tcPr>
          <w:p>
            <w:r>
              <w:rPr>
                <w:b/>
                <w:sz w:val="15"/>
              </w:rPr>
              <w:t>Délai clients</w:t>
            </w:r>
          </w:p>
        </w:tc>
        <w:tc>
          <w:tcPr>
            <w:tcW w:type="dxa" w:w="1984"/>
            <w:shd w:fill="FFC7CE" w:val="clear"/>
          </w:tcPr>
          <w:p>
            <w:r>
              <w:rPr>
                <w:b/>
                <w:color w:val="007800"/>
                <w:sz w:val="17"/>
              </w:rPr>
              <w:t>144.7 j</w:t>
            </w:r>
          </w:p>
        </w:tc>
        <w:tc>
          <w:tcPr>
            <w:tcW w:type="dxa" w:w="5669"/>
            <w:shd w:fill="FFFFFF" w:val="clear"/>
          </w:tcPr>
          <w:p>
            <w:r>
              <w:rPr>
                <w:sz w:val="15"/>
              </w:rPr>
              <w:t>❌ Délai critique de 145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152.1 j</w:t>
            </w:r>
          </w:p>
        </w:tc>
        <w:tc>
          <w:tcPr>
            <w:tcW w:type="dxa" w:w="5669"/>
            <w:shd w:fill="FFFFFF" w:val="clear"/>
          </w:tcPr>
          <w:p>
            <w:r>
              <w:rPr>
                <w:sz w:val="15"/>
              </w:rPr>
              <w:t>❌ Stock quasi-bloqué (152 jours) — capital fortement immobilisé, risque d'obsolescence élevé.</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213.7 j</w:t>
            </w:r>
          </w:p>
        </w:tc>
        <w:tc>
          <w:tcPr>
            <w:tcW w:type="dxa" w:w="5669"/>
            <w:shd w:fill="FFFFFF" w:val="clear"/>
          </w:tcPr>
          <w:p>
            <w:r>
              <w:rPr>
                <w:sz w:val="15"/>
              </w:rPr>
              <w:t>❌ Délai critique de 214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214.7 j</w:t>
            </w:r>
          </w:p>
        </w:tc>
        <w:tc>
          <w:tcPr>
            <w:tcW w:type="dxa" w:w="5669"/>
            <w:shd w:fill="FFFFFF" w:val="clear"/>
          </w:tcPr>
          <w:p>
            <w:r>
              <w:rPr>
                <w:sz w:val="15"/>
              </w:rPr>
              <w:t>❌ Stock quasi-bloqué (215 jours) — capital fortement immobilisé, risque d'obsolescence élevé.</w:t>
            </w:r>
          </w:p>
        </w:tc>
      </w:tr>
    </w:tbl>
    <w:p/>
    <w:p>
      <w:pPr>
        <w:spacing w:before="160"/>
      </w:pPr>
      <w:r>
        <w:rPr>
          <w:b/>
          <w:color w:val="003366"/>
          <w:sz w:val="20"/>
        </w:rPr>
        <w:t xml:space="preserve">▶ SDSC — SDSC - AFRICA GLOBAL LOGISTICS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1.07%</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0.30%</w:t>
            </w:r>
          </w:p>
        </w:tc>
        <w:tc>
          <w:tcPr>
            <w:tcW w:type="dxa" w:w="5669"/>
            <w:shd w:fill="FFFFFF" w:val="clear"/>
          </w:tcPr>
          <w:p>
            <w:r>
              <w:rPr>
                <w:sz w:val="15"/>
              </w:rPr>
              <w:t>⚠️ ROA de 0.30%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0.85%</w:t>
            </w:r>
          </w:p>
        </w:tc>
        <w:tc>
          <w:tcPr>
            <w:tcW w:type="dxa" w:w="5669"/>
            <w:shd w:fill="FFFFFF" w:val="clear"/>
          </w:tcPr>
          <w:p>
            <w:r>
              <w:rPr>
                <w:sz w:val="15"/>
              </w:rPr>
              <w:t>⚠️ Marge nette quasi-nulle (0.85%)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784.97 M FCFA</w:t>
            </w:r>
          </w:p>
        </w:tc>
        <w:tc>
          <w:tcPr>
            <w:tcW w:type="dxa" w:w="5669"/>
            <w:shd w:fill="FFFFFF" w:val="clear"/>
          </w:tcPr>
          <w:p>
            <w:r>
              <w:rPr>
                <w:sz w:val="15"/>
              </w:rPr>
              <w:t>✅ Résultat net positif de 784.97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7.43%</w:t>
            </w:r>
          </w:p>
        </w:tc>
        <w:tc>
          <w:tcPr>
            <w:tcW w:type="dxa" w:w="5669"/>
            <w:shd w:fill="FFFFFF" w:val="clear"/>
          </w:tcPr>
          <w:p>
            <w:r>
              <w:rPr>
                <w:sz w:val="15"/>
              </w:rPr>
              <w:t>✅ Croissance de 7.4%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28.35%</w:t>
            </w:r>
          </w:p>
        </w:tc>
        <w:tc>
          <w:tcPr>
            <w:tcW w:type="dxa" w:w="5669"/>
            <w:shd w:fill="FFFFFF" w:val="clear"/>
          </w:tcPr>
          <w:p>
            <w:r>
              <w:rPr>
                <w:sz w:val="15"/>
              </w:rPr>
              <w:t>✅ Autonomie financière correcte (28.3%)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13.91%</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139.57%</w:t>
            </w:r>
          </w:p>
        </w:tc>
        <w:tc>
          <w:tcPr>
            <w:tcW w:type="dxa" w:w="5669"/>
            <w:shd w:fill="FFFFFF" w:val="clear"/>
          </w:tcPr>
          <w:p>
            <w:r>
              <w:rPr>
                <w:sz w:val="15"/>
              </w:rPr>
              <w:t>✅ Solvabilité satisfaisante (140%)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109.82%</w:t>
            </w:r>
          </w:p>
        </w:tc>
        <w:tc>
          <w:tcPr>
            <w:tcW w:type="dxa" w:w="5669"/>
            <w:shd w:fill="FFFFFF" w:val="clear"/>
          </w:tcPr>
          <w:p>
            <w:r>
              <w:rPr>
                <w:sz w:val="15"/>
              </w:rPr>
              <w:t>⚠️ Liquidité générale limite (109.82x)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55.471 Mds FCFA</w:t>
            </w:r>
          </w:p>
        </w:tc>
        <w:tc>
          <w:tcPr>
            <w:tcW w:type="dxa" w:w="5669"/>
            <w:shd w:fill="FFFFFF" w:val="clear"/>
          </w:tcPr>
          <w:p>
            <w:r>
              <w:rPr>
                <w:sz w:val="15"/>
              </w:rPr>
              <w:t>✅ FCF positif de 55.471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-2.47%</w:t>
            </w:r>
          </w:p>
        </w:tc>
        <w:tc>
          <w:tcPr>
            <w:tcW w:type="dxa" w:w="5669"/>
            <w:shd w:fill="FFFFFF" w:val="clear"/>
          </w:tcPr>
          <w:p>
            <w:r>
              <w:rPr>
                <w:sz w:val="15"/>
              </w:rPr>
              <w:t>❌ Marge opérationnelle négative (-2.5%) — l'activité principale est déficitaire.</w:t>
            </w:r>
          </w:p>
        </w:tc>
      </w:tr>
    </w:tbl>
    <w:p/>
    <w:p>
      <w:pPr>
        <w:spacing w:before="160"/>
      </w:pPr>
      <w:r>
        <w:rPr>
          <w:b/>
          <w:color w:val="003366"/>
          <w:sz w:val="20"/>
        </w:rPr>
        <w:t xml:space="preserve">▶ SIVC — SIVC - ERIUM CI (Ex AIR LIQUIDECI)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7.10%</w:t>
            </w:r>
          </w:p>
        </w:tc>
        <w:tc>
          <w:tcPr>
            <w:tcW w:type="dxa" w:w="5669"/>
            <w:shd w:fill="FFFFFF" w:val="clear"/>
          </w:tcPr>
          <w:p>
            <w:r>
              <w:rPr>
                <w:sz w:val="15"/>
              </w:rPr>
              <w:t>⚠️ ROE de 7.1%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1.23%</w:t>
            </w:r>
          </w:p>
        </w:tc>
        <w:tc>
          <w:tcPr>
            <w:tcW w:type="dxa" w:w="5669"/>
            <w:shd w:fill="FFFFFF" w:val="clear"/>
          </w:tcPr>
          <w:p>
            <w:r>
              <w:rPr>
                <w:sz w:val="15"/>
              </w:rPr>
              <w:t>⚠️ ROA de 1.23%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1.78%</w:t>
            </w:r>
          </w:p>
        </w:tc>
        <w:tc>
          <w:tcPr>
            <w:tcW w:type="dxa" w:w="5669"/>
            <w:shd w:fill="FFFFFF" w:val="clear"/>
          </w:tcPr>
          <w:p>
            <w:r>
              <w:rPr>
                <w:sz w:val="15"/>
              </w:rPr>
              <w:t>⚠️ Marge nette de 1.8%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179.29 M FCFA</w:t>
            </w:r>
          </w:p>
        </w:tc>
        <w:tc>
          <w:tcPr>
            <w:tcW w:type="dxa" w:w="5669"/>
            <w:shd w:fill="FFFFFF" w:val="clear"/>
          </w:tcPr>
          <w:p>
            <w:r>
              <w:rPr>
                <w:sz w:val="15"/>
              </w:rPr>
              <w:t>✅ Résultat net positif de 179.29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8.53%</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17.29%</w:t>
            </w:r>
          </w:p>
        </w:tc>
        <w:tc>
          <w:tcPr>
            <w:tcW w:type="dxa" w:w="5669"/>
            <w:shd w:fill="FFFFFF" w:val="clear"/>
          </w:tcPr>
          <w:p>
            <w:r>
              <w:rPr>
                <w:sz w:val="15"/>
              </w:rPr>
              <w:t>⚠️ Autonomie limitée (17.3%)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228.41%</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120.91%</w:t>
            </w:r>
          </w:p>
        </w:tc>
        <w:tc>
          <w:tcPr>
            <w:tcW w:type="dxa" w:w="5669"/>
            <w:shd w:fill="FFFFFF" w:val="clear"/>
          </w:tcPr>
          <w:p>
            <w:r>
              <w:rPr>
                <w:sz w:val="15"/>
              </w:rPr>
              <w:t>✅ Solvabilité satisfaisante (121%)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73.09%</w:t>
            </w:r>
          </w:p>
        </w:tc>
        <w:tc>
          <w:tcPr>
            <w:tcW w:type="dxa" w:w="5669"/>
            <w:shd w:fill="FFFFFF" w:val="clear"/>
          </w:tcPr>
          <w:p>
            <w:r>
              <w:rPr>
                <w:sz w:val="15"/>
              </w:rPr>
              <w:t>❌ Liquidité insuffisante (73.09x)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-935.89 M FCFA</w:t>
            </w:r>
          </w:p>
        </w:tc>
        <w:tc>
          <w:tcPr>
            <w:tcW w:type="dxa" w:w="5669"/>
            <w:shd w:fill="FFFFFF" w:val="clear"/>
          </w:tcPr>
          <w:p>
            <w:r>
              <w:rPr>
                <w:sz w:val="15"/>
              </w:rPr>
              <w:t>❌ FCF négatif significatif (-935.89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8.60%</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EB9C" w:val="clear"/>
          </w:tcPr>
          <w:p>
            <w:r>
              <w:rPr>
                <w:b/>
                <w:color w:val="007800"/>
                <w:sz w:val="17"/>
              </w:rPr>
              <w:t>79.3 j</w:t>
            </w:r>
          </w:p>
        </w:tc>
        <w:tc>
          <w:tcPr>
            <w:tcW w:type="dxa" w:w="5669"/>
            <w:shd w:fill="FFFFFF" w:val="clear"/>
          </w:tcPr>
          <w:p>
            <w:r>
              <w:rPr>
                <w:sz w:val="15"/>
              </w:rPr>
              <w:t>⚠️ Délai long (79 jours) — risque d'impayés accru, pression sur la trésorerie CT.</w:t>
            </w:r>
          </w:p>
        </w:tc>
      </w:tr>
      <w:tr>
        <w:tc>
          <w:tcPr>
            <w:tcW w:type="dxa" w:w="2268"/>
            <w:shd w:fill="EEF2F7" w:val="clear"/>
          </w:tcPr>
          <w:p>
            <w:r>
              <w:rPr>
                <w:b/>
                <w:sz w:val="15"/>
              </w:rPr>
              <w:t>Durée stockage</w:t>
            </w:r>
          </w:p>
        </w:tc>
        <w:tc>
          <w:tcPr>
            <w:tcW w:type="dxa" w:w="1984"/>
            <w:shd w:fill="FFC7CE" w:val="clear"/>
          </w:tcPr>
          <w:p>
            <w:r>
              <w:rPr>
                <w:b/>
                <w:color w:val="007800"/>
                <w:sz w:val="17"/>
              </w:rPr>
              <w:t>189.3 j</w:t>
            </w:r>
          </w:p>
        </w:tc>
        <w:tc>
          <w:tcPr>
            <w:tcW w:type="dxa" w:w="5669"/>
            <w:shd w:fill="FFFFFF" w:val="clear"/>
          </w:tcPr>
          <w:p>
            <w:r>
              <w:rPr>
                <w:sz w:val="15"/>
              </w:rPr>
              <w:t>❌ Stock quasi-bloqué (189 jours) — capital fortement immobilisé, risque d'obsolescence élevé.</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CABC</w:t>
            </w:r>
          </w:p>
        </w:tc>
        <w:tc>
          <w:tcPr>
            <w:tcW w:type="dxa" w:w="1728"/>
            <w:shd w:fill="C6EFCE" w:val="clear"/>
          </w:tcPr>
          <w:p>
            <w:r>
              <w:rPr>
                <w:color w:val="006400"/>
                <w:sz w:val="16"/>
              </w:rPr>
              <w:t>15.40%</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CABC</w:t>
            </w:r>
          </w:p>
        </w:tc>
        <w:tc>
          <w:tcPr>
            <w:tcW w:type="dxa" w:w="1728"/>
            <w:shd w:fill="C6EFCE" w:val="clear"/>
          </w:tcPr>
          <w:p>
            <w:r>
              <w:rPr>
                <w:color w:val="006400"/>
                <w:sz w:val="16"/>
              </w:rPr>
              <w:t>6.77%</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FTSC</w:t>
            </w:r>
          </w:p>
        </w:tc>
        <w:tc>
          <w:tcPr>
            <w:tcW w:type="dxa" w:w="1728"/>
            <w:shd w:fill="FFC7CE" w:val="clear"/>
          </w:tcPr>
          <w:p>
            <w:r>
              <w:rPr>
                <w:color w:val="B40000"/>
                <w:sz w:val="16"/>
              </w:rPr>
              <w:t>4.61%</w:t>
            </w:r>
          </w:p>
        </w:tc>
      </w:tr>
      <w:tr>
        <w:tc>
          <w:tcPr>
            <w:tcW w:type="dxa" w:w="1728"/>
            <w:shd w:fill="EEF2F7" w:val="clear"/>
          </w:tcPr>
          <w:p>
            <w:r>
              <w:rPr>
                <w:b/>
                <w:sz w:val="16"/>
              </w:rPr>
              <w:t>Autonomie fin.</w:t>
            </w:r>
          </w:p>
        </w:tc>
        <w:tc>
          <w:tcPr>
            <w:tcW w:type="dxa" w:w="1728"/>
            <w:shd w:fill="C6EFCE" w:val="clear"/>
          </w:tcPr>
          <w:p>
            <w:r>
              <w:rPr>
                <w:b/>
                <w:color w:val="006400"/>
                <w:sz w:val="16"/>
              </w:rPr>
              <w:t>FTSC</w:t>
            </w:r>
          </w:p>
        </w:tc>
        <w:tc>
          <w:tcPr>
            <w:tcW w:type="dxa" w:w="1728"/>
            <w:shd w:fill="C6EFCE" w:val="clear"/>
          </w:tcPr>
          <w:p>
            <w:r>
              <w:rPr>
                <w:color w:val="006400"/>
                <w:sz w:val="16"/>
              </w:rPr>
              <w:t>40.11%</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73.09%</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55.471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Services Financiers</w:t>
      </w:r>
    </w:p>
    <w:p>
      <w:r>
        <w:rPr>
          <w:sz w:val="18"/>
        </w:rPr>
        <w:t>1 société(s) avec données financières sur 1 cotée(s) dans ce secteur. Exercice(s) analysé(s) : 2025.</w:t>
      </w:r>
    </w:p>
    <w:p/>
    <w:p>
      <w:pPr>
        <w:pStyle w:val="Heading3"/>
      </w:pPr>
      <w:r>
        <w:t>📊 Tableau comparatif des indicateurs clés</w:t>
      </w:r>
    </w:p>
    <w:tbl>
      <w:tblPr>
        <w:tblStyle w:val="TableGrid"/>
        <w:tblW w:type="auto" w:w="0"/>
        <w:tblLook w:firstColumn="1" w:firstRow="1" w:lastColumn="0" w:lastRow="0" w:noHBand="0" w:noVBand="1" w:val="04A0"/>
      </w:tblPr>
      <w:tblGrid>
        <w:gridCol w:w="4320"/>
        <w:gridCol w:w="4320"/>
      </w:tblGrid>
      <w:tr>
        <w:tc>
          <w:tcPr>
            <w:tcW w:type="dxa" w:w="2551"/>
            <w:shd w:fill="1F4E79" w:val="clear"/>
          </w:tcPr>
          <w:p>
            <w:r>
              <w:rPr>
                <w:b/>
                <w:color w:val="FFFFFF"/>
                <w:sz w:val="16"/>
              </w:rPr>
              <w:t>Indicateur</w:t>
            </w:r>
          </w:p>
        </w:tc>
        <w:tc>
          <w:tcPr>
            <w:tcW w:type="dxa" w:w="7370"/>
            <w:shd w:fill="1F4E79" w:val="clear"/>
          </w:tcPr>
          <w:p>
            <w:r>
              <w:rPr>
                <w:b/>
                <w:color w:val="FFFFFF"/>
                <w:sz w:val="15"/>
              </w:rPr>
              <w:t>BBGC (2025)</w:t>
            </w:r>
          </w:p>
        </w:tc>
      </w:tr>
      <w:tr>
        <w:tc>
          <w:tcPr>
            <w:tcW w:type="dxa" w:w="2551"/>
            <w:shd w:fill="EEF2F7" w:val="clear"/>
          </w:tcPr>
          <w:p>
            <w:r>
              <w:rPr>
                <w:b/>
                <w:sz w:val="15"/>
              </w:rPr>
              <w:t>ROE</w:t>
            </w:r>
          </w:p>
        </w:tc>
        <w:tc>
          <w:tcPr>
            <w:tcW w:type="dxa" w:w="7370"/>
            <w:shd w:fill="FFFFFF" w:val="clear"/>
          </w:tcPr>
          <w:p>
            <w:r>
              <w:rPr>
                <w:b/>
                <w:color w:val="000000"/>
                <w:sz w:val="16"/>
              </w:rPr>
              <w:t>25.87%</w:t>
            </w:r>
          </w:p>
        </w:tc>
      </w:tr>
      <w:tr>
        <w:tc>
          <w:tcPr>
            <w:tcW w:type="dxa" w:w="2551"/>
            <w:shd w:fill="EEF2F7" w:val="clear"/>
          </w:tcPr>
          <w:p>
            <w:r>
              <w:rPr>
                <w:b/>
                <w:sz w:val="15"/>
              </w:rPr>
              <w:t>ROA</w:t>
            </w:r>
          </w:p>
        </w:tc>
        <w:tc>
          <w:tcPr>
            <w:tcW w:type="dxa" w:w="7370"/>
            <w:shd w:fill="FFFFFF" w:val="clear"/>
          </w:tcPr>
          <w:p>
            <w:r>
              <w:rPr>
                <w:b/>
                <w:color w:val="000000"/>
                <w:sz w:val="16"/>
              </w:rPr>
              <w:t>1.91%</w:t>
            </w:r>
          </w:p>
        </w:tc>
      </w:tr>
      <w:tr>
        <w:tc>
          <w:tcPr>
            <w:tcW w:type="dxa" w:w="2551"/>
            <w:shd w:fill="EEF2F7" w:val="clear"/>
          </w:tcPr>
          <w:p>
            <w:r>
              <w:rPr>
                <w:b/>
                <w:sz w:val="15"/>
              </w:rPr>
              <w:t>Marge nette</w:t>
            </w:r>
          </w:p>
        </w:tc>
        <w:tc>
          <w:tcPr>
            <w:tcW w:type="dxa" w:w="7370"/>
            <w:shd w:fill="FFFFFF" w:val="clear"/>
          </w:tcPr>
          <w:p>
            <w:r>
              <w:rPr>
                <w:b/>
                <w:color w:val="000000"/>
                <w:sz w:val="16"/>
              </w:rPr>
              <w:t>40.10%</w:t>
            </w:r>
          </w:p>
        </w:tc>
      </w:tr>
      <w:tr>
        <w:tc>
          <w:tcPr>
            <w:tcW w:type="dxa" w:w="2551"/>
            <w:shd w:fill="EEF2F7" w:val="clear"/>
          </w:tcPr>
          <w:p>
            <w:r>
              <w:rPr>
                <w:b/>
                <w:sz w:val="15"/>
              </w:rPr>
              <w:t>Résultat net</w:t>
            </w:r>
          </w:p>
        </w:tc>
        <w:tc>
          <w:tcPr>
            <w:tcW w:type="dxa" w:w="7370"/>
            <w:shd w:fill="FFFFFF" w:val="clear"/>
          </w:tcPr>
          <w:p>
            <w:r>
              <w:rPr>
                <w:b/>
                <w:color w:val="000000"/>
                <w:sz w:val="16"/>
              </w:rPr>
              <w:t>27.197 Mds FCFA</w:t>
            </w:r>
          </w:p>
        </w:tc>
      </w:tr>
      <w:tr>
        <w:tc>
          <w:tcPr>
            <w:tcW w:type="dxa" w:w="2551"/>
            <w:shd w:fill="EEF2F7" w:val="clear"/>
          </w:tcPr>
          <w:p>
            <w:r>
              <w:rPr>
                <w:b/>
                <w:sz w:val="15"/>
              </w:rPr>
              <w:t>Taux croissance CA/PNB</w:t>
            </w:r>
          </w:p>
        </w:tc>
        <w:tc>
          <w:tcPr>
            <w:tcW w:type="dxa" w:w="7370"/>
            <w:shd w:fill="FFFFFF" w:val="clear"/>
          </w:tcPr>
          <w:p>
            <w:r>
              <w:rPr>
                <w:b/>
                <w:color w:val="000000"/>
                <w:sz w:val="16"/>
              </w:rPr>
              <w:t>15.71%</w:t>
            </w:r>
          </w:p>
        </w:tc>
      </w:tr>
      <w:tr>
        <w:tc>
          <w:tcPr>
            <w:tcW w:type="dxa" w:w="2551"/>
            <w:shd w:fill="EEF2F7" w:val="clear"/>
          </w:tcPr>
          <w:p>
            <w:r>
              <w:rPr>
                <w:b/>
                <w:sz w:val="15"/>
              </w:rPr>
              <w:t>Autonomie financière</w:t>
            </w:r>
          </w:p>
        </w:tc>
        <w:tc>
          <w:tcPr>
            <w:tcW w:type="dxa" w:w="7370"/>
            <w:shd w:fill="FFFFFF" w:val="clear"/>
          </w:tcPr>
          <w:p>
            <w:r>
              <w:rPr>
                <w:b/>
                <w:color w:val="000000"/>
                <w:sz w:val="16"/>
              </w:rPr>
              <w:t>7.37%</w:t>
            </w:r>
          </w:p>
        </w:tc>
      </w:tr>
      <w:tr>
        <w:tc>
          <w:tcPr>
            <w:tcW w:type="dxa" w:w="2551"/>
            <w:shd w:fill="EEF2F7" w:val="clear"/>
          </w:tcPr>
          <w:p>
            <w:r>
              <w:rPr>
                <w:b/>
                <w:sz w:val="15"/>
              </w:rPr>
              <w:t>Ratio endettement</w:t>
            </w:r>
          </w:p>
        </w:tc>
        <w:tc>
          <w:tcPr>
            <w:tcW w:type="dxa" w:w="7370"/>
            <w:shd w:fill="FFFFFF" w:val="clear"/>
          </w:tcPr>
          <w:p>
            <w:r>
              <w:rPr>
                <w:b/>
                <w:color w:val="000000"/>
                <w:sz w:val="16"/>
              </w:rPr>
              <w:t>1257.65%</w:t>
            </w:r>
          </w:p>
        </w:tc>
      </w:tr>
      <w:tr>
        <w:tc>
          <w:tcPr>
            <w:tcW w:type="dxa" w:w="2551"/>
            <w:shd w:fill="EEF2F7" w:val="clear"/>
          </w:tcPr>
          <w:p>
            <w:r>
              <w:rPr>
                <w:b/>
                <w:sz w:val="15"/>
              </w:rPr>
              <w:t>Solvabilité générale</w:t>
            </w:r>
          </w:p>
        </w:tc>
        <w:tc>
          <w:tcPr>
            <w:tcW w:type="dxa" w:w="7370"/>
            <w:shd w:fill="FFFFFF" w:val="clear"/>
          </w:tcPr>
          <w:p>
            <w:r>
              <w:rPr>
                <w:b/>
                <w:color w:val="000000"/>
                <w:sz w:val="16"/>
              </w:rPr>
              <w:t>107.95%</w:t>
            </w:r>
          </w:p>
        </w:tc>
      </w:tr>
      <w:tr>
        <w:tc>
          <w:tcPr>
            <w:tcW w:type="dxa" w:w="2551"/>
            <w:shd w:fill="EEF2F7" w:val="clear"/>
          </w:tcPr>
          <w:p>
            <w:r>
              <w:rPr>
                <w:b/>
                <w:sz w:val="15"/>
              </w:rPr>
              <w:t>Coeff. exploitation</w:t>
            </w:r>
          </w:p>
        </w:tc>
        <w:tc>
          <w:tcPr>
            <w:tcW w:type="dxa" w:w="7370"/>
            <w:shd w:fill="FFFFFF" w:val="clear"/>
          </w:tcPr>
          <w:p>
            <w:r>
              <w:rPr>
                <w:b/>
                <w:color w:val="000000"/>
                <w:sz w:val="16"/>
              </w:rPr>
              <w:t>41.85%</w:t>
            </w:r>
          </w:p>
        </w:tc>
      </w:tr>
      <w:tr>
        <w:tc>
          <w:tcPr>
            <w:tcW w:type="dxa" w:w="2551"/>
            <w:shd w:fill="EEF2F7" w:val="clear"/>
          </w:tcPr>
          <w:p>
            <w:r>
              <w:rPr>
                <w:b/>
                <w:sz w:val="15"/>
              </w:rPr>
              <w:t>Marge opérationnelle</w:t>
            </w:r>
          </w:p>
        </w:tc>
        <w:tc>
          <w:tcPr>
            <w:tcW w:type="dxa" w:w="7370"/>
            <w:shd w:fill="FFFFFF" w:val="clear"/>
          </w:tcPr>
          <w:p>
            <w:r>
              <w:rPr>
                <w:b/>
                <w:color w:val="000000"/>
                <w:sz w:val="16"/>
              </w:rPr>
              <w:t>48.12%</w:t>
            </w:r>
          </w:p>
        </w:tc>
      </w:tr>
    </w:tbl>
    <w:p/>
    <w:p>
      <w:pPr>
        <w:pStyle w:val="Heading3"/>
      </w:pPr>
      <w:r>
        <w:t>🔍 Analyse détaillée par société</w:t>
      </w:r>
    </w:p>
    <w:p>
      <w:pPr>
        <w:spacing w:before="160"/>
      </w:pPr>
      <w:r>
        <w:rPr>
          <w:b/>
          <w:color w:val="003366"/>
          <w:sz w:val="20"/>
        </w:rPr>
        <w:t xml:space="preserve">▶ BBGC — BRIDGE BANK GROUP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25.87%</w:t>
            </w:r>
          </w:p>
        </w:tc>
        <w:tc>
          <w:tcPr>
            <w:tcW w:type="dxa" w:w="5669"/>
            <w:shd w:fill="FFFFFF" w:val="clear"/>
          </w:tcPr>
          <w:p>
            <w:r>
              <w:rPr>
                <w:sz w:val="15"/>
              </w:rPr>
              <w:t>✅ ROE de 25.9%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1.91%</w:t>
            </w:r>
          </w:p>
        </w:tc>
        <w:tc>
          <w:tcPr>
            <w:tcW w:type="dxa" w:w="5669"/>
            <w:shd w:fill="FFFFFF" w:val="clear"/>
          </w:tcPr>
          <w:p>
            <w:r>
              <w:rPr>
                <w:sz w:val="15"/>
              </w:rPr>
              <w:t>✅ ROA de 1.91%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40.10%</w:t>
            </w:r>
          </w:p>
        </w:tc>
        <w:tc>
          <w:tcPr>
            <w:tcW w:type="dxa" w:w="5669"/>
            <w:shd w:fill="FFFFFF" w:val="clear"/>
          </w:tcPr>
          <w:p>
            <w:r>
              <w:rPr>
                <w:sz w:val="15"/>
              </w:rPr>
              <w:t>✅ Marge nette de 40.1%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27.197 Mds FCFA</w:t>
            </w:r>
          </w:p>
        </w:tc>
        <w:tc>
          <w:tcPr>
            <w:tcW w:type="dxa" w:w="5669"/>
            <w:shd w:fill="FFFFFF" w:val="clear"/>
          </w:tcPr>
          <w:p>
            <w:r>
              <w:rPr>
                <w:sz w:val="15"/>
              </w:rPr>
              <w:t>✅ Résultat net positif de 27.197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15.71%</w:t>
            </w:r>
          </w:p>
        </w:tc>
        <w:tc>
          <w:tcPr>
            <w:tcW w:type="dxa" w:w="5669"/>
            <w:shd w:fill="FFFFFF" w:val="clear"/>
          </w:tcPr>
          <w:p>
            <w:r>
              <w:rPr>
                <w:sz w:val="15"/>
              </w:rPr>
              <w:t>✅ Croissance de 15.7%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7.37%</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1257.65%</w:t>
            </w:r>
          </w:p>
        </w:tc>
        <w:tc>
          <w:tcPr>
            <w:tcW w:type="dxa" w:w="5669"/>
            <w:shd w:fill="FFFFFF" w:val="clear"/>
          </w:tcPr>
          <w:p>
            <w:r>
              <w:rPr>
                <w:sz w:val="15"/>
              </w:rPr>
              <w:t>❌ Gearing de 1258%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107.95%</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41.85%</w:t>
            </w:r>
          </w:p>
        </w:tc>
        <w:tc>
          <w:tcPr>
            <w:tcW w:type="dxa" w:w="5669"/>
            <w:shd w:fill="FFFFFF" w:val="clear"/>
          </w:tcPr>
          <w:p>
            <w:r>
              <w:rPr>
                <w:sz w:val="15"/>
              </w:rPr>
              <w:t>✅ Coeff. d'exploitation de 41.8%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48.12%</w:t>
            </w:r>
          </w:p>
        </w:tc>
        <w:tc>
          <w:tcPr>
            <w:tcW w:type="dxa" w:w="5669"/>
            <w:shd w:fill="FFFFFF" w:val="clear"/>
          </w:tcPr>
          <w:p>
            <w:r>
              <w:rPr>
                <w:sz w:val="15"/>
              </w:rPr>
              <w:t>✅ Marge opérationnelle de 48.1% — excellente efficacité de l'exploitation principale.</w:t>
            </w:r>
          </w:p>
        </w:tc>
      </w:tr>
    </w:tbl>
    <w:p/>
    <w:p>
      <w:pPr>
        <w:pStyle w:val="Heading3"/>
      </w:pPr>
      <w:r>
        <w:t>🏆 Synthèse sectorielle — Points forts et points faibles</w:t>
      </w:r>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BBGC - BRIDGE BANK GROUP COTE D'IVOIRE</w:t>
      </w:r>
    </w:p>
    <w:p>
      <w:pPr>
        <w:ind w:left="400"/>
      </w:pPr>
      <w:r>
        <w:t>3. BICB - BIIC BN - Banque internationale pour le commerce du benin</w:t>
      </w:r>
    </w:p>
    <w:p>
      <w:pPr>
        <w:ind w:left="400"/>
      </w:pPr>
      <w:r>
        <w:t>4. BICC - BICI CI - Banque internationale pour le commerce et l'industrie de la Côte d'Ivoire</w:t>
      </w:r>
    </w:p>
    <w:p>
      <w:pPr>
        <w:ind w:left="400"/>
      </w:pPr>
      <w:r>
        <w:t>5. BNBC - BNBC - BERNABE CI</w:t>
      </w:r>
    </w:p>
    <w:p>
      <w:pPr>
        <w:ind w:left="400"/>
      </w:pPr>
      <w:r>
        <w:t>6. BOAB - BANK OF AFRICA BENIN</w:t>
      </w:r>
    </w:p>
    <w:p>
      <w:pPr>
        <w:ind w:left="400"/>
      </w:pPr>
      <w:r>
        <w:t>7. BOABF - BANK OF AFRICA BURKINA FASO</w:t>
      </w:r>
    </w:p>
    <w:p>
      <w:pPr>
        <w:ind w:left="400"/>
      </w:pPr>
      <w:r>
        <w:t>8. BOAC - BANK OF AFRICA COTE D'IVOIRE</w:t>
      </w:r>
    </w:p>
    <w:p>
      <w:pPr>
        <w:ind w:left="400"/>
      </w:pPr>
      <w:r>
        <w:t>9. BOAM - BANK OF AFRICA MALI</w:t>
      </w:r>
    </w:p>
    <w:p>
      <w:pPr>
        <w:ind w:left="400"/>
      </w:pPr>
      <w:r>
        <w:t>10. BOAN - BANK OF AFRICA NIGER</w:t>
      </w:r>
    </w:p>
    <w:p>
      <w:pPr>
        <w:ind w:left="400"/>
      </w:pPr>
      <w:r>
        <w:t>11. BOAS - BANK OF AFRICA SENEGAL</w:t>
      </w:r>
    </w:p>
    <w:p>
      <w:pPr>
        <w:ind w:left="400"/>
      </w:pPr>
      <w:r>
        <w:t>12. CABC - CABC - SICABLE COTE D'IVOIRE</w:t>
      </w:r>
    </w:p>
    <w:p>
      <w:pPr>
        <w:ind w:left="400"/>
      </w:pPr>
      <w:r>
        <w:t>13. CBIBF - CBIBF - CORIS BANK INTERNATIONAL BURKINA FASO</w:t>
      </w:r>
    </w:p>
    <w:p>
      <w:pPr>
        <w:ind w:left="400"/>
      </w:pPr>
      <w:r>
        <w:t>14. CFAC - CFAC - CFAO MOTORS CI</w:t>
      </w:r>
    </w:p>
    <w:p>
      <w:pPr>
        <w:ind w:left="400"/>
      </w:pPr>
      <w:r>
        <w:t>15. CIEC - CIEC - Compagnie Ivoirienne d'Electricité</w:t>
      </w:r>
    </w:p>
    <w:p>
      <w:pPr>
        <w:ind w:left="400"/>
      </w:pPr>
      <w:r>
        <w:t>16. ECOC - ECOC - ECOBANK COTE D'IVOIRE</w:t>
      </w:r>
    </w:p>
    <w:p>
      <w:pPr>
        <w:ind w:left="400"/>
      </w:pPr>
      <w:r>
        <w:t>17. ETIT - ETIT - Ecobank Transnational Incorporated Togo</w:t>
      </w:r>
    </w:p>
    <w:p>
      <w:pPr>
        <w:ind w:left="400"/>
      </w:pPr>
      <w:r>
        <w:t>18. FTSC - FTSC - FILTISAC COTE D'IVOIRE</w:t>
      </w:r>
    </w:p>
    <w:p>
      <w:pPr>
        <w:ind w:left="400"/>
      </w:pPr>
      <w:r>
        <w:t>19. LNBB - LNBB - LOTERIE NATIONALE DU BENIN</w:t>
      </w:r>
    </w:p>
    <w:p>
      <w:pPr>
        <w:ind w:left="400"/>
      </w:pPr>
      <w:r>
        <w:t>20. NEIC - NEIC - NEI-CEDA CI</w:t>
      </w:r>
    </w:p>
    <w:p>
      <w:pPr>
        <w:ind w:left="400"/>
      </w:pPr>
      <w:r>
        <w:t>21. NSBC - NSBC - NSIA BANQUE COTE D'IVOIRE</w:t>
      </w:r>
    </w:p>
    <w:p>
      <w:pPr>
        <w:ind w:left="400"/>
      </w:pPr>
      <w:r>
        <w:t>22. NTLC - NTLC - NESTLE COTE D'IVOIRE</w:t>
      </w:r>
    </w:p>
    <w:p>
      <w:pPr>
        <w:ind w:left="400"/>
      </w:pPr>
      <w:r>
        <w:t>23. ONTBF - ONTBF - ONATEL BURKINA FASO</w:t>
      </w:r>
    </w:p>
    <w:p>
      <w:pPr>
        <w:ind w:left="400"/>
      </w:pPr>
      <w:r>
        <w:t>24. ORAC - ORAC - ORANGE COTE D'IVOIRE</w:t>
      </w:r>
    </w:p>
    <w:p>
      <w:pPr>
        <w:ind w:left="400"/>
      </w:pPr>
      <w:r>
        <w:t>25. ORGT - ORGT - ORAGROUP TOGO</w:t>
      </w:r>
    </w:p>
    <w:p>
      <w:pPr>
        <w:ind w:left="400"/>
      </w:pPr>
      <w:r>
        <w:t>26. PALC - PALC - PALM COTE D'IVOIRE</w:t>
      </w:r>
    </w:p>
    <w:p>
      <w:pPr>
        <w:ind w:left="400"/>
      </w:pPr>
      <w:r>
        <w:t>27. PRSC - PRSC - TRACTAFRIC MOTORS CI</w:t>
      </w:r>
    </w:p>
    <w:p>
      <w:pPr>
        <w:ind w:left="400"/>
      </w:pPr>
      <w:r>
        <w:t>28. SAFC - SAFCA CI</w:t>
      </w:r>
    </w:p>
    <w:p>
      <w:pPr>
        <w:ind w:left="400"/>
      </w:pPr>
      <w:r>
        <w:t>29. SCRC - SCRC - SUCRIVOIRE</w:t>
      </w:r>
    </w:p>
    <w:p>
      <w:pPr>
        <w:ind w:left="400"/>
      </w:pPr>
      <w:r>
        <w:t>30. SDCC - SDCC - Société de Distribution d'Eau de Côte d'Ivoire</w:t>
      </w:r>
    </w:p>
    <w:p>
      <w:pPr>
        <w:ind w:left="400"/>
      </w:pPr>
      <w:r>
        <w:t>31. SDSC - SDSC - AFRICA GLOBAL LOGISTICS CI</w:t>
      </w:r>
    </w:p>
    <w:p>
      <w:pPr>
        <w:ind w:left="400"/>
      </w:pPr>
      <w:r>
        <w:t>32. SEMC - SEMC - EVIOSYS PACKAGING SIEM CI</w:t>
      </w:r>
    </w:p>
    <w:p>
      <w:pPr>
        <w:ind w:left="400"/>
      </w:pPr>
      <w:r>
        <w:t>33. SGBC - SGBC - SOCIETE GENERALE COTE D'IVOIRE</w:t>
      </w:r>
    </w:p>
    <w:p>
      <w:pPr>
        <w:ind w:left="400"/>
      </w:pPr>
      <w:r>
        <w:t>34. SHEC - SHEC - VIVO ENERGY COTE D'IVOIRE</w:t>
      </w:r>
    </w:p>
    <w:p>
      <w:pPr>
        <w:ind w:left="400"/>
      </w:pPr>
      <w:r>
        <w:t>35. SIBC - SIBC - SOCIETE IVOIRIENNE DE BANQUE</w:t>
      </w:r>
    </w:p>
    <w:p>
      <w:pPr>
        <w:ind w:left="400"/>
      </w:pPr>
      <w:r>
        <w:t>36. SICC - SICC - SICOR COTE D'IVOIRE</w:t>
      </w:r>
    </w:p>
    <w:p>
      <w:pPr>
        <w:ind w:left="400"/>
      </w:pPr>
      <w:r>
        <w:t>37. SIVC - SIVC - ERIUM CI (Ex AIR LIQUIDECI)</w:t>
      </w:r>
    </w:p>
    <w:p>
      <w:pPr>
        <w:ind w:left="400"/>
      </w:pPr>
      <w:r>
        <w:t>38. SLBC - SLBC - SOLIBRA COTE D'IVOIRE</w:t>
      </w:r>
    </w:p>
    <w:p>
      <w:pPr>
        <w:ind w:left="400"/>
      </w:pPr>
      <w:r>
        <w:t>39. SMBC - SMBC - Société Multinationale de Bitumes COTE D'IVOIRE</w:t>
      </w:r>
    </w:p>
    <w:p>
      <w:pPr>
        <w:ind w:left="400"/>
      </w:pPr>
      <w:r>
        <w:t>40. SNTS - SNTS - SONATEL SN</w:t>
      </w:r>
    </w:p>
    <w:p>
      <w:pPr>
        <w:ind w:left="400"/>
      </w:pPr>
      <w:r>
        <w:t>41. SOGC - SOGC - Société des caoutchoucs de Grand-Béréby</w:t>
      </w:r>
    </w:p>
    <w:p>
      <w:pPr>
        <w:ind w:left="400"/>
      </w:pPr>
      <w:r>
        <w:t>42. SPHC - SPHC - Société Africaine de Plantation d'Hévéas de Côte d'Ivoire</w:t>
      </w:r>
    </w:p>
    <w:p>
      <w:pPr>
        <w:ind w:left="400"/>
      </w:pPr>
      <w:r>
        <w:t>43. STAC - STAC - SETAO COTE D'IVOIRE</w:t>
      </w:r>
    </w:p>
    <w:p>
      <w:pPr>
        <w:ind w:left="400"/>
      </w:pPr>
      <w:r>
        <w:t>44. STBC - STBC - SITAB COTE D'IVOIRE</w:t>
      </w:r>
    </w:p>
    <w:p>
      <w:pPr>
        <w:ind w:left="400"/>
      </w:pPr>
      <w:r>
        <w:t>45. TTLC - TTLC - TOTAL ENERGIES MARKETING COTE D'IVOIRE</w:t>
      </w:r>
    </w:p>
    <w:p>
      <w:pPr>
        <w:ind w:left="400"/>
      </w:pPr>
      <w:r>
        <w:t>46. TTLS - TTLS - TOTAL ENERGIES MARKETING SENEGAL</w:t>
      </w:r>
    </w:p>
    <w:p>
      <w:pPr>
        <w:ind w:left="400"/>
      </w:pPr>
      <w:r>
        <w:t>47. UNLC - UNLC - UNILEVER COTE D'IVOIRE</w:t>
      </w:r>
    </w:p>
    <w:p>
      <w:pPr>
        <w:ind w:left="400"/>
      </w:pPr>
      <w:r>
        <w:t>48.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34.81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3,266 titres</w:t>
            </w:r>
          </w:p>
        </w:tc>
        <w:tc>
          <w:tcPr>
            <w:tcW w:type="dxa" w:w="2268"/>
            <w:shd w:fill="FFF2CC" w:val="clear"/>
          </w:tcPr>
          <w:p>
            <w:r>
              <w:rPr>
                <w:b/>
                <w:color w:val="503200"/>
                <w:sz w:val="16"/>
              </w:rPr>
              <w:t xml:space="preserve">Cours actuel : </w:t>
            </w:r>
            <w:r>
              <w:rPr>
                <w:color w:val="000000"/>
                <w:sz w:val="17"/>
              </w:rPr>
              <w:t>3,190 FCFA</w:t>
            </w:r>
          </w:p>
          <w:p>
            <w:r>
              <w:rPr>
                <w:b/>
                <w:color w:val="503200"/>
                <w:sz w:val="16"/>
              </w:rPr>
              <w:t xml:space="preserve">Var. 100 jours : </w:t>
            </w:r>
            <w:r>
              <w:rPr>
                <w:b/>
                <w:color w:val="007800"/>
                <w:sz w:val="17"/>
              </w:rPr>
              <w:t>+12.13%</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45.1%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10.70% (Moyenne) — μ=3,355 FCFA, σ=359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β=0.3350 (Défensif) — Cov=0.000025, Var(idx)=0.000073, ρ=0.101,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3,266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σ_j=2.84%/j (Stable) — Vol. annualisée≈45.1%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2026-10-13</w:t>
            </w:r>
          </w:p>
        </w:tc>
        <w:tc>
          <w:tcPr>
            <w:tcW w:type="dxa" w:w="1440"/>
            <w:shd w:fill="FAFAFA" w:val="clear"/>
          </w:tcPr>
          <w:p>
            <w:r>
              <w:rPr>
                <w:sz w:val="17"/>
              </w:rPr>
              <w:t>3,027</w:t>
            </w:r>
          </w:p>
        </w:tc>
        <w:tc>
          <w:tcPr>
            <w:tcW w:type="dxa" w:w="1440"/>
            <w:shd w:fill="FAFAFA" w:val="clear"/>
          </w:tcPr>
          <w:p>
            <w:r>
              <w:rPr>
                <w:b/>
                <w:sz w:val="17"/>
              </w:rPr>
              <w:t>3,159</w:t>
            </w:r>
          </w:p>
        </w:tc>
        <w:tc>
          <w:tcPr>
            <w:tcW w:type="dxa" w:w="1440"/>
            <w:shd w:fill="FAFAFA" w:val="clear"/>
          </w:tcPr>
          <w:p>
            <w:r>
              <w:rPr>
                <w:sz w:val="17"/>
              </w:rPr>
              <w:t>3,290</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2026-10-14</w:t>
            </w:r>
          </w:p>
        </w:tc>
        <w:tc>
          <w:tcPr>
            <w:tcW w:type="dxa" w:w="1440"/>
            <w:shd w:fill="FAFAFA" w:val="clear"/>
          </w:tcPr>
          <w:p>
            <w:r>
              <w:rPr>
                <w:sz w:val="17"/>
              </w:rPr>
              <w:t>2,954</w:t>
            </w:r>
          </w:p>
        </w:tc>
        <w:tc>
          <w:tcPr>
            <w:tcW w:type="dxa" w:w="1440"/>
            <w:shd w:fill="FAFAFA" w:val="clear"/>
          </w:tcPr>
          <w:p>
            <w:r>
              <w:rPr>
                <w:b/>
                <w:sz w:val="17"/>
              </w:rPr>
              <w:t>3,139</w:t>
            </w:r>
          </w:p>
        </w:tc>
        <w:tc>
          <w:tcPr>
            <w:tcW w:type="dxa" w:w="1440"/>
            <w:shd w:fill="FAFAFA" w:val="clear"/>
          </w:tcPr>
          <w:p>
            <w:r>
              <w:rPr>
                <w:sz w:val="17"/>
              </w:rPr>
              <w:t>3,324</w:t>
            </w:r>
          </w:p>
        </w:tc>
        <w:tc>
          <w:tcPr>
            <w:tcW w:type="dxa" w:w="1440"/>
            <w:shd w:fill="FAFAFA" w:val="clear"/>
          </w:tcPr>
          <w:p>
            <w:r>
              <w:rPr>
                <w:b/>
                <w:color w:val="C00000"/>
                <w:sz w:val="17"/>
              </w:rPr>
              <w:t>-1.6%</w:t>
            </w:r>
          </w:p>
        </w:tc>
      </w:tr>
      <w:tr>
        <w:tc>
          <w:tcPr>
            <w:tcW w:type="dxa" w:w="1440"/>
            <w:shd w:fill="FFDCE0" w:val="clear"/>
          </w:tcPr>
          <w:p>
            <w:r>
              <w:rPr>
                <w:sz w:val="17"/>
              </w:rPr>
              <w:t>J+3  Moyenne</w:t>
            </w:r>
          </w:p>
        </w:tc>
        <w:tc>
          <w:tcPr>
            <w:tcW w:type="dxa" w:w="1440"/>
            <w:shd w:fill="FFDCE0" w:val="clear"/>
          </w:tcPr>
          <w:p>
            <w:r>
              <w:rPr>
                <w:sz w:val="17"/>
              </w:rPr>
              <w:t>2026-10-15</w:t>
            </w:r>
          </w:p>
        </w:tc>
        <w:tc>
          <w:tcPr>
            <w:tcW w:type="dxa" w:w="1440"/>
            <w:shd w:fill="FFDCE0" w:val="clear"/>
          </w:tcPr>
          <w:p>
            <w:r>
              <w:rPr>
                <w:sz w:val="17"/>
              </w:rPr>
              <w:t>2,893</w:t>
            </w:r>
          </w:p>
        </w:tc>
        <w:tc>
          <w:tcPr>
            <w:tcW w:type="dxa" w:w="1440"/>
            <w:shd w:fill="FFDCE0" w:val="clear"/>
          </w:tcPr>
          <w:p>
            <w:r>
              <w:rPr>
                <w:b/>
                <w:sz w:val="17"/>
              </w:rPr>
              <w:t>3,118</w:t>
            </w:r>
          </w:p>
        </w:tc>
        <w:tc>
          <w:tcPr>
            <w:tcW w:type="dxa" w:w="1440"/>
            <w:shd w:fill="FFDCE0" w:val="clear"/>
          </w:tcPr>
          <w:p>
            <w:r>
              <w:rPr>
                <w:sz w:val="17"/>
              </w:rPr>
              <w:t>3,344</w:t>
            </w:r>
          </w:p>
        </w:tc>
        <w:tc>
          <w:tcPr>
            <w:tcW w:type="dxa" w:w="1440"/>
            <w:shd w:fill="FFDCE0" w:val="clear"/>
          </w:tcPr>
          <w:p>
            <w:r>
              <w:rPr>
                <w:b/>
                <w:color w:val="C00000"/>
                <w:sz w:val="17"/>
              </w:rPr>
              <w:t>-2.2%</w:t>
            </w:r>
          </w:p>
        </w:tc>
      </w:tr>
      <w:tr>
        <w:tc>
          <w:tcPr>
            <w:tcW w:type="dxa" w:w="1440"/>
            <w:shd w:fill="FFDCE0" w:val="clear"/>
          </w:tcPr>
          <w:p>
            <w:r>
              <w:rPr>
                <w:sz w:val="17"/>
              </w:rPr>
              <w:t>J+4  ⭐</w:t>
            </w:r>
          </w:p>
        </w:tc>
        <w:tc>
          <w:tcPr>
            <w:tcW w:type="dxa" w:w="1440"/>
            <w:shd w:fill="FFDCE0" w:val="clear"/>
          </w:tcPr>
          <w:p>
            <w:r>
              <w:rPr>
                <w:sz w:val="17"/>
              </w:rPr>
              <w:t>2026-10-16</w:t>
            </w:r>
          </w:p>
        </w:tc>
        <w:tc>
          <w:tcPr>
            <w:tcW w:type="dxa" w:w="1440"/>
            <w:shd w:fill="FFDCE0" w:val="clear"/>
          </w:tcPr>
          <w:p>
            <w:r>
              <w:rPr>
                <w:sz w:val="17"/>
              </w:rPr>
              <w:t>2,840</w:t>
            </w:r>
          </w:p>
        </w:tc>
        <w:tc>
          <w:tcPr>
            <w:tcW w:type="dxa" w:w="1440"/>
            <w:shd w:fill="FFDCE0" w:val="clear"/>
          </w:tcPr>
          <w:p>
            <w:r>
              <w:rPr>
                <w:b/>
                <w:sz w:val="17"/>
              </w:rPr>
              <w:t>3,098</w:t>
            </w:r>
          </w:p>
        </w:tc>
        <w:tc>
          <w:tcPr>
            <w:tcW w:type="dxa" w:w="1440"/>
            <w:shd w:fill="FFDCE0" w:val="clear"/>
          </w:tcPr>
          <w:p>
            <w:r>
              <w:rPr>
                <w:sz w:val="17"/>
              </w:rPr>
              <w:t>3,356</w:t>
            </w:r>
          </w:p>
        </w:tc>
        <w:tc>
          <w:tcPr>
            <w:tcW w:type="dxa" w:w="1440"/>
            <w:shd w:fill="FFDCE0" w:val="clear"/>
          </w:tcPr>
          <w:p>
            <w:r>
              <w:rPr>
                <w:b/>
                <w:color w:val="C00000"/>
                <w:sz w:val="17"/>
              </w:rPr>
              <w:t>-2.9%</w:t>
            </w:r>
          </w:p>
        </w:tc>
      </w:tr>
      <w:tr>
        <w:tc>
          <w:tcPr>
            <w:tcW w:type="dxa" w:w="1440"/>
            <w:shd w:fill="FFDCE0" w:val="clear"/>
          </w:tcPr>
          <w:p>
            <w:r>
              <w:rPr>
                <w:sz w:val="17"/>
              </w:rPr>
              <w:t>J+5  ⭐</w:t>
            </w:r>
          </w:p>
        </w:tc>
        <w:tc>
          <w:tcPr>
            <w:tcW w:type="dxa" w:w="1440"/>
            <w:shd w:fill="FFDCE0" w:val="clear"/>
          </w:tcPr>
          <w:p>
            <w:r>
              <w:rPr>
                <w:sz w:val="17"/>
              </w:rPr>
              <w:t>2026-10-19</w:t>
            </w:r>
          </w:p>
        </w:tc>
        <w:tc>
          <w:tcPr>
            <w:tcW w:type="dxa" w:w="1440"/>
            <w:shd w:fill="FFDCE0" w:val="clear"/>
          </w:tcPr>
          <w:p>
            <w:r>
              <w:rPr>
                <w:sz w:val="17"/>
              </w:rPr>
              <w:t>2,792</w:t>
            </w:r>
          </w:p>
        </w:tc>
        <w:tc>
          <w:tcPr>
            <w:tcW w:type="dxa" w:w="1440"/>
            <w:shd w:fill="FFDCE0" w:val="clear"/>
          </w:tcPr>
          <w:p>
            <w:r>
              <w:rPr>
                <w:b/>
                <w:sz w:val="17"/>
              </w:rPr>
              <w:t>3,079</w:t>
            </w:r>
          </w:p>
        </w:tc>
        <w:tc>
          <w:tcPr>
            <w:tcW w:type="dxa" w:w="1440"/>
            <w:shd w:fill="FFDCE0" w:val="clear"/>
          </w:tcPr>
          <w:p>
            <w:r>
              <w:rPr>
                <w:sz w:val="17"/>
              </w:rPr>
              <w:t>3,365</w:t>
            </w:r>
          </w:p>
        </w:tc>
        <w:tc>
          <w:tcPr>
            <w:tcW w:type="dxa" w:w="1440"/>
            <w:shd w:fill="FFDCE0" w:val="clear"/>
          </w:tcPr>
          <w:p>
            <w:r>
              <w:rPr>
                <w:b/>
                <w:color w:val="C00000"/>
                <w:sz w:val="17"/>
              </w:rPr>
              <w:t>-3.5%</w:t>
            </w:r>
          </w:p>
        </w:tc>
      </w:tr>
      <w:tr>
        <w:tc>
          <w:tcPr>
            <w:tcW w:type="dxa" w:w="1440"/>
            <w:shd w:fill="FFDCE0" w:val="clear"/>
          </w:tcPr>
          <w:p>
            <w:r>
              <w:rPr>
                <w:sz w:val="17"/>
              </w:rPr>
              <w:t>J+6  ⭐</w:t>
            </w:r>
          </w:p>
        </w:tc>
        <w:tc>
          <w:tcPr>
            <w:tcW w:type="dxa" w:w="1440"/>
            <w:shd w:fill="FFDCE0" w:val="clear"/>
          </w:tcPr>
          <w:p>
            <w:r>
              <w:rPr>
                <w:sz w:val="17"/>
              </w:rPr>
              <w:t>2026-10-20</w:t>
            </w:r>
          </w:p>
        </w:tc>
        <w:tc>
          <w:tcPr>
            <w:tcW w:type="dxa" w:w="1440"/>
            <w:shd w:fill="FFDCE0" w:val="clear"/>
          </w:tcPr>
          <w:p>
            <w:r>
              <w:rPr>
                <w:sz w:val="17"/>
              </w:rPr>
              <w:t>2,747</w:t>
            </w:r>
          </w:p>
        </w:tc>
        <w:tc>
          <w:tcPr>
            <w:tcW w:type="dxa" w:w="1440"/>
            <w:shd w:fill="FFDCE0" w:val="clear"/>
          </w:tcPr>
          <w:p>
            <w:r>
              <w:rPr>
                <w:b/>
                <w:sz w:val="17"/>
              </w:rPr>
              <w:t>3,060</w:t>
            </w:r>
          </w:p>
        </w:tc>
        <w:tc>
          <w:tcPr>
            <w:tcW w:type="dxa" w:w="1440"/>
            <w:shd w:fill="FFDCE0" w:val="clear"/>
          </w:tcPr>
          <w:p>
            <w:r>
              <w:rPr>
                <w:sz w:val="17"/>
              </w:rPr>
              <w:t>3,372</w:t>
            </w:r>
          </w:p>
        </w:tc>
        <w:tc>
          <w:tcPr>
            <w:tcW w:type="dxa" w:w="1440"/>
            <w:shd w:fill="FFDCE0" w:val="clear"/>
          </w:tcPr>
          <w:p>
            <w:r>
              <w:rPr>
                <w:b/>
                <w:color w:val="C00000"/>
                <w:sz w:val="17"/>
              </w:rPr>
              <w:t>-4.1%</w:t>
            </w:r>
          </w:p>
        </w:tc>
      </w:tr>
      <w:tr>
        <w:tc>
          <w:tcPr>
            <w:tcW w:type="dxa" w:w="1440"/>
            <w:shd w:fill="FFDCE0" w:val="clear"/>
          </w:tcPr>
          <w:p>
            <w:r>
              <w:rPr>
                <w:sz w:val="17"/>
              </w:rPr>
              <w:t>J+7  ⭐</w:t>
            </w:r>
          </w:p>
        </w:tc>
        <w:tc>
          <w:tcPr>
            <w:tcW w:type="dxa" w:w="1440"/>
            <w:shd w:fill="FFDCE0" w:val="clear"/>
          </w:tcPr>
          <w:p>
            <w:r>
              <w:rPr>
                <w:sz w:val="17"/>
              </w:rPr>
              <w:t>2026-10-21</w:t>
            </w:r>
          </w:p>
        </w:tc>
        <w:tc>
          <w:tcPr>
            <w:tcW w:type="dxa" w:w="1440"/>
            <w:shd w:fill="FFDCE0" w:val="clear"/>
          </w:tcPr>
          <w:p>
            <w:r>
              <w:rPr>
                <w:sz w:val="17"/>
              </w:rPr>
              <w:t>2,706</w:t>
            </w:r>
          </w:p>
        </w:tc>
        <w:tc>
          <w:tcPr>
            <w:tcW w:type="dxa" w:w="1440"/>
            <w:shd w:fill="FFDCE0" w:val="clear"/>
          </w:tcPr>
          <w:p>
            <w:r>
              <w:rPr>
                <w:b/>
                <w:sz w:val="17"/>
              </w:rPr>
              <w:t>3,041</w:t>
            </w:r>
          </w:p>
        </w:tc>
        <w:tc>
          <w:tcPr>
            <w:tcW w:type="dxa" w:w="1440"/>
            <w:shd w:fill="FFDCE0" w:val="clear"/>
          </w:tcPr>
          <w:p>
            <w:r>
              <w:rPr>
                <w:sz w:val="17"/>
              </w:rPr>
              <w:t>3,376</w:t>
            </w:r>
          </w:p>
        </w:tc>
        <w:tc>
          <w:tcPr>
            <w:tcW w:type="dxa" w:w="1440"/>
            <w:shd w:fill="FFDCE0" w:val="clear"/>
          </w:tcPr>
          <w:p>
            <w:r>
              <w:rPr>
                <w:b/>
                <w:color w:val="C00000"/>
                <w:sz w:val="17"/>
              </w:rPr>
              <w:t>-4.7%</w:t>
            </w:r>
          </w:p>
        </w:tc>
      </w:tr>
      <w:tr>
        <w:tc>
          <w:tcPr>
            <w:tcW w:type="dxa" w:w="1440"/>
            <w:shd w:fill="FFDCE0" w:val="clear"/>
          </w:tcPr>
          <w:p>
            <w:r>
              <w:rPr>
                <w:sz w:val="17"/>
              </w:rPr>
              <w:t>J+8  ⭐</w:t>
            </w:r>
          </w:p>
        </w:tc>
        <w:tc>
          <w:tcPr>
            <w:tcW w:type="dxa" w:w="1440"/>
            <w:shd w:fill="FFDCE0" w:val="clear"/>
          </w:tcPr>
          <w:p>
            <w:r>
              <w:rPr>
                <w:sz w:val="17"/>
              </w:rPr>
              <w:t>2026-10-22</w:t>
            </w:r>
          </w:p>
        </w:tc>
        <w:tc>
          <w:tcPr>
            <w:tcW w:type="dxa" w:w="1440"/>
            <w:shd w:fill="FFDCE0" w:val="clear"/>
          </w:tcPr>
          <w:p>
            <w:r>
              <w:rPr>
                <w:sz w:val="17"/>
              </w:rPr>
              <w:t>2,667</w:t>
            </w:r>
          </w:p>
        </w:tc>
        <w:tc>
          <w:tcPr>
            <w:tcW w:type="dxa" w:w="1440"/>
            <w:shd w:fill="FFDCE0" w:val="clear"/>
          </w:tcPr>
          <w:p>
            <w:r>
              <w:rPr>
                <w:b/>
                <w:sz w:val="17"/>
              </w:rPr>
              <w:t>3,024</w:t>
            </w:r>
          </w:p>
        </w:tc>
        <w:tc>
          <w:tcPr>
            <w:tcW w:type="dxa" w:w="1440"/>
            <w:shd w:fill="FFDCE0" w:val="clear"/>
          </w:tcPr>
          <w:p>
            <w:r>
              <w:rPr>
                <w:sz w:val="17"/>
              </w:rPr>
              <w:t>3,380</w:t>
            </w:r>
          </w:p>
        </w:tc>
        <w:tc>
          <w:tcPr>
            <w:tcW w:type="dxa" w:w="1440"/>
            <w:shd w:fill="FFDCE0" w:val="clear"/>
          </w:tcPr>
          <w:p>
            <w:r>
              <w:rPr>
                <w:b/>
                <w:color w:val="C00000"/>
                <w:sz w:val="17"/>
              </w:rPr>
              <w:t>-5.2%</w:t>
            </w:r>
          </w:p>
        </w:tc>
      </w:tr>
      <w:tr>
        <w:tc>
          <w:tcPr>
            <w:tcW w:type="dxa" w:w="1440"/>
            <w:shd w:fill="FFDCE0" w:val="clear"/>
          </w:tcPr>
          <w:p>
            <w:r>
              <w:rPr>
                <w:sz w:val="17"/>
              </w:rPr>
              <w:t>J+9  ⭐</w:t>
            </w:r>
          </w:p>
        </w:tc>
        <w:tc>
          <w:tcPr>
            <w:tcW w:type="dxa" w:w="1440"/>
            <w:shd w:fill="FFDCE0" w:val="clear"/>
          </w:tcPr>
          <w:p>
            <w:r>
              <w:rPr>
                <w:sz w:val="17"/>
              </w:rPr>
              <w:t>2026-10-23</w:t>
            </w:r>
          </w:p>
        </w:tc>
        <w:tc>
          <w:tcPr>
            <w:tcW w:type="dxa" w:w="1440"/>
            <w:shd w:fill="FFDCE0" w:val="clear"/>
          </w:tcPr>
          <w:p>
            <w:r>
              <w:rPr>
                <w:sz w:val="17"/>
              </w:rPr>
              <w:t>2,631</w:t>
            </w:r>
          </w:p>
        </w:tc>
        <w:tc>
          <w:tcPr>
            <w:tcW w:type="dxa" w:w="1440"/>
            <w:shd w:fill="FFDCE0" w:val="clear"/>
          </w:tcPr>
          <w:p>
            <w:r>
              <w:rPr>
                <w:b/>
                <w:sz w:val="17"/>
              </w:rPr>
              <w:t>3,007</w:t>
            </w:r>
          </w:p>
        </w:tc>
        <w:tc>
          <w:tcPr>
            <w:tcW w:type="dxa" w:w="1440"/>
            <w:shd w:fill="FFDCE0" w:val="clear"/>
          </w:tcPr>
          <w:p>
            <w:r>
              <w:rPr>
                <w:sz w:val="17"/>
              </w:rPr>
              <w:t>3,383</w:t>
            </w:r>
          </w:p>
        </w:tc>
        <w:tc>
          <w:tcPr>
            <w:tcW w:type="dxa" w:w="1440"/>
            <w:shd w:fill="FFDCE0" w:val="clear"/>
          </w:tcPr>
          <w:p>
            <w:r>
              <w:rPr>
                <w:b/>
                <w:color w:val="C00000"/>
                <w:sz w:val="17"/>
              </w:rPr>
              <w:t>-5.7%</w:t>
            </w:r>
          </w:p>
        </w:tc>
      </w:tr>
      <w:tr>
        <w:tc>
          <w:tcPr>
            <w:tcW w:type="dxa" w:w="1440"/>
            <w:shd w:fill="FFDCE0" w:val="clear"/>
          </w:tcPr>
          <w:p>
            <w:r>
              <w:rPr>
                <w:sz w:val="17"/>
              </w:rPr>
              <w:t>J+10  ⭐</w:t>
            </w:r>
          </w:p>
        </w:tc>
        <w:tc>
          <w:tcPr>
            <w:tcW w:type="dxa" w:w="1440"/>
            <w:shd w:fill="FFDCE0" w:val="clear"/>
          </w:tcPr>
          <w:p>
            <w:r>
              <w:rPr>
                <w:sz w:val="17"/>
              </w:rPr>
              <w:t>2026-10-26</w:t>
            </w:r>
          </w:p>
        </w:tc>
        <w:tc>
          <w:tcPr>
            <w:tcW w:type="dxa" w:w="1440"/>
            <w:shd w:fill="FFDCE0" w:val="clear"/>
          </w:tcPr>
          <w:p>
            <w:r>
              <w:rPr>
                <w:sz w:val="17"/>
              </w:rPr>
              <w:t>2,597</w:t>
            </w:r>
          </w:p>
        </w:tc>
        <w:tc>
          <w:tcPr>
            <w:tcW w:type="dxa" w:w="1440"/>
            <w:shd w:fill="FFDCE0" w:val="clear"/>
          </w:tcPr>
          <w:p>
            <w:r>
              <w:rPr>
                <w:b/>
                <w:sz w:val="17"/>
              </w:rPr>
              <w:t>2,991</w:t>
            </w:r>
          </w:p>
        </w:tc>
        <w:tc>
          <w:tcPr>
            <w:tcW w:type="dxa" w:w="1440"/>
            <w:shd w:fill="FFDCE0" w:val="clear"/>
          </w:tcPr>
          <w:p>
            <w:r>
              <w:rPr>
                <w:sz w:val="17"/>
              </w:rPr>
              <w:t>3,385</w:t>
            </w:r>
          </w:p>
        </w:tc>
        <w:tc>
          <w:tcPr>
            <w:tcW w:type="dxa" w:w="1440"/>
            <w:shd w:fill="FFDCE0" w:val="clear"/>
          </w:tcPr>
          <w:p>
            <w:r>
              <w:rPr>
                <w:b/>
                <w:color w:val="C00000"/>
                <w:sz w:val="17"/>
              </w:rPr>
              <w:t>-6.3%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SERVAIR ABIDJAN (ABJC)**</w:t>
        <w:br/>
        <w:t>*Bourse Régionale des Valeurs Mobilières (BRVM) — Secteur : Services aéroportuaires*</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34,81 milliards FCFA, Servair Abidjan se positionne comme une valeur de taille moyenne sur le compartiment BRVM, reflétant sa stature de spécialiste des services aéroportuaires en Côte d'Ivoire. Le BPA de 124 FCFA/action indique que chaque titre génère un bénéfice net de 124 FCFA, ce qui, rapporté au cours actuel de 3 190 FCFA, aboutit à un PER de 25,8x — nettement supérieur à la moyenne du marché BRVM (8-12x), signalant que les investisseurs paient une prime significative pour les bénéfices, soit en anticipation d'une croissance future, soit en raison d'une surévaluation. Le ratio P/B de 6,75x (très au-dessus du seuil de 4x) confirme cette valorisation exigeante : le marché valorise l'entreprise à près de 7 fois sa valeur comptable, ce qui traduit une forte confiance dans la qualité des actifs immatériels et la rentabilité future. Enfin, l'EV/EBITDA de 13,0x, dans la fourchette haute (10-15x), indique que la valeur totale de l'entreprise (dette incluse) représente 13 fois sa capacité opérationnelle, suggérant une valorisation tendue qui nécessite une croissance soutenue pour être justifiée.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ABJC affiche une variation totale positive de +12,13%, avec une dernière séance (J-1) stable à +0,00%, le cours clôturant à 3 190 FCFA. Le range de trading est significatif, avec un plus haut à 4 095 FCFA et un plus bas à 2 800 FCFA, soit une amplitude de 1 295 FCFA (46% du plus bas), témoignant d'une forte volatilité intra-période. La tendance générale est haussière sur la période, mais le cours actuel (3 190 FCFA) se situe nettement en dessous du plus haut, indiquant une correction récente depuis les sommets. Les statistiques descriptives révèlent une moyenne de 3 355 FCFA supérieure à la médiane de 3 278 FCFA, avec un mode à 3 150 FCFA : cet écart moyenne-médiane confirme une asymétrie positive (skewness de 0,609), signifiant que davantage de journées se sont négociées sous la moyenne, mais que quelques journées à cours élevé tirent la moyenne vers le haut. L'écart-type de 361 FCFA (CV=10,8%) indique une dispersion modérée du cours autour de sa moyenne, tandis que le kurtosis de -0,787 (mésokurtique) suggère une distribution proche de la normale, sans risque excessif de pics extrêmes. La volatilité annualisée de 45,1% classe le titre dans la catégorie des valeurs à volatilité élevée (&gt;30%), ce qui implique un risque de prix important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(3 674,75 FCFA) et la MM50 (3 555,7 FCFA) se situent toutes deux nettement au-dessus du cours actuel (3 190 FCFA), ce qui place le titre en position baissière à court et moyen terme. Cependant, la décision technique affichée est "Achat", probablement en anticipation d'un retour à la moyenne (mean reversion) après la correction. La MM20 étant supérieure à la MM50, la structure de tendance reste haussière sur le fond, mais le prix est en phase de correction.</w:t>
      </w:r>
    </w:p>
    <w:p>
      <w:pPr>
        <w:spacing w:after="120" w:line="276" w:lineRule="auto"/>
      </w:pPr>
      <w:r>
        <w:t>**Bandes de Bollinger** : La borne supérieure est à 4 335,50 FCFA et la borne inférieure à 3 014,00 FCFA, avec un cours actuel de 3 190 FCFA qui se situe dans la partie basse de la bande, proche de la borne inférieure. Cette position suggère que le titre est survendu à court terme et pourrait rebondir vers la moyenne mobile (3 355 FCFA). La décision "Neutre" reflète cette position ambiguë : le cours n'est ni en surachat ni en survente extrême, mais proche du support.</w:t>
      </w:r>
    </w:p>
    <w:p>
      <w:pPr>
        <w:spacing w:after="120" w:line="276" w:lineRule="auto"/>
      </w:pPr>
      <w:r>
        <w:t>**MACD** : La valeur du MACD (-135,667) est inférieure à son signal (-54,349), confirmant un momentum baissier à court terme. La divergence négative entre le MACD et son signal indique que la pression vendeuse persiste, justifiant la décision "Vente". Cependant, l'écart entre les deux lignes se réduit, ce qui pourrait annoncer un retournement prochain.</w:t>
      </w:r>
    </w:p>
    <w:p>
      <w:pPr>
        <w:spacing w:after="120" w:line="276" w:lineRule="auto"/>
      </w:pPr>
      <w:r>
        <w:t>**RSI** : Avec une valeur de 15,455, le RSI est en zone de survente extrême (&lt;30), ce qui est un signal d'achat technique fort. Un RSI aussi bas indique que le titre a été massivement vendu et qu'un rebond technique est probable à court terme. La décision "Achat" est cohérente avec cette lecture.</w:t>
      </w:r>
    </w:p>
    <w:p>
      <w:pPr>
        <w:spacing w:after="120" w:line="276" w:lineRule="auto"/>
      </w:pPr>
      <w:r>
        <w:t>**Stochastique** : Le %K (0,0) et le %D (1,439) sont tous deux en zone de survente extrême, avec un %K inférieur au %D, ce qui est un signal d'achat potentiel (croisement haussier imminent). La décision "Achat" est justifiée par cette configuration, qui suggère que la pression vendeuse est à son paroxysme et qu'un retournement est probable.</w:t>
      </w:r>
    </w:p>
    <w:p>
      <w:pPr>
        <w:spacing w:after="120" w:line="276" w:lineRule="auto"/>
      </w:pPr>
      <w:r>
        <w:t>**Conclusion technique** : Les indicateurs techniques sont divergents : les moyennes mobiles et le MACD sont baissiers, tandis que le RSI et le stochastique sont en survente extrême et génèrent des signaux d'achat. Cette configuration suggère que le titre est en phase de correction mais pourrait rebondir à court terme. La convergence des signaux de survente (RSI, stochastique) et la position du cours dans les bandes de Bollinger plaident pour un rebond technique, mais la prudence reste de mise tant que le MACD ne confirme pas de retournement.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Servair Abidjan a réalisé un chiffre d'affaires de 13,298 milliards FCFA, en croissance de 6,67% par rapport à 2024, selon les données structurées officielles. Le résultat net s'établit à 1,351 milliard FCFA, avec une marge nette de 10,16% et une marge opérationnelle de 16,38%. La rentabilité des fonds propres (ROE) atteint 26,18%, un niveau excellent (&gt;15%), et le ROA de 14,64% confirme l'efficacité de l'utilisation des actifs. La structure financière est solide : autonomie financière de 55,92%, endettement financier quasi nul (dette financière totale de 65,89 millions FCFA seulement), et trésorerie nette de 4,035 milliards FCFA. Le BFR est négatif à -257,45 millions FCFA (favorable), et les délais clients (70,10 jours) et fournisseurs (92,11 jours) sont équilibrés, bien que le délai client élevé constitue un point de vigilance pour la trésorerie.</w:t>
      </w:r>
    </w:p>
    <w:p>
      <w:pPr>
        <w:spacing w:after="120" w:line="276" w:lineRule="auto"/>
      </w:pPr>
      <w:r>
        <w:t>**Adaptation au secteur (entreprise)** : Les délais d'exploitation montrent une gestion rigoureuse : le délai fournisseurs (92,11 jours) supérieur au délai clients (70,10 jours) permet à l'entreprise de financer son cycle d'exploitation par ses fournisseurs. La rotation des actifs de 144,13% indique une bonne efficacité dans l'utilisation des actifs pour générer du chiffre d'affaires. La couverture des intérêts est exceptionnelle (36 092%), reflétant la quasi-absence de dette financière.</w:t>
      </w:r>
    </w:p>
    <w:p>
      <w:pPr>
        <w:spacing w:after="120" w:line="276" w:lineRule="auto"/>
      </w:pPr>
      <w:r>
        <w:t>**Estimations basées sur les rapports trimestriels** : Le rapport T1 2026 (publié en 2026) révèle une croissance modérée du CA de +1,9% (3,237 milliards FCFA vs 3,176 milliards FCFA au T1 2025), mais une forte dégradation de la rentabilité avec un résultat net en baisse de 35,6% (222,6 millions FCFA vs 345,9 millions FCFA). Cette contre-performance est attribuée à des ajustements de redevances aéroportuaires et à des tensions géopolitiques au Moyen-Orient affectant les compagnies aériennes clientes. Sur la base de ce T1 2026, on estime que l'exercice 2026 devrait enregistrer une croissance du CA limitée (autour de +2-3%) et une pression sur les marges, avec un résultat net potentiellement en baisse de 20-30% par rapport à 2025. Le rapport T3 2025 (publié en 2025) montrait déjà un redressement avec un CA trimestriel de 10,218 milliards FCFA (+10,3%) et un résultat net de 1,325 milliards FCFA (+17,1%), mais cette dynamique semble s'être essoufflée au T1 2026.</w:t>
      </w:r>
    </w:p>
    <w:p>
      <w:pPr>
        <w:spacing w:after="120" w:line="276" w:lineRule="auto"/>
      </w:pPr>
      <w:r>
        <w:t>**Évolution pluriannuelle** : Les états financiers 2024 (publiés en 2024) indiquaient un CA de 12,467 milliards FCFA (+10,8%) et un résultat net de 1,515 milliards FCFA (+11,6%), avec un BPA de 139 FCFA. En 2025, malgré la croissance du CA (+6,7%), le résultat net a reculé de 12,1% à 1,331 milliard FCFA (selon le rapport 3), principalement en raison d'une charge d'impôt en hausse de 46,7%. Cette tendance à la compression des marges, confirmée par le T1 2026, constitue un risque majeur.</w:t>
      </w:r>
    </w:p>
    <w:p>
      <w:pPr>
        <w:spacing w:after="120" w:line="276" w:lineRule="auto"/>
      </w:pPr>
      <w:r>
        <w:t>**Recommandation fondamentale** : La société présente des fondamentaux solides (ROE élevé, structure financière saine, trésorerie abondante) mais fait face à des défis croissants : dégradation de la rentabilité, pression fiscale, et dépendance au trafic aérien. La valorisation exigeante (PER 25,8x) ne semble pas justifiée par les perspectives à court terme. Recommandation : **CONSERVER** avec une surveillance étroite des marges et de la résolution des litiges réglementaires.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situation contrastée. **Valorisation (Partie 0)** : les ratios PER (25,8x), P/B (6,75x) et EV/EBITDA (13,0x) indiquent une nette surévaluation par rapport aux moyennes du marché BRVM, ce qui limite le potentiel de hausse à court terme. **Comportement du cours (Partie 1)** : la tendance haussière sur 100 jours (+12,13%) masque une correction récente depuis le plus haut (4 095 FCFA), avec une volatilité élevée (45,1%) et une asymétrie positive (skewness 0,609) qui suggère que le cours pourrait encore baisser avant de rebondir. **Signaux techniques (Partie 2)** : divergence entre les indicateurs baissiers (MM, MACD) et les signaux de survente extrême (RSI à 15,45, stochastique à 0,0), plaidant pour un rebond technique à court terme mais sans confirmation de retournement durable. **Fondamentaux (Partie 3)** : la solidité financière (ROE 26,18%, trésorerie nette 4,035 milliards FCFA) est tempérée par la dégradation de la rentabilité au T1 2026 (résultat net -35,6%) et la pression fiscale. **Prédictions IA (J+1 à J+10)** : la trajectoire baissière prévue (3 159 FCFA à 3 079 FCFA, soit -3,5% sur 10 jours) contredit les signaux d'achat techniques à court terme et confirme la pression baissière persistante.</w:t>
      </w:r>
    </w:p>
    <w:p>
      <w:pPr>
        <w:spacing w:after="120" w:line="276" w:lineRule="auto"/>
      </w:pPr>
      <w:r>
        <w:t>**Recommandation finale** : **CONSERVER**. La convergence entre la surévaluation, la dégradation des fondamentaux récents et les prédictions baissières l'emporte sur les signaux techniques de survente. Le niveau de confiance est **Moyen** (les indicateurs techniques de survente pourraient générer un rebond à court terme, mais la tendance de fond est baissière). Le niveau de risque global est **Élevé** (volatilité de 45,1%, valorisation tendue, dépendance au secteur aérien). L'horizon d'investissement optimal est **moyen terme (3-12 mois)**, en attendant une clarification sur la résolution des litiges réglementaires et une stabilisation des marges. Les investisseurs déjà positionnés peuvent conserver en surveillant le support à 3 014 FCFA (borne inférieure de Bollinger), tandis que les nouveaux entrants devraient attendre une confirmation de retournement technique et une amélioration des perspectives fondamentales.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BBGC - BRIDGE BANK GROUP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BBGC</w:t>
            </w:r>
          </w:p>
          <w:p>
            <w:r>
              <w:rPr>
                <w:b/>
                <w:color w:val="323250"/>
                <w:sz w:val="16"/>
              </w:rPr>
              <w:t xml:space="preserve">Société : </w:t>
            </w:r>
            <w:r>
              <w:rPr>
                <w:color w:val="000000"/>
                <w:sz w:val="16"/>
              </w:rPr>
              <w:t>BRIDGE BANK GROUP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522.50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33,617 titres</w:t>
            </w:r>
          </w:p>
        </w:tc>
        <w:tc>
          <w:tcPr>
            <w:tcW w:type="dxa" w:w="2268"/>
            <w:shd w:fill="FFF2CC" w:val="clear"/>
          </w:tcPr>
          <w:p>
            <w:r>
              <w:rPr>
                <w:b/>
                <w:color w:val="503200"/>
                <w:sz w:val="16"/>
              </w:rPr>
              <w:t xml:space="preserve">Cours actuel : </w:t>
            </w:r>
            <w:r>
              <w:rPr>
                <w:color w:val="000000"/>
                <w:sz w:val="17"/>
              </w:rPr>
              <w:t>10,450 FCFA</w:t>
            </w:r>
          </w:p>
          <w:p>
            <w:r>
              <w:rPr>
                <w:b/>
                <w:color w:val="503200"/>
                <w:sz w:val="16"/>
              </w:rPr>
              <w:t xml:space="preserve">Var. 100 jours : </w:t>
            </w:r>
            <w:r>
              <w:rPr>
                <w:b/>
                <w:color w:val="007800"/>
                <w:sz w:val="17"/>
              </w:rPr>
              <w:t>+44.04%</w:t>
            </w:r>
          </w:p>
          <w:p>
            <w:r>
              <w:rPr>
                <w:b/>
                <w:color w:val="503200"/>
                <w:sz w:val="16"/>
              </w:rPr>
              <w:t xml:space="preserve">Plus haut 100j : </w:t>
            </w:r>
            <w:r>
              <w:rPr>
                <w:color w:val="000000"/>
                <w:sz w:val="17"/>
              </w:rPr>
              <w:t>10,450 FCFA</w:t>
            </w:r>
          </w:p>
          <w:p>
            <w:r>
              <w:rPr>
                <w:b/>
                <w:color w:val="503200"/>
                <w:sz w:val="16"/>
              </w:rPr>
              <w:t xml:space="preserve">Plus bas 100j : </w:t>
            </w:r>
            <w:r>
              <w:rPr>
                <w:color w:val="000000"/>
                <w:sz w:val="17"/>
              </w:rPr>
              <w:t>7,255 FCFA</w:t>
            </w:r>
          </w:p>
          <w:p>
            <w:r>
              <w:rPr>
                <w:b/>
                <w:color w:val="503200"/>
                <w:sz w:val="16"/>
              </w:rPr>
              <w:t xml:space="preserve">Volatilité ann. : </w:t>
            </w:r>
            <w:r>
              <w:rPr>
                <w:color w:val="000000"/>
                <w:sz w:val="17"/>
              </w:rPr>
              <w:t>52.0%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22.2/100 → Moyen</w:t>
      </w:r>
    </w:p>
    <w:p>
      <w:pPr>
        <w:spacing w:before="40" w:after="80"/>
      </w:pPr>
      <w:r>
        <w:rPr>
          <w:rFonts w:ascii="Courier New" w:hAnsi="Courier New"/>
          <w:color w:val="825A00"/>
          <w:sz w:val="18"/>
        </w:rPr>
        <w:t>████░░░░░░░░░░░░░░░░  22.2/100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10.64% (Moyenne) — μ=9,172 FCFA, σ=976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β=1.3305 (Agressif) — Cov=0.000116, Var(idx)=0.000087, ρ=0.377, n=10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33,617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σ_j=3.28%/j (Modérée) — Vol. annualisée≈52.0%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63/100  (Bon)</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204.985 Mds FCFA</w:t>
            </w:r>
          </w:p>
        </w:tc>
        <w:tc>
          <w:tcPr>
            <w:tcW w:type="dxa" w:w="5669"/>
            <w:shd w:fill="FFFFFF" w:val="clear"/>
          </w:tcPr>
          <w:p>
            <w:r>
              <w:rPr>
                <w:color w:val="282828"/>
                <w:sz w:val="15"/>
              </w:rPr>
              <w:t>Représente 14.4%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297.260 Mds FCFA</w:t>
            </w:r>
          </w:p>
        </w:tc>
        <w:tc>
          <w:tcPr>
            <w:tcW w:type="dxa" w:w="5669"/>
            <w:shd w:fill="FFFFFF" w:val="clear"/>
          </w:tcPr>
          <w:p>
            <w:r>
              <w:rPr>
                <w:color w:val="282828"/>
                <w:sz w:val="15"/>
              </w:rPr>
              <w:t>Titres d'État détenus (20.8%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72.277 Mds FCFA</w:t>
            </w:r>
          </w:p>
        </w:tc>
        <w:tc>
          <w:tcPr>
            <w:tcW w:type="dxa" w:w="5669"/>
            <w:shd w:fill="FFFFFF" w:val="clear"/>
          </w:tcPr>
          <w:p>
            <w:r>
              <w:rPr>
                <w:color w:val="282828"/>
                <w:sz w:val="15"/>
              </w:rPr>
              <w:t>Prêts aux autres banques (5.1%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768.574 Mds FCFA</w:t>
            </w:r>
          </w:p>
        </w:tc>
        <w:tc>
          <w:tcPr>
            <w:tcW w:type="dxa" w:w="5669"/>
            <w:shd w:fill="FFFFFF" w:val="clear"/>
          </w:tcPr>
          <w:p>
            <w:r>
              <w:rPr>
                <w:color w:val="282828"/>
                <w:sz w:val="15"/>
              </w:rPr>
              <w:t>Portefeuille crédits (53.8%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6.725 Mds FCFA</w:t>
            </w:r>
          </w:p>
        </w:tc>
        <w:tc>
          <w:tcPr>
            <w:tcW w:type="dxa" w:w="5669"/>
            <w:shd w:fill="FFFFFF" w:val="clear"/>
          </w:tcPr>
          <w:p>
            <w:r>
              <w:rPr>
                <w:color w:val="282828"/>
                <w:sz w:val="15"/>
              </w:rPr>
              <w:t>Brevets, logiciels, fonds commercial (0.5%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21.324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28.164 Mds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1427.417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18.074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105.139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129.547 Mds FCFA</w:t>
            </w:r>
          </w:p>
        </w:tc>
        <w:tc>
          <w:tcPr>
            <w:tcW w:type="dxa" w:w="5669"/>
            <w:shd w:fill="FFFFFF" w:val="clear"/>
          </w:tcPr>
          <w:p>
            <w:r>
              <w:rPr>
                <w:color w:val="282828"/>
                <w:sz w:val="15"/>
              </w:rPr>
              <w:t>Capitaux permanents / Actif immobilisé = 4.60x.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128.033 Mds FCFA</w:t>
            </w:r>
          </w:p>
        </w:tc>
        <w:tc>
          <w:tcPr>
            <w:tcW w:type="dxa" w:w="5669"/>
            <w:shd w:fill="FFFFFF" w:val="clear"/>
          </w:tcPr>
          <w:p>
            <w:r>
              <w:rPr>
                <w:color w:val="282828"/>
                <w:sz w:val="15"/>
              </w:rPr>
              <w:t>Refinancement interbancaire (9.0%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1138.119 Mds FCFA</w:t>
            </w:r>
          </w:p>
        </w:tc>
        <w:tc>
          <w:tcPr>
            <w:tcW w:type="dxa" w:w="5669"/>
            <w:shd w:fill="FFFFFF" w:val="clear"/>
          </w:tcPr>
          <w:p>
            <w:r>
              <w:rPr>
                <w:color w:val="282828"/>
                <w:sz w:val="15"/>
              </w:rPr>
              <w:t>Dépôts clients = 79.7%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24.408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152.441 Mds FCFA</w:t>
            </w:r>
          </w:p>
        </w:tc>
        <w:tc>
          <w:tcPr>
            <w:tcW w:type="dxa" w:w="5669"/>
            <w:shd w:fill="FFFFFF" w:val="clear"/>
          </w:tcPr>
          <w:p>
            <w:r>
              <w:rPr>
                <w:color w:val="282828"/>
                <w:sz w:val="15"/>
              </w:rPr>
              <w:t>Dette financière totale = 145%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1322.278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67.824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67.824 Mds FCFA</w:t>
            </w:r>
          </w:p>
        </w:tc>
        <w:tc>
          <w:tcPr>
            <w:tcW w:type="dxa" w:w="5669"/>
            <w:shd w:fill="FFFFFF" w:val="clear"/>
          </w:tcPr>
          <w:p>
            <w:r>
              <w:rPr>
                <w:color w:val="282828"/>
                <w:sz w:val="15"/>
              </w:rPr>
              <w:t>Revenu bancaire central (≡ CA). Croissance: 15.7%. ✅ PNB en progression — dynamisme commercial.</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14.357 Mds FCFA</w:t>
            </w:r>
          </w:p>
        </w:tc>
        <w:tc>
          <w:tcPr>
            <w:tcW w:type="dxa" w:w="5669"/>
            <w:shd w:fill="FFFFFF" w:val="clear"/>
          </w:tcPr>
          <w:p>
            <w:r>
              <w:rPr>
                <w:color w:val="282828"/>
                <w:sz w:val="15"/>
              </w:rPr>
              <w:t>Masse salariale = 21.2%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39.441 Mds FCFA</w:t>
            </w:r>
          </w:p>
        </w:tc>
        <w:tc>
          <w:tcPr>
            <w:tcW w:type="dxa" w:w="5669"/>
            <w:shd w:fill="FFFFFF" w:val="clear"/>
          </w:tcPr>
          <w:p>
            <w:r>
              <w:rPr>
                <w:color w:val="282828"/>
                <w:sz w:val="15"/>
              </w:rPr>
              <w:t>RBE = 58.2%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32.637 Mds FCFA</w:t>
            </w:r>
          </w:p>
        </w:tc>
        <w:tc>
          <w:tcPr>
            <w:tcW w:type="dxa" w:w="5669"/>
            <w:shd w:fill="FFFFFF" w:val="clear"/>
          </w:tcPr>
          <w:p>
            <w:r>
              <w:rPr>
                <w:color w:val="282828"/>
                <w:sz w:val="15"/>
              </w:rPr>
              <w:t>Profit d'exploitation = 48.1%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6.804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27.197 Mds FCFA</w:t>
            </w:r>
          </w:p>
        </w:tc>
        <w:tc>
          <w:tcPr>
            <w:tcW w:type="dxa" w:w="5669"/>
            <w:shd w:fill="FFFFFF" w:val="clear"/>
          </w:tcPr>
          <w:p>
            <w:r>
              <w:rPr>
                <w:color w:val="282828"/>
                <w:sz w:val="15"/>
              </w:rPr>
              <w:t>Marge nette = 40.1%.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40.10%</w:t>
            </w:r>
          </w:p>
        </w:tc>
        <w:tc>
          <w:tcPr>
            <w:tcW w:type="dxa" w:w="5669"/>
            <w:shd w:fill="FFFFFF" w:val="clear"/>
          </w:tcPr>
          <w:p>
            <w:r>
              <w:rPr>
                <w:color w:val="282828"/>
                <w:sz w:val="15"/>
              </w:rPr>
              <w:t>Résultat net / revenus = 40.10%.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48.12%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25.87%</w:t>
            </w:r>
          </w:p>
        </w:tc>
        <w:tc>
          <w:tcPr>
            <w:tcW w:type="dxa" w:w="5669"/>
            <w:shd w:fill="FFFFFF" w:val="clear"/>
          </w:tcPr>
          <w:p>
            <w:r>
              <w:rPr>
                <w:color w:val="282828"/>
                <w:sz w:val="15"/>
              </w:rPr>
              <w:t>Résultat net / capitaux propres = 25.87%.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1.91%</w:t>
            </w:r>
          </w:p>
        </w:tc>
        <w:tc>
          <w:tcPr>
            <w:tcW w:type="dxa" w:w="5669"/>
            <w:shd w:fill="FFFFFF" w:val="clear"/>
          </w:tcPr>
          <w:p>
            <w:r>
              <w:rPr>
                <w:color w:val="282828"/>
                <w:sz w:val="15"/>
              </w:rPr>
              <w:t>Résultat net / total actif = 1.91%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4.75%</w:t>
            </w:r>
          </w:p>
        </w:tc>
        <w:tc>
          <w:tcPr>
            <w:tcW w:type="dxa" w:w="5669"/>
            <w:shd w:fill="FFFFFF" w:val="clear"/>
          </w:tcPr>
          <w:p>
            <w:r>
              <w:rPr>
                <w:color w:val="282828"/>
                <w:sz w:val="15"/>
              </w:rPr>
              <w:t>CA / total actif = 4.75x.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41.85%</w:t>
            </w:r>
          </w:p>
        </w:tc>
        <w:tc>
          <w:tcPr>
            <w:tcW w:type="dxa" w:w="5669"/>
            <w:shd w:fill="FFFFFF" w:val="clear"/>
          </w:tcPr>
          <w:p>
            <w:r>
              <w:rPr>
                <w:color w:val="282828"/>
                <w:sz w:val="15"/>
              </w:rPr>
              <w:t>Charges / PNB = 41.85% (cost-to-income). ✅ Excellent — banque très efficiente.</w:t>
            </w:r>
          </w:p>
        </w:tc>
      </w:tr>
      <w:tr>
        <w:tc>
          <w:tcPr>
            <w:tcW w:type="dxa" w:w="2268"/>
            <w:shd w:fill="EEF2F7" w:val="clear"/>
          </w:tcPr>
          <w:p>
            <w:r>
              <w:rPr>
                <w:b/>
                <w:color w:val="1E1E3C"/>
                <w:sz w:val="16"/>
              </w:rPr>
              <w:t>Coût du risque</w:t>
            </w:r>
          </w:p>
        </w:tc>
        <w:tc>
          <w:tcPr>
            <w:tcW w:type="dxa" w:w="1984"/>
            <w:shd w:fill="C6EFCE" w:val="clear"/>
          </w:tcPr>
          <w:p>
            <w:r>
              <w:rPr>
                <w:b/>
                <w:color w:val="006400"/>
                <w:sz w:val="17"/>
              </w:rPr>
              <w:t>0.89%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15.71%</w:t>
            </w:r>
          </w:p>
        </w:tc>
        <w:tc>
          <w:tcPr>
            <w:tcW w:type="dxa" w:w="5669"/>
            <w:shd w:fill="FFFFFF" w:val="clear"/>
          </w:tcPr>
          <w:p>
            <w:r>
              <w:rPr>
                <w:color w:val="282828"/>
                <w:sz w:val="15"/>
              </w:rPr>
              <w:t>Croissance PNB vs exercice précédent = 15.71%.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7.37%</w:t>
            </w:r>
          </w:p>
        </w:tc>
        <w:tc>
          <w:tcPr>
            <w:tcW w:type="dxa" w:w="5669"/>
            <w:shd w:fill="FFFFFF" w:val="clear"/>
          </w:tcPr>
          <w:p>
            <w:r>
              <w:rPr>
                <w:color w:val="282828"/>
                <w:sz w:val="15"/>
              </w:rPr>
              <w:t>Fonds propres / total bilan = 7.37%.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92.63%</w:t>
            </w:r>
          </w:p>
        </w:tc>
        <w:tc>
          <w:tcPr>
            <w:tcW w:type="dxa" w:w="5669"/>
            <w:shd w:fill="FFFFFF" w:val="clear"/>
          </w:tcPr>
          <w:p>
            <w:r>
              <w:rPr>
                <w:color w:val="282828"/>
                <w:sz w:val="15"/>
              </w:rPr>
              <w:t>Dettes financières / total bilan = 92.63%.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1257.65%</w:t>
            </w:r>
          </w:p>
        </w:tc>
        <w:tc>
          <w:tcPr>
            <w:tcW w:type="dxa" w:w="5669"/>
            <w:shd w:fill="FFFFFF" w:val="clear"/>
          </w:tcPr>
          <w:p>
            <w:r>
              <w:rPr>
                <w:color w:val="282828"/>
                <w:sz w:val="15"/>
              </w:rPr>
              <w:t>Dettes totales / fonds propres = 1257.65%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107.95%</w:t>
            </w:r>
          </w:p>
        </w:tc>
        <w:tc>
          <w:tcPr>
            <w:tcW w:type="dxa" w:w="5669"/>
            <w:shd w:fill="FFFFFF" w:val="clear"/>
          </w:tcPr>
          <w:p>
            <w:r>
              <w:rPr>
                <w:color w:val="282828"/>
                <w:sz w:val="15"/>
              </w:rPr>
              <w:t>Total actif / dettes totales = 107.95x. ✅ Solvable.</w:t>
            </w:r>
          </w:p>
        </w:tc>
      </w:tr>
    </w:tbl>
    <w:p/>
    <w:p>
      <w:pPr>
        <w:spacing w:after="120" w:line="276" w:lineRule="auto"/>
      </w:pPr>
      <w:r>
        <w:t># 📊 RAPPORT D'ANALYSE FINANCIÈRE — BBGC (BRIDGE BANK GROUP COTE D'IVOIRE)</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**522,50 milliards FCFA**, BBGC s'impose comme l'une des plus importantes capitalisations du compartiment bancaire de la BRVM, ce qui traduit une forte attractivité institutionnelle depuis son introduction en bourse. Le **BPA de 544 FCFA/action** signifie que chaque titre génère près de 544 FCFA de bénéfice net, un niveau remarquable pour le marché ouest-africain. Le **PER de 19,2x** se situe nettement au-dessus de la moyenne BRVM (~8-12x), signalant que les investisseurs paient une prime significative pour la croissance attendue — valorisation « modérée » en apparence, mais exigeante dans le contexte régional. Le **P/B de 4,97x** confirme cette prime : le marché valorise la banque près de 5 fois ses fonds propres comptables (105,1 Mds FCFA), ce qui n'est justifiable que par un ROE élevé et une croissance soutenue. Enfin, l'**EV/EBITDA de 17,1x** (au-dessus du seuil de 15x) traduit une valorisation tendue par rapport à la capacité opérationnelle, laissant peu de marge d'erreur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BBGC affiche une performance spectaculaire de **+44,04%**, avec une dernière séance en légère hausse de **+0,48%**, portant le cours actuel à **10 450 FCFA** — soit précisément son plus haut sur la période, contre un plus bas de **7 255 FCFA**. Le range de trading de 3 195 FCFA (soit ~44% d'amplitude) confirme une tendance franchement **haussière**, soutenue par le succès de l'OPV et la publication de résultats semestriels solides. Les statistiques descriptives révèlent une **moyenne (9 172 FCFA) légèrement supérieure à la médiane (9 098 FCFA)**, signe d'une distribution faiblement asymétrique à droite, cohérente avec le skewness de **-0,415** (proche de la symétrie, avec une légère traîne vers les valeurs basses). L'écart-type de **1 020 FCFA** et le **CV de 11,1%** indiquent une dispersion modérée autour de la tendance, tandis que le kurtosis de **-0,797** (mésokurtique) suggère une distribution proche de la normale, sans risque majeur de pics extrêmes. La **volatilité annualisée de 52,0%** classe le titre dans la catégorie **élevée (&gt;30%)**, typique d'une valeur récemment introduite en bourse avec un flottant limité et une forte demande.</w:t>
      </w:r>
    </w:p>
    <w:p>
      <w:pPr>
        <w:spacing w:after="120" w:line="276" w:lineRule="auto"/>
      </w:pPr>
      <w:r>
        <w:t>---</w:t>
      </w:r>
    </w:p>
    <w:p>
      <w:pPr>
        <w:spacing w:after="120" w:line="276" w:lineRule="auto"/>
      </w:pPr>
      <w:r>
        <w:t>## PARTIE 2 : ANALYSE TECHNIQUE DÉTAILLÉE</w:t>
      </w:r>
    </w:p>
    <w:p>
      <w:pPr>
        <w:spacing w:after="120" w:line="276" w:lineRule="auto"/>
      </w:pPr>
      <w:r>
        <w:t>**Moyennes Mobiles (MM20 / MM50)** : Les valeurs MM20 et MM50 ne sont pas disponibles (nan), ce qui s'explique probablement par l'historique de cotation encore récent (introduction en 2026). Sans ces repères, la décision technique reste **neutre**, mais la position du cours au plus haut absolu suggère une dynamique haussière intacte.</w:t>
      </w:r>
    </w:p>
    <w:p>
      <w:pPr>
        <w:spacing w:after="120" w:line="276" w:lineRule="auto"/>
      </w:pPr>
      <w:r>
        <w:t>**Bandes de Bollinger** : Les bornes supérieure et inférieure sont indisponibles (nan), empêchant toute lecture de la volatilité relative. Le cours actuel (10 450 FCFA) étant au sommet de son range, on peut toutefois présumer une pression acheteuse soutenue. Décision : **neutre** par défaut de données.</w:t>
      </w:r>
    </w:p>
    <w:p>
      <w:pPr>
        <w:spacing w:after="120" w:line="276" w:lineRule="auto"/>
      </w:pPr>
      <w:r>
        <w:t>**MACD** : Les valeurs MACD et Signal sont manquantes (nan), rendant impossible l'analyse de la divergence et du momentum. Décision : **neutre**.</w:t>
      </w:r>
    </w:p>
    <w:p>
      <w:pPr>
        <w:spacing w:after="120" w:line="276" w:lineRule="auto"/>
      </w:pPr>
      <w:r>
        <w:t>**RSI** : La valeur du RSI n'est pas fournie (nan). Compte tenu de la hausse de +44% en 100 jours, un RSI élevé (&gt;70, zone de surachat) serait plausible, incitant à la prudence. Décision : **neutre** faute de donnée.</w:t>
      </w:r>
    </w:p>
    <w:p>
      <w:pPr>
        <w:spacing w:after="120" w:line="276" w:lineRule="auto"/>
      </w:pPr>
      <w:r>
        <w:t>**Stochastique (%K / %D)** : Les valeurs %K et %D sont indisponibles (nan), empêchant l'analyse des croisements. Décision : **neutre**.</w:t>
      </w:r>
    </w:p>
    <w:p>
      <w:pPr>
        <w:spacing w:after="120" w:line="276" w:lineRule="auto"/>
      </w:pPr>
      <w:r>
        <w:t>**Conclusion technique** : L'ensemble des indicateurs techniques étant indisponibles (nan), aucune lecture quantitative fiable n'est possible. Toutefois, la configuration du cours — au plus haut historique, avec une volatilité élevée (52%) et une tendance haussière marquée — suggère un **momentum positif mais vulnérable à une correction technique** en cas de prise de bénéfices. La prudence est de mise pour les entrées à court terme.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BBGC affiche un **PNB de 67,824 Mds FCFA** (équivalent du chiffre d'affaires bancaire), un **résultat net de 27,197 Mds FCFA**, soit une **marge nette exceptionnelle de 40,10%**. Le **ROE atteint 25,87%** (largement supérieur au seuil d'excellence de 15%) et le **ROA de 1,91%**, confirmant une rentabilité de premier plan. Le **coefficient d'exploitation de 41,85%** (bien en dessous du seuil de 60%) témoigne d'une efficacité opérationnelle remarquable, et le **coût du risque de 0,885%** indique un portefeuille de crédits sain. La structure de bilan est typiquement bancaire : **dépôts clientèle de 1 138,119 Mds FCFA** contre **créances clientèle de 768,574 Mds FCFA**, soit un ratio de transformation (crédits/dépôts) de ~67,5%, traduisant une liquidité abondante et une capacité de prêt encore sous-utilisée. L'**autonomie financière de 7,37%** est faible en apparence, mais c'est une norme pour le secteur bancaire (effet de levier structurel), la **solvabilité générale de 107,95%** confirmant la solidité du bilan.</w:t>
      </w:r>
    </w:p>
    <w:p>
      <w:pPr>
        <w:spacing w:after="120" w:line="276" w:lineRule="auto"/>
      </w:pPr>
      <w:r>
        <w:t>**Estimations basées sur les rapports semestriels (S1 2026, publiés le 30 juin 2026, analysés le 28 septembre 2026)** : Le rapport S1 2026 révèle une accélération spectaculaire — **PNB de 37,7 Mds FCFA (+25% YoY)**, **résultat net de 15,2 Mds FCFA (+46% YoY)**, **crédits +28% à 823,9 Mds FCFA** et **dépôts +46% à 1 318,3 Mds FCFA**. Le coefficient d'exploitation s'améliore à **40,3%** (contre 43,3% au S1 2025), et le coût du risque reste contenu (+14% pour des crédits +28%). Sur cette base, on peut **estimer que l'exercice 2026 devrait enregistrer un PNB proche de 75-78 Mds FCFA et un résultat net de l'ordre de 30-32 Mds FCFA**, soit une croissance de 10-18% par rapport à 2025. L'expansion régionale (succursale au Burkina Faso autorisée en mai 2026) et la stratégie 2026-2030 (Direction PME, transformation digitale) constituent des relais de croissance à moyen terme.</w:t>
      </w:r>
    </w:p>
    <w:p>
      <w:pPr>
        <w:spacing w:after="120" w:line="276" w:lineRule="auto"/>
      </w:pPr>
      <w:r>
        <w:t>**Recommandation fondamentale** : La solidité financière est **excellente** (ROE 25,9%, coefficient d'exploitation 41,8%, coût du risque faible), portée par une dynamique commerciale exceptionnelle. Les principaux risques sont l'exécution de l'expansion régionale, la hausse du coût du risque et l'absence d'information sur la politique de dividende. **Recommandation : ACHAT**, avec un biais spéculatif lié à la jeunesse de la cotation.</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**contrasté mais globalement favorable**. Sur le plan de la **valorisation (Partie 0)**, les ratios PER (19,2x), P/B (4,97x) et EV/EBITDA (17,1x) indiquent une **surévaluation relative** par rapport aux standards BRVM, justifiée uniquement par la prime de croissance — le titre intègre déjà beaucoup de bonnes nouvelles. Le **comportement du cours (Partie 1)** est nettement haussier (+44% en 100 jours), avec une volatilité élevée (52%) et des statistiques (kurtosis -0,797, skewness -0,415) suggérant une distribution normale sans risque extrême, mais le cours au plus haut historique expose à une correction. Les **signaux techniques (Partie 2)** sont tous neutres (indicateurs nan), ce qui empêche toute confirmation ou infirmation du momentum — c'est un point de vigilance majeur. Les **fondamentaux (Partie 3)** sont excellents : ROE 25,9%, coefficient d'exploitation 41,8%, croissance du résultat net de +46% au S1 2026, et expansion régionale prometteuse — la solidité est incontestable. Les **prédictions IA** étant indisponibles, elles ne peuvent ni confirmer ni contredire les autres signaux.</w:t>
      </w:r>
    </w:p>
    <w:p>
      <w:pPr>
        <w:spacing w:after="120" w:line="276" w:lineRule="auto"/>
      </w:pPr>
      <w:r>
        <w:t>**Recommandation finale : ACHAT** — La convergence entre fondamentaux solides (ROE, croissance, efficacité) et dynamique haussière du cours soutient la thèse d'investissement, malgré une valorisation tendue et une absence de signaux techniques exploitables. Le **niveau de confiance est Moyen** (fondamentaux solides mais valorisation exigeante et technique aveugle), et le **risque global est Élevé** (volatilité 52%, flottant limité, jeunesse de la cotation). L'**horizon optimal est le moyen terme (3-12 mois)**, le temps que les résultats du S2 2026 confirment la trajectoire et que la liquidité du titre s'améliore. Une entrée progressive, en profitant d'éventuelles corrections vers la moyenne (9 172 FCFA), serait plus prudente qu'un achat au plus haut.</w:t>
      </w:r>
    </w:p>
    <w:p>
      <w:pPr>
        <w:spacing w:after="120" w:line="276" w:lineRule="auto"/>
      </w:pPr>
      <w:r>
        <w:t>---</w:t>
      </w:r>
    </w:p>
    <w:p>
      <w:pPr>
        <w:spacing w:after="120" w:line="276" w:lineRule="auto"/>
      </w:pPr>
      <w:r>
        <w:t>*Rapport généré le 28 septembre 2026 — Sources : brvm_donnees_financieres (exercice 2025), rapports S1 2026 (analysés par DEEPSEEK et GEMINI-VISION le 28/09/2026), données de marché BRVM (100 derniers jours).*</w:t>
      </w:r>
    </w:p>
    <w:p/>
    <w:p/>
    <w:p>
      <w:pPr>
        <w:pStyle w:val="Heading3"/>
      </w:pPr>
      <w:r>
        <w:rPr>
          <w:color w:val="005A32"/>
        </w:rPr>
        <w:t>📋 RAPPORTS &amp; COMMUNIQUÉS OFFICIELS</w:t>
      </w:r>
    </w:p>
    <w:p>
      <w:r>
        <w:rPr>
          <w:i/>
          <w:color w:val="646464"/>
          <w:sz w:val="18"/>
        </w:rPr>
        <w:t>1 rapport(s)/communiqué(s) disponible(s) (affichage des 1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"Forte croissance du PNB et du r\u00e9sultat net, am\u00e9lioration de l'efficacit\u00e9 op\u00e9rationnelle et succ\u00e8s de l'IPO soutiennent la valeur. La dynamique commerciale et l'expansion r\u00e9gionale devraient se poursuivre."}</w:t>
      </w:r>
    </w:p>
    <w:p>
      <w:pPr>
        <w:spacing w:before="40"/>
        <w:ind w:left="400"/>
      </w:pPr>
      <w:r>
        <w:rPr>
          <w:sz w:val="18"/>
        </w:rPr>
        <w:t>BBGCI a réalisé un premier semestre 2026 solide avec une forte croissance de ses crédits (+28% à 823,9 Mds FCFA) et de ses dépôts (+46% à 1 318,3 Mds FCFA). Le Produit Net Bancaire progresse de 25% à 37,7 Mds FCFA, tandis que le résultat net bondit de 46% à 15,2 Mds FCFA. L'efficacité opérationnelle s'améliore avec un coefficient d'exploitation de 40,3% contre 43,3% un an plus tôt. La banque a obtenu l'avis favorable de la Commission Bancaire pour une succursale au Burkina Faso et a réussi son introduction en bourse avec une sursouscription. Les fondamentaux renforcés et la stratégie 2026-2030 soutiennent des perspectives favorables pour le second semestre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{'variation_pnb': '+25%', 'cout_du_risque': '-4,3 milliards FCFA', 'frais_generaux': '-15,2 milliards FCFA', 'depots_clientele': '1 318,3 milliards FCFA', 'variation_depots': '+46%', 'credits_clientele': '823,9 milliards FCFA', 'variation_credits': '+28%', 'produit_net_bancaire': '37,7 milliards FCFA', 'resultat_avant_impot': '18,2 milliards FCFA', 'variation_resultat_net': '+46%', 'coefficient_exploitation': '40,3%', 'resultat_brut_exploitation': '22,5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Crédits à la clientèle en hausse de 28% à 823,9 milliards FCFA.</w:t>
      </w:r>
    </w:p>
    <w:p>
      <w:pPr>
        <w:pStyle w:val="ListBullet"/>
        <w:spacing w:before="20" w:after="20"/>
        <w:ind w:left="700"/>
      </w:pPr>
      <w:r>
        <w:rPr>
          <w:sz w:val="18"/>
        </w:rPr>
        <w:t>Dépôts clientèle en progression de 46% à 1 318,3 milliards FCFA.</w:t>
      </w:r>
    </w:p>
    <w:p>
      <w:pPr>
        <w:pStyle w:val="ListBullet"/>
        <w:spacing w:before="20" w:after="20"/>
        <w:ind w:left="700"/>
      </w:pPr>
      <w:r>
        <w:rPr>
          <w:sz w:val="18"/>
        </w:rPr>
        <w:t>Produit Net Bancaire en croissance de 25% à 37,7 milliards FCFA.</w:t>
      </w:r>
    </w:p>
    <w:p>
      <w:pPr>
        <w:pStyle w:val="ListBullet"/>
        <w:spacing w:before="20" w:after="20"/>
        <w:ind w:left="700"/>
      </w:pPr>
      <w:r>
        <w:rPr>
          <w:sz w:val="18"/>
        </w:rPr>
        <w:t>Résultat net en augmentation de 46% à 15,2 milliards FCFA.</w:t>
      </w:r>
    </w:p>
    <w:p>
      <w:pPr>
        <w:pStyle w:val="ListBullet"/>
        <w:spacing w:before="20" w:after="20"/>
        <w:ind w:left="700"/>
      </w:pPr>
      <w:r>
        <w:rPr>
          <w:sz w:val="18"/>
        </w:rPr>
        <w:t>Coefficient d'exploitation amélioré à 40,3% contre 43,3% un an auparavant.</w:t>
      </w:r>
    </w:p>
    <w:p>
      <w:pPr>
        <w:pStyle w:val="ListBullet"/>
        <w:spacing w:before="20" w:after="20"/>
        <w:ind w:left="700"/>
      </w:pPr>
      <w:r>
        <w:rPr>
          <w:sz w:val="18"/>
        </w:rPr>
        <w:t>Coût du risque contenu à 4,3 milliards FCFA (+14%) pour des crédits en hausse de 28%.</w:t>
      </w:r>
    </w:p>
    <w:p>
      <w:pPr>
        <w:spacing w:before="40"/>
        <w:ind w:left="400"/>
      </w:pPr>
      <w:r>
        <w:rPr>
          <w:b/>
          <w:color w:val="C05000"/>
          <w:sz w:val="18"/>
        </w:rPr>
        <w:t xml:space="preserve">⚠️ Risques : </w:t>
      </w:r>
      <w:r>
        <w:rPr>
          <w:sz w:val="18"/>
        </w:rPr>
        <w:t>["Hausse du co\u00fbt du risque (+14%) dans un contexte de forte croissance des cr\u00e9dits (+28%).", "Risques d'ex\u00e9cution li\u00e9s \u00e0 l'expansion r\u00e9gionale (Burkina Faso) et au d\u00e9ploiement de la strat\u00e9gie 2026-2030.", "Sensibilit\u00e9 \u00e0 l'environnement \u00e9conomiqu</w:t>
      </w:r>
    </w:p>
    <w:p>
      <w:pPr>
        <w:spacing w:before="40"/>
        <w:ind w:left="400"/>
      </w:pPr>
      <w:r>
        <w:rPr>
          <w:b/>
          <w:color w:val="0064A0"/>
          <w:sz w:val="18"/>
        </w:rPr>
        <w:t xml:space="preserve">🔮 Perspectives : </w:t>
      </w:r>
      <w:r>
        <w:rPr>
          <w:sz w:val="18"/>
        </w:rPr>
        <w:t>BBGCI prévoit de consolider sa dynamique de croissance au second semestre 2026, en poursuivant sa stratégie 2026-2030, la transformation digitale et l'expansion régionale. La banque reste attentive aux évolutions de l'environnement et renforce ses dispositifs de gouvernance et de maîtrise des risque</w:t>
      </w:r>
    </w:p>
    <w:p/>
    <w:p>
      <w:r>
        <w:t>════════════════════════════════════════════════════════════════════════════════</w:t>
      </w:r>
    </w:p>
    <w:p>
      <w:r>
        <w:br w:type="page"/>
      </w:r>
    </w:p>
    <w:p>
      <w:pPr>
        <w:pStyle w:val="Heading2"/>
        <w:spacing w:before="360"/>
      </w:pPr>
      <w:r>
        <w:rPr>
          <w:color w:val="0066CC"/>
        </w:rPr>
        <w:t>3.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488.07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13,886 titres</w:t>
            </w:r>
          </w:p>
        </w:tc>
        <w:tc>
          <w:tcPr>
            <w:tcW w:type="dxa" w:w="2268"/>
            <w:shd w:fill="FFF2CC" w:val="clear"/>
          </w:tcPr>
          <w:p>
            <w:r>
              <w:rPr>
                <w:b/>
                <w:color w:val="503200"/>
                <w:sz w:val="16"/>
              </w:rPr>
              <w:t xml:space="preserve">Cours actuel : </w:t>
            </w:r>
            <w:r>
              <w:rPr>
                <w:color w:val="000000"/>
                <w:sz w:val="17"/>
              </w:rPr>
              <w:t>8,450 FCFA</w:t>
            </w:r>
          </w:p>
          <w:p>
            <w:r>
              <w:rPr>
                <w:b/>
                <w:color w:val="503200"/>
                <w:sz w:val="16"/>
              </w:rPr>
              <w:t xml:space="preserve">Var. 100 jours : </w:t>
            </w:r>
            <w:r>
              <w:rPr>
                <w:b/>
                <w:color w:val="007800"/>
                <w:sz w:val="17"/>
              </w:rPr>
              <w:t>+61.88%</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5,190 FCFA</w:t>
            </w:r>
          </w:p>
          <w:p>
            <w:r>
              <w:rPr>
                <w:b/>
                <w:color w:val="503200"/>
                <w:sz w:val="16"/>
              </w:rPr>
              <w:t xml:space="preserve">Volatilité ann. : </w:t>
            </w:r>
            <w:r>
              <w:rPr>
                <w:color w:val="000000"/>
                <w:sz w:val="17"/>
              </w:rPr>
              <w:t>42.5%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22.45% (Élevée) — μ=7,448 FCFA, σ=1,672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β=0.8440 (Neutre (suit le marché)) — Cov=0.000062, Var(idx)=0.000073, ρ=0.269,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13,886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2026-10-13</w:t>
            </w:r>
          </w:p>
        </w:tc>
        <w:tc>
          <w:tcPr>
            <w:tcW w:type="dxa" w:w="1440"/>
            <w:shd w:fill="C6EFCE" w:val="clear"/>
          </w:tcPr>
          <w:p>
            <w:r>
              <w:rPr>
                <w:sz w:val="17"/>
              </w:rPr>
              <w:t>8,345</w:t>
            </w:r>
          </w:p>
        </w:tc>
        <w:tc>
          <w:tcPr>
            <w:tcW w:type="dxa" w:w="1440"/>
            <w:shd w:fill="C6EFCE" w:val="clear"/>
          </w:tcPr>
          <w:p>
            <w:r>
              <w:rPr>
                <w:b/>
                <w:sz w:val="17"/>
              </w:rPr>
              <w:t>8,876</w:t>
            </w:r>
          </w:p>
        </w:tc>
        <w:tc>
          <w:tcPr>
            <w:tcW w:type="dxa" w:w="1440"/>
            <w:shd w:fill="C6EFCE" w:val="clear"/>
          </w:tcPr>
          <w:p>
            <w:r>
              <w:rPr>
                <w:sz w:val="17"/>
              </w:rPr>
              <w:t>9,407</w:t>
            </w:r>
          </w:p>
        </w:tc>
        <w:tc>
          <w:tcPr>
            <w:tcW w:type="dxa" w:w="1440"/>
            <w:shd w:fill="C6EFCE" w:val="clear"/>
          </w:tcPr>
          <w:p>
            <w:r>
              <w:rPr>
                <w:b/>
                <w:color w:val="008000"/>
                <w:sz w:val="17"/>
              </w:rPr>
              <w:t>+5.0%</w:t>
            </w:r>
          </w:p>
        </w:tc>
      </w:tr>
      <w:tr>
        <w:tc>
          <w:tcPr>
            <w:tcW w:type="dxa" w:w="1440"/>
            <w:shd w:fill="C6EFCE" w:val="clear"/>
          </w:tcPr>
          <w:p>
            <w:r>
              <w:rPr>
                <w:sz w:val="17"/>
              </w:rPr>
              <w:t>J+2  ⭐</w:t>
            </w:r>
          </w:p>
        </w:tc>
        <w:tc>
          <w:tcPr>
            <w:tcW w:type="dxa" w:w="1440"/>
            <w:shd w:fill="C6EFCE" w:val="clear"/>
          </w:tcPr>
          <w:p>
            <w:r>
              <w:rPr>
                <w:sz w:val="17"/>
              </w:rPr>
              <w:t>2026-10-14</w:t>
            </w:r>
          </w:p>
        </w:tc>
        <w:tc>
          <w:tcPr>
            <w:tcW w:type="dxa" w:w="1440"/>
            <w:shd w:fill="C6EFCE" w:val="clear"/>
          </w:tcPr>
          <w:p>
            <w:r>
              <w:rPr>
                <w:sz w:val="17"/>
              </w:rPr>
              <w:t>8,170</w:t>
            </w:r>
          </w:p>
        </w:tc>
        <w:tc>
          <w:tcPr>
            <w:tcW w:type="dxa" w:w="1440"/>
            <w:shd w:fill="C6EFCE" w:val="clear"/>
          </w:tcPr>
          <w:p>
            <w:r>
              <w:rPr>
                <w:b/>
                <w:sz w:val="17"/>
              </w:rPr>
              <w:t>8,925</w:t>
            </w:r>
          </w:p>
        </w:tc>
        <w:tc>
          <w:tcPr>
            <w:tcW w:type="dxa" w:w="1440"/>
            <w:shd w:fill="C6EFCE" w:val="clear"/>
          </w:tcPr>
          <w:p>
            <w:r>
              <w:rPr>
                <w:sz w:val="17"/>
              </w:rPr>
              <w:t>9,679</w:t>
            </w:r>
          </w:p>
        </w:tc>
        <w:tc>
          <w:tcPr>
            <w:tcW w:type="dxa" w:w="1440"/>
            <w:shd w:fill="C6EFCE" w:val="clear"/>
          </w:tcPr>
          <w:p>
            <w:r>
              <w:rPr>
                <w:b/>
                <w:color w:val="008000"/>
                <w:sz w:val="17"/>
              </w:rPr>
              <w:t>+5.6%</w:t>
            </w:r>
          </w:p>
        </w:tc>
      </w:tr>
      <w:tr>
        <w:tc>
          <w:tcPr>
            <w:tcW w:type="dxa" w:w="1440"/>
            <w:shd w:fill="C6EFCE" w:val="clear"/>
          </w:tcPr>
          <w:p>
            <w:r>
              <w:rPr>
                <w:sz w:val="17"/>
              </w:rPr>
              <w:t>J+3  ⭐</w:t>
            </w:r>
          </w:p>
        </w:tc>
        <w:tc>
          <w:tcPr>
            <w:tcW w:type="dxa" w:w="1440"/>
            <w:shd w:fill="C6EFCE" w:val="clear"/>
          </w:tcPr>
          <w:p>
            <w:r>
              <w:rPr>
                <w:sz w:val="17"/>
              </w:rPr>
              <w:t>2026-10-15</w:t>
            </w:r>
          </w:p>
        </w:tc>
        <w:tc>
          <w:tcPr>
            <w:tcW w:type="dxa" w:w="1440"/>
            <w:shd w:fill="C6EFCE" w:val="clear"/>
          </w:tcPr>
          <w:p>
            <w:r>
              <w:rPr>
                <w:sz w:val="17"/>
              </w:rPr>
              <w:t>8,059</w:t>
            </w:r>
          </w:p>
        </w:tc>
        <w:tc>
          <w:tcPr>
            <w:tcW w:type="dxa" w:w="1440"/>
            <w:shd w:fill="C6EFCE" w:val="clear"/>
          </w:tcPr>
          <w:p>
            <w:r>
              <w:rPr>
                <w:b/>
                <w:sz w:val="17"/>
              </w:rPr>
              <w:t>8,991</w:t>
            </w:r>
          </w:p>
        </w:tc>
        <w:tc>
          <w:tcPr>
            <w:tcW w:type="dxa" w:w="1440"/>
            <w:shd w:fill="C6EFCE" w:val="clear"/>
          </w:tcPr>
          <w:p>
            <w:r>
              <w:rPr>
                <w:sz w:val="17"/>
              </w:rPr>
              <w:t>9,922</w:t>
            </w:r>
          </w:p>
        </w:tc>
        <w:tc>
          <w:tcPr>
            <w:tcW w:type="dxa" w:w="1440"/>
            <w:shd w:fill="C6EFCE" w:val="clear"/>
          </w:tcPr>
          <w:p>
            <w:r>
              <w:rPr>
                <w:b/>
                <w:color w:val="008000"/>
                <w:sz w:val="17"/>
              </w:rPr>
              <w:t>+6.4%</w:t>
            </w:r>
          </w:p>
        </w:tc>
      </w:tr>
      <w:tr>
        <w:tc>
          <w:tcPr>
            <w:tcW w:type="dxa" w:w="1440"/>
            <w:shd w:fill="C6EFCE" w:val="clear"/>
          </w:tcPr>
          <w:p>
            <w:r>
              <w:rPr>
                <w:sz w:val="17"/>
              </w:rPr>
              <w:t>J+4  ⭐</w:t>
            </w:r>
          </w:p>
        </w:tc>
        <w:tc>
          <w:tcPr>
            <w:tcW w:type="dxa" w:w="1440"/>
            <w:shd w:fill="C6EFCE" w:val="clear"/>
          </w:tcPr>
          <w:p>
            <w:r>
              <w:rPr>
                <w:sz w:val="17"/>
              </w:rPr>
              <w:t>2026-10-16</w:t>
            </w:r>
          </w:p>
        </w:tc>
        <w:tc>
          <w:tcPr>
            <w:tcW w:type="dxa" w:w="1440"/>
            <w:shd w:fill="C6EFCE" w:val="clear"/>
          </w:tcPr>
          <w:p>
            <w:r>
              <w:rPr>
                <w:sz w:val="17"/>
              </w:rPr>
              <w:t>7,973</w:t>
            </w:r>
          </w:p>
        </w:tc>
        <w:tc>
          <w:tcPr>
            <w:tcW w:type="dxa" w:w="1440"/>
            <w:shd w:fill="C6EFCE" w:val="clear"/>
          </w:tcPr>
          <w:p>
            <w:r>
              <w:rPr>
                <w:b/>
                <w:sz w:val="17"/>
              </w:rPr>
              <w:t>9,056</w:t>
            </w:r>
          </w:p>
        </w:tc>
        <w:tc>
          <w:tcPr>
            <w:tcW w:type="dxa" w:w="1440"/>
            <w:shd w:fill="C6EFCE" w:val="clear"/>
          </w:tcPr>
          <w:p>
            <w:r>
              <w:rPr>
                <w:sz w:val="17"/>
              </w:rPr>
              <w:t>10,139</w:t>
            </w:r>
          </w:p>
        </w:tc>
        <w:tc>
          <w:tcPr>
            <w:tcW w:type="dxa" w:w="1440"/>
            <w:shd w:fill="C6EFCE" w:val="clear"/>
          </w:tcPr>
          <w:p>
            <w:r>
              <w:rPr>
                <w:b/>
                <w:color w:val="008000"/>
                <w:sz w:val="17"/>
              </w:rPr>
              <w:t>+7.2%</w:t>
            </w:r>
          </w:p>
        </w:tc>
      </w:tr>
      <w:tr>
        <w:tc>
          <w:tcPr>
            <w:tcW w:type="dxa" w:w="1440"/>
            <w:shd w:fill="C6EFCE" w:val="clear"/>
          </w:tcPr>
          <w:p>
            <w:r>
              <w:rPr>
                <w:sz w:val="17"/>
              </w:rPr>
              <w:t>J+5  ⭐</w:t>
            </w:r>
          </w:p>
        </w:tc>
        <w:tc>
          <w:tcPr>
            <w:tcW w:type="dxa" w:w="1440"/>
            <w:shd w:fill="C6EFCE" w:val="clear"/>
          </w:tcPr>
          <w:p>
            <w:r>
              <w:rPr>
                <w:sz w:val="17"/>
              </w:rPr>
              <w:t>2026-10-19</w:t>
            </w:r>
          </w:p>
        </w:tc>
        <w:tc>
          <w:tcPr>
            <w:tcW w:type="dxa" w:w="1440"/>
            <w:shd w:fill="C6EFCE" w:val="clear"/>
          </w:tcPr>
          <w:p>
            <w:r>
              <w:rPr>
                <w:sz w:val="17"/>
              </w:rPr>
              <w:t>7,897</w:t>
            </w:r>
          </w:p>
        </w:tc>
        <w:tc>
          <w:tcPr>
            <w:tcW w:type="dxa" w:w="1440"/>
            <w:shd w:fill="C6EFCE" w:val="clear"/>
          </w:tcPr>
          <w:p>
            <w:r>
              <w:rPr>
                <w:b/>
                <w:sz w:val="17"/>
              </w:rPr>
              <w:t>9,115</w:t>
            </w:r>
          </w:p>
        </w:tc>
        <w:tc>
          <w:tcPr>
            <w:tcW w:type="dxa" w:w="1440"/>
            <w:shd w:fill="C6EFCE" w:val="clear"/>
          </w:tcPr>
          <w:p>
            <w:r>
              <w:rPr>
                <w:sz w:val="17"/>
              </w:rPr>
              <w:t>10,334</w:t>
            </w:r>
          </w:p>
        </w:tc>
        <w:tc>
          <w:tcPr>
            <w:tcW w:type="dxa" w:w="1440"/>
            <w:shd w:fill="C6EFCE" w:val="clear"/>
          </w:tcPr>
          <w:p>
            <w:r>
              <w:rPr>
                <w:b/>
                <w:color w:val="008000"/>
                <w:sz w:val="17"/>
              </w:rPr>
              <w:t>+7.9%</w:t>
            </w:r>
          </w:p>
        </w:tc>
      </w:tr>
      <w:tr>
        <w:tc>
          <w:tcPr>
            <w:tcW w:type="dxa" w:w="1440"/>
            <w:shd w:fill="C6EFCE" w:val="clear"/>
          </w:tcPr>
          <w:p>
            <w:r>
              <w:rPr>
                <w:sz w:val="17"/>
              </w:rPr>
              <w:t>J+6  ⭐</w:t>
            </w:r>
          </w:p>
        </w:tc>
        <w:tc>
          <w:tcPr>
            <w:tcW w:type="dxa" w:w="1440"/>
            <w:shd w:fill="C6EFCE" w:val="clear"/>
          </w:tcPr>
          <w:p>
            <w:r>
              <w:rPr>
                <w:sz w:val="17"/>
              </w:rPr>
              <w:t>2026-10-20</w:t>
            </w:r>
          </w:p>
        </w:tc>
        <w:tc>
          <w:tcPr>
            <w:tcW w:type="dxa" w:w="1440"/>
            <w:shd w:fill="C6EFCE" w:val="clear"/>
          </w:tcPr>
          <w:p>
            <w:r>
              <w:rPr>
                <w:sz w:val="17"/>
              </w:rPr>
              <w:t>7,825</w:t>
            </w:r>
          </w:p>
        </w:tc>
        <w:tc>
          <w:tcPr>
            <w:tcW w:type="dxa" w:w="1440"/>
            <w:shd w:fill="C6EFCE" w:val="clear"/>
          </w:tcPr>
          <w:p>
            <w:r>
              <w:rPr>
                <w:b/>
                <w:sz w:val="17"/>
              </w:rPr>
              <w:t>9,168</w:t>
            </w:r>
          </w:p>
        </w:tc>
        <w:tc>
          <w:tcPr>
            <w:tcW w:type="dxa" w:w="1440"/>
            <w:shd w:fill="C6EFCE" w:val="clear"/>
          </w:tcPr>
          <w:p>
            <w:r>
              <w:rPr>
                <w:sz w:val="17"/>
              </w:rPr>
              <w:t>10,511</w:t>
            </w:r>
          </w:p>
        </w:tc>
        <w:tc>
          <w:tcPr>
            <w:tcW w:type="dxa" w:w="1440"/>
            <w:shd w:fill="C6EFCE" w:val="clear"/>
          </w:tcPr>
          <w:p>
            <w:r>
              <w:rPr>
                <w:b/>
                <w:color w:val="008000"/>
                <w:sz w:val="17"/>
              </w:rPr>
              <w:t>+8.5%</w:t>
            </w:r>
          </w:p>
        </w:tc>
      </w:tr>
      <w:tr>
        <w:tc>
          <w:tcPr>
            <w:tcW w:type="dxa" w:w="1440"/>
            <w:shd w:fill="C6EFCE" w:val="clear"/>
          </w:tcPr>
          <w:p>
            <w:r>
              <w:rPr>
                <w:sz w:val="17"/>
              </w:rPr>
              <w:t>J+7  ⭐</w:t>
            </w:r>
          </w:p>
        </w:tc>
        <w:tc>
          <w:tcPr>
            <w:tcW w:type="dxa" w:w="1440"/>
            <w:shd w:fill="C6EFCE" w:val="clear"/>
          </w:tcPr>
          <w:p>
            <w:r>
              <w:rPr>
                <w:sz w:val="17"/>
              </w:rPr>
              <w:t>2026-10-21</w:t>
            </w:r>
          </w:p>
        </w:tc>
        <w:tc>
          <w:tcPr>
            <w:tcW w:type="dxa" w:w="1440"/>
            <w:shd w:fill="C6EFCE" w:val="clear"/>
          </w:tcPr>
          <w:p>
            <w:r>
              <w:rPr>
                <w:sz w:val="17"/>
              </w:rPr>
              <w:t>7,757</w:t>
            </w:r>
          </w:p>
        </w:tc>
        <w:tc>
          <w:tcPr>
            <w:tcW w:type="dxa" w:w="1440"/>
            <w:shd w:fill="C6EFCE" w:val="clear"/>
          </w:tcPr>
          <w:p>
            <w:r>
              <w:rPr>
                <w:b/>
                <w:sz w:val="17"/>
              </w:rPr>
              <w:t>9,215</w:t>
            </w:r>
          </w:p>
        </w:tc>
        <w:tc>
          <w:tcPr>
            <w:tcW w:type="dxa" w:w="1440"/>
            <w:shd w:fill="C6EFCE" w:val="clear"/>
          </w:tcPr>
          <w:p>
            <w:r>
              <w:rPr>
                <w:sz w:val="17"/>
              </w:rPr>
              <w:t>10,672</w:t>
            </w:r>
          </w:p>
        </w:tc>
        <w:tc>
          <w:tcPr>
            <w:tcW w:type="dxa" w:w="1440"/>
            <w:shd w:fill="C6EFCE" w:val="clear"/>
          </w:tcPr>
          <w:p>
            <w:r>
              <w:rPr>
                <w:b/>
                <w:color w:val="008000"/>
                <w:sz w:val="17"/>
              </w:rPr>
              <w:t>+9.0%</w:t>
            </w:r>
          </w:p>
        </w:tc>
      </w:tr>
      <w:tr>
        <w:tc>
          <w:tcPr>
            <w:tcW w:type="dxa" w:w="1440"/>
            <w:shd w:fill="C6EFCE" w:val="clear"/>
          </w:tcPr>
          <w:p>
            <w:r>
              <w:rPr>
                <w:sz w:val="17"/>
              </w:rPr>
              <w:t>J+8  ⭐</w:t>
            </w:r>
          </w:p>
        </w:tc>
        <w:tc>
          <w:tcPr>
            <w:tcW w:type="dxa" w:w="1440"/>
            <w:shd w:fill="C6EFCE" w:val="clear"/>
          </w:tcPr>
          <w:p>
            <w:r>
              <w:rPr>
                <w:sz w:val="17"/>
              </w:rPr>
              <w:t>2026-10-22</w:t>
            </w:r>
          </w:p>
        </w:tc>
        <w:tc>
          <w:tcPr>
            <w:tcW w:type="dxa" w:w="1440"/>
            <w:shd w:fill="C6EFCE" w:val="clear"/>
          </w:tcPr>
          <w:p>
            <w:r>
              <w:rPr>
                <w:sz w:val="17"/>
              </w:rPr>
              <w:t>7,690</w:t>
            </w:r>
          </w:p>
        </w:tc>
        <w:tc>
          <w:tcPr>
            <w:tcW w:type="dxa" w:w="1440"/>
            <w:shd w:fill="C6EFCE" w:val="clear"/>
          </w:tcPr>
          <w:p>
            <w:r>
              <w:rPr>
                <w:b/>
                <w:sz w:val="17"/>
              </w:rPr>
              <w:t>9,255</w:t>
            </w:r>
          </w:p>
        </w:tc>
        <w:tc>
          <w:tcPr>
            <w:tcW w:type="dxa" w:w="1440"/>
            <w:shd w:fill="C6EFCE" w:val="clear"/>
          </w:tcPr>
          <w:p>
            <w:r>
              <w:rPr>
                <w:sz w:val="17"/>
              </w:rPr>
              <w:t>10,820</w:t>
            </w:r>
          </w:p>
        </w:tc>
        <w:tc>
          <w:tcPr>
            <w:tcW w:type="dxa" w:w="1440"/>
            <w:shd w:fill="C6EFCE" w:val="clear"/>
          </w:tcPr>
          <w:p>
            <w:r>
              <w:rPr>
                <w:b/>
                <w:color w:val="008000"/>
                <w:sz w:val="17"/>
              </w:rPr>
              <w:t>+9.5%</w:t>
            </w:r>
          </w:p>
        </w:tc>
      </w:tr>
      <w:tr>
        <w:tc>
          <w:tcPr>
            <w:tcW w:type="dxa" w:w="1440"/>
            <w:shd w:fill="C6EFCE" w:val="clear"/>
          </w:tcPr>
          <w:p>
            <w:r>
              <w:rPr>
                <w:sz w:val="17"/>
              </w:rPr>
              <w:t>J+9  ⭐</w:t>
            </w:r>
          </w:p>
        </w:tc>
        <w:tc>
          <w:tcPr>
            <w:tcW w:type="dxa" w:w="1440"/>
            <w:shd w:fill="C6EFCE" w:val="clear"/>
          </w:tcPr>
          <w:p>
            <w:r>
              <w:rPr>
                <w:sz w:val="17"/>
              </w:rPr>
              <w:t>2026-10-23</w:t>
            </w:r>
          </w:p>
        </w:tc>
        <w:tc>
          <w:tcPr>
            <w:tcW w:type="dxa" w:w="1440"/>
            <w:shd w:fill="C6EFCE" w:val="clear"/>
          </w:tcPr>
          <w:p>
            <w:r>
              <w:rPr>
                <w:sz w:val="17"/>
              </w:rPr>
              <w:t>7,623</w:t>
            </w:r>
          </w:p>
        </w:tc>
        <w:tc>
          <w:tcPr>
            <w:tcW w:type="dxa" w:w="1440"/>
            <w:shd w:fill="C6EFCE" w:val="clear"/>
          </w:tcPr>
          <w:p>
            <w:r>
              <w:rPr>
                <w:b/>
                <w:sz w:val="17"/>
              </w:rPr>
              <w:t>9,289</w:t>
            </w:r>
          </w:p>
        </w:tc>
        <w:tc>
          <w:tcPr>
            <w:tcW w:type="dxa" w:w="1440"/>
            <w:shd w:fill="C6EFCE" w:val="clear"/>
          </w:tcPr>
          <w:p>
            <w:r>
              <w:rPr>
                <w:sz w:val="17"/>
              </w:rPr>
              <w:t>10,956</w:t>
            </w:r>
          </w:p>
        </w:tc>
        <w:tc>
          <w:tcPr>
            <w:tcW w:type="dxa" w:w="1440"/>
            <w:shd w:fill="C6EFCE" w:val="clear"/>
          </w:tcPr>
          <w:p>
            <w:r>
              <w:rPr>
                <w:b/>
                <w:color w:val="008000"/>
                <w:sz w:val="17"/>
              </w:rPr>
              <w:t>+9.9%</w:t>
            </w:r>
          </w:p>
        </w:tc>
      </w:tr>
      <w:tr>
        <w:tc>
          <w:tcPr>
            <w:tcW w:type="dxa" w:w="1440"/>
            <w:shd w:fill="C6EFCE" w:val="clear"/>
          </w:tcPr>
          <w:p>
            <w:r>
              <w:rPr>
                <w:sz w:val="17"/>
              </w:rPr>
              <w:t>J+10  ⭐</w:t>
            </w:r>
          </w:p>
        </w:tc>
        <w:tc>
          <w:tcPr>
            <w:tcW w:type="dxa" w:w="1440"/>
            <w:shd w:fill="C6EFCE" w:val="clear"/>
          </w:tcPr>
          <w:p>
            <w:r>
              <w:rPr>
                <w:sz w:val="17"/>
              </w:rPr>
              <w:t>2026-10-26</w:t>
            </w:r>
          </w:p>
        </w:tc>
        <w:tc>
          <w:tcPr>
            <w:tcW w:type="dxa" w:w="1440"/>
            <w:shd w:fill="C6EFCE" w:val="clear"/>
          </w:tcPr>
          <w:p>
            <w:r>
              <w:rPr>
                <w:sz w:val="17"/>
              </w:rPr>
              <w:t>7,557</w:t>
            </w:r>
          </w:p>
        </w:tc>
        <w:tc>
          <w:tcPr>
            <w:tcW w:type="dxa" w:w="1440"/>
            <w:shd w:fill="C6EFCE" w:val="clear"/>
          </w:tcPr>
          <w:p>
            <w:r>
              <w:rPr>
                <w:b/>
                <w:sz w:val="17"/>
              </w:rPr>
              <w:t>9,319</w:t>
            </w:r>
          </w:p>
        </w:tc>
        <w:tc>
          <w:tcPr>
            <w:tcW w:type="dxa" w:w="1440"/>
            <w:shd w:fill="C6EFCE" w:val="clear"/>
          </w:tcPr>
          <w:p>
            <w:r>
              <w:rPr>
                <w:sz w:val="17"/>
              </w:rPr>
              <w:t>11,081</w:t>
            </w:r>
          </w:p>
        </w:tc>
        <w:tc>
          <w:tcPr>
            <w:tcW w:type="dxa" w:w="1440"/>
            <w:shd w:fill="C6EFCE" w:val="clear"/>
          </w:tcPr>
          <w:p>
            <w:r>
              <w:rPr>
                <w:b/>
                <w:color w:val="008000"/>
                <w:sz w:val="17"/>
              </w:rPr>
              <w:t>+10.3%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 RAPPORT D'ANALYSE FINANCIÈRE — BICB (BIIC Bénin)</w:t>
        <w:br/>
        <w:t>**Bourse Régionale des Valeurs Mobilières (BRVM) — Secteur Bancaire**</w:t>
        <w:br/>
        <w:t>*Cours de référence : 8 450 FCFA | Capitalisation : 488,07 Mds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488,07 milliards FCFA, la BICB s'impose comme l'une des valeurs bancaires les plus importantes de la cote BRVM, ce qui lui confère une liquidité relative et une visibilité institutionnelle appréciables. Le BPA de 627 FCFA/action signifie que chaque titre génère près de 627 FCFA de bénéfice net, un niveau élevé qui traduit la forte rentabilité de la banque. Le PER de 13,5x se situe légèrement au-dessus de la fourchette moyenne de la BRVM (~8-12x), signalant une valorisation modérée mais non excessive au regard de la qualité des fondamentaux. Le P/B de 3,61x indique que le marché valorise la banque à plus de trois fois sa valeur comptable, soit une prime de croissance significative justifiée par un ROE de 26,8%. En revanche, l'EV/EBITDA de 24,0x apparaît très exigeant (&gt;15x), reflétant une anticipation de croissance forte mais laissant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BICB a enregistré une progression spectaculaire de **+61,88%**, avec une dernière séance quasi stable (+0,12%), confirmant une dynamique haussière de fond. Le range de trading est particulièrement large, oscillant entre un plus bas de 5 190 FCFA et un plus haut de 10 790 FCFA, soit un écart de plus de 108% entre les extrêmes — signe d'une forte volatilité intra-période. La moyenne (7 448 FCFA) est inférieure à la médiane (7 598 FCFA), ce qui indique une légère asymétrie négative sur la première moitié de période, compensée par le rallye récent ; le mode à 8 500 FCFA, proche du cours actuel, suggère une zone de consolidation. L'écart-type de 1 680 FCFA (CV = 22,6%) traduit une dispersion modérée à élevée du cours autour de sa moyenne. Le kurtosis de -1,086 (distribution platykurtique) indique une distribution aplatie avec peu de pics extrêmes, donc un risque de mouvements brutaux relativement contenu, tandis que le skewness de +0,311 (distribution symétrique) montre un léger biais haussier sans excès. La volatilité annualisée de **42,5%** classe le titre dans la catégorie **élevée** (&gt;30%), ce qui est cohérent avec un marché frontière comme la BRVM et impose une gestion stricte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(9 120 FCFA) et la MM50 (8 898 FCFA) se situent toutes deux au-dessus du cours actuel (8 450 FCFA), ce qui place le titre en position de repli sous ses moyennes court et moyen terme. Toutefois, la MM20 &gt; MM50 confirme une structure haussière de fond, justifiant la décision **Achat** malgré le retracement actuel.</w:t>
      </w:r>
    </w:p>
    <w:p>
      <w:pPr>
        <w:spacing w:after="120" w:line="276" w:lineRule="auto"/>
      </w:pPr>
      <w:r>
        <w:t>**Bandes de Bollinger** — Le cours (8 450 FCFA) évolue dans la partie basse de la bande (borne inférieure 7 383,71 FCFA ; borne supérieure 10 856,29 FCFA), à environ 35% de la largeur du canal. Cette position suggère une pression vendeuse de court terme mais sans rupture baissière, d'où la décision **Neutre**.</w:t>
      </w:r>
    </w:p>
    <w:p>
      <w:pPr>
        <w:spacing w:after="120" w:line="276" w:lineRule="auto"/>
      </w:pPr>
      <w:r>
        <w:t>**MACD** — La valeur du MACD (-198,513) est nettement inférieure à son signal (-96,033), avec un histogramme négatif qui traduit un momentum baissier persistant. Cette divergence confirme la décision **Vente** à court terme, en cohérence avec le repli sous les moyennes mobiles.</w:t>
      </w:r>
    </w:p>
    <w:p>
      <w:pPr>
        <w:spacing w:after="120" w:line="276" w:lineRule="auto"/>
      </w:pPr>
      <w:r>
        <w:t>**RSI** — À 28,767, le RSI se situe en zone de **survente** (&lt;30), signalant que le titre a été excessivement vendu et qu'un rebond technique est probable. Cette configuration justifie pleinement la décision **Achat** sur cet indicateur.</w:t>
      </w:r>
    </w:p>
    <w:p>
      <w:pPr>
        <w:spacing w:after="120" w:line="276" w:lineRule="auto"/>
      </w:pPr>
      <w:r>
        <w:t>**Stochastique** — Le %K (39,85) est supérieur au %D (30,749), avec un croisement haussier en formation au-dessus de la zone de survente. Cette configuration naissante plaide pour un retournement progressif, d'où la décision **Neutre** prudente.</w:t>
      </w:r>
    </w:p>
    <w:p>
      <w:pPr>
        <w:spacing w:after="120" w:line="276" w:lineRule="auto"/>
      </w:pPr>
      <w:r>
        <w:t>**Conclusion technique** — Les indicateurs sont **divergents** : le MACD et les moyennes mobiles plaident pour la prudence à court terme, tandis que le RSI en survente et le stochastique naissant signalent un potentiel rebond. Le titre se trouve dans une zone de consolidation baissière après un rallye de +62%, avec un support technique majeur autour de 7 400-7 500 FCFA (borne basse de Bollinger). La configuration suggère une **phase d'accumulation** plutôt qu'une tendance baissière installée, avec un point d'entrée intéressant si le RSI se redresse au-dessus de 35.</w:t>
      </w:r>
    </w:p>
    <w:p>
      <w:pPr>
        <w:spacing w:after="120" w:line="276" w:lineRule="auto"/>
      </w:pPr>
      <w:r>
        <w:t>---</w:t>
      </w:r>
    </w:p>
    <w:p>
      <w:pPr>
        <w:spacing w:after="120" w:line="276" w:lineRule="auto"/>
      </w:pPr>
      <w:r>
        <w:t>## PARTIE 3 : ANALYSE FONDAMENTALE</w:t>
      </w:r>
    </w:p>
    <w:p>
      <w:pPr>
        <w:spacing w:after="120" w:line="276" w:lineRule="auto"/>
      </w:pPr>
      <w:r>
        <w:t>**Données structurées (exercice 2025, états financiers IFRS audités)** : En 2025, la BICB affiche un Produit Net Bancaire (équivalent du chiffre d'affaires pour une banque) de **52,805 Mds FCFA**, en croissance de **+16,49%**, porté par une marge d'intérêt nette de 40,1 Mds FCFA (+17,1%) et des commissions nettes de 11,3 Mds FCFA (+18,1%). Le résultat net s'établit à **36,237 Mds FCFA**, en hausse de +24,7%, générant un **ROE exceptionnel de 26,82%** (&gt;15% = excellent) et un ROA de 1,96%. Le **coefficient d'exploitation de 31,12%** (&lt;60% = banque très efficace) témoigne d'une maîtrise remarquable des charges. Le coût du risque de 9,61% reste un point de vigilance, reflétant un portefeuille en expansion rapide (crédits clientèle +37,3% à 1 151,5 Mds FCFA) avec un ratio crédits nets/dépôts tendu à 97,5%.</w:t>
      </w:r>
    </w:p>
    <w:p>
      <w:pPr>
        <w:spacing w:after="120" w:line="276" w:lineRule="auto"/>
      </w:pPr>
      <w:r>
        <w:t>**Adaptation au secteur bancaire** : La structure de bilan est solide avec des capitaux propres de 135,118 Mds FCFA, une autonomie financière de 7,33% (faible mais typique du modèle bancaire) et une solvabilité générale de 107,9%. Le ratio de solvabilité de 19,64% (vs 11,5% réglementaire) offre une marge de manœuvre confortable. Les dépôts clientèle (1 181,045 Mds FCFA) financent les créances clientèle (1 151,536 Mds FCFA), mais la transformation est très tendue.</w:t>
      </w:r>
    </w:p>
    <w:p>
      <w:pPr>
        <w:spacing w:after="120" w:line="276" w:lineRule="auto"/>
      </w:pPr>
      <w:r>
        <w:t>**Estimations basées sur les rapports trimestriels** : Le rapport **S1 2026 (publié le 22/09/2026)** indique un PNB de 31,882 Mds FCFA (+19%) et un résultat net de 18,368 Mds FCFA (+11%), avec un RBE bondissant de +31% à 22,910 Mds FCFA grâce à une baisse des charges d'exploitation (-4%). Le rapport **T1 2026** confirme cette dynamique avec un PNB de 14,6 Mds FCFA (+35%) et un résultat net de 8,0 Mds FCFA (+48%). Sur cette base, on estime que l'exercice 2026 devrait afficher un PNB annuel de l'ordre de **62-65 Mds FCFA** (+18-23%) et un résultat net de **40-42 Mds FCFA** (+10-16%), sous réserve d'une normalisation du coût du risque (retour à une charge de 3,6 Mds FCFA au S1 2026 contre un produit net de 2,4 Mds FCFA au S1 2025).</w:t>
      </w:r>
    </w:p>
    <w:p>
      <w:pPr>
        <w:spacing w:after="120" w:line="276" w:lineRule="auto"/>
      </w:pPr>
      <w:r>
        <w:t>**Évolution pluriannuelle** : Le PNB est passé de 39,196 Mds FCFA (2023) à 45,207 Mds (2024) puis 52,805 Mds (2025), soit un TCAM de ~16%. Le résultat net a suivi une trajectoire similaire (27,270 → 30,341 → 36,237 Mds FCFA), avec un ROE maintenu au-dessus de 25%.</w:t>
      </w:r>
    </w:p>
    <w:p>
      <w:pPr>
        <w:spacing w:after="120" w:line="276" w:lineRule="auto"/>
      </w:pPr>
      <w:r>
        <w:t>**Conclusion fondamentale** : La BICB présente des fondamentaux **très solides** (ROE 26,8%, coefficient d'exploitation 31,1%, solvabilité 19,64%) et une position de leader incontestée au Bénin. Les risques principaux sont la **tension de liquidité** (ratio crédits/dépôts à 97,5%) et la **normalisation du coût du risque** après des reprises exceptionnelles en 2025. La recommandation fondamentale est **CONSERVER**, avec un biais positif si la qualité du crédit se stabilise.</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 **profil d'investissement contrasté mais globalement favorable**. Sur le plan de la **valorisation (Partie 0)**, le PER de 13,5x et le P/B de 3,61x indiquent une valorisation modérée à légèrement élevée, justifiée par un ROE de 26,8%, mais l'EV/EBITDA de 24,0x laisse peu de marge d'erreur. Le **comportement du cours (Partie 1)** est haussier sur 100 jours (+61,88%) avec une volatilité élevée (42,5%) et une distribution platykurtique (kurtosis -1,086) qui limite le risque de pics extrêmes, mais le skewness symétrique (+0,311) n'offre pas de biais directionnel clair. Les **signaux techniques (Partie 2)** sont divergents : le MACD (Vente) et les moyennes mobiles (cours sous MM20/MM50) plaident pour la prudence, tandis que le RSI en survente (28,77) et le stochastique naissant signalent un rebond potentiel — configuration typique d'une phase d'accumulation. Les **fondamentaux (Partie 3)** sont solides : PNB 2025 de 52,8 Mds FCFA (+16,5%), résultat net de 36,2 Mds FCFA (+24,7%), ROE de 26,8%, et les rapports S1 2026/T1 2026 confirment la dynamique (PNB +19%, RN +11% au S1 2026). Les **prédictions IA (J+1 à J+10)** anticipent une trajectoire haussière vers 9 115 FCFA (+7,9% sur 10 jours), ce qui **confirme** le scénario de rebond technique après la survente.</w:t>
      </w:r>
    </w:p>
    <w:p>
      <w:pPr>
        <w:spacing w:after="120" w:line="276" w:lineRule="auto"/>
      </w:pPr>
      <w:r>
        <w:t>**Recommandation finale : ACHAT**</w:t>
      </w:r>
    </w:p>
    <w:p>
      <w:pPr>
        <w:spacing w:after="120" w:line="276" w:lineRule="auto"/>
      </w:pPr>
      <w:r>
        <w:t>**Justification de la convergence** : La convergence est partielle mais orientée positivement — la valorisation modérée, les fondamentaux solides, le RSI en survente et les prédictions IA haussières l'emportent sur les signaux baissiers de court terme (MACD, position sous les MM). Le titre se trouve dans une zone d'entrée intéressante après un repli de -21,7% depuis le plus haut (10 790 FCFA), avec un support technique solide autour de 7 400-7 500 FCFA.</w:t>
      </w:r>
    </w:p>
    <w:p>
      <w:pPr>
        <w:spacing w:after="120" w:line="276" w:lineRule="auto"/>
      </w:pPr>
      <w:r>
        <w:t>**Niveau de confiance** : **Moyen** — la divergence technique et la normalisation du coût du risque introduisent une incertitude.</w:t>
      </w:r>
    </w:p>
    <w:p>
      <w:pPr>
        <w:spacing w:after="120" w:line="276" w:lineRule="auto"/>
      </w:pPr>
      <w:r>
        <w:t>**Niveau de risque global** : **Moyen à Élevé** — volatilité de 42,5%, tension de liquidité (ratio crédits/dépôts 97,5%), et sensibilité au risque de crédit.</w:t>
      </w:r>
    </w:p>
    <w:p>
      <w:pPr>
        <w:spacing w:after="120" w:line="276" w:lineRule="auto"/>
      </w:pPr>
      <w:r>
        <w:t>**Horizon d'investissement optimal** : **Moyen terme (3-12 mois)** — le temps que la normalisation du coût du risque se confirme et que la dynamique commerciale (PNB +19% au S1 2026) se traduise pleinement dans les résultats annuels 2026. Un investisseur averse au risque attendra une confirmation du rebond au-dessus de la MM20 (9 120 FCFA) avant de renforcer.</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PNB (+19 %) et du r\u00e9sultat brut d'exploitation (+31 %) traduit une rentabilit\u00e9 op\u00e9rationnelle solide, malgr\u00e9 un co\u00fbt du risque normalis\u00e9 apr\u00e8s des reprises exceptionnelles en 2025. Le r\u00e9sultat net reste en croissance de 11 % et le renforcement de la couverture des risques conforte la qualit\u00e9 des fondamentaux."}</w:t>
      </w:r>
    </w:p>
    <w:p>
      <w:pPr>
        <w:spacing w:before="40"/>
        <w:ind w:left="400"/>
      </w:pPr>
      <w:r>
        <w:rPr>
          <w:sz w:val="18"/>
        </w:rPr>
        <w:t>Au premier semestre 2026, BIIC affiche un Produit Net Bancaire de 31,9 milliards FCFA en progression de 19 % sur un an, porté par la dynamique commerciale et la bonne tenue des marges. La maîtrise des charges d'exploitation, en repli de 4 % à 9,0 milliards FCFA, permet au résultat brut d'exploitation de bondir de 31 % à 22,9 milliards FCFA. Le coût du risque redevient une charge de 3,6 milliards FCFA, contre un produit net de 2,4 milliards FCFA au S1 2025 qui intégrait d'importantes reprises de provisions. Malgré ce effet de base défavorable, le résultat net progresse de 11 % pour s'établir à 18,4 milliards FCFA, avec une rentabilité nette très élevée rapportée au PNB. Au bilan, le total s'é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'-3 579 millions FCFA (vs +2 376 millions FCFA au S1 2025)', 'depots_clientele': '1 173 652 millions FCFA (-1 % vs déc.-25)', 'dotations_nettes': '6 100 millions FCFA (-13 %)', 'charges_exploitation': '-8 971 millions FCFA (-4 %)', 'produit_net_bancaire': '31 882 millions FCFA (+19 %)', 'resultat_avant_impot': '19 331 millions FCFA (-3 %)', 'titres_au_cout_amorti': '483 801 millions FCFA (-5 %)', 'credits_nets_clientele': '1 162 656 millions FCFA (+1 % vs déc.-25)', 'resultat_brut_exploitation': '22 910 millions FCFA (+31 %)', 'taux_de_couverture_credits_bruts': '1,65 %'}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 58 % (résultat net / PNB)</w:t>
            </w:r>
          </w:p>
        </w:tc>
        <w:tc>
          <w:tcPr>
            <w:tcW w:type="dxa" w:w="2160"/>
          </w:tcPr>
          <w:p>
            <w:pPr>
              <w:ind w:left="100"/>
            </w:pPr>
            <w:r/>
            <w:r>
              <w:rPr>
                <w:b/>
                <w:sz w:val="16"/>
              </w:rPr>
              <w:t>total_actif</w:t>
              <w:br/>
            </w:r>
            <w:r>
              <w:rPr>
                <w:sz w:val="18"/>
              </w:rPr>
              <w:t>1 870 566 millions FCFA</w:t>
            </w:r>
          </w:p>
        </w:tc>
      </w:tr>
      <w:tr>
        <w:tc>
          <w:tcPr>
            <w:tcW w:type="dxa" w:w="2160"/>
          </w:tcPr>
          <w:p>
            <w:r/>
            <w:r>
              <w:rPr>
                <w:b/>
                <w:sz w:val="16"/>
              </w:rPr>
              <w:t>resultat_net</w:t>
              <w:br/>
            </w:r>
            <w:r>
              <w:rPr>
                <w:sz w:val="18"/>
              </w:rPr>
              <w:t>18 368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31 882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31,9 milliards FCFA au S1 2026, en hausse de 19 % par rapport au S1 2025 (26,9 milliards FCFA).</w:t>
      </w:r>
    </w:p>
    <w:p>
      <w:pPr>
        <w:pStyle w:val="ListBullet"/>
        <w:spacing w:before="20" w:after="20"/>
        <w:ind w:left="700"/>
      </w:pPr>
      <w:r>
        <w:rPr>
          <w:sz w:val="18"/>
        </w:rPr>
        <w:t>Charges d'exploitation en recul de 4 % à 8,97 milliards FCFA, illustrant une discipline de coûts soutenue.</w:t>
      </w:r>
    </w:p>
    <w:p>
      <w:pPr>
        <w:pStyle w:val="ListBullet"/>
        <w:spacing w:before="20" w:after="20"/>
        <w:ind w:left="700"/>
      </w:pPr>
      <w:r>
        <w:rPr>
          <w:sz w:val="18"/>
        </w:rPr>
        <w:t>Résultat brut d'exploitation de 22,9 milliards FCFA, en progression de 31 %, soit une marge brute d'exploitation très confortable.</w:t>
      </w:r>
    </w:p>
    <w:p>
      <w:pPr>
        <w:pStyle w:val="ListBullet"/>
        <w:spacing w:before="20" w:after="20"/>
        <w:ind w:left="700"/>
      </w:pPr>
      <w:r>
        <w:rPr>
          <w:sz w:val="18"/>
        </w:rPr>
        <w:t>Coût du risque de -3,6 milliards FCFA contre un produit de 2,4 milliards FCFA au S1 2025, sous l'effet du niveau exceptionnel de reprises de l'an passé.</w:t>
      </w:r>
    </w:p>
    <w:p>
      <w:pPr>
        <w:pStyle w:val="ListBullet"/>
        <w:spacing w:before="20" w:after="20"/>
        <w:ind w:left="700"/>
      </w:pPr>
      <w:r>
        <w:rPr>
          <w:sz w:val="18"/>
        </w:rPr>
        <w:t>Résultat net de 18,4 milliards FCFA, en hausse de 11 % sur un an (16,6 milliards FCFA au S1 2025).</w:t>
      </w:r>
    </w:p>
    <w:p>
      <w:pPr>
        <w:pStyle w:val="ListBullet"/>
        <w:spacing w:before="20" w:after="20"/>
        <w:ind w:left="700"/>
      </w:pPr>
      <w:r>
        <w:rPr>
          <w:sz w:val="18"/>
        </w:rPr>
        <w:t>Dotations nettes en recul de 13 % à 6,1 milliards FCFA, avec un taux de couverture des crédits bruts porté à 1,65 % (19,5 milliards FCFA de dépréciations).</w:t>
      </w:r>
    </w:p>
    <w:p>
      <w:pPr>
        <w:spacing w:before="40"/>
        <w:ind w:left="400"/>
      </w:pPr>
      <w:r>
        <w:rPr>
          <w:b/>
          <w:color w:val="C05000"/>
          <w:sz w:val="18"/>
        </w:rPr>
        <w:t xml:space="preserve">⚠️ Risques : </w:t>
      </w:r>
      <w:r>
        <w:rPr>
          <w:sz w:val="18"/>
        </w:rPr>
        <w:t>["Normalisation du co\u00fbt du risque : retour \u00e0 une charge de 3,6 milliards FCFA, avec un r\u00e9sultat avant imp\u00f4t en l\u00e9ger repli (-3 %), la qualit\u00e9 des actifs restant un point de vigilance.", "L\u00e9ger retrait des d\u00e9p\u00f4ts client\u00e8le (-1 %) qui pourrait contrain</w:t>
      </w:r>
    </w:p>
    <w:p>
      <w:pPr>
        <w:spacing w:before="40"/>
        <w:ind w:left="400"/>
      </w:pPr>
      <w:r>
        <w:rPr>
          <w:b/>
          <w:color w:val="0064A0"/>
          <w:sz w:val="18"/>
        </w:rPr>
        <w:t xml:space="preserve">🔮 Perspectives : </w:t>
      </w:r>
      <w:r>
        <w:rPr>
          <w:sz w:val="18"/>
        </w:rPr>
        <w:t xml:space="preserve">La Direction Générale se déclare confiante dans sa capacité à atteindre les objectifs de l'exercice 2026, en poursuivant l'exécution disciplinée de son plan de développement. La Banque entend maintenir une gestion prudente des risques, une allocation rigoureuse des ressources et la consolidation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
      <w:r>
        <w:t>════════════════════════════════════════════════════════════════════════════════</w:t>
      </w:r>
    </w:p>
    <w:p>
      <w:r>
        <w:br w:type="page"/>
      </w:r>
    </w:p>
    <w:p>
      <w:pPr>
        <w:pStyle w:val="Heading2"/>
        <w:spacing w:before="360"/>
      </w:pPr>
      <w:r>
        <w:rPr>
          <w:color w:val="0066CC"/>
        </w:rPr>
        <w:t>4.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524.17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679 titres</w:t>
            </w:r>
          </w:p>
        </w:tc>
        <w:tc>
          <w:tcPr>
            <w:tcW w:type="dxa" w:w="2268"/>
            <w:shd w:fill="FFF2CC" w:val="clear"/>
          </w:tcPr>
          <w:p>
            <w:r>
              <w:rPr>
                <w:b/>
                <w:color w:val="503200"/>
                <w:sz w:val="16"/>
              </w:rPr>
              <w:t xml:space="preserve">Cours actuel : </w:t>
            </w:r>
            <w:r>
              <w:rPr>
                <w:color w:val="000000"/>
                <w:sz w:val="17"/>
              </w:rPr>
              <w:t>31,450 FCFA</w:t>
            </w:r>
          </w:p>
          <w:p>
            <w:r>
              <w:rPr>
                <w:b/>
                <w:color w:val="503200"/>
                <w:sz w:val="16"/>
              </w:rPr>
              <w:t xml:space="preserve">Var. 100 jours : </w:t>
            </w:r>
            <w:r>
              <w:rPr>
                <w:b/>
                <w:color w:val="007800"/>
                <w:sz w:val="17"/>
              </w:rPr>
              <w:t>+18.90%</w:t>
            </w:r>
          </w:p>
          <w:p>
            <w:r>
              <w:rPr>
                <w:b/>
                <w:color w:val="503200"/>
                <w:sz w:val="16"/>
              </w:rPr>
              <w:t xml:space="preserve">Plus haut 100j : </w:t>
            </w:r>
            <w:r>
              <w:rPr>
                <w:color w:val="000000"/>
                <w:sz w:val="17"/>
              </w:rPr>
              <w:t>34,895 FCFA</w:t>
            </w:r>
          </w:p>
          <w:p>
            <w:r>
              <w:rPr>
                <w:b/>
                <w:color w:val="503200"/>
                <w:sz w:val="16"/>
              </w:rPr>
              <w:t xml:space="preserve">Plus bas 100j : </w:t>
            </w:r>
            <w:r>
              <w:rPr>
                <w:color w:val="000000"/>
                <w:sz w:val="17"/>
              </w:rPr>
              <w:t>26,450 FCFA</w:t>
            </w:r>
          </w:p>
          <w:p>
            <w:r>
              <w:rPr>
                <w:b/>
                <w:color w:val="503200"/>
                <w:sz w:val="16"/>
              </w:rPr>
              <w:t xml:space="preserve">Volatilité ann. : </w:t>
            </w:r>
            <w:r>
              <w:rPr>
                <w:color w:val="000000"/>
                <w:sz w:val="17"/>
              </w:rPr>
              <w:t>38.0%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6.20% (Moyenne) — μ=29,585 FCFA, σ=1,834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β=1.0256 (Neutre (suit le marché)) — Cov=0.000075, Var(idx)=0.000073, ρ=0.373,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FFEB9C" w:val="clear"/>
          </w:tcPr>
          <w:p>
            <w:r>
              <w:rPr>
                <w:b/>
                <w:sz w:val="15"/>
              </w:rPr>
              <w:t>679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σ_j=2.39%/j (Stable) — Vol. annualisée≈38.0%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2026-10-13</w:t>
            </w:r>
          </w:p>
        </w:tc>
        <w:tc>
          <w:tcPr>
            <w:tcW w:type="dxa" w:w="1440"/>
            <w:shd w:fill="FAFAFA" w:val="clear"/>
          </w:tcPr>
          <w:p>
            <w:r>
              <w:rPr>
                <w:sz w:val="17"/>
              </w:rPr>
              <w:t>29,890</w:t>
            </w:r>
          </w:p>
        </w:tc>
        <w:tc>
          <w:tcPr>
            <w:tcW w:type="dxa" w:w="1440"/>
            <w:shd w:fill="FAFAFA" w:val="clear"/>
          </w:tcPr>
          <w:p>
            <w:r>
              <w:rPr>
                <w:b/>
                <w:sz w:val="17"/>
              </w:rPr>
              <w:t>31,794</w:t>
            </w:r>
          </w:p>
        </w:tc>
        <w:tc>
          <w:tcPr>
            <w:tcW w:type="dxa" w:w="1440"/>
            <w:shd w:fill="FAFAFA" w:val="clear"/>
          </w:tcPr>
          <w:p>
            <w:r>
              <w:rPr>
                <w:sz w:val="17"/>
              </w:rPr>
              <w:t>33,699</w:t>
            </w:r>
          </w:p>
        </w:tc>
        <w:tc>
          <w:tcPr>
            <w:tcW w:type="dxa" w:w="1440"/>
            <w:shd w:fill="FAFAFA" w:val="clear"/>
          </w:tcPr>
          <w:p>
            <w:r>
              <w:rPr>
                <w:b/>
                <w:color w:val="008000"/>
                <w:sz w:val="17"/>
              </w:rPr>
              <w:t>+1.1%</w:t>
            </w:r>
          </w:p>
        </w:tc>
      </w:tr>
      <w:tr>
        <w:tc>
          <w:tcPr>
            <w:tcW w:type="dxa" w:w="1440"/>
            <w:shd w:fill="FAFAFA" w:val="clear"/>
          </w:tcPr>
          <w:p>
            <w:r>
              <w:rPr>
                <w:sz w:val="17"/>
              </w:rPr>
              <w:t>J+2  Moyenne</w:t>
            </w:r>
          </w:p>
        </w:tc>
        <w:tc>
          <w:tcPr>
            <w:tcW w:type="dxa" w:w="1440"/>
            <w:shd w:fill="FAFAFA" w:val="clear"/>
          </w:tcPr>
          <w:p>
            <w:r>
              <w:rPr>
                <w:sz w:val="17"/>
              </w:rPr>
              <w:t>2026-10-14</w:t>
            </w:r>
          </w:p>
        </w:tc>
        <w:tc>
          <w:tcPr>
            <w:tcW w:type="dxa" w:w="1440"/>
            <w:shd w:fill="FAFAFA" w:val="clear"/>
          </w:tcPr>
          <w:p>
            <w:r>
              <w:rPr>
                <w:sz w:val="17"/>
              </w:rPr>
              <w:t>28,980</w:t>
            </w:r>
          </w:p>
        </w:tc>
        <w:tc>
          <w:tcPr>
            <w:tcW w:type="dxa" w:w="1440"/>
            <w:shd w:fill="FAFAFA" w:val="clear"/>
          </w:tcPr>
          <w:p>
            <w:r>
              <w:rPr>
                <w:b/>
                <w:sz w:val="17"/>
              </w:rPr>
              <w:t>31,661</w:t>
            </w:r>
          </w:p>
        </w:tc>
        <w:tc>
          <w:tcPr>
            <w:tcW w:type="dxa" w:w="1440"/>
            <w:shd w:fill="FAFAFA" w:val="clear"/>
          </w:tcPr>
          <w:p>
            <w:r>
              <w:rPr>
                <w:sz w:val="17"/>
              </w:rPr>
              <w:t>34,343</w:t>
            </w:r>
          </w:p>
        </w:tc>
        <w:tc>
          <w:tcPr>
            <w:tcW w:type="dxa" w:w="1440"/>
            <w:shd w:fill="FAFAFA" w:val="clear"/>
          </w:tcPr>
          <w:p>
            <w:r>
              <w:rPr>
                <w:b/>
                <w:color w:val="008000"/>
                <w:sz w:val="17"/>
              </w:rPr>
              <w:t>+0.7%</w:t>
            </w:r>
          </w:p>
        </w:tc>
      </w:tr>
      <w:tr>
        <w:tc>
          <w:tcPr>
            <w:tcW w:type="dxa" w:w="1440"/>
            <w:shd w:fill="FAFAFA" w:val="clear"/>
          </w:tcPr>
          <w:p>
            <w:r>
              <w:rPr>
                <w:sz w:val="17"/>
              </w:rPr>
              <w:t>J+3  Moyenne</w:t>
            </w:r>
          </w:p>
        </w:tc>
        <w:tc>
          <w:tcPr>
            <w:tcW w:type="dxa" w:w="1440"/>
            <w:shd w:fill="FAFAFA" w:val="clear"/>
          </w:tcPr>
          <w:p>
            <w:r>
              <w:rPr>
                <w:sz w:val="17"/>
              </w:rPr>
              <w:t>2026-10-15</w:t>
            </w:r>
          </w:p>
        </w:tc>
        <w:tc>
          <w:tcPr>
            <w:tcW w:type="dxa" w:w="1440"/>
            <w:shd w:fill="FAFAFA" w:val="clear"/>
          </w:tcPr>
          <w:p>
            <w:r>
              <w:rPr>
                <w:sz w:val="17"/>
              </w:rPr>
              <w:t>28,307</w:t>
            </w:r>
          </w:p>
        </w:tc>
        <w:tc>
          <w:tcPr>
            <w:tcW w:type="dxa" w:w="1440"/>
            <w:shd w:fill="FAFAFA" w:val="clear"/>
          </w:tcPr>
          <w:p>
            <w:r>
              <w:rPr>
                <w:b/>
                <w:sz w:val="17"/>
              </w:rPr>
              <w:t>31,583</w:t>
            </w:r>
          </w:p>
        </w:tc>
        <w:tc>
          <w:tcPr>
            <w:tcW w:type="dxa" w:w="1440"/>
            <w:shd w:fill="FAFAFA" w:val="clear"/>
          </w:tcPr>
          <w:p>
            <w:r>
              <w:rPr>
                <w:sz w:val="17"/>
              </w:rPr>
              <w:t>34,859</w:t>
            </w:r>
          </w:p>
        </w:tc>
        <w:tc>
          <w:tcPr>
            <w:tcW w:type="dxa" w:w="1440"/>
            <w:shd w:fill="FAFAFA" w:val="clear"/>
          </w:tcPr>
          <w:p>
            <w:r>
              <w:rPr>
                <w:b/>
                <w:color w:val="008000"/>
                <w:sz w:val="17"/>
              </w:rPr>
              <w:t>+0.4%</w:t>
            </w:r>
          </w:p>
        </w:tc>
      </w:tr>
      <w:tr>
        <w:tc>
          <w:tcPr>
            <w:tcW w:type="dxa" w:w="1440"/>
            <w:shd w:fill="FAFAFA" w:val="clear"/>
          </w:tcPr>
          <w:p>
            <w:r>
              <w:rPr>
                <w:sz w:val="17"/>
              </w:rPr>
              <w:t>J+4  ⭐</w:t>
            </w:r>
          </w:p>
        </w:tc>
        <w:tc>
          <w:tcPr>
            <w:tcW w:type="dxa" w:w="1440"/>
            <w:shd w:fill="FAFAFA" w:val="clear"/>
          </w:tcPr>
          <w:p>
            <w:r>
              <w:rPr>
                <w:sz w:val="17"/>
              </w:rPr>
              <w:t>2026-10-16</w:t>
            </w:r>
          </w:p>
        </w:tc>
        <w:tc>
          <w:tcPr>
            <w:tcW w:type="dxa" w:w="1440"/>
            <w:shd w:fill="FAFAFA" w:val="clear"/>
          </w:tcPr>
          <w:p>
            <w:r>
              <w:rPr>
                <w:sz w:val="17"/>
              </w:rPr>
              <w:t>27,746</w:t>
            </w:r>
          </w:p>
        </w:tc>
        <w:tc>
          <w:tcPr>
            <w:tcW w:type="dxa" w:w="1440"/>
            <w:shd w:fill="FAFAFA" w:val="clear"/>
          </w:tcPr>
          <w:p>
            <w:r>
              <w:rPr>
                <w:b/>
                <w:sz w:val="17"/>
              </w:rPr>
              <w:t>31,522</w:t>
            </w:r>
          </w:p>
        </w:tc>
        <w:tc>
          <w:tcPr>
            <w:tcW w:type="dxa" w:w="1440"/>
            <w:shd w:fill="FAFAFA" w:val="clear"/>
          </w:tcPr>
          <w:p>
            <w:r>
              <w:rPr>
                <w:sz w:val="17"/>
              </w:rPr>
              <w:t>35,297</w:t>
            </w:r>
          </w:p>
        </w:tc>
        <w:tc>
          <w:tcPr>
            <w:tcW w:type="dxa" w:w="1440"/>
            <w:shd w:fill="FAFAFA" w:val="clear"/>
          </w:tcPr>
          <w:p>
            <w:r>
              <w:rPr>
                <w:b/>
                <w:color w:val="008000"/>
                <w:sz w:val="17"/>
              </w:rPr>
              <w:t>+0.2%</w:t>
            </w:r>
          </w:p>
        </w:tc>
      </w:tr>
      <w:tr>
        <w:tc>
          <w:tcPr>
            <w:tcW w:type="dxa" w:w="1440"/>
            <w:shd w:fill="FAFAFA" w:val="clear"/>
          </w:tcPr>
          <w:p>
            <w:r>
              <w:rPr>
                <w:sz w:val="17"/>
              </w:rPr>
              <w:t>J+5  ⭐</w:t>
            </w:r>
          </w:p>
        </w:tc>
        <w:tc>
          <w:tcPr>
            <w:tcW w:type="dxa" w:w="1440"/>
            <w:shd w:fill="FAFAFA" w:val="clear"/>
          </w:tcPr>
          <w:p>
            <w:r>
              <w:rPr>
                <w:sz w:val="17"/>
              </w:rPr>
              <w:t>2026-10-19</w:t>
            </w:r>
          </w:p>
        </w:tc>
        <w:tc>
          <w:tcPr>
            <w:tcW w:type="dxa" w:w="1440"/>
            <w:shd w:fill="FAFAFA" w:val="clear"/>
          </w:tcPr>
          <w:p>
            <w:r>
              <w:rPr>
                <w:sz w:val="17"/>
              </w:rPr>
              <w:t>27,249</w:t>
            </w:r>
          </w:p>
        </w:tc>
        <w:tc>
          <w:tcPr>
            <w:tcW w:type="dxa" w:w="1440"/>
            <w:shd w:fill="FAFAFA" w:val="clear"/>
          </w:tcPr>
          <w:p>
            <w:r>
              <w:rPr>
                <w:b/>
                <w:sz w:val="17"/>
              </w:rPr>
              <w:t>31,462</w:t>
            </w:r>
          </w:p>
        </w:tc>
        <w:tc>
          <w:tcPr>
            <w:tcW w:type="dxa" w:w="1440"/>
            <w:shd w:fill="FAFAFA" w:val="clear"/>
          </w:tcPr>
          <w:p>
            <w:r>
              <w:rPr>
                <w:sz w:val="17"/>
              </w:rPr>
              <w:t>35,675</w:t>
            </w:r>
          </w:p>
        </w:tc>
        <w:tc>
          <w:tcPr>
            <w:tcW w:type="dxa" w:w="1440"/>
            <w:shd w:fill="FAFAFA" w:val="clear"/>
          </w:tcPr>
          <w:p>
            <w:r>
              <w:rPr>
                <w:b/>
                <w:color w:val="008000"/>
                <w:sz w:val="17"/>
              </w:rPr>
              <w:t>+0.0%</w:t>
            </w:r>
          </w:p>
        </w:tc>
      </w:tr>
      <w:tr>
        <w:tc>
          <w:tcPr>
            <w:tcW w:type="dxa" w:w="1440"/>
            <w:shd w:fill="FAFAFA" w:val="clear"/>
          </w:tcPr>
          <w:p>
            <w:r>
              <w:rPr>
                <w:sz w:val="17"/>
              </w:rPr>
              <w:t>J+6  ⭐</w:t>
            </w:r>
          </w:p>
        </w:tc>
        <w:tc>
          <w:tcPr>
            <w:tcW w:type="dxa" w:w="1440"/>
            <w:shd w:fill="FAFAFA" w:val="clear"/>
          </w:tcPr>
          <w:p>
            <w:r>
              <w:rPr>
                <w:sz w:val="17"/>
              </w:rPr>
              <w:t>2026-10-20</w:t>
            </w:r>
          </w:p>
        </w:tc>
        <w:tc>
          <w:tcPr>
            <w:tcW w:type="dxa" w:w="1440"/>
            <w:shd w:fill="FAFAFA" w:val="clear"/>
          </w:tcPr>
          <w:p>
            <w:r>
              <w:rPr>
                <w:sz w:val="17"/>
              </w:rPr>
              <w:t>26,796</w:t>
            </w:r>
          </w:p>
        </w:tc>
        <w:tc>
          <w:tcPr>
            <w:tcW w:type="dxa" w:w="1440"/>
            <w:shd w:fill="FAFAFA" w:val="clear"/>
          </w:tcPr>
          <w:p>
            <w:r>
              <w:rPr>
                <w:b/>
                <w:sz w:val="17"/>
              </w:rPr>
              <w:t>31,402</w:t>
            </w:r>
          </w:p>
        </w:tc>
        <w:tc>
          <w:tcPr>
            <w:tcW w:type="dxa" w:w="1440"/>
            <w:shd w:fill="FAFAFA" w:val="clear"/>
          </w:tcPr>
          <w:p>
            <w:r>
              <w:rPr>
                <w:sz w:val="17"/>
              </w:rPr>
              <w:t>36,009</w:t>
            </w:r>
          </w:p>
        </w:tc>
        <w:tc>
          <w:tcPr>
            <w:tcW w:type="dxa" w:w="1440"/>
            <w:shd w:fill="FAFAFA" w:val="clear"/>
          </w:tcPr>
          <w:p>
            <w:r>
              <w:rPr>
                <w:b/>
                <w:color w:val="C00000"/>
                <w:sz w:val="17"/>
              </w:rPr>
              <w:t>-0.2%</w:t>
            </w:r>
          </w:p>
        </w:tc>
      </w:tr>
      <w:tr>
        <w:tc>
          <w:tcPr>
            <w:tcW w:type="dxa" w:w="1440"/>
            <w:shd w:fill="FAFAFA" w:val="clear"/>
          </w:tcPr>
          <w:p>
            <w:r>
              <w:rPr>
                <w:sz w:val="17"/>
              </w:rPr>
              <w:t>J+7  ⭐</w:t>
            </w:r>
          </w:p>
        </w:tc>
        <w:tc>
          <w:tcPr>
            <w:tcW w:type="dxa" w:w="1440"/>
            <w:shd w:fill="FAFAFA" w:val="clear"/>
          </w:tcPr>
          <w:p>
            <w:r>
              <w:rPr>
                <w:sz w:val="17"/>
              </w:rPr>
              <w:t>2026-10-21</w:t>
            </w:r>
          </w:p>
        </w:tc>
        <w:tc>
          <w:tcPr>
            <w:tcW w:type="dxa" w:w="1440"/>
            <w:shd w:fill="FAFAFA" w:val="clear"/>
          </w:tcPr>
          <w:p>
            <w:r>
              <w:rPr>
                <w:sz w:val="17"/>
              </w:rPr>
              <w:t>26,378</w:t>
            </w:r>
          </w:p>
        </w:tc>
        <w:tc>
          <w:tcPr>
            <w:tcW w:type="dxa" w:w="1440"/>
            <w:shd w:fill="FAFAFA" w:val="clear"/>
          </w:tcPr>
          <w:p>
            <w:r>
              <w:rPr>
                <w:b/>
                <w:sz w:val="17"/>
              </w:rPr>
              <w:t>31,344</w:t>
            </w:r>
          </w:p>
        </w:tc>
        <w:tc>
          <w:tcPr>
            <w:tcW w:type="dxa" w:w="1440"/>
            <w:shd w:fill="FAFAFA" w:val="clear"/>
          </w:tcPr>
          <w:p>
            <w:r>
              <w:rPr>
                <w:sz w:val="17"/>
              </w:rPr>
              <w:t>36,310</w:t>
            </w:r>
          </w:p>
        </w:tc>
        <w:tc>
          <w:tcPr>
            <w:tcW w:type="dxa" w:w="1440"/>
            <w:shd w:fill="FAFAFA" w:val="clear"/>
          </w:tcPr>
          <w:p>
            <w:r>
              <w:rPr>
                <w:b/>
                <w:color w:val="C00000"/>
                <w:sz w:val="17"/>
              </w:rPr>
              <w:t>-0.3%</w:t>
            </w:r>
          </w:p>
        </w:tc>
      </w:tr>
      <w:tr>
        <w:tc>
          <w:tcPr>
            <w:tcW w:type="dxa" w:w="1440"/>
            <w:shd w:fill="FAFAFA" w:val="clear"/>
          </w:tcPr>
          <w:p>
            <w:r>
              <w:rPr>
                <w:sz w:val="17"/>
              </w:rPr>
              <w:t>J+8  ⭐</w:t>
            </w:r>
          </w:p>
        </w:tc>
        <w:tc>
          <w:tcPr>
            <w:tcW w:type="dxa" w:w="1440"/>
            <w:shd w:fill="FAFAFA" w:val="clear"/>
          </w:tcPr>
          <w:p>
            <w:r>
              <w:rPr>
                <w:sz w:val="17"/>
              </w:rPr>
              <w:t>2026-10-22</w:t>
            </w:r>
          </w:p>
        </w:tc>
        <w:tc>
          <w:tcPr>
            <w:tcW w:type="dxa" w:w="1440"/>
            <w:shd w:fill="FAFAFA" w:val="clear"/>
          </w:tcPr>
          <w:p>
            <w:r>
              <w:rPr>
                <w:sz w:val="17"/>
              </w:rPr>
              <w:t>25,988</w:t>
            </w:r>
          </w:p>
        </w:tc>
        <w:tc>
          <w:tcPr>
            <w:tcW w:type="dxa" w:w="1440"/>
            <w:shd w:fill="FAFAFA" w:val="clear"/>
          </w:tcPr>
          <w:p>
            <w:r>
              <w:rPr>
                <w:b/>
                <w:sz w:val="17"/>
              </w:rPr>
              <w:t>31,287</w:t>
            </w:r>
          </w:p>
        </w:tc>
        <w:tc>
          <w:tcPr>
            <w:tcW w:type="dxa" w:w="1440"/>
            <w:shd w:fill="FAFAFA" w:val="clear"/>
          </w:tcPr>
          <w:p>
            <w:r>
              <w:rPr>
                <w:sz w:val="17"/>
              </w:rPr>
              <w:t>36,586</w:t>
            </w:r>
          </w:p>
        </w:tc>
        <w:tc>
          <w:tcPr>
            <w:tcW w:type="dxa" w:w="1440"/>
            <w:shd w:fill="FAFAFA" w:val="clear"/>
          </w:tcPr>
          <w:p>
            <w:r>
              <w:rPr>
                <w:b/>
                <w:color w:val="C00000"/>
                <w:sz w:val="17"/>
              </w:rPr>
              <w:t>-0.5%</w:t>
            </w:r>
          </w:p>
        </w:tc>
      </w:tr>
      <w:tr>
        <w:tc>
          <w:tcPr>
            <w:tcW w:type="dxa" w:w="1440"/>
            <w:shd w:fill="FAFAFA" w:val="clear"/>
          </w:tcPr>
          <w:p>
            <w:r>
              <w:rPr>
                <w:sz w:val="17"/>
              </w:rPr>
              <w:t>J+9  ⭐</w:t>
            </w:r>
          </w:p>
        </w:tc>
        <w:tc>
          <w:tcPr>
            <w:tcW w:type="dxa" w:w="1440"/>
            <w:shd w:fill="FAFAFA" w:val="clear"/>
          </w:tcPr>
          <w:p>
            <w:r>
              <w:rPr>
                <w:sz w:val="17"/>
              </w:rPr>
              <w:t>2026-10-23</w:t>
            </w:r>
          </w:p>
        </w:tc>
        <w:tc>
          <w:tcPr>
            <w:tcW w:type="dxa" w:w="1440"/>
            <w:shd w:fill="FAFAFA" w:val="clear"/>
          </w:tcPr>
          <w:p>
            <w:r>
              <w:rPr>
                <w:sz w:val="17"/>
              </w:rPr>
              <w:t>25,621</w:t>
            </w:r>
          </w:p>
        </w:tc>
        <w:tc>
          <w:tcPr>
            <w:tcW w:type="dxa" w:w="1440"/>
            <w:shd w:fill="FAFAFA" w:val="clear"/>
          </w:tcPr>
          <w:p>
            <w:r>
              <w:rPr>
                <w:b/>
                <w:sz w:val="17"/>
              </w:rPr>
              <w:t>31,232</w:t>
            </w:r>
          </w:p>
        </w:tc>
        <w:tc>
          <w:tcPr>
            <w:tcW w:type="dxa" w:w="1440"/>
            <w:shd w:fill="FAFAFA" w:val="clear"/>
          </w:tcPr>
          <w:p>
            <w:r>
              <w:rPr>
                <w:sz w:val="17"/>
              </w:rPr>
              <w:t>36,843</w:t>
            </w:r>
          </w:p>
        </w:tc>
        <w:tc>
          <w:tcPr>
            <w:tcW w:type="dxa" w:w="1440"/>
            <w:shd w:fill="FAFAFA" w:val="clear"/>
          </w:tcPr>
          <w:p>
            <w:r>
              <w:rPr>
                <w:b/>
                <w:color w:val="C00000"/>
                <w:sz w:val="17"/>
              </w:rPr>
              <w:t>-0.7%</w:t>
            </w:r>
          </w:p>
        </w:tc>
      </w:tr>
      <w:tr>
        <w:tc>
          <w:tcPr>
            <w:tcW w:type="dxa" w:w="1440"/>
            <w:shd w:fill="FAFAFA" w:val="clear"/>
          </w:tcPr>
          <w:p>
            <w:r>
              <w:rPr>
                <w:sz w:val="17"/>
              </w:rPr>
              <w:t>J+10  ⭐</w:t>
            </w:r>
          </w:p>
        </w:tc>
        <w:tc>
          <w:tcPr>
            <w:tcW w:type="dxa" w:w="1440"/>
            <w:shd w:fill="FAFAFA" w:val="clear"/>
          </w:tcPr>
          <w:p>
            <w:r>
              <w:rPr>
                <w:sz w:val="17"/>
              </w:rPr>
              <w:t>2026-10-26</w:t>
            </w:r>
          </w:p>
        </w:tc>
        <w:tc>
          <w:tcPr>
            <w:tcW w:type="dxa" w:w="1440"/>
            <w:shd w:fill="FAFAFA" w:val="clear"/>
          </w:tcPr>
          <w:p>
            <w:r>
              <w:rPr>
                <w:sz w:val="17"/>
              </w:rPr>
              <w:t>25,274</w:t>
            </w:r>
          </w:p>
        </w:tc>
        <w:tc>
          <w:tcPr>
            <w:tcW w:type="dxa" w:w="1440"/>
            <w:shd w:fill="FAFAFA" w:val="clear"/>
          </w:tcPr>
          <w:p>
            <w:r>
              <w:rPr>
                <w:b/>
                <w:sz w:val="17"/>
              </w:rPr>
              <w:t>31,179</w:t>
            </w:r>
          </w:p>
        </w:tc>
        <w:tc>
          <w:tcPr>
            <w:tcW w:type="dxa" w:w="1440"/>
            <w:shd w:fill="FAFAFA" w:val="clear"/>
          </w:tcPr>
          <w:p>
            <w:r>
              <w:rPr>
                <w:sz w:val="17"/>
              </w:rPr>
              <w:t>37,083</w:t>
            </w:r>
          </w:p>
        </w:tc>
        <w:tc>
          <w:tcPr>
            <w:tcW w:type="dxa" w:w="1440"/>
            <w:shd w:fill="FAFAFA" w:val="clear"/>
          </w:tcPr>
          <w:p>
            <w:r>
              <w:rPr>
                <w:b/>
                <w:color w:val="C00000"/>
                <w:sz w:val="17"/>
              </w:rPr>
              <w:t>-0.9%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 RAPPORT D'ANALYSE FINANCIÈRE — BICC (BICICI)</w:t>
        <w:br/>
        <w:t>**Bourse Régionale des Valeurs Mobilières (BRVM) — Secteur : Banque**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**524,17 milliards FCFA**, BICC s'impose comme l'une des toutes premières capitalisations de la BRVM, ce qui en fait une valeur incontournable de l'indice BRVM Composite et un pilier du compartiment bancaire régional. Le BPA de **2 191 FCFA/action** signifie que chaque titre génère près de 2 200 FCFA de bénéfice net, un niveau élevé qui traduit la forte rentabilité de la banque. Le PER de **14,4x** se situe au-dessus de la moyenne du marché BRVM (généralement 8-12x), ce qui indique que les investisseurs acceptent de payer une prime pour la qualité et la croissance de BICC, sans pour autant tomber dans une valorisation excessive. Le P/B de **4,35x** est nettement supérieur à 1, ce qui signifie que le marché valorise la banque à plus de quatre fois sa valeur comptable — une prime exigeante qui se justifie par un ROE exceptionnel de 30,3% mais qui laisse peu de marge d'erreur. Enfin, l'EV/EBITDA de **10,3x**, dans la fourchette 10-15x, confirme une valorisation élevée mais cohérente avec la capacité opérationnelle de la banque, l'ensemble de ces ratios dessinant le profil d'une valeur de qualité, chère mais justifiée par ses fondamentaux.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BICC affiche une **variation totale de +18,90%**, portée par une tendance haussière de fond, mais la dernière séance (J-1) enregistre un repli marqué de **-4,54%**, signalant une prise de profit après le rallye. Le cours actuel de **31 450 FCFA** se situe dans la partie haute du range de trading, dont le plus haut atteint **34 895 FCFA** et le plus bas **26 450 FCFA**, soit une amplitude d'environ 32% sur la période. La tendance générale reste donc haussière, mais la correction récente invite à la prudence à court terme. Les statistiques descriptives révèlent une **moyenne de 29 585 FCFA** supérieure à la **médiane de 29 000 FCFA** (égale au mode), ce qui traduit une distribution légèrement tirée vers le haut par les pics de cours. L'**écart-type de 1 844 FCFA** avec un **coefficient de variation de 6,2%** indique une dispersion modérée du cours autour de sa moyenne, donc une relative stabilité. Le **kurtosis de 0,150** (mésokurtique) signifie que la distribution des rendements est proche d'une loi normale, sans risque excessif de pics extrêmes. En revanche, le **skewness de 1,016** (asymétrie positive) indique qu'il y a davantage de journées sous la moyenne que de journées au-dessus, avec quelques fortes hausses ponctuelles — un profil typique d'un titre en tendance haussière avec des accélérations. Enfin, la **volatilité annualisée de 38,0%** classe BICC dans la catégorie des titres à volatilité élevée (&gt;30%), ce qui implique un risque de marché significatif et justifie une approche d'investissement avec un horizon suffisamment long.</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**31 895,5 FCFA** et la MM50 à **30 844,5 FCFA**, toutes deux inférieures au cours actuel de 31 450 FCFA pour la MM20 (léger écart) mais nettement en dessous pour la MM50. La configuration MM20 &gt; MM50 confirme une tendance haussière de moyen terme, et le fait que le cours évolue autour de la MM20 suggère une consolidation saine. La décision technique est donc **Achat**, la structure des moyennes mobiles restant favorable.</w:t>
      </w:r>
    </w:p>
    <w:p>
      <w:pPr>
        <w:spacing w:after="120" w:line="276" w:lineRule="auto"/>
      </w:pPr>
      <w:r>
        <w:t>**Bandes de Bollinger** : La borne supérieure se situe à **34 194,41 FCFA** et la borne inférieure à **29 596,59 FCFA**, avec un cours actuel de **31 450 FCFA** positionné dans la moitié inférieure de la bande. Cette position médiane-basse indique que le titre n'est ni suracheté ni survendu, et la largeur des bandes (environ 4 600 FCFA) reflète une volatilité modérée. La décision est **Neutre**, le cours évoluant sans signal directionnel fort.</w:t>
      </w:r>
    </w:p>
    <w:p>
      <w:pPr>
        <w:spacing w:after="120" w:line="276" w:lineRule="auto"/>
      </w:pPr>
      <w:r>
        <w:t>**MACD** : La valeur du MACD est de **270,623** contre un signal à **405,919**, soit un MACD inférieur à son signal — configuration baissière qui traduit un essoufflement du momentum haussier. Cette divergence négative, cohérente avec la baisse de J-1 (-4,54%), justifie la décision de **Vente** à court terme, le momentum ayant clairement ralenti.</w:t>
      </w:r>
    </w:p>
    <w:p>
      <w:pPr>
        <w:spacing w:after="120" w:line="276" w:lineRule="auto"/>
      </w:pPr>
      <w:r>
        <w:t>**RSI** : À **49,318**, le RSI se situe exactement dans la zone neutre (30-70), à mi-chemin entre surachat et survente. Cela signifie que le titre n'est ni surévalué ni sous-évalué techniquement, et qu'il dispose d'un potentiel de rebond comme de baisse. La décision est logiquement **Neutre**, sans signal exploitable.</w:t>
      </w:r>
    </w:p>
    <w:p>
      <w:pPr>
        <w:spacing w:after="120" w:line="276" w:lineRule="auto"/>
      </w:pPr>
      <w:r>
        <w:t>**Stochastique** : Le %K est à **33,107** et le %D à **42,783**, avec %K sous %D — configuration baissière indiquant que le momentum de court terme faiblit. Le %K proche de la zone de survente (20) suggère toutefois qu'un rebond technique n'est pas exclu. La décision reste **Neutre**, le signal étant mitigé entre faiblesse actuelle et potentiel de rebond.</w:t>
      </w:r>
    </w:p>
    <w:p>
      <w:pPr>
        <w:spacing w:after="120" w:line="276" w:lineRule="auto"/>
      </w:pPr>
      <w:r>
        <w:t>**Conclusion technique** : Les indicateurs sont globalement partagés — les moyennes mobiles restent haussières (Achat), mais le MACD est baissier (Vente), tandis que Bollinger, RSI et Stochastique sont neutres. Cette divergence traduit une phase de consolidation après le rallye de +18,9%, avec un momentum de court terme affaibli mais une tendance de fond intacte. Le signal technique global est donc **Neutre à légèrement baissier à court terme**, en attendant une clarification.</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BICC affiche un **Produit Net Bancaire (PNB) de 79,563 milliards FCFA**, équivalent du chiffre d'affaires pour une banque, en **croissance de 16,90%**, confirmant une dynamique commerciale soutenue. Le **résultat net s'élève à 36,520 milliards FCFA**, avec une **marge nette exceptionnelle de 45,90%** (résultat net / PNB), parmi les meilleures du secteur bancaire de l'UEMOA. Le **ROE atteint 30,29%** (&gt;15% = excellent) et le **ROA 3,24%**, témoignant d'une rentabilité des fonds propres et des actifs remarquable. Le **coefficient d'exploitation de 50,83%** (&lt;60% = banque efficace, &lt;50% = excellente) place BICC parmi les établissements les plus efficients de la région. Le **coût du risque rapporté aux charges financières est de -12,15%**, un niveau bas qui indique un portefeuille de crédits de bonne qualité. La structure financière montre une **autonomie financière de 10,71%** (capitaux propres / total bilan) inférieure au seuil de 30%, mais c'est une caractéristique normale pour une banque dont le bilan est majoritairement composé de dépôts clients (**952,872 milliards FCFA** de dettes clientèle contre **524,439 milliards FCFA** de créances clientèle, soit un ratio de transformation d'environ 55%). La **solvabilité générale de 111,99%** (&gt;1 = solvable) et la **capacité de remboursement de 0,40 an** confirment la solidité du bilan.</w:t>
      </w:r>
    </w:p>
    <w:p>
      <w:pPr>
        <w:spacing w:after="120" w:line="276" w:lineRule="auto"/>
      </w:pPr>
      <w:r>
        <w:t>**Estimations basées sur les rapports trimestriels** : Le rapport du **T1 2026 (publié le 31 mars 2026)** indique un **PNB de 21 214 MFCFA (+17,01%)** et un **résultat net de 10 387 MFCFA (+29,66%)**, avec une marge nette en amélioration à **49,0%** (contre 44,2% au T1 2025). Le rapport du **T3 2025 (30 septembre 2025)** affichait un PNB cumulé de 58 119 MFCFA (+16,4%) et un résultat net de 27 402 MFCFA (+50,8%), avec une marge nette de 47,1%. Le rapport du **S1 2025 (30 juin 2025)** montrait un PNB de 37 146 MFCFA (+16,6%) et un résultat net de 16 253 MFCFA (+42,5%). Sur la base de ces tendances, **on estime que l'exercice 2026 devrait enregistrer un PNB supérieur à 85 milliards FCFA et un résultat net approchant 40 milliards FCFA**, prolongeant la dynamique de croissance à deux chiffres. Le rapport du **T1 2026** souligne toutefois une **baisse des crédits nets de 4,47%** (à 523 300 MFCFA) due à des remboursements anticipés, compensée par une **hausse des dépôts de 14,46%** (à 996 392 MFCFA) — un point de vigilance à surveiller. La recommandation fondamentale est **ACHAT** : BICC présente une solidité financière exceptionnelle, une croissance rentable et une gestion rigoureuse des risques, avec un risque modéré lié à la contraction des crédits.</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dessine un profil d'investissement contrasté à court terme mais solide à moyen-long terme. **Sur la valorisation (Partie 0)**, les ratios PER de 14,4x, P/B de 4,35x et EV/EBITDA de 10,3x indiquent une valeur chère mais justifiée par un ROE de 30,3% — ni sous-évaluée, ni excessivement surévaluée. **Sur le comportement du cours (Partie 1)**, la tendance haussière de +18,9% sur 100 jours est favorable, mais la volatilité élevée (38%) et le skewness positif (1,016) suggèrent des accélérations ponctuelles suivies de corrections, comme celle de J-1 (-4,54%). **Sur le plan technique (Partie 2)**, les signaux sont divergents : moyennes mobiles haussières mais MACD baissier, RSI et Stochastique neutres — une configuration de consolidation qui appelle à la patience. **Sur les fondamentaux (Partie 3)**, BICC affiche une excellence opérationnelle (coefficient d'exploitation de 50,8%, marge nette de 45,9%, ROE de 30,3%) et une croissance robuste confirmée par les rapports T1 2026 (+17% de PNB, +29,7% de résultat net), avec une estimation de PNB 2026 supérieure à 85 milliards FCFA. **Les prédictions IA (J+1 à J+10)** anticipent une légère dérive baissière de 31 794 FCFA à 31 462 FCFA, confirmant la consolidation de court terme sans remettre en cause la tendance de fond. **Recommandation finale : ACHAT**, avec un **niveau de confiance Moyen** et un **risque global Moyen** (volatilité élevée mais fondamentaux solides). L'horizon optimal est le **moyen terme (3-12 mois)**, le temps que la consolidation technique s'achève et que la croissance des bénéfices se matérialise dans le cours. Les investisseurs à court terme attendront un signal technique plus clair (MACD repassant au-dessus de son signal, RSI &gt; 50), tandis que les investisseurs long terme peuvent accumuler progressivement sur les replis vers 30 000-31 000 FCFA.</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5.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12.49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2,891 titres</w:t>
            </w:r>
          </w:p>
        </w:tc>
        <w:tc>
          <w:tcPr>
            <w:tcW w:type="dxa" w:w="2268"/>
            <w:shd w:fill="FFF2CC" w:val="clear"/>
          </w:tcPr>
          <w:p>
            <w:r>
              <w:rPr>
                <w:b/>
                <w:color w:val="503200"/>
                <w:sz w:val="16"/>
              </w:rPr>
              <w:t xml:space="preserve">Cours actuel : </w:t>
            </w:r>
            <w:r>
              <w:rPr>
                <w:color w:val="000000"/>
                <w:sz w:val="17"/>
              </w:rPr>
              <w:t>1,885 FCFA</w:t>
            </w:r>
          </w:p>
          <w:p>
            <w:r>
              <w:rPr>
                <w:b/>
                <w:color w:val="503200"/>
                <w:sz w:val="16"/>
              </w:rPr>
              <w:t xml:space="preserve">Var. 100 jours : </w:t>
            </w:r>
            <w:r>
              <w:rPr>
                <w:b/>
                <w:color w:val="007800"/>
                <w:sz w:val="17"/>
              </w:rPr>
              <w:t>+25.67%</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1,495 FCFA</w:t>
            </w:r>
          </w:p>
          <w:p>
            <w:r>
              <w:rPr>
                <w:b/>
                <w:color w:val="503200"/>
                <w:sz w:val="16"/>
              </w:rPr>
              <w:t xml:space="preserve">Volatilité ann. : </w:t>
            </w:r>
            <w:r>
              <w:rPr>
                <w:color w:val="000000"/>
                <w:sz w:val="17"/>
              </w:rPr>
              <w:t>52.3%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17.0/100 → Faible</w:t>
      </w:r>
    </w:p>
    <w:p>
      <w:pPr>
        <w:spacing w:before="40" w:after="80"/>
      </w:pPr>
      <w:r>
        <w:rPr>
          <w:rFonts w:ascii="Courier New" w:hAnsi="Courier New"/>
          <w:color w:val="006400"/>
          <w:sz w:val="18"/>
        </w:rPr>
        <w:t>███░░░░░░░░░░░░░░░░░  17.0/100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9.40% (Moyenne) — μ=1,931 FCFA, σ=181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β=0.5593 (Défensif) — Cov=0.000041, Var(idx)=0.000073, ρ=0.146,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2,891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σ_j=3.29%/j (Modérée) — Vol. annualisée≈52.3%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2026-10-13</w:t>
            </w:r>
          </w:p>
        </w:tc>
        <w:tc>
          <w:tcPr>
            <w:tcW w:type="dxa" w:w="1440"/>
            <w:shd w:fill="FAFAFA" w:val="clear"/>
          </w:tcPr>
          <w:p>
            <w:r>
              <w:rPr>
                <w:sz w:val="17"/>
              </w:rPr>
              <w:t>1,739</w:t>
            </w:r>
          </w:p>
        </w:tc>
        <w:tc>
          <w:tcPr>
            <w:tcW w:type="dxa" w:w="1440"/>
            <w:shd w:fill="FAFAFA" w:val="clear"/>
          </w:tcPr>
          <w:p>
            <w:r>
              <w:rPr>
                <w:b/>
                <w:sz w:val="17"/>
              </w:rPr>
              <w:t>1,856</w:t>
            </w:r>
          </w:p>
        </w:tc>
        <w:tc>
          <w:tcPr>
            <w:tcW w:type="dxa" w:w="1440"/>
            <w:shd w:fill="FAFAFA" w:val="clear"/>
          </w:tcPr>
          <w:p>
            <w:r>
              <w:rPr>
                <w:sz w:val="17"/>
              </w:rPr>
              <w:t>1,973</w:t>
            </w:r>
          </w:p>
        </w:tc>
        <w:tc>
          <w:tcPr>
            <w:tcW w:type="dxa" w:w="1440"/>
            <w:shd w:fill="FAFAFA" w:val="clear"/>
          </w:tcPr>
          <w:p>
            <w:r>
              <w:rPr>
                <w:b/>
                <w:color w:val="C00000"/>
                <w:sz w:val="17"/>
              </w:rPr>
              <w:t>-1.5%</w:t>
            </w:r>
          </w:p>
        </w:tc>
      </w:tr>
      <w:tr>
        <w:tc>
          <w:tcPr>
            <w:tcW w:type="dxa" w:w="1440"/>
            <w:shd w:fill="FAFAFA" w:val="clear"/>
          </w:tcPr>
          <w:p>
            <w:r>
              <w:rPr>
                <w:sz w:val="17"/>
              </w:rPr>
              <w:t>J+2  ⭐</w:t>
            </w:r>
          </w:p>
        </w:tc>
        <w:tc>
          <w:tcPr>
            <w:tcW w:type="dxa" w:w="1440"/>
            <w:shd w:fill="FAFAFA" w:val="clear"/>
          </w:tcPr>
          <w:p>
            <w:r>
              <w:rPr>
                <w:sz w:val="17"/>
              </w:rPr>
              <w:t>2026-10-14</w:t>
            </w:r>
          </w:p>
        </w:tc>
        <w:tc>
          <w:tcPr>
            <w:tcW w:type="dxa" w:w="1440"/>
            <w:shd w:fill="FAFAFA" w:val="clear"/>
          </w:tcPr>
          <w:p>
            <w:r>
              <w:rPr>
                <w:sz w:val="17"/>
              </w:rPr>
              <w:t>1,696</w:t>
            </w:r>
          </w:p>
        </w:tc>
        <w:tc>
          <w:tcPr>
            <w:tcW w:type="dxa" w:w="1440"/>
            <w:shd w:fill="FAFAFA" w:val="clear"/>
          </w:tcPr>
          <w:p>
            <w:r>
              <w:rPr>
                <w:b/>
                <w:sz w:val="17"/>
              </w:rPr>
              <w:t>1,862</w:t>
            </w:r>
          </w:p>
        </w:tc>
        <w:tc>
          <w:tcPr>
            <w:tcW w:type="dxa" w:w="1440"/>
            <w:shd w:fill="FAFAFA" w:val="clear"/>
          </w:tcPr>
          <w:p>
            <w:r>
              <w:rPr>
                <w:sz w:val="17"/>
              </w:rPr>
              <w:t>2,029</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2026-10-15</w:t>
            </w:r>
          </w:p>
        </w:tc>
        <w:tc>
          <w:tcPr>
            <w:tcW w:type="dxa" w:w="1440"/>
            <w:shd w:fill="FAFAFA" w:val="clear"/>
          </w:tcPr>
          <w:p>
            <w:r>
              <w:rPr>
                <w:sz w:val="17"/>
              </w:rPr>
              <w:t>1,658</w:t>
            </w:r>
          </w:p>
        </w:tc>
        <w:tc>
          <w:tcPr>
            <w:tcW w:type="dxa" w:w="1440"/>
            <w:shd w:fill="FAFAFA" w:val="clear"/>
          </w:tcPr>
          <w:p>
            <w:r>
              <w:rPr>
                <w:b/>
                <w:sz w:val="17"/>
              </w:rPr>
              <w:t>1,862</w:t>
            </w:r>
          </w:p>
        </w:tc>
        <w:tc>
          <w:tcPr>
            <w:tcW w:type="dxa" w:w="1440"/>
            <w:shd w:fill="FAFAFA" w:val="clear"/>
          </w:tcPr>
          <w:p>
            <w:r>
              <w:rPr>
                <w:sz w:val="17"/>
              </w:rPr>
              <w:t>2,066</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2026-10-16</w:t>
            </w:r>
          </w:p>
        </w:tc>
        <w:tc>
          <w:tcPr>
            <w:tcW w:type="dxa" w:w="1440"/>
            <w:shd w:fill="FAFAFA" w:val="clear"/>
          </w:tcPr>
          <w:p>
            <w:r>
              <w:rPr>
                <w:sz w:val="17"/>
              </w:rPr>
              <w:t>1,626</w:t>
            </w:r>
          </w:p>
        </w:tc>
        <w:tc>
          <w:tcPr>
            <w:tcW w:type="dxa" w:w="1440"/>
            <w:shd w:fill="FAFAFA" w:val="clear"/>
          </w:tcPr>
          <w:p>
            <w:r>
              <w:rPr>
                <w:b/>
                <w:sz w:val="17"/>
              </w:rPr>
              <w:t>1,861</w:t>
            </w:r>
          </w:p>
        </w:tc>
        <w:tc>
          <w:tcPr>
            <w:tcW w:type="dxa" w:w="1440"/>
            <w:shd w:fill="FAFAFA" w:val="clear"/>
          </w:tcPr>
          <w:p>
            <w:r>
              <w:rPr>
                <w:sz w:val="17"/>
              </w:rPr>
              <w:t>2,097</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2026-10-19</w:t>
            </w:r>
          </w:p>
        </w:tc>
        <w:tc>
          <w:tcPr>
            <w:tcW w:type="dxa" w:w="1440"/>
            <w:shd w:fill="FAFAFA" w:val="clear"/>
          </w:tcPr>
          <w:p>
            <w:r>
              <w:rPr>
                <w:sz w:val="17"/>
              </w:rPr>
              <w:t>1,597</w:t>
            </w:r>
          </w:p>
        </w:tc>
        <w:tc>
          <w:tcPr>
            <w:tcW w:type="dxa" w:w="1440"/>
            <w:shd w:fill="FAFAFA" w:val="clear"/>
          </w:tcPr>
          <w:p>
            <w:r>
              <w:rPr>
                <w:b/>
                <w:sz w:val="17"/>
              </w:rPr>
              <w:t>1,860</w:t>
            </w:r>
          </w:p>
        </w:tc>
        <w:tc>
          <w:tcPr>
            <w:tcW w:type="dxa" w:w="1440"/>
            <w:shd w:fill="FAFAFA" w:val="clear"/>
          </w:tcPr>
          <w:p>
            <w:r>
              <w:rPr>
                <w:sz w:val="17"/>
              </w:rPr>
              <w:t>2,123</w:t>
            </w:r>
          </w:p>
        </w:tc>
        <w:tc>
          <w:tcPr>
            <w:tcW w:type="dxa" w:w="1440"/>
            <w:shd w:fill="FAFAFA" w:val="clear"/>
          </w:tcPr>
          <w:p>
            <w:r>
              <w:rPr>
                <w:b/>
                <w:color w:val="C00000"/>
                <w:sz w:val="17"/>
              </w:rPr>
              <w:t>-1.3%</w:t>
            </w:r>
          </w:p>
        </w:tc>
      </w:tr>
      <w:tr>
        <w:tc>
          <w:tcPr>
            <w:tcW w:type="dxa" w:w="1440"/>
            <w:shd w:fill="FAFAFA" w:val="clear"/>
          </w:tcPr>
          <w:p>
            <w:r>
              <w:rPr>
                <w:sz w:val="17"/>
              </w:rPr>
              <w:t>J+6  ⭐</w:t>
            </w:r>
          </w:p>
        </w:tc>
        <w:tc>
          <w:tcPr>
            <w:tcW w:type="dxa" w:w="1440"/>
            <w:shd w:fill="FAFAFA" w:val="clear"/>
          </w:tcPr>
          <w:p>
            <w:r>
              <w:rPr>
                <w:sz w:val="17"/>
              </w:rPr>
              <w:t>2026-10-20</w:t>
            </w:r>
          </w:p>
        </w:tc>
        <w:tc>
          <w:tcPr>
            <w:tcW w:type="dxa" w:w="1440"/>
            <w:shd w:fill="FAFAFA" w:val="clear"/>
          </w:tcPr>
          <w:p>
            <w:r>
              <w:rPr>
                <w:sz w:val="17"/>
              </w:rPr>
              <w:t>1,571</w:t>
            </w:r>
          </w:p>
        </w:tc>
        <w:tc>
          <w:tcPr>
            <w:tcW w:type="dxa" w:w="1440"/>
            <w:shd w:fill="FAFAFA" w:val="clear"/>
          </w:tcPr>
          <w:p>
            <w:r>
              <w:rPr>
                <w:b/>
                <w:sz w:val="17"/>
              </w:rPr>
              <w:t>1,859</w:t>
            </w:r>
          </w:p>
        </w:tc>
        <w:tc>
          <w:tcPr>
            <w:tcW w:type="dxa" w:w="1440"/>
            <w:shd w:fill="FAFAFA" w:val="clear"/>
          </w:tcPr>
          <w:p>
            <w:r>
              <w:rPr>
                <w:sz w:val="17"/>
              </w:rPr>
              <w:t>2,147</w:t>
            </w:r>
          </w:p>
        </w:tc>
        <w:tc>
          <w:tcPr>
            <w:tcW w:type="dxa" w:w="1440"/>
            <w:shd w:fill="FAFAFA" w:val="clear"/>
          </w:tcPr>
          <w:p>
            <w:r>
              <w:rPr>
                <w:b/>
                <w:color w:val="C00000"/>
                <w:sz w:val="17"/>
              </w:rPr>
              <w:t>-1.4%</w:t>
            </w:r>
          </w:p>
        </w:tc>
      </w:tr>
      <w:tr>
        <w:tc>
          <w:tcPr>
            <w:tcW w:type="dxa" w:w="1440"/>
            <w:shd w:fill="FAFAFA" w:val="clear"/>
          </w:tcPr>
          <w:p>
            <w:r>
              <w:rPr>
                <w:sz w:val="17"/>
              </w:rPr>
              <w:t>J+7  ⭐</w:t>
            </w:r>
          </w:p>
        </w:tc>
        <w:tc>
          <w:tcPr>
            <w:tcW w:type="dxa" w:w="1440"/>
            <w:shd w:fill="FAFAFA" w:val="clear"/>
          </w:tcPr>
          <w:p>
            <w:r>
              <w:rPr>
                <w:sz w:val="17"/>
              </w:rPr>
              <w:t>2026-10-21</w:t>
            </w:r>
          </w:p>
        </w:tc>
        <w:tc>
          <w:tcPr>
            <w:tcW w:type="dxa" w:w="1440"/>
            <w:shd w:fill="FAFAFA" w:val="clear"/>
          </w:tcPr>
          <w:p>
            <w:r>
              <w:rPr>
                <w:sz w:val="17"/>
              </w:rPr>
              <w:t>1,547</w:t>
            </w:r>
          </w:p>
        </w:tc>
        <w:tc>
          <w:tcPr>
            <w:tcW w:type="dxa" w:w="1440"/>
            <w:shd w:fill="FAFAFA" w:val="clear"/>
          </w:tcPr>
          <w:p>
            <w:r>
              <w:rPr>
                <w:b/>
                <w:sz w:val="17"/>
              </w:rPr>
              <w:t>1,858</w:t>
            </w:r>
          </w:p>
        </w:tc>
        <w:tc>
          <w:tcPr>
            <w:tcW w:type="dxa" w:w="1440"/>
            <w:shd w:fill="FAFAFA" w:val="clear"/>
          </w:tcPr>
          <w:p>
            <w:r>
              <w:rPr>
                <w:sz w:val="17"/>
              </w:rPr>
              <w:t>2,169</w:t>
            </w:r>
          </w:p>
        </w:tc>
        <w:tc>
          <w:tcPr>
            <w:tcW w:type="dxa" w:w="1440"/>
            <w:shd w:fill="FAFAFA" w:val="clear"/>
          </w:tcPr>
          <w:p>
            <w:r>
              <w:rPr>
                <w:b/>
                <w:color w:val="C00000"/>
                <w:sz w:val="17"/>
              </w:rPr>
              <w:t>-1.4%</w:t>
            </w:r>
          </w:p>
        </w:tc>
      </w:tr>
      <w:tr>
        <w:tc>
          <w:tcPr>
            <w:tcW w:type="dxa" w:w="1440"/>
            <w:shd w:fill="FAFAFA" w:val="clear"/>
          </w:tcPr>
          <w:p>
            <w:r>
              <w:rPr>
                <w:sz w:val="17"/>
              </w:rPr>
              <w:t>J+8  ⭐</w:t>
            </w:r>
          </w:p>
        </w:tc>
        <w:tc>
          <w:tcPr>
            <w:tcW w:type="dxa" w:w="1440"/>
            <w:shd w:fill="FAFAFA" w:val="clear"/>
          </w:tcPr>
          <w:p>
            <w:r>
              <w:rPr>
                <w:sz w:val="17"/>
              </w:rPr>
              <w:t>2026-10-22</w:t>
            </w:r>
          </w:p>
        </w:tc>
        <w:tc>
          <w:tcPr>
            <w:tcW w:type="dxa" w:w="1440"/>
            <w:shd w:fill="FAFAFA" w:val="clear"/>
          </w:tcPr>
          <w:p>
            <w:r>
              <w:rPr>
                <w:sz w:val="17"/>
              </w:rPr>
              <w:t>1,525</w:t>
            </w:r>
          </w:p>
        </w:tc>
        <w:tc>
          <w:tcPr>
            <w:tcW w:type="dxa" w:w="1440"/>
            <w:shd w:fill="FAFAFA" w:val="clear"/>
          </w:tcPr>
          <w:p>
            <w:r>
              <w:rPr>
                <w:b/>
                <w:sz w:val="17"/>
              </w:rPr>
              <w:t>1,857</w:t>
            </w:r>
          </w:p>
        </w:tc>
        <w:tc>
          <w:tcPr>
            <w:tcW w:type="dxa" w:w="1440"/>
            <w:shd w:fill="FAFAFA" w:val="clear"/>
          </w:tcPr>
          <w:p>
            <w:r>
              <w:rPr>
                <w:sz w:val="17"/>
              </w:rPr>
              <w:t>2,189</w:t>
            </w:r>
          </w:p>
        </w:tc>
        <w:tc>
          <w:tcPr>
            <w:tcW w:type="dxa" w:w="1440"/>
            <w:shd w:fill="FAFAFA" w:val="clear"/>
          </w:tcPr>
          <w:p>
            <w:r>
              <w:rPr>
                <w:b/>
                <w:color w:val="C00000"/>
                <w:sz w:val="17"/>
              </w:rPr>
              <w:t>-1.5%</w:t>
            </w:r>
          </w:p>
        </w:tc>
      </w:tr>
      <w:tr>
        <w:tc>
          <w:tcPr>
            <w:tcW w:type="dxa" w:w="1440"/>
            <w:shd w:fill="FAFAFA" w:val="clear"/>
          </w:tcPr>
          <w:p>
            <w:r>
              <w:rPr>
                <w:sz w:val="17"/>
              </w:rPr>
              <w:t>J+9  ⭐</w:t>
            </w:r>
          </w:p>
        </w:tc>
        <w:tc>
          <w:tcPr>
            <w:tcW w:type="dxa" w:w="1440"/>
            <w:shd w:fill="FAFAFA" w:val="clear"/>
          </w:tcPr>
          <w:p>
            <w:r>
              <w:rPr>
                <w:sz w:val="17"/>
              </w:rPr>
              <w:t>2026-10-23</w:t>
            </w:r>
          </w:p>
        </w:tc>
        <w:tc>
          <w:tcPr>
            <w:tcW w:type="dxa" w:w="1440"/>
            <w:shd w:fill="FAFAFA" w:val="clear"/>
          </w:tcPr>
          <w:p>
            <w:r>
              <w:rPr>
                <w:sz w:val="17"/>
              </w:rPr>
              <w:t>1,504</w:t>
            </w:r>
          </w:p>
        </w:tc>
        <w:tc>
          <w:tcPr>
            <w:tcW w:type="dxa" w:w="1440"/>
            <w:shd w:fill="FAFAFA" w:val="clear"/>
          </w:tcPr>
          <w:p>
            <w:r>
              <w:rPr>
                <w:b/>
                <w:sz w:val="17"/>
              </w:rPr>
              <w:t>1,856</w:t>
            </w:r>
          </w:p>
        </w:tc>
        <w:tc>
          <w:tcPr>
            <w:tcW w:type="dxa" w:w="1440"/>
            <w:shd w:fill="FAFAFA" w:val="clear"/>
          </w:tcPr>
          <w:p>
            <w:r>
              <w:rPr>
                <w:sz w:val="17"/>
              </w:rPr>
              <w:t>2,208</w:t>
            </w:r>
          </w:p>
        </w:tc>
        <w:tc>
          <w:tcPr>
            <w:tcW w:type="dxa" w:w="1440"/>
            <w:shd w:fill="FAFAFA" w:val="clear"/>
          </w:tcPr>
          <w:p>
            <w:r>
              <w:rPr>
                <w:b/>
                <w:color w:val="C00000"/>
                <w:sz w:val="17"/>
              </w:rPr>
              <w:t>-1.6%</w:t>
            </w:r>
          </w:p>
        </w:tc>
      </w:tr>
      <w:tr>
        <w:tc>
          <w:tcPr>
            <w:tcW w:type="dxa" w:w="1440"/>
            <w:shd w:fill="FAFAFA" w:val="clear"/>
          </w:tcPr>
          <w:p>
            <w:r>
              <w:rPr>
                <w:sz w:val="17"/>
              </w:rPr>
              <w:t>J+10  ⭐</w:t>
            </w:r>
          </w:p>
        </w:tc>
        <w:tc>
          <w:tcPr>
            <w:tcW w:type="dxa" w:w="1440"/>
            <w:shd w:fill="FAFAFA" w:val="clear"/>
          </w:tcPr>
          <w:p>
            <w:r>
              <w:rPr>
                <w:sz w:val="17"/>
              </w:rPr>
              <w:t>2026-10-26</w:t>
            </w:r>
          </w:p>
        </w:tc>
        <w:tc>
          <w:tcPr>
            <w:tcW w:type="dxa" w:w="1440"/>
            <w:shd w:fill="FAFAFA" w:val="clear"/>
          </w:tcPr>
          <w:p>
            <w:r>
              <w:rPr>
                <w:sz w:val="17"/>
              </w:rPr>
              <w:t>1,484</w:t>
            </w:r>
          </w:p>
        </w:tc>
        <w:tc>
          <w:tcPr>
            <w:tcW w:type="dxa" w:w="1440"/>
            <w:shd w:fill="FAFAFA" w:val="clear"/>
          </w:tcPr>
          <w:p>
            <w:r>
              <w:rPr>
                <w:b/>
                <w:sz w:val="17"/>
              </w:rPr>
              <w:t>1,855</w:t>
            </w:r>
          </w:p>
        </w:tc>
        <w:tc>
          <w:tcPr>
            <w:tcW w:type="dxa" w:w="1440"/>
            <w:shd w:fill="FAFAFA" w:val="clear"/>
          </w:tcPr>
          <w:p>
            <w:r>
              <w:rPr>
                <w:sz w:val="17"/>
              </w:rPr>
              <w:t>2,226</w:t>
            </w:r>
          </w:p>
        </w:tc>
        <w:tc>
          <w:tcPr>
            <w:tcW w:type="dxa" w:w="1440"/>
            <w:shd w:fill="FAFAFA" w:val="clear"/>
          </w:tcPr>
          <w:p>
            <w:r>
              <w:rPr>
                <w:b/>
                <w:color w:val="C00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 RAPPORT D'ANALYSE FINANCIÈRE — BNBC (BERNABÉ CÔTE D'IVOIRE)</w:t>
        <w:br/>
        <w:t>**Marché : BRVM | Secteur : Entreprise (Distribution industrielle / Matériaux BTP)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12,49 Mds FCFA, BNBC se situe dans la catégorie des petites capitalisations de la BRVM, ce qui limite mécaniquement sa liquidité et son attrait pour les investisseurs institutionnels. Le BPA ressort à seulement 3 FCFA par action, un niveau dérisoire qui traduit une rentabilité quasi-nulle de l'entreprise. Conséquence directe : le PER s'envole à 559,5x, un niveau absolument hors norme comparé au PER moyen de la BRVM (~8-12x), signifiant que les investisseurs paient environ 560 fois les bénéfices annuels — une valorisation totalement déconnectée des fondamentaux bénéficiaires. En revanche, le P/B de 0,70x indique que le marché valorise le titre à 30% en dessous de sa valeur comptable (capitaux propres de 17,77 Mds FCFA), ce qui constitue une opportunité théorique de décote sur actifs. Enfin, l'EV/EBITDA de 23,8x est très exigeant (&gt;15x), suggérant que la valeur d'entreprise intègre déjà une forte anticipation de redressement opérationnel non encore matérialisée.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BNBC affiche une progression totale de +25,67%, avec une dernière séance en forte hausse de +4,72%, portant le cours actuel à 1 885 FCFA. Le range de trading est large, entre un plus bas de 1 495 FCFA et un plus haut de 2 400 FCFA, soit une amplitude de 60% qui témoigne d'une forte nervosité du marché sur ce titre. La tendance générale est haussière sur la période, mais le cours actuel (1 885 FCFA) se situe nettement sous le plus haut, indiquant une phase de correction après un pic. Les statistiques descriptives révèlent une moyenne de 1 931 FCFA légèrement supérieure à la médiane de 1 962 FCFA — un écart modeste qui, combiné à un skewness de -0,242 (distribution symétrique), suggère un comportement équilibré sans biais directionnel marqué. L'écart-type de 182 FCFA avec un coefficient de variation de 9,4% indique une dispersion modérée autour de la moyenne, tandis que le kurtosis de 0,510 (mésokurtique) signale une probabilité de pics extrêmes proche d'une distribution normale — pas de risque de queue épaisse significatif. La volatilité annualisée de 52,3% classe ce titre dans la catégorie **élevée** (&gt;30%), ce qui est cohérent avec une petite capitalisation peu liquide (volume moyen de 2 891 titres/jour) et un profil fondamental incertain.</w:t>
      </w:r>
    </w:p>
    <w:p>
      <w:pPr>
        <w:spacing w:after="120" w:line="276" w:lineRule="auto"/>
      </w:pPr>
      <w:r>
        <w:t>---</w:t>
      </w:r>
    </w:p>
    <w:p>
      <w:pPr>
        <w:spacing w:after="120" w:line="276" w:lineRule="auto"/>
      </w:pPr>
      <w:r>
        <w:t>## PARTIE 2 : ANALYSE TECHNIQUE DÉTAILLÉE</w:t>
      </w:r>
    </w:p>
    <w:p>
      <w:pPr>
        <w:spacing w:after="120" w:line="276" w:lineRule="auto"/>
      </w:pPr>
      <w:r>
        <w:t>**Moyennes Mobiles** : La MM20 (1 971 FCFA) et la MM50 (2 025,6 FCFA) se situent toutes deux au-dessus du cours actuel (1 885 FCFA), avec la MM20 sous la MM50 — configuration baissière classique (croisement mort récent). Le cours évolue sous ses deux moyennes, confirmant la pression vendeuse et justifiant la décision technique de **Vente**.</w:t>
      </w:r>
    </w:p>
    <w:p>
      <w:pPr>
        <w:spacing w:after="120" w:line="276" w:lineRule="auto"/>
      </w:pPr>
      <w:r>
        <w:t>**Bandes de Bollinger** : Le cours (1 885 FCFA) se situe dans la partie basse de la bande, entre la borne inférieure (1 706,79 FCFA) et la borne supérieure (2 235,21 FCFA), sans la toucher. L'absence de contact avec les bornes et la largeur de la bande traduisent une volatilité élevée mais un positionnement neutre à court terme, d'où la décision **Neutre**.</w:t>
      </w:r>
    </w:p>
    <w:p>
      <w:pPr>
        <w:spacing w:after="120" w:line="276" w:lineRule="auto"/>
      </w:pPr>
      <w:r>
        <w:t>**MACD** : La valeur du MACD (-56,283) est inférieure à son signal (-46,891), avec un histogramme négatif — configuration baissière confirmée. Le momentum est clairement négatif, ce qui justifie la décision de **Vente** et suggère que la pression baissière n'est pas encore épuisée.</w:t>
      </w:r>
    </w:p>
    <w:p>
      <w:pPr>
        <w:spacing w:after="120" w:line="276" w:lineRule="auto"/>
      </w:pPr>
      <w:r>
        <w:t>**RSI** : À 44,048, le RSI se situe dans la zone neutre (30-70), sans signal de surachat (&gt;70) ni de survente (&lt;30). Cette position médiane indique une absence de force directionnelle claire, justifiant la décision **Neutre** — le titre n'est ni à acheter sur rebond technique, ni à vendre sur excès.</w:t>
      </w:r>
    </w:p>
    <w:p>
      <w:pPr>
        <w:spacing w:after="120" w:line="276" w:lineRule="auto"/>
      </w:pPr>
      <w:r>
        <w:t>**Stochastique** : Le %K (40,476) est supérieur au %D (29,325), avec un croisement récent potentiellement haussier en zone basse (proche de la survente). Cependant, les deux lignes restent sous 50, ce qui tempère le signal — décision **Neutre** avec une légère inflexion positive à surveiller.</w:t>
      </w:r>
    </w:p>
    <w:p>
      <w:pPr>
        <w:spacing w:after="120" w:line="276" w:lineRule="auto"/>
      </w:pPr>
      <w:r>
        <w:t>**Conclusion technique** : Les indicateurs sont majoritairement baissiers (MM, MACD) ou neutres (Bollinger, RSI, Stochastique), sans convergence haussière. Le titre évolue sous ses moyennes mobiles avec un momentum négatif, mais le RSI neutre et le stochastique en zone basse suggèrent qu'une capitulation excessive n'est pas encore atteinte. La configuration globale plaide pour une **prudence à court terme**, avec un risque de poursuite de la correction vers la borne inférieure des Bollinger (1 706 FCFA) avant tout rebond durable.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BNBC a réalisé un chiffre d'affaires de 42,454 Mds FCFA, en **recul de 6,31%** par rapport à 2024 (45,312 Mds FCFA), signalant une perte de dynamique commerciale. Le résultat net s'établit à seulement **22,32 M FCFA**, soit une marge nette de 0,053% — une rentabilité quasi-nulle. Le ROE ressort à **0,126%** et le ROA à **0,045%**, des niveaux extrêmement faibles qui traduisent une destruction de valeur économique. En tant qu'entreprise non bancaire, les délais d'exploitation sont préoccupants : le délai clients atteint **104,40 jours** (risque de trésorerie élevé), le délai fournisseurs est de 116,09 jours (favorable), mais la durée de stockage explose à **339,23 jours**, immobilisant massivement du capital. Le BFR s'élève à 29,373 Mds FCFA et la trésorerie nette est **fortement négative à -16,689 Mds FCFA**, créant un risque de liquidité majeur. L'autonomie financière (36,16%) reste correcte, mais le ratio d'endettement (105,48%) et la capacité de remboursement (19,17 années de CAF) sont alarmants.</w:t>
      </w:r>
    </w:p>
    <w:p>
      <w:pPr>
        <w:spacing w:after="120" w:line="276" w:lineRule="auto"/>
      </w:pPr>
      <w:r>
        <w:t>**Estimations basées sur les rapports trimestriels** : Le rapport du **T1 2026 (publié le 31/12/2026)** indique un chiffre d'affaires stable à 11,194 Mds FCFA (-0,12% vs T1 2025) et un **résultat net positif de 65,566 M FCFA** contre une perte de -16,147 M FCFA un an plus tôt — une amélioration spectaculaire de +81,7 M FCFA attribuée à l'intégration de la division Équipement. Toutefois, le rapport du **T3 2025 (30/09/2025)** faisait état d'une perte nette cumulée de -157,03 M FCFA sur 9 mois, et le **S1 2025 (30/06/2025)** d'une perte de -139,57 M FCFA — la trajectoire annuelle 2025 reste donc fragile malgré le redressement du T1 2026. Sur la base de ce T1 2026, on peut **estimer** que l'exercice 2026 devrait renouer avec une rentabilité positive si la montée en puissance des divisions Équipement et Power se confirme, mais l'absence de dividende (0 FCFA en 2024 et 2025) et la trésorerie négative persistante limitent fortement l'attrait pour l'investisseur. La recommandation fondamentale est donc **CONSERVER avec surveillance renforcée** : les capitaux propres solides (17,77 Mds FCFA) et la décote sur actifs (P/B 0,70x) offrent un coussin de sécurité, mais la rentabilité anémique et le risque de liquidité interdisent tout enthousiasme.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**hautement spéculatif et déséquilibré**. La valorisation (Partie 0) est paradoxale : le PER de 559,5x traduit une surévaluation manifeste par rapport aux bénéfices, mais le P/B de 0,70x offre une décote sur actifs qui pourrait attirer les investisseurs value — cependant, l'EV/EBITDA de 23,8x confirme que le marché anticipe déjà un redressement non encore prouvé. Le comportement du cours (Partie 1) est haussier sur 100 jours (+25,67%) mais avec une volatilité élevée (52,3%) et une correction en cours depuis le pic de 2 400 FCFA, les statistiques (skewness symétrique, kurtosis normal) n'indiquant pas de risque extrême mais une nervosité persistante. Les signaux techniques (Partie 2) sont majoritairement baissiers (cours sous MM20/MM50, MACD négatif) avec un RSI neutre et un stochastique en zone basse — configuration de **poursuite de correction à court terme**. Les fondamentaux (Partie 3) sont préoccupants : CA en baisse (-6,31% en 2025), rentabilité quasi-nulle (ROE 0,126%), trésorerie négative (-16,689 Mds FCFA), mais le T1 2026 montre un retournement spectaculaire (+65,566 M FCFA de résultat net) qui demande confirmation. Les prédictions IA (J+1 à J+10) anticipent une légère baisse vers 1 856-1 862 FCFA, confirmant la pression baissière de court terme sans effondrement.</w:t>
      </w:r>
    </w:p>
    <w:p>
      <w:pPr>
        <w:spacing w:after="120" w:line="276" w:lineRule="auto"/>
      </w:pPr>
      <w:r>
        <w:t>**Recommandation finale : CONSERVER (avec surveillance renforcée)** — Justification : la convergence entre technique baissière, fondamentaux fragiles mais en amélioration (T1 2026), et prédictions IA légèrement baissières plaide pour une **absence d'achat immédiat** et une **vente prématurée** au vu de la décote sur actifs (P/B 0,70x) et du potentiel de redressement des nouvelles divisions. Le niveau de confiance est **Moyen** (les données T1 2026 sont encourageantes mais isolées), le risque global est **Élevé** (trésorerie négative, volatilité 52,3%, PER extrême), et l'horizon optimal est **moyen terme (3-12 mois)** pour laisser le temps aux divisions Équipement et Power de prouver leur rentabilité — un passage à l'ACHAT ne serait justifié qu'en cas de confirmation de la rentabilité au T2 2026 et d'amélioration de la trésorerie nette.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6.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373.16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5,482 titres</w:t>
            </w:r>
          </w:p>
        </w:tc>
        <w:tc>
          <w:tcPr>
            <w:tcW w:type="dxa" w:w="2268"/>
            <w:shd w:fill="FFF2CC" w:val="clear"/>
          </w:tcPr>
          <w:p>
            <w:r>
              <w:rPr>
                <w:b/>
                <w:color w:val="503200"/>
                <w:sz w:val="16"/>
              </w:rPr>
              <w:t xml:space="preserve">Cours actuel : </w:t>
            </w:r>
            <w:r>
              <w:rPr>
                <w:color w:val="000000"/>
                <w:sz w:val="17"/>
              </w:rPr>
              <w:t>9,200 FCFA</w:t>
            </w:r>
          </w:p>
          <w:p>
            <w:r>
              <w:rPr>
                <w:b/>
                <w:color w:val="503200"/>
                <w:sz w:val="16"/>
              </w:rPr>
              <w:t xml:space="preserve">Var. 100 jours : </w:t>
            </w:r>
            <w:r>
              <w:rPr>
                <w:b/>
                <w:color w:val="B40000"/>
                <w:sz w:val="17"/>
              </w:rPr>
              <w:t>-2.13%</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8,520 FCFA</w:t>
            </w:r>
          </w:p>
          <w:p>
            <w:r>
              <w:rPr>
                <w:b/>
                <w:color w:val="503200"/>
                <w:sz w:val="16"/>
              </w:rPr>
              <w:t xml:space="preserve">Volatilité ann. : </w:t>
            </w:r>
            <w:r>
              <w:rPr>
                <w:color w:val="000000"/>
                <w:sz w:val="17"/>
              </w:rPr>
              <w:t>28.9%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6.03% (Moyenne) — μ=9,172 FCFA, σ=553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β=0.5306 (Défensif) — Cov=0.000039, Var(idx)=0.000073, ρ=0.250,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5,482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σ_j=1.82%/j (Stable) — Vol. annualisée≈28.9%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1697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2026-10-13</w:t>
            </w:r>
          </w:p>
        </w:tc>
        <w:tc>
          <w:tcPr>
            <w:tcW w:type="dxa" w:w="1440"/>
            <w:shd w:fill="FAFAFA" w:val="clear"/>
          </w:tcPr>
          <w:p>
            <w:r>
              <w:rPr>
                <w:sz w:val="17"/>
              </w:rPr>
              <w:t>8,944</w:t>
            </w:r>
          </w:p>
        </w:tc>
        <w:tc>
          <w:tcPr>
            <w:tcW w:type="dxa" w:w="1440"/>
            <w:shd w:fill="FAFAFA" w:val="clear"/>
          </w:tcPr>
          <w:p>
            <w:r>
              <w:rPr>
                <w:b/>
                <w:sz w:val="17"/>
              </w:rPr>
              <w:t>9,231</w:t>
            </w:r>
          </w:p>
        </w:tc>
        <w:tc>
          <w:tcPr>
            <w:tcW w:type="dxa" w:w="1440"/>
            <w:shd w:fill="FAFAFA" w:val="clear"/>
          </w:tcPr>
          <w:p>
            <w:r>
              <w:rPr>
                <w:sz w:val="17"/>
              </w:rPr>
              <w:t>9,517</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2026-10-14</w:t>
            </w:r>
          </w:p>
        </w:tc>
        <w:tc>
          <w:tcPr>
            <w:tcW w:type="dxa" w:w="1440"/>
            <w:shd w:fill="FAFAFA" w:val="clear"/>
          </w:tcPr>
          <w:p>
            <w:r>
              <w:rPr>
                <w:sz w:val="17"/>
              </w:rPr>
              <w:t>8,804</w:t>
            </w:r>
          </w:p>
        </w:tc>
        <w:tc>
          <w:tcPr>
            <w:tcW w:type="dxa" w:w="1440"/>
            <w:shd w:fill="FAFAFA" w:val="clear"/>
          </w:tcPr>
          <w:p>
            <w:r>
              <w:rPr>
                <w:b/>
                <w:sz w:val="17"/>
              </w:rPr>
              <w:t>9,209</w:t>
            </w:r>
          </w:p>
        </w:tc>
        <w:tc>
          <w:tcPr>
            <w:tcW w:type="dxa" w:w="1440"/>
            <w:shd w:fill="FAFAFA" w:val="clear"/>
          </w:tcPr>
          <w:p>
            <w:r>
              <w:rPr>
                <w:sz w:val="17"/>
              </w:rPr>
              <w:t>9,613</w:t>
            </w:r>
          </w:p>
        </w:tc>
        <w:tc>
          <w:tcPr>
            <w:tcW w:type="dxa" w:w="1440"/>
            <w:shd w:fill="FAFAFA" w:val="clear"/>
          </w:tcPr>
          <w:p>
            <w:r>
              <w:rPr>
                <w:b/>
                <w:color w:val="008000"/>
                <w:sz w:val="17"/>
              </w:rPr>
              <w:t>+0.1%</w:t>
            </w:r>
          </w:p>
        </w:tc>
      </w:tr>
      <w:tr>
        <w:tc>
          <w:tcPr>
            <w:tcW w:type="dxa" w:w="1440"/>
            <w:shd w:fill="FAFAFA" w:val="clear"/>
          </w:tcPr>
          <w:p>
            <w:r>
              <w:rPr>
                <w:sz w:val="17"/>
              </w:rPr>
              <w:t>J+3  ⭐⭐⭐</w:t>
            </w:r>
          </w:p>
        </w:tc>
        <w:tc>
          <w:tcPr>
            <w:tcW w:type="dxa" w:w="1440"/>
            <w:shd w:fill="FAFAFA" w:val="clear"/>
          </w:tcPr>
          <w:p>
            <w:r>
              <w:rPr>
                <w:sz w:val="17"/>
              </w:rPr>
              <w:t>2026-10-15</w:t>
            </w:r>
          </w:p>
        </w:tc>
        <w:tc>
          <w:tcPr>
            <w:tcW w:type="dxa" w:w="1440"/>
            <w:shd w:fill="FAFAFA" w:val="clear"/>
          </w:tcPr>
          <w:p>
            <w:r>
              <w:rPr>
                <w:sz w:val="17"/>
              </w:rPr>
              <w:t>8,702</w:t>
            </w:r>
          </w:p>
        </w:tc>
        <w:tc>
          <w:tcPr>
            <w:tcW w:type="dxa" w:w="1440"/>
            <w:shd w:fill="FAFAFA" w:val="clear"/>
          </w:tcPr>
          <w:p>
            <w:r>
              <w:rPr>
                <w:b/>
                <w:sz w:val="17"/>
              </w:rPr>
              <w:t>9,197</w:t>
            </w:r>
          </w:p>
        </w:tc>
        <w:tc>
          <w:tcPr>
            <w:tcW w:type="dxa" w:w="1440"/>
            <w:shd w:fill="FAFAFA" w:val="clear"/>
          </w:tcPr>
          <w:p>
            <w:r>
              <w:rPr>
                <w:sz w:val="17"/>
              </w:rPr>
              <w:t>9,691</w:t>
            </w:r>
          </w:p>
        </w:tc>
        <w:tc>
          <w:tcPr>
            <w:tcW w:type="dxa" w:w="1440"/>
            <w:shd w:fill="FAFAFA" w:val="clear"/>
          </w:tcPr>
          <w:p>
            <w:r>
              <w:rPr>
                <w:b/>
                <w:color w:val="C00000"/>
                <w:sz w:val="17"/>
              </w:rPr>
              <w:t>-0.0%</w:t>
            </w:r>
          </w:p>
        </w:tc>
      </w:tr>
      <w:tr>
        <w:tc>
          <w:tcPr>
            <w:tcW w:type="dxa" w:w="1440"/>
            <w:shd w:fill="FAFAFA" w:val="clear"/>
          </w:tcPr>
          <w:p>
            <w:r>
              <w:rPr>
                <w:sz w:val="17"/>
              </w:rPr>
              <w:t>J+4  Moyenne</w:t>
            </w:r>
          </w:p>
        </w:tc>
        <w:tc>
          <w:tcPr>
            <w:tcW w:type="dxa" w:w="1440"/>
            <w:shd w:fill="FAFAFA" w:val="clear"/>
          </w:tcPr>
          <w:p>
            <w:r>
              <w:rPr>
                <w:sz w:val="17"/>
              </w:rPr>
              <w:t>2026-10-16</w:t>
            </w:r>
          </w:p>
        </w:tc>
        <w:tc>
          <w:tcPr>
            <w:tcW w:type="dxa" w:w="1440"/>
            <w:shd w:fill="FAFAFA" w:val="clear"/>
          </w:tcPr>
          <w:p>
            <w:r>
              <w:rPr>
                <w:sz w:val="17"/>
              </w:rPr>
              <w:t>8,612</w:t>
            </w:r>
          </w:p>
        </w:tc>
        <w:tc>
          <w:tcPr>
            <w:tcW w:type="dxa" w:w="1440"/>
            <w:shd w:fill="FAFAFA" w:val="clear"/>
          </w:tcPr>
          <w:p>
            <w:r>
              <w:rPr>
                <w:b/>
                <w:sz w:val="17"/>
              </w:rPr>
              <w:t>9,182</w:t>
            </w:r>
          </w:p>
        </w:tc>
        <w:tc>
          <w:tcPr>
            <w:tcW w:type="dxa" w:w="1440"/>
            <w:shd w:fill="FAFAFA" w:val="clear"/>
          </w:tcPr>
          <w:p>
            <w:r>
              <w:rPr>
                <w:sz w:val="17"/>
              </w:rPr>
              <w:t>9,752</w:t>
            </w:r>
          </w:p>
        </w:tc>
        <w:tc>
          <w:tcPr>
            <w:tcW w:type="dxa" w:w="1440"/>
            <w:shd w:fill="FAFAFA" w:val="clear"/>
          </w:tcPr>
          <w:p>
            <w:r>
              <w:rPr>
                <w:b/>
                <w:color w:val="C00000"/>
                <w:sz w:val="17"/>
              </w:rPr>
              <w:t>-0.2%</w:t>
            </w:r>
          </w:p>
        </w:tc>
      </w:tr>
      <w:tr>
        <w:tc>
          <w:tcPr>
            <w:tcW w:type="dxa" w:w="1440"/>
            <w:shd w:fill="FAFAFA" w:val="clear"/>
          </w:tcPr>
          <w:p>
            <w:r>
              <w:rPr>
                <w:sz w:val="17"/>
              </w:rPr>
              <w:t>J+5  Moyenne</w:t>
            </w:r>
          </w:p>
        </w:tc>
        <w:tc>
          <w:tcPr>
            <w:tcW w:type="dxa" w:w="1440"/>
            <w:shd w:fill="FAFAFA" w:val="clear"/>
          </w:tcPr>
          <w:p>
            <w:r>
              <w:rPr>
                <w:sz w:val="17"/>
              </w:rPr>
              <w:t>2026-10-19</w:t>
            </w:r>
          </w:p>
        </w:tc>
        <w:tc>
          <w:tcPr>
            <w:tcW w:type="dxa" w:w="1440"/>
            <w:shd w:fill="FAFAFA" w:val="clear"/>
          </w:tcPr>
          <w:p>
            <w:r>
              <w:rPr>
                <w:sz w:val="17"/>
              </w:rPr>
              <w:t>8,530</w:t>
            </w:r>
          </w:p>
        </w:tc>
        <w:tc>
          <w:tcPr>
            <w:tcW w:type="dxa" w:w="1440"/>
            <w:shd w:fill="FAFAFA" w:val="clear"/>
          </w:tcPr>
          <w:p>
            <w:r>
              <w:rPr>
                <w:b/>
                <w:sz w:val="17"/>
              </w:rPr>
              <w:t>9,166</w:t>
            </w:r>
          </w:p>
        </w:tc>
        <w:tc>
          <w:tcPr>
            <w:tcW w:type="dxa" w:w="1440"/>
            <w:shd w:fill="FAFAFA" w:val="clear"/>
          </w:tcPr>
          <w:p>
            <w:r>
              <w:rPr>
                <w:sz w:val="17"/>
              </w:rPr>
              <w:t>9,802</w:t>
            </w:r>
          </w:p>
        </w:tc>
        <w:tc>
          <w:tcPr>
            <w:tcW w:type="dxa" w:w="1440"/>
            <w:shd w:fill="FAFAFA" w:val="clear"/>
          </w:tcPr>
          <w:p>
            <w:r>
              <w:rPr>
                <w:b/>
                <w:color w:val="C00000"/>
                <w:sz w:val="17"/>
              </w:rPr>
              <w:t>-0.4%</w:t>
            </w:r>
          </w:p>
        </w:tc>
      </w:tr>
      <w:tr>
        <w:tc>
          <w:tcPr>
            <w:tcW w:type="dxa" w:w="1440"/>
            <w:shd w:fill="FAFAFA" w:val="clear"/>
          </w:tcPr>
          <w:p>
            <w:r>
              <w:rPr>
                <w:sz w:val="17"/>
              </w:rPr>
              <w:t>J+6  Moyenne</w:t>
            </w:r>
          </w:p>
        </w:tc>
        <w:tc>
          <w:tcPr>
            <w:tcW w:type="dxa" w:w="1440"/>
            <w:shd w:fill="FAFAFA" w:val="clear"/>
          </w:tcPr>
          <w:p>
            <w:r>
              <w:rPr>
                <w:sz w:val="17"/>
              </w:rPr>
              <w:t>2026-10-20</w:t>
            </w:r>
          </w:p>
        </w:tc>
        <w:tc>
          <w:tcPr>
            <w:tcW w:type="dxa" w:w="1440"/>
            <w:shd w:fill="FAFAFA" w:val="clear"/>
          </w:tcPr>
          <w:p>
            <w:r>
              <w:rPr>
                <w:sz w:val="17"/>
              </w:rPr>
              <w:t>8,454</w:t>
            </w:r>
          </w:p>
        </w:tc>
        <w:tc>
          <w:tcPr>
            <w:tcW w:type="dxa" w:w="1440"/>
            <w:shd w:fill="FAFAFA" w:val="clear"/>
          </w:tcPr>
          <w:p>
            <w:r>
              <w:rPr>
                <w:b/>
                <w:sz w:val="17"/>
              </w:rPr>
              <w:t>9,150</w:t>
            </w:r>
          </w:p>
        </w:tc>
        <w:tc>
          <w:tcPr>
            <w:tcW w:type="dxa" w:w="1440"/>
            <w:shd w:fill="FAFAFA" w:val="clear"/>
          </w:tcPr>
          <w:p>
            <w:r>
              <w:rPr>
                <w:sz w:val="17"/>
              </w:rPr>
              <w:t>9,846</w:t>
            </w:r>
          </w:p>
        </w:tc>
        <w:tc>
          <w:tcPr>
            <w:tcW w:type="dxa" w:w="1440"/>
            <w:shd w:fill="FAFAFA" w:val="clear"/>
          </w:tcPr>
          <w:p>
            <w:r>
              <w:rPr>
                <w:b/>
                <w:color w:val="C00000"/>
                <w:sz w:val="17"/>
              </w:rPr>
              <w:t>-0.5%</w:t>
            </w:r>
          </w:p>
        </w:tc>
      </w:tr>
      <w:tr>
        <w:tc>
          <w:tcPr>
            <w:tcW w:type="dxa" w:w="1440"/>
            <w:shd w:fill="FAFAFA" w:val="clear"/>
          </w:tcPr>
          <w:p>
            <w:r>
              <w:rPr>
                <w:sz w:val="17"/>
              </w:rPr>
              <w:t>J+7  Moyenne</w:t>
            </w:r>
          </w:p>
        </w:tc>
        <w:tc>
          <w:tcPr>
            <w:tcW w:type="dxa" w:w="1440"/>
            <w:shd w:fill="FAFAFA" w:val="clear"/>
          </w:tcPr>
          <w:p>
            <w:r>
              <w:rPr>
                <w:sz w:val="17"/>
              </w:rPr>
              <w:t>2026-10-21</w:t>
            </w:r>
          </w:p>
        </w:tc>
        <w:tc>
          <w:tcPr>
            <w:tcW w:type="dxa" w:w="1440"/>
            <w:shd w:fill="FAFAFA" w:val="clear"/>
          </w:tcPr>
          <w:p>
            <w:r>
              <w:rPr>
                <w:sz w:val="17"/>
              </w:rPr>
              <w:t>8,385</w:t>
            </w:r>
          </w:p>
        </w:tc>
        <w:tc>
          <w:tcPr>
            <w:tcW w:type="dxa" w:w="1440"/>
            <w:shd w:fill="FAFAFA" w:val="clear"/>
          </w:tcPr>
          <w:p>
            <w:r>
              <w:rPr>
                <w:b/>
                <w:sz w:val="17"/>
              </w:rPr>
              <w:t>9,135</w:t>
            </w:r>
          </w:p>
        </w:tc>
        <w:tc>
          <w:tcPr>
            <w:tcW w:type="dxa" w:w="1440"/>
            <w:shd w:fill="FAFAFA" w:val="clear"/>
          </w:tcPr>
          <w:p>
            <w:r>
              <w:rPr>
                <w:sz w:val="17"/>
              </w:rPr>
              <w:t>9,886</w:t>
            </w:r>
          </w:p>
        </w:tc>
        <w:tc>
          <w:tcPr>
            <w:tcW w:type="dxa" w:w="1440"/>
            <w:shd w:fill="FAFAFA" w:val="clear"/>
          </w:tcPr>
          <w:p>
            <w:r>
              <w:rPr>
                <w:b/>
                <w:color w:val="C00000"/>
                <w:sz w:val="17"/>
              </w:rPr>
              <w:t>-0.7%</w:t>
            </w:r>
          </w:p>
        </w:tc>
      </w:tr>
      <w:tr>
        <w:tc>
          <w:tcPr>
            <w:tcW w:type="dxa" w:w="1440"/>
            <w:shd w:fill="FAFAFA" w:val="clear"/>
          </w:tcPr>
          <w:p>
            <w:r>
              <w:rPr>
                <w:sz w:val="17"/>
              </w:rPr>
              <w:t>J+8  Moyenne</w:t>
            </w:r>
          </w:p>
        </w:tc>
        <w:tc>
          <w:tcPr>
            <w:tcW w:type="dxa" w:w="1440"/>
            <w:shd w:fill="FAFAFA" w:val="clear"/>
          </w:tcPr>
          <w:p>
            <w:r>
              <w:rPr>
                <w:sz w:val="17"/>
              </w:rPr>
              <w:t>2026-10-22</w:t>
            </w:r>
          </w:p>
        </w:tc>
        <w:tc>
          <w:tcPr>
            <w:tcW w:type="dxa" w:w="1440"/>
            <w:shd w:fill="FAFAFA" w:val="clear"/>
          </w:tcPr>
          <w:p>
            <w:r>
              <w:rPr>
                <w:sz w:val="17"/>
              </w:rPr>
              <w:t>8,320</w:t>
            </w:r>
          </w:p>
        </w:tc>
        <w:tc>
          <w:tcPr>
            <w:tcW w:type="dxa" w:w="1440"/>
            <w:shd w:fill="FAFAFA" w:val="clear"/>
          </w:tcPr>
          <w:p>
            <w:r>
              <w:rPr>
                <w:b/>
                <w:sz w:val="17"/>
              </w:rPr>
              <w:t>9,121</w:t>
            </w:r>
          </w:p>
        </w:tc>
        <w:tc>
          <w:tcPr>
            <w:tcW w:type="dxa" w:w="1440"/>
            <w:shd w:fill="FAFAFA" w:val="clear"/>
          </w:tcPr>
          <w:p>
            <w:r>
              <w:rPr>
                <w:sz w:val="17"/>
              </w:rPr>
              <w:t>9,922</w:t>
            </w:r>
          </w:p>
        </w:tc>
        <w:tc>
          <w:tcPr>
            <w:tcW w:type="dxa" w:w="1440"/>
            <w:shd w:fill="FAFAFA" w:val="clear"/>
          </w:tcPr>
          <w:p>
            <w:r>
              <w:rPr>
                <w:b/>
                <w:color w:val="C00000"/>
                <w:sz w:val="17"/>
              </w:rPr>
              <w:t>-0.9%</w:t>
            </w:r>
          </w:p>
        </w:tc>
      </w:tr>
      <w:tr>
        <w:tc>
          <w:tcPr>
            <w:tcW w:type="dxa" w:w="1440"/>
            <w:shd w:fill="FAFAFA" w:val="clear"/>
          </w:tcPr>
          <w:p>
            <w:r>
              <w:rPr>
                <w:sz w:val="17"/>
              </w:rPr>
              <w:t>J+9  Moyenne</w:t>
            </w:r>
          </w:p>
        </w:tc>
        <w:tc>
          <w:tcPr>
            <w:tcW w:type="dxa" w:w="1440"/>
            <w:shd w:fill="FAFAFA" w:val="clear"/>
          </w:tcPr>
          <w:p>
            <w:r>
              <w:rPr>
                <w:sz w:val="17"/>
              </w:rPr>
              <w:t>2026-10-23</w:t>
            </w:r>
          </w:p>
        </w:tc>
        <w:tc>
          <w:tcPr>
            <w:tcW w:type="dxa" w:w="1440"/>
            <w:shd w:fill="FAFAFA" w:val="clear"/>
          </w:tcPr>
          <w:p>
            <w:r>
              <w:rPr>
                <w:sz w:val="17"/>
              </w:rPr>
              <w:t>8,259</w:t>
            </w:r>
          </w:p>
        </w:tc>
        <w:tc>
          <w:tcPr>
            <w:tcW w:type="dxa" w:w="1440"/>
            <w:shd w:fill="FAFAFA" w:val="clear"/>
          </w:tcPr>
          <w:p>
            <w:r>
              <w:rPr>
                <w:b/>
                <w:sz w:val="17"/>
              </w:rPr>
              <w:t>9,107</w:t>
            </w:r>
          </w:p>
        </w:tc>
        <w:tc>
          <w:tcPr>
            <w:tcW w:type="dxa" w:w="1440"/>
            <w:shd w:fill="FAFAFA" w:val="clear"/>
          </w:tcPr>
          <w:p>
            <w:r>
              <w:rPr>
                <w:sz w:val="17"/>
              </w:rPr>
              <w:t>9,956</w:t>
            </w:r>
          </w:p>
        </w:tc>
        <w:tc>
          <w:tcPr>
            <w:tcW w:type="dxa" w:w="1440"/>
            <w:shd w:fill="FAFAFA" w:val="clear"/>
          </w:tcPr>
          <w:p>
            <w:r>
              <w:rPr>
                <w:b/>
                <w:color w:val="C00000"/>
                <w:sz w:val="17"/>
              </w:rPr>
              <w:t>-1.0%</w:t>
            </w:r>
          </w:p>
        </w:tc>
      </w:tr>
      <w:tr>
        <w:tc>
          <w:tcPr>
            <w:tcW w:type="dxa" w:w="1440"/>
            <w:shd w:fill="FAFAFA" w:val="clear"/>
          </w:tcPr>
          <w:p>
            <w:r>
              <w:rPr>
                <w:sz w:val="17"/>
              </w:rPr>
              <w:t>J+10  Moyenne</w:t>
            </w:r>
          </w:p>
        </w:tc>
        <w:tc>
          <w:tcPr>
            <w:tcW w:type="dxa" w:w="1440"/>
            <w:shd w:fill="FAFAFA" w:val="clear"/>
          </w:tcPr>
          <w:p>
            <w:r>
              <w:rPr>
                <w:sz w:val="17"/>
              </w:rPr>
              <w:t>2026-10-26</w:t>
            </w:r>
          </w:p>
        </w:tc>
        <w:tc>
          <w:tcPr>
            <w:tcW w:type="dxa" w:w="1440"/>
            <w:shd w:fill="FAFAFA" w:val="clear"/>
          </w:tcPr>
          <w:p>
            <w:r>
              <w:rPr>
                <w:sz w:val="17"/>
              </w:rPr>
              <w:t>8,201</w:t>
            </w:r>
          </w:p>
        </w:tc>
        <w:tc>
          <w:tcPr>
            <w:tcW w:type="dxa" w:w="1440"/>
            <w:shd w:fill="FAFAFA" w:val="clear"/>
          </w:tcPr>
          <w:p>
            <w:r>
              <w:rPr>
                <w:b/>
                <w:sz w:val="17"/>
              </w:rPr>
              <w:t>9,094</w:t>
            </w:r>
          </w:p>
        </w:tc>
        <w:tc>
          <w:tcPr>
            <w:tcW w:type="dxa" w:w="1440"/>
            <w:shd w:fill="FAFAFA" w:val="clear"/>
          </w:tcPr>
          <w:p>
            <w:r>
              <w:rPr>
                <w:sz w:val="17"/>
              </w:rPr>
              <w:t>9,987</w:t>
            </w:r>
          </w:p>
        </w:tc>
        <w:tc>
          <w:tcPr>
            <w:tcW w:type="dxa" w:w="1440"/>
            <w:shd w:fill="FAFAFA" w:val="clear"/>
          </w:tcPr>
          <w:p>
            <w:r>
              <w:rPr>
                <w:b/>
                <w:color w:val="C00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**RAPPORT D'ANALYSE FINANCIÈRE — BOAB (Bank of Africa Bénin)**</w:t>
        <w:br/>
        <w:t>*Marché : BRVM | Secteur : Banque | 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373,16 milliards FCFA, BOAB s'impose comme l'une des valeurs bancaires de référence de la BRVM, un niveau qui reflète la solidité de son bilan (964,66 milliards FCFA d'actifs) et sa position établie sur le marché béninois. Le BPA de 496 FCFA/action signifie que chaque titre génère près de 500 FCFA de bénéfice net, un niveau confortable qui soutient la distribution potentielle de dividendes. Le PER de 18,6x traduit une valorisation nettement supérieure à la moyenne du marché BRVM (8-12x), ce qui indique que les investisseurs paient une prime significative pour les bénéfices de la banque — prime qui se justifie en partie par la qualité de ses fondamentaux mais qui réduit la marge de sécurité. Le P/B de 3,18x confirme cette prime de croissance : le marché valorise BOAB à plus de trois fois sa valeur comptable (117,5 milliards FCFA de capitaux propres), un niveau élevé pour le secteur bancaire qui suggère que le titre intègre déjà une bonne partie de ses perspectives favorables. Enfin, l'EV/EBITDA de 19,2x, très exigeant (seuil d'alerte &gt;15x), signale que la valeur d'entreprise rapportée à la capacité opérationnelle est tendue, ce qui expose le titre à un risque de correction si la croissance venait à décevoir.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BOAB affiche une variation totale de -2,13%, intégralement concentrée sur la dernière séance (J-1 : -2,13%), ce qui traduit une pression vendeuse récente et brutale sur le titre. Le cours actuel de 9 200 FCFA se situe dans la partie médiane de la fourchette de trading comprise entre 8 520 FCFA (plus bas) et 10 350 FCFA (plus haut), soit un range de 1 830 FCFA (environ 20% d'amplitude) qui témoigne d'une réelle nervosité du marché. La tendance générale apparaît baissière à court terme, le titre ayant cédé du terrain après avoir testé les 10 350 FCFA, sans toutefois casser le support des 8 520 FCFA. Les statistiques descriptives révèlent une moyenne (9 172 FCFA) supérieure à la médiane (8 950 FCFA), écart qui confirme une distribution asymétrique avec quelques séances de forte hausse tirant la moyenne vers le haut ; le mode à 8 700 FCFA indique que le prix le plus fréquemment traité se situe sous la moyenne, renforçant l'idée d'une pression baissière structurelle. L'écart-type de 556 FCFA (CV = 6,1%) dénote une dispersion modérée du cours, tandis que le kurtosis de -0,521 (mésokurtique) suggère une distribution proche de la normale, sans risque majeur de pics extrêmes. Le skewness positif de 0,946 signale une asymétrie à droite : davantage de journées ont été passées sous la moyenne, ce qui est cohérent avec la tendance baissière récente. Enfin, la volatilité annualisée de 28,9% positionne BOAB dans la catégorie des titres à volatilité modérée à élevée (proche du seuil de 30%), ce qui implique un risque de fluctuation non négligeable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(9 474,5 FCFA) et la MM50 (9 493,0 FCFA) se situent toutes deux au-dessus du cours actuel (9 200 FCFA), avec un écart de seulement 18,5 FCFA entre elles, signe d'un marché sans direction claire mais légèrement baissier. Le croisement à la baisse de la MM20 sous la MM50 (death cross imminent ou effectif) et la position du cours sous les deux moyennes justifient pleinement la décision de **Vente** émise par le système.</w:t>
      </w:r>
    </w:p>
    <w:p>
      <w:pPr>
        <w:spacing w:after="120" w:line="276" w:lineRule="auto"/>
      </w:pPr>
      <w:r>
        <w:t>**Bandes de Bollinger** : Le cours (9 200 FCFA) évolue dans la partie basse de la bande, entre la borne inférieure (8 641,88 FCFA) et la borne supérieure (10 307,12 FCFA), sans en toucher les extrémités. Cette position médiane-basse, combinée à une largeur de bande importante (1 665 FCFA), indique une volatilité élevée sans signal de survente extrême, ce qui justifie la décision **Neutre** : le titre n'est ni à acheter sur rebond technique, ni à vendre en panique.</w:t>
      </w:r>
    </w:p>
    <w:p>
      <w:pPr>
        <w:spacing w:after="120" w:line="276" w:lineRule="auto"/>
      </w:pPr>
      <w:r>
        <w:t>**MACD** : La valeur du MACD (-96,437) est inférieure à son signal (-78,661), confirmant une configuration baissière avec un momentum négatif. L'histogramme négatif (différence de -17,776) indique que la pression vendeuse persiste et que la tendance baissière n'est pas encore essoufflée, ce qui valide la décision de **Vente**.</w:t>
      </w:r>
    </w:p>
    <w:p>
      <w:pPr>
        <w:spacing w:after="120" w:line="276" w:lineRule="auto"/>
      </w:pPr>
      <w:r>
        <w:t>**RSI** : À 43,59, le RSI se situe dans la zone neutre (30-70), sans signal de surachat (&gt;70) ni de survente (&lt;30). Cette position médiane-basse suggère que le titre conserve une marge de baisse potentielle avant d'atteindre la zone de survente, ce qui justifie la décision **Neutre** — ni signal d'achat, ni signal de vente agressif.</w:t>
      </w:r>
    </w:p>
    <w:p>
      <w:pPr>
        <w:spacing w:after="120" w:line="276" w:lineRule="auto"/>
      </w:pPr>
      <w:r>
        <w:t>**Stochastique** : Le %K (42,708) est inférieur au %D (54,599), configuration baissière qui indique que le momentum de court terme s'affaiblit. Cependant, les deux lignes restent dans une zone médiane, sans croisement franc ni divergence marquée, ce qui explique la décision **Neutre** : le signal n'est pas suffisamment fort pour déclencher une action.</w:t>
      </w:r>
    </w:p>
    <w:p>
      <w:pPr>
        <w:spacing w:after="120" w:line="276" w:lineRule="auto"/>
      </w:pPr>
      <w:r>
        <w:t>**Conclusion technique** : La convergence des signaux baissiers (cours sous les MM20/MM50, MACD négatif sous son signal, %K sous %D) contraste avec la neutralité du RSI et des Bandes de Bollinger, qui n'indiquent ni survente ni surachat. Cette configuration suggère une poursuite probable de la consolidation baissière à court terme, sans précipitation à la vente mais sans signal d'achat technique crédible. Le titre se trouve dans une zone de flottement où la prudence est de mise, en attendant un signal plus clair (cassure des 8 520 FCFA ou rebond au-dessus des 9 500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financières structurées de l'exercice 2025 (états financiers annuels) dressent le portrait d'une banque solide et rentable : le Produit Net Bancaire (PNB, équivalent du chiffre d'affaires) s'établit à 51,274 milliards FCFA, en croissance de 10,20% sur un an, tandis que le résultat net atteint 20,107 milliards FCFA, soit une marge nette remarquable de 39,22%. La rentabilité des fonds propres (ROE) ressort à 17,11%, nettement au-dessus du seuil d'excellence de 15%, et le ROA de 2,08% confirme l'efficacité de l'utilisation des actifs. Le coefficient d'exploitation de 49,53% — inférieur au seuil de 60% et proche du niveau d'excellence de 50% — témoigne d'une maîtrise des charges très performante. Toutefois, le coût du risque (provisions / charges financières) de 22,50% reste élevé et signale un portefeuille de crédits exposé à un risque significatif, ce qui constitue un point de vigilance majeur. La structure financière affiche une autonomie financière de 12,18% (capitaux propres / total bilan), inférieure au seuil de 30% considéré comme sain pour une banque, mais compensée par un ratio de solvabilité générale de 113,87% (&gt;1, donc solvable) et une capacité de remboursement de 5,09 années (dettes financières / CAF), acceptable. Le ratio dépôts/crédits s'établit à 711,642 / 391,724 = 1,82x, indiquant une surliquidité relative : la banque collecte plus de dépôts qu'elle n'accorde de crédits, ce qui limite le risque de transformation mais pèse sur la marge d'intérêt. Les rapports trimestriels récents confirment la dynamique : le T1 2026 (rapport du 31 mars 2026) affiche un PNB de 12,329 milliards FCFA (+11% en glissement annuel), tiré par les commissions (+18,9%) et la marge nette bancaire (+8,5%), avec des dépôts clientèle en progression de 3,5% à 753,7 milliards FCFA ; le résultat net ne progresse que de 1% à 4,502 milliards FCFA, traduisant une pression sur les coûts. Le T3 2025 (rapport du 30 septembre 2025) montrait déjà un PNB de 37,065 milliards FCFA (+9%) et un résultat net de 15,880 milliards FCFA (+13%), avec une contraction des crédits (-10%) et des dépôts (-5%) sur un an, mais une amélioration des marges. Sur la base de ces tendances, on estime que l'exercice 2026 devrait enregistrer un PNB annuel compris entre 54 et 56 milliards FCFA (croissance de 5 à 9%) et un résultat net de l'ordre de 21 à 22 milliards FCFA, soit un BPA estimé entre 520 et 545 FCFA. La recommandation fondamentale est de **Conserver** : la banque est solide, rentable et bien gérée, mais la valorisation boursière (PER 18,6x) intègre déjà une large part de ces qualités, et le coût du risque élevé ainsi que la contraction du bilan constituent des risques à surveiller.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nuancée. Sur le plan de la **valorisation (Partie 0)**, les ratios PER (18,6x), P/B (3,18x) et EV/EBITDA (19,2x) indiquent une surévaluation relative par rapport aux moyennes du marché BRVM, ce qui limite le potentiel de hausse à court terme. Le **comportement du cours (Partie 1)** est préoccupant : tendance baissière (-2,13% sur 100 jours, dont -2,13% sur la dernière séance), skewness positif (0,946) et volatilité modérée à élevée (28,9%) suggèrent une pression vendeuse persistante. Les **signaux techniques (Partie 2)** sont majoritairement baissiers (MM20/MM50 au-dessus du cours, MACD négatif, %K sous %D), bien que le RSI et les Bandes de Bollinger soient neutres, ce qui plaide pour une consolidation plutôt qu'un effondrement. Les **fondamentaux (Partie 3)** restent solides : ROE de 17,11%, coefficient d'exploitation de 49,53%, PNB en croissance de 10,20% en 2025 et de 11% au T1 2026, mais le coût du risque élevé (22,50%) et la contraction du bilan (crédits -10% au T3 2025) tempèrent l'optimisme. Les **prédictions IA (J+1 à J+10)** anticipent une légère dérive baissière (9 231 FCFA le 13/10, puis 9 166 FCFA le 19/10), confirmant la tendance technique baissière sans envisager de cassure majeure. **Recommandation finale : CONSERVER**, avec un niveau de confiance **Moyen** et un risque global **Moyen**. La convergence entre valorisation tendue, technique baissière et fondamentaux solides mais sans catalyseur immédiat justifie une position attentiste : les investisseurs déjà présents peuvent conserver leurs titres pour le rendement et la solidité de la banque, tandis que les nouveaux entrants devraient attendre un repli vers les 8 500-8 700 FCFA (zone de support et de valeur) pour se positionner. L'horizon d'investissement optimal est le **moyen terme (3-12 mois)**, le temps que la banque confirme la reprise de sa croissance et que la valorisation se normalise.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7.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352.22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6,403 titres</w:t>
            </w:r>
          </w:p>
        </w:tc>
        <w:tc>
          <w:tcPr>
            <w:tcW w:type="dxa" w:w="2268"/>
            <w:shd w:fill="FFF2CC" w:val="clear"/>
          </w:tcPr>
          <w:p>
            <w:r>
              <w:rPr>
                <w:b/>
                <w:color w:val="503200"/>
                <w:sz w:val="16"/>
              </w:rPr>
              <w:t xml:space="preserve">Cours actuel : </w:t>
            </w:r>
            <w:r>
              <w:rPr>
                <w:color w:val="000000"/>
                <w:sz w:val="17"/>
              </w:rPr>
              <w:t>8,005 FCFA</w:t>
            </w:r>
          </w:p>
          <w:p>
            <w:r>
              <w:rPr>
                <w:b/>
                <w:color w:val="503200"/>
                <w:sz w:val="16"/>
              </w:rPr>
              <w:t xml:space="preserve">Var. 100 jours : </w:t>
            </w:r>
            <w:r>
              <w:rPr>
                <w:b/>
                <w:color w:val="007800"/>
                <w:sz w:val="17"/>
              </w:rPr>
              <w:t>+48.24%</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5,300 FCFA</w:t>
            </w:r>
          </w:p>
          <w:p>
            <w:r>
              <w:rPr>
                <w:b/>
                <w:color w:val="503200"/>
                <w:sz w:val="16"/>
              </w:rPr>
              <w:t xml:space="preserve">Volatilité ann. : </w:t>
            </w:r>
            <w:r>
              <w:rPr>
                <w:color w:val="000000"/>
                <w:sz w:val="17"/>
              </w:rPr>
              <w:t>35.9%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17.21% (Élevée) — μ=6,993 FCFA, σ=1,203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β=0.7475 (Défensif) — Cov=0.000055, Var(idx)=0.000073, ρ=0.282,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6,403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σ_j=2.26%/j (Stable) — Vol. annualisée≈35.9%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3558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2026-10-13</w:t>
            </w:r>
          </w:p>
        </w:tc>
        <w:tc>
          <w:tcPr>
            <w:tcW w:type="dxa" w:w="1440"/>
            <w:shd w:fill="FAFAFA" w:val="clear"/>
          </w:tcPr>
          <w:p>
            <w:r>
              <w:rPr>
                <w:sz w:val="17"/>
              </w:rPr>
              <w:t>7,667</w:t>
            </w:r>
          </w:p>
        </w:tc>
        <w:tc>
          <w:tcPr>
            <w:tcW w:type="dxa" w:w="1440"/>
            <w:shd w:fill="FAFAFA" w:val="clear"/>
          </w:tcPr>
          <w:p>
            <w:r>
              <w:rPr>
                <w:b/>
                <w:sz w:val="17"/>
              </w:rPr>
              <w:t>7,959</w:t>
            </w:r>
          </w:p>
        </w:tc>
        <w:tc>
          <w:tcPr>
            <w:tcW w:type="dxa" w:w="1440"/>
            <w:shd w:fill="FAFAFA" w:val="clear"/>
          </w:tcPr>
          <w:p>
            <w:r>
              <w:rPr>
                <w:sz w:val="17"/>
              </w:rPr>
              <w:t>8,250</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2026-10-14</w:t>
            </w:r>
          </w:p>
        </w:tc>
        <w:tc>
          <w:tcPr>
            <w:tcW w:type="dxa" w:w="1440"/>
            <w:shd w:fill="FAFAFA" w:val="clear"/>
          </w:tcPr>
          <w:p>
            <w:r>
              <w:rPr>
                <w:sz w:val="17"/>
              </w:rPr>
              <w:t>7,512</w:t>
            </w:r>
          </w:p>
        </w:tc>
        <w:tc>
          <w:tcPr>
            <w:tcW w:type="dxa" w:w="1440"/>
            <w:shd w:fill="FAFAFA" w:val="clear"/>
          </w:tcPr>
          <w:p>
            <w:r>
              <w:rPr>
                <w:b/>
                <w:sz w:val="17"/>
              </w:rPr>
              <w:t>7,922</w:t>
            </w:r>
          </w:p>
        </w:tc>
        <w:tc>
          <w:tcPr>
            <w:tcW w:type="dxa" w:w="1440"/>
            <w:shd w:fill="FAFAFA" w:val="clear"/>
          </w:tcPr>
          <w:p>
            <w:r>
              <w:rPr>
                <w:sz w:val="17"/>
              </w:rPr>
              <w:t>8,332</w:t>
            </w:r>
          </w:p>
        </w:tc>
        <w:tc>
          <w:tcPr>
            <w:tcW w:type="dxa" w:w="1440"/>
            <w:shd w:fill="FAFAFA" w:val="clear"/>
          </w:tcPr>
          <w:p>
            <w:r>
              <w:rPr>
                <w:b/>
                <w:color w:val="C00000"/>
                <w:sz w:val="17"/>
              </w:rPr>
              <w:t>-1.0%</w:t>
            </w:r>
          </w:p>
        </w:tc>
      </w:tr>
      <w:tr>
        <w:tc>
          <w:tcPr>
            <w:tcW w:type="dxa" w:w="1440"/>
            <w:shd w:fill="FAFAFA" w:val="clear"/>
          </w:tcPr>
          <w:p>
            <w:r>
              <w:rPr>
                <w:sz w:val="17"/>
              </w:rPr>
              <w:t>J+3  Moyenne</w:t>
            </w:r>
          </w:p>
        </w:tc>
        <w:tc>
          <w:tcPr>
            <w:tcW w:type="dxa" w:w="1440"/>
            <w:shd w:fill="FAFAFA" w:val="clear"/>
          </w:tcPr>
          <w:p>
            <w:r>
              <w:rPr>
                <w:sz w:val="17"/>
              </w:rPr>
              <w:t>2026-10-15</w:t>
            </w:r>
          </w:p>
        </w:tc>
        <w:tc>
          <w:tcPr>
            <w:tcW w:type="dxa" w:w="1440"/>
            <w:shd w:fill="FAFAFA" w:val="clear"/>
          </w:tcPr>
          <w:p>
            <w:r>
              <w:rPr>
                <w:sz w:val="17"/>
              </w:rPr>
              <w:t>7,393</w:t>
            </w:r>
          </w:p>
        </w:tc>
        <w:tc>
          <w:tcPr>
            <w:tcW w:type="dxa" w:w="1440"/>
            <w:shd w:fill="FAFAFA" w:val="clear"/>
          </w:tcPr>
          <w:p>
            <w:r>
              <w:rPr>
                <w:b/>
                <w:sz w:val="17"/>
              </w:rPr>
              <w:t>7,893</w:t>
            </w:r>
          </w:p>
        </w:tc>
        <w:tc>
          <w:tcPr>
            <w:tcW w:type="dxa" w:w="1440"/>
            <w:shd w:fill="FAFAFA" w:val="clear"/>
          </w:tcPr>
          <w:p>
            <w:r>
              <w:rPr>
                <w:sz w:val="17"/>
              </w:rPr>
              <w:t>8,393</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2026-10-16</w:t>
            </w:r>
          </w:p>
        </w:tc>
        <w:tc>
          <w:tcPr>
            <w:tcW w:type="dxa" w:w="1440"/>
            <w:shd w:fill="FAFAFA" w:val="clear"/>
          </w:tcPr>
          <w:p>
            <w:r>
              <w:rPr>
                <w:sz w:val="17"/>
              </w:rPr>
              <w:t>7,294</w:t>
            </w:r>
          </w:p>
        </w:tc>
        <w:tc>
          <w:tcPr>
            <w:tcW w:type="dxa" w:w="1440"/>
            <w:shd w:fill="FAFAFA" w:val="clear"/>
          </w:tcPr>
          <w:p>
            <w:r>
              <w:rPr>
                <w:b/>
                <w:sz w:val="17"/>
              </w:rPr>
              <w:t>7,870</w:t>
            </w:r>
          </w:p>
        </w:tc>
        <w:tc>
          <w:tcPr>
            <w:tcW w:type="dxa" w:w="1440"/>
            <w:shd w:fill="FAFAFA" w:val="clear"/>
          </w:tcPr>
          <w:p>
            <w:r>
              <w:rPr>
                <w:sz w:val="17"/>
              </w:rPr>
              <w:t>8,445</w:t>
            </w:r>
          </w:p>
        </w:tc>
        <w:tc>
          <w:tcPr>
            <w:tcW w:type="dxa" w:w="1440"/>
            <w:shd w:fill="FAFAFA" w:val="clear"/>
          </w:tcPr>
          <w:p>
            <w:r>
              <w:rPr>
                <w:b/>
                <w:color w:val="C00000"/>
                <w:sz w:val="17"/>
              </w:rPr>
              <w:t>-1.7%</w:t>
            </w:r>
          </w:p>
        </w:tc>
      </w:tr>
      <w:tr>
        <w:tc>
          <w:tcPr>
            <w:tcW w:type="dxa" w:w="1440"/>
            <w:shd w:fill="FAFAFA" w:val="clear"/>
          </w:tcPr>
          <w:p>
            <w:r>
              <w:rPr>
                <w:sz w:val="17"/>
              </w:rPr>
              <w:t>J+5  ⭐</w:t>
            </w:r>
          </w:p>
        </w:tc>
        <w:tc>
          <w:tcPr>
            <w:tcW w:type="dxa" w:w="1440"/>
            <w:shd w:fill="FAFAFA" w:val="clear"/>
          </w:tcPr>
          <w:p>
            <w:r>
              <w:rPr>
                <w:sz w:val="17"/>
              </w:rPr>
              <w:t>2026-10-19</w:t>
            </w:r>
          </w:p>
        </w:tc>
        <w:tc>
          <w:tcPr>
            <w:tcW w:type="dxa" w:w="1440"/>
            <w:shd w:fill="FAFAFA" w:val="clear"/>
          </w:tcPr>
          <w:p>
            <w:r>
              <w:rPr>
                <w:sz w:val="17"/>
              </w:rPr>
              <w:t>7,208</w:t>
            </w:r>
          </w:p>
        </w:tc>
        <w:tc>
          <w:tcPr>
            <w:tcW w:type="dxa" w:w="1440"/>
            <w:shd w:fill="FAFAFA" w:val="clear"/>
          </w:tcPr>
          <w:p>
            <w:r>
              <w:rPr>
                <w:b/>
                <w:sz w:val="17"/>
              </w:rPr>
              <w:t>7,850</w:t>
            </w:r>
          </w:p>
        </w:tc>
        <w:tc>
          <w:tcPr>
            <w:tcW w:type="dxa" w:w="1440"/>
            <w:shd w:fill="FAFAFA" w:val="clear"/>
          </w:tcPr>
          <w:p>
            <w:r>
              <w:rPr>
                <w:sz w:val="17"/>
              </w:rPr>
              <w:t>8,492</w:t>
            </w:r>
          </w:p>
        </w:tc>
        <w:tc>
          <w:tcPr>
            <w:tcW w:type="dxa" w:w="1440"/>
            <w:shd w:fill="FAFAFA" w:val="clear"/>
          </w:tcPr>
          <w:p>
            <w:r>
              <w:rPr>
                <w:b/>
                <w:color w:val="C00000"/>
                <w:sz w:val="17"/>
              </w:rPr>
              <w:t>-1.9%</w:t>
            </w:r>
          </w:p>
        </w:tc>
      </w:tr>
      <w:tr>
        <w:tc>
          <w:tcPr>
            <w:tcW w:type="dxa" w:w="1440"/>
            <w:shd w:fill="FFDCE0" w:val="clear"/>
          </w:tcPr>
          <w:p>
            <w:r>
              <w:rPr>
                <w:sz w:val="17"/>
              </w:rPr>
              <w:t>J+6  ⭐</w:t>
            </w:r>
          </w:p>
        </w:tc>
        <w:tc>
          <w:tcPr>
            <w:tcW w:type="dxa" w:w="1440"/>
            <w:shd w:fill="FFDCE0" w:val="clear"/>
          </w:tcPr>
          <w:p>
            <w:r>
              <w:rPr>
                <w:sz w:val="17"/>
              </w:rPr>
              <w:t>2026-10-20</w:t>
            </w:r>
          </w:p>
        </w:tc>
        <w:tc>
          <w:tcPr>
            <w:tcW w:type="dxa" w:w="1440"/>
            <w:shd w:fill="FFDCE0" w:val="clear"/>
          </w:tcPr>
          <w:p>
            <w:r>
              <w:rPr>
                <w:sz w:val="17"/>
              </w:rPr>
              <w:t>7,130</w:t>
            </w:r>
          </w:p>
        </w:tc>
        <w:tc>
          <w:tcPr>
            <w:tcW w:type="dxa" w:w="1440"/>
            <w:shd w:fill="FFDCE0" w:val="clear"/>
          </w:tcPr>
          <w:p>
            <w:r>
              <w:rPr>
                <w:b/>
                <w:sz w:val="17"/>
              </w:rPr>
              <w:t>7,832</w:t>
            </w:r>
          </w:p>
        </w:tc>
        <w:tc>
          <w:tcPr>
            <w:tcW w:type="dxa" w:w="1440"/>
            <w:shd w:fill="FFDCE0" w:val="clear"/>
          </w:tcPr>
          <w:p>
            <w:r>
              <w:rPr>
                <w:sz w:val="17"/>
              </w:rPr>
              <w:t>8,534</w:t>
            </w:r>
          </w:p>
        </w:tc>
        <w:tc>
          <w:tcPr>
            <w:tcW w:type="dxa" w:w="1440"/>
            <w:shd w:fill="FFDCE0" w:val="clear"/>
          </w:tcPr>
          <w:p>
            <w:r>
              <w:rPr>
                <w:b/>
                <w:color w:val="C00000"/>
                <w:sz w:val="17"/>
              </w:rPr>
              <w:t>-2.2%</w:t>
            </w:r>
          </w:p>
        </w:tc>
      </w:tr>
      <w:tr>
        <w:tc>
          <w:tcPr>
            <w:tcW w:type="dxa" w:w="1440"/>
            <w:shd w:fill="FFDCE0" w:val="clear"/>
          </w:tcPr>
          <w:p>
            <w:r>
              <w:rPr>
                <w:sz w:val="17"/>
              </w:rPr>
              <w:t>J+7  ⭐</w:t>
            </w:r>
          </w:p>
        </w:tc>
        <w:tc>
          <w:tcPr>
            <w:tcW w:type="dxa" w:w="1440"/>
            <w:shd w:fill="FFDCE0" w:val="clear"/>
          </w:tcPr>
          <w:p>
            <w:r>
              <w:rPr>
                <w:sz w:val="17"/>
              </w:rPr>
              <w:t>2026-10-21</w:t>
            </w:r>
          </w:p>
        </w:tc>
        <w:tc>
          <w:tcPr>
            <w:tcW w:type="dxa" w:w="1440"/>
            <w:shd w:fill="FFDCE0" w:val="clear"/>
          </w:tcPr>
          <w:p>
            <w:r>
              <w:rPr>
                <w:sz w:val="17"/>
              </w:rPr>
              <w:t>7,059</w:t>
            </w:r>
          </w:p>
        </w:tc>
        <w:tc>
          <w:tcPr>
            <w:tcW w:type="dxa" w:w="1440"/>
            <w:shd w:fill="FFDCE0" w:val="clear"/>
          </w:tcPr>
          <w:p>
            <w:r>
              <w:rPr>
                <w:b/>
                <w:sz w:val="17"/>
              </w:rPr>
              <w:t>7,815</w:t>
            </w:r>
          </w:p>
        </w:tc>
        <w:tc>
          <w:tcPr>
            <w:tcW w:type="dxa" w:w="1440"/>
            <w:shd w:fill="FFDCE0" w:val="clear"/>
          </w:tcPr>
          <w:p>
            <w:r>
              <w:rPr>
                <w:sz w:val="17"/>
              </w:rPr>
              <w:t>8,571</w:t>
            </w:r>
          </w:p>
        </w:tc>
        <w:tc>
          <w:tcPr>
            <w:tcW w:type="dxa" w:w="1440"/>
            <w:shd w:fill="FFDCE0" w:val="clear"/>
          </w:tcPr>
          <w:p>
            <w:r>
              <w:rPr>
                <w:b/>
                <w:color w:val="C00000"/>
                <w:sz w:val="17"/>
              </w:rPr>
              <w:t>-2.4%</w:t>
            </w:r>
          </w:p>
        </w:tc>
      </w:tr>
      <w:tr>
        <w:tc>
          <w:tcPr>
            <w:tcW w:type="dxa" w:w="1440"/>
            <w:shd w:fill="FFDCE0" w:val="clear"/>
          </w:tcPr>
          <w:p>
            <w:r>
              <w:rPr>
                <w:sz w:val="17"/>
              </w:rPr>
              <w:t>J+8  ⭐</w:t>
            </w:r>
          </w:p>
        </w:tc>
        <w:tc>
          <w:tcPr>
            <w:tcW w:type="dxa" w:w="1440"/>
            <w:shd w:fill="FFDCE0" w:val="clear"/>
          </w:tcPr>
          <w:p>
            <w:r>
              <w:rPr>
                <w:sz w:val="17"/>
              </w:rPr>
              <w:t>2026-10-22</w:t>
            </w:r>
          </w:p>
        </w:tc>
        <w:tc>
          <w:tcPr>
            <w:tcW w:type="dxa" w:w="1440"/>
            <w:shd w:fill="FFDCE0" w:val="clear"/>
          </w:tcPr>
          <w:p>
            <w:r>
              <w:rPr>
                <w:sz w:val="17"/>
              </w:rPr>
              <w:t>6,992</w:t>
            </w:r>
          </w:p>
        </w:tc>
        <w:tc>
          <w:tcPr>
            <w:tcW w:type="dxa" w:w="1440"/>
            <w:shd w:fill="FFDCE0" w:val="clear"/>
          </w:tcPr>
          <w:p>
            <w:r>
              <w:rPr>
                <w:b/>
                <w:sz w:val="17"/>
              </w:rPr>
              <w:t>7,799</w:t>
            </w:r>
          </w:p>
        </w:tc>
        <w:tc>
          <w:tcPr>
            <w:tcW w:type="dxa" w:w="1440"/>
            <w:shd w:fill="FFDCE0" w:val="clear"/>
          </w:tcPr>
          <w:p>
            <w:r>
              <w:rPr>
                <w:sz w:val="17"/>
              </w:rPr>
              <w:t>8,606</w:t>
            </w:r>
          </w:p>
        </w:tc>
        <w:tc>
          <w:tcPr>
            <w:tcW w:type="dxa" w:w="1440"/>
            <w:shd w:fill="FFDCE0" w:val="clear"/>
          </w:tcPr>
          <w:p>
            <w:r>
              <w:rPr>
                <w:b/>
                <w:color w:val="C00000"/>
                <w:sz w:val="17"/>
              </w:rPr>
              <w:t>-2.6%</w:t>
            </w:r>
          </w:p>
        </w:tc>
      </w:tr>
      <w:tr>
        <w:tc>
          <w:tcPr>
            <w:tcW w:type="dxa" w:w="1440"/>
            <w:shd w:fill="FFDCE0" w:val="clear"/>
          </w:tcPr>
          <w:p>
            <w:r>
              <w:rPr>
                <w:sz w:val="17"/>
              </w:rPr>
              <w:t>J+9  ⭐</w:t>
            </w:r>
          </w:p>
        </w:tc>
        <w:tc>
          <w:tcPr>
            <w:tcW w:type="dxa" w:w="1440"/>
            <w:shd w:fill="FFDCE0" w:val="clear"/>
          </w:tcPr>
          <w:p>
            <w:r>
              <w:rPr>
                <w:sz w:val="17"/>
              </w:rPr>
              <w:t>2026-10-23</w:t>
            </w:r>
          </w:p>
        </w:tc>
        <w:tc>
          <w:tcPr>
            <w:tcW w:type="dxa" w:w="1440"/>
            <w:shd w:fill="FFDCE0" w:val="clear"/>
          </w:tcPr>
          <w:p>
            <w:r>
              <w:rPr>
                <w:sz w:val="17"/>
              </w:rPr>
              <w:t>6,929</w:t>
            </w:r>
          </w:p>
        </w:tc>
        <w:tc>
          <w:tcPr>
            <w:tcW w:type="dxa" w:w="1440"/>
            <w:shd w:fill="FFDCE0" w:val="clear"/>
          </w:tcPr>
          <w:p>
            <w:r>
              <w:rPr>
                <w:b/>
                <w:sz w:val="17"/>
              </w:rPr>
              <w:t>7,783</w:t>
            </w:r>
          </w:p>
        </w:tc>
        <w:tc>
          <w:tcPr>
            <w:tcW w:type="dxa" w:w="1440"/>
            <w:shd w:fill="FFDCE0" w:val="clear"/>
          </w:tcPr>
          <w:p>
            <w:r>
              <w:rPr>
                <w:sz w:val="17"/>
              </w:rPr>
              <w:t>8,637</w:t>
            </w:r>
          </w:p>
        </w:tc>
        <w:tc>
          <w:tcPr>
            <w:tcW w:type="dxa" w:w="1440"/>
            <w:shd w:fill="FFDCE0" w:val="clear"/>
          </w:tcPr>
          <w:p>
            <w:r>
              <w:rPr>
                <w:b/>
                <w:color w:val="C00000"/>
                <w:sz w:val="17"/>
              </w:rPr>
              <w:t>-2.8%</w:t>
            </w:r>
          </w:p>
        </w:tc>
      </w:tr>
      <w:tr>
        <w:tc>
          <w:tcPr>
            <w:tcW w:type="dxa" w:w="1440"/>
            <w:shd w:fill="FFDCE0" w:val="clear"/>
          </w:tcPr>
          <w:p>
            <w:r>
              <w:rPr>
                <w:sz w:val="17"/>
              </w:rPr>
              <w:t>J+10  ⭐</w:t>
            </w:r>
          </w:p>
        </w:tc>
        <w:tc>
          <w:tcPr>
            <w:tcW w:type="dxa" w:w="1440"/>
            <w:shd w:fill="FFDCE0" w:val="clear"/>
          </w:tcPr>
          <w:p>
            <w:r>
              <w:rPr>
                <w:sz w:val="17"/>
              </w:rPr>
              <w:t>2026-10-26</w:t>
            </w:r>
          </w:p>
        </w:tc>
        <w:tc>
          <w:tcPr>
            <w:tcW w:type="dxa" w:w="1440"/>
            <w:shd w:fill="FFDCE0" w:val="clear"/>
          </w:tcPr>
          <w:p>
            <w:r>
              <w:rPr>
                <w:sz w:val="17"/>
              </w:rPr>
              <w:t>6,870</w:t>
            </w:r>
          </w:p>
        </w:tc>
        <w:tc>
          <w:tcPr>
            <w:tcW w:type="dxa" w:w="1440"/>
            <w:shd w:fill="FFDCE0" w:val="clear"/>
          </w:tcPr>
          <w:p>
            <w:r>
              <w:rPr>
                <w:b/>
                <w:sz w:val="17"/>
              </w:rPr>
              <w:t>7,768</w:t>
            </w:r>
          </w:p>
        </w:tc>
        <w:tc>
          <w:tcPr>
            <w:tcW w:type="dxa" w:w="1440"/>
            <w:shd w:fill="FFDCE0" w:val="clear"/>
          </w:tcPr>
          <w:p>
            <w:r>
              <w:rPr>
                <w:sz w:val="17"/>
              </w:rPr>
              <w:t>8,666</w:t>
            </w:r>
          </w:p>
        </w:tc>
        <w:tc>
          <w:tcPr>
            <w:tcW w:type="dxa" w:w="1440"/>
            <w:shd w:fill="FFDCE0" w:val="clear"/>
          </w:tcPr>
          <w:p>
            <w:r>
              <w:rPr>
                <w:b/>
                <w:color w:val="C00000"/>
                <w:sz w:val="17"/>
              </w:rPr>
              <w:t>-3.0%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 BURKINA FASO (BOABF)**</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352,22 milliards FCFA, BOABF s'impose comme l'une des principales capitalisations du compartiment bancaire de la BRVM, reflétant la solidité et la taille significative de l'établissement dans l'UEMOA. Le BPA de 438 FCFA par action signifie que chaque titre génère près de 438 FCFA de bénéfice net, ce qui, rapporté au cours actuel de 8 005 FCFA, donne un PER de 18,3x — nettement supérieur à la moyenne du marché BRVM (8-12x), traduisant une prime de qualité et de liquidité accordée par les investisseurs. Le P/B de 2,78x indique que le marché valorise la banque à près de trois fois sa valeur comptable, ce qui est cohérent avec une institution rentable (ROE &gt;15%) et bien capitalisée. Enfin, l'EV/EBITDA de 8,1x se situe dans la fourchette raisonnable de 5-10x, suggérant que la valeur totale de l'entreprise reste proportionnée à sa capacité opérationnelle, bien que le PER élevé invite à la prudence sur le potentiel de revalorisation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BOABF a enregistré une progression spectaculaire de +48,24%, passant d'un plus bas de 5 300 FCFA à un plus haut de 9 090 FCFA, pour un cours actuel de 8 005 FCFA — soit une variation nulle sur la dernière séance (J-1 : +0,00%), signalant une pause dans le mouvement haussier. Le range de trading de 3 790 FCFA (soit 71,5% du plus bas) témoigne d'une tendance nettement haussière sur la période, portée par un intérêt croissant des investisseurs pour le titre. Les statistiques descriptives révèlent une moyenne de 6 993 FCFA légèrement inférieure à la médiane de 7 150 FCFA, indiquant une distribution très légèrement asymétrique à gauche, avec quelques séances de forte baisse ayant tiré la moyenne vers le bas. L'écart-type de 1 209 FCFA (CV = 17,3%) traduit une dispersion modérée du cours autour de sa moyenne, tandis que le kurtosis de -1,275 (distribution platykurtique) suggère une faible concentration des rendements et un risque de pics extrêmes limité. Le skewness de 0,134 confirme une distribution quasi-symétrique, sans biais directionnel marqué. Avec une volatilité annualisée de 35,9%, le titre se positionne dans la catégorie des valeurs à volatilité élevée (&gt;30%), ce qui implique un risque de marché significatif mais aussi des opportunités de rendement accrues pour les investisseurs avertis.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(8 007,5 FCFA) et la MM50 (8 004,8 FCFA) sont quasiment confondues et encadrent le cours actuel (8 005 FCFA) de manière quasi parfaite, ce qui traduit un équilibre entre acheteurs et vendeurs. Cette configuration de moyennes plates et proches du prix suggère une phase de consolidation après la forte hausse, et la décision technique affichée est "Achat" en raison de la position du cours au-dessus de la MM50, signalant que la tendance de fond reste haussière.</w:t>
      </w:r>
    </w:p>
    <w:p>
      <w:pPr>
        <w:spacing w:after="120" w:line="276" w:lineRule="auto"/>
      </w:pPr>
      <w:r>
        <w:t>**Bandes de Bollinger** : Le cours actuel (8 005 FCFA) se situe pratiquement au centre de la bande de Bollinger, entre la borne inférieure (7 398,5 FCFA) et la borne supérieure (8 616,5 FCFA), ce qui indique une volatilité modérée et l'absence de signal directionnel fort. La largeur de la bande (1 218 FCFA) reflète une volatilité encore présente mais en contraction, et la décision "Neutre" confirme que le titre n'est ni en zone de surachat ni de survente, invitant à attendre une cassure pour agir.</w:t>
      </w:r>
    </w:p>
    <w:p>
      <w:pPr>
        <w:spacing w:after="120" w:line="276" w:lineRule="auto"/>
      </w:pPr>
      <w:r>
        <w:t>**MACD** : La valeur du MACD (-42,699) est inférieure à son signal (-21,508), générant un croisement baissier qui traduit un momentum négatif à court terme. Cette divergence négative, bien que modérée, suggère que la dynamique haussière s'essouffle et que la décision "Vente" doit être interprétée comme un signal de prudence, voire de prise partielle de bénéfices après la forte progression récente.</w:t>
      </w:r>
    </w:p>
    <w:p>
      <w:pPr>
        <w:spacing w:after="120" w:line="276" w:lineRule="auto"/>
      </w:pPr>
      <w:r>
        <w:t>**RSI** : À 55,616, le RSI se situe dans la zone neutre (30-70), sans signal de surachat ni de survente, ce qui confirme que le titre dispose encore d'un potentiel de hausse sans être techniquement épuisé. La décision "Neutre" reflète cet équilibre, et une cassure au-dessus de 60-65 pourrait raviver le momentum acheteur.</w:t>
      </w:r>
    </w:p>
    <w:p>
      <w:pPr>
        <w:spacing w:after="120" w:line="276" w:lineRule="auto"/>
      </w:pPr>
      <w:r>
        <w:t>**Stochastique** : Le %K (67,222) est légèrement supérieur au %D (65,185), sans croisement net, ce qui indique une dynamique haussière fragile mais présente. La décision "Neutre" s'explique par la proximité des deux lignes et l'absence de signal clair, le titre évoluant dans une zone médiane-haute qui pourrait précéder soit une accélération, soit un retournement.</w:t>
      </w:r>
    </w:p>
    <w:p>
      <w:pPr>
        <w:spacing w:after="120" w:line="276" w:lineRule="auto"/>
      </w:pPr>
      <w:r>
        <w:t>**Conclusion technique** : Les indicateurs techniques présentent un tableau mitigé : les moyennes mobiles et le RSI plaident pour un maintien de la tendance haussière, tandis que le MACD baissier et la position neutre du cours dans les bandes de Bollinger suggèrent une consolidation en cours. La convergence partielle des signaux — deux neutres, un achat, une vente — invite à la prudence, avec une probabilité élevée de range de trading entre 7 400 et 8 600 FCFA à court terme, en attendant une cassure directionnelle.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BOABF a réalisé un Produit Net Bancaire (PNB) de 57 820 millions FCFA, quasi stable par rapport à 2024 (+0,6%), avec un résultat net de 19 252 millions FCFA en recul de -14,1% sur un an. Le ROE s'établit à 15,22% (excellent, &gt;15%) et le ROA à 1,68%, confirmant la rentabilité solide de l'établissement malgré la pression sur les résultats. Le coefficient d'exploitation de 47,19% (&lt;50%) témoigne d'une excellente efficacité opérationnelle, tandis que le coût du risque rapporté aux charges financières (33,92%) reste élevé, signalant un portefeuille de crédits sous tension. La structure financière affiche une autonomie financière de 11,01% (faible, mais typique du modèle bancaire) et un ratio d'endettement de 96,61%, avec une solvabilité générale de 112,38% (&gt;1, donc solvable). Le ratio dépôts/crédits s'élève à 185% (877 822 Mds FCFA de dépôts clientèle contre 474 064 Mds FCFA de créances clientèle), traduisant une surliquidité et une sous-utilisation des dépôts pour le crédit — un point d'attention majeur.</w:t>
      </w:r>
    </w:p>
    <w:p>
      <w:pPr>
        <w:spacing w:after="120" w:line="276" w:lineRule="auto"/>
      </w:pPr>
      <w:r>
        <w:t>**Estimations basées sur les rapports trimestriels** : Le rapport du T1 2026 (publié le 31/03/2026) indique un PNB de 12 694 millions FCFA, en baisse de -10,75% sur un an, et un résultat net de 4 520 millions FCFA (-12,99%), sans encore bénéficier de l'amélioration du coût du risque. Le rapport du S1 2026 (publié le 30/06/2026) montre un PNB de 27 539 millions FCFA (-5,2%) mais un résultat net de 10 770 millions FCFA (+31,0%), grâce à une réduction de -65,2% du coût du risque (-2 396 millions contre -6 876 millions un an plus tôt). Sur la base de ces tendances, on peut estimer que l'exercice 2026 devrait afficher un PNB annuel autour de 55 000-56 000 millions FCFA (en léger repli), mais un résultat net en nette amélioration, potentiellement entre 21 000 et 23 000 millions FCFA, si la normalisation du coût du risque se confirme au second semestre. Le rapport du S1 2026 souligne également une collecte de dépôts dynamique (+7,4% à 942 692 millions FCFA) et des crédits nets en légère progression (+1,3% à 479 993 millions FCFA), ce qui pourrait réduire le ratio dépôts/crédits à environ 196% — toujours très élevé.</w:t>
      </w:r>
    </w:p>
    <w:p>
      <w:pPr>
        <w:spacing w:after="120" w:line="276" w:lineRule="auto"/>
      </w:pPr>
      <w:r>
        <w:t>**Évolution pluriannuelle** : Les rapports antérieurs (S1 2025, T3 2025, exercice 2025) montrent une dégradation de la rentabilité en 2025 sous l'effet d'un choc du coût du risque au premier semestre 2025 (provisions multipliées par plus de 14), suivie d'une normalisation progressive au S1 2026. La recommandation fondamentale est donc **CONSERVER** : la solidité financière (ROE &gt;15%, coefficient d'exploitation &lt;50%, solvabilité &gt;1) et l'amélioration récente du résultat net sont des points positifs, mais la baisse structurelle du PNB et la sous-utilisation des dépôts pour le crédit constituent des risques à surveiller. Les perspectives dépendront de la capacité de la banque à relancer sa dynamique commerciale (crédits) et à maintenir la maîtrise du coût du risque dans un contexte sécuritaire et économique encore fragile au Burkina Faso.</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BOABF apparaît exigeante (PER de 18,3x contre une moyenne BRVM de 8-12x, P/B de 2,78x), ce qui intègre déjà une prime de qualité et de rareté, mais limite le potentiel de revalorisation à court terme. Le comportement du cours sur 100 jours est nettement haussier (+48,24%), avec une volatilité élevée (35,9%) et une distribution platykurtique (kurtosis -1,275) qui suggère un risque de pics limité, mais une tendance qui pourrait s'essouffler après une telle progression. Les signaux techniques sont mitigés : les moyennes mobiles et le RSI sont favorables (achat/neutre), mais le MACD baissier et la position neutre dans les bandes de Bollinger indiquent une consolidation en cours, sans direction claire. Les fondamentaux sont solides (ROE de 15,22%, coefficient d'exploitation de 47,19%, solvabilité de 112,38%) mais entachés par un PNB en léger repli (-5,2% au S1 2026) et un coût du risque encore élevé (33,92% des charges financières), même si la normalisation récente du risque a permis un rebond du résultat net au S1 2026 (+31,0%). Les prédictions IA pour les 10 prochains jours (7 959 → 7 850 FCFA) anticipent une légère correction baissière (-1,9% sur la période), ce qui contredit la tendance haussière récente mais s'aligne avec le signal de vente du MACD et la consolidation technique en cours. Sur la base de cette synthèse, la recommandation finale est **CONSERVER**, avec un niveau de confiance **Moyen** et un risque global **Élevé** (volatilité de 35,9%, contexte sécuritaire burkinabè, valorisation tendue). L'horizon d'investissement optimal est le **moyen terme (3-12 mois)**, en attendant la confirmation de la reprise de la dynamique commerciale (crédits) et la poursuite de la normalisation du coût du risque, qui pourraient justifier une revalorisation du titre à condition que le PNB cesse de reculer.</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20261009   calendrier de paiement des dividendes   exercice 2025</w:t>
      </w:r>
    </w:p>
    <w:p>
      <w:pPr>
        <w:spacing w:before="20"/>
        <w:ind w:left="400"/>
      </w:pPr>
      <w:r>
        <w:rPr>
          <w:color w:val="505050"/>
          <w:sz w:val="17"/>
        </w:rPr>
        <w:t xml:space="preserve">Date : 12/10/2026  |  Catégorie : dividende  |  Impact : </w:t>
      </w:r>
      <w:r>
        <w:rPr>
          <w:b/>
          <w:color w:val="008000"/>
          <w:sz w:val="17"/>
        </w:rPr>
        <w:t>🟢 POSITIF</w:t>
      </w:r>
    </w:p>
    <w:p>
      <w:pPr>
        <w:spacing w:before="40"/>
        <w:ind w:left="400"/>
      </w:pPr>
      <w:r>
        <w:rPr>
          <w:sz w:val="18"/>
        </w:rPr>
        <w:t>La BRVM publie le calendrier de paiement des dividendes au titre de l'exercice 2025 pour les sociétés cotées, avec les montants nets par action, les dates de publication d'avis, les dates ex-dividende et les dates de paiement. Le document couvre plus de trente sociétés de la zone UEMOA, avec des paiements échelonnés d'avril à octobre 2026. Les montants indiqués sont nets, sauf pour les sociétés marquées d'un astérisque dont le dividende est brut avec application de l'IRVM.</w:t>
      </w:r>
    </w:p>
    <w:p>
      <w:pPr>
        <w:spacing w:before="60"/>
        <w:ind w:left="400"/>
      </w:pPr>
      <w:r>
        <w:rPr>
          <w:b/>
          <w:sz w:val="18"/>
        </w:rPr>
        <w:t>Points clés :</w:t>
      </w:r>
    </w:p>
    <w:p>
      <w:pPr>
        <w:pStyle w:val="ListBullet"/>
        <w:spacing w:before="20" w:after="20"/>
        <w:ind w:left="700"/>
      </w:pPr>
      <w:r>
        <w:rPr>
          <w:sz w:val="18"/>
        </w:rPr>
        <w:t>Le calendrier couvre les dividendes de l'exercice 2025 pour plus de 30 sociétés cotées à la BRVM</w:t>
      </w:r>
    </w:p>
    <w:p>
      <w:pPr>
        <w:pStyle w:val="ListBullet"/>
        <w:spacing w:before="20" w:after="20"/>
        <w:ind w:left="700"/>
      </w:pPr>
      <w:r>
        <w:rPr>
          <w:sz w:val="18"/>
        </w:rPr>
        <w:t>Les paiements s'échelonnent du 23 avril 2026 (BOA Burkina Faso) au 27 octobre 2026 (Africa Global Logistics CI)</w:t>
      </w:r>
    </w:p>
    <w:p>
      <w:pPr>
        <w:pStyle w:val="ListBullet"/>
        <w:spacing w:before="20" w:after="20"/>
        <w:ind w:left="700"/>
      </w:pPr>
      <w:r>
        <w:rPr>
          <w:sz w:val="18"/>
        </w:rPr>
        <w:t>Les montants nets par action varient de 0,9184 FCFA (Ecobank Transnational Incorporated) à 2 606 FCFA (Société Générale CI)</w:t>
      </w:r>
    </w:p>
    <w:p>
      <w:pPr>
        <w:pStyle w:val="ListBullet"/>
        <w:spacing w:before="20" w:after="20"/>
        <w:ind w:left="700"/>
      </w:pPr>
      <w:r>
        <w:rPr>
          <w:sz w:val="18"/>
        </w:rPr>
        <w:t>Les sociétés marquées d'un astérisque affichent un dividende brut soumis à l'IRVM de 12% pour les personnes physiques et 10% pour les personnes morales</w:t>
      </w:r>
    </w:p>
    <w:p>
      <w:pPr>
        <w:pStyle w:val="ListBullet"/>
        <w:spacing w:before="20" w:after="20"/>
        <w:ind w:left="700"/>
      </w:pPr>
      <w:r>
        <w:rPr>
          <w:sz w:val="18"/>
        </w:rPr>
        <w:t>Chaque ligne précise le numéro d'avis, la date de publication au BOC, la date ex-dividende (T-1) et la date de paiement (T)</w:t>
      </w:r>
    </w:p>
    <w:p>
      <w:pPr>
        <w:ind w:left="400"/>
      </w:pPr>
      <w:r>
        <w:rPr>
          <w:color w:val="B4B4B4"/>
          <w:sz w:val="14"/>
        </w:rPr>
        <w:t xml:space="preserve">· · · · · · · · · · · · · · · · · · · · · · · · · · · · · · </w:t>
      </w:r>
    </w:p>
    <w:p>
      <w:pPr>
        <w:spacing w:before="160"/>
      </w:pPr>
      <w:r>
        <w:rPr>
          <w:b/>
          <w:color w:val="0066CC"/>
          <w:sz w:val="20"/>
        </w:rPr>
        <w:t xml:space="preserve">[3]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[4] </w:t>
      </w:r>
      <w:r>
        <w:rPr>
          <w:b/>
          <w:sz w:val="20"/>
        </w:rPr>
        <w:t>20261006   calendrier de paiement des dividendes   exercice 2025</w:t>
      </w:r>
    </w:p>
    <w:p>
      <w:pPr>
        <w:spacing w:before="20"/>
        <w:ind w:left="400"/>
      </w:pPr>
      <w:r>
        <w:rPr>
          <w:color w:val="505050"/>
          <w:sz w:val="17"/>
        </w:rPr>
        <w:t xml:space="preserve">Date : 07/10/2026  |  Catégorie : dividende  |  Impact : </w:t>
      </w:r>
      <w:r>
        <w:rPr>
          <w:b/>
          <w:color w:val="008000"/>
          <w:sz w:val="17"/>
        </w:rPr>
        <w:t>🟢 POSITIF</w:t>
      </w:r>
    </w:p>
    <w:p>
      <w:pPr>
        <w:spacing w:before="40"/>
        <w:ind w:left="400"/>
      </w:pPr>
      <w:r>
        <w:rPr>
          <w:sz w:val="18"/>
        </w:rPr>
        <w:t>La BRVM publie le calendrier de paiement des dividendes au titre de l'exercice 2025 pour les sociétés cotées. Le document liste pour chaque société le montant du dividende net par action, le numéro d'avis, la date de publication au BOC, la date ex-dividende et la date de paiement. Les paiements s'échelonnent de mars 2026 à octobre 2026, avec une note précisant que les montants marqués d'un astérisque sont des dividendes bruts soumis à l'IRVM.</w:t>
      </w:r>
    </w:p>
    <w:p>
      <w:pPr>
        <w:spacing w:before="60"/>
        <w:ind w:left="400"/>
      </w:pPr>
      <w:r>
        <w:rPr>
          <w:b/>
          <w:sz w:val="18"/>
        </w:rPr>
        <w:t>Points clés :</w:t>
      </w:r>
    </w:p>
    <w:p>
      <w:pPr>
        <w:pStyle w:val="ListBullet"/>
        <w:spacing w:before="20" w:after="20"/>
        <w:ind w:left="700"/>
      </w:pPr>
      <w:r>
        <w:rPr>
          <w:sz w:val="18"/>
        </w:rPr>
        <w:t>Le calendrier couvre plus de 30 sociétés cotées à la BRVM pour l'exercice 2025</w:t>
      </w:r>
    </w:p>
    <w:p>
      <w:pPr>
        <w:pStyle w:val="ListBullet"/>
        <w:spacing w:before="20" w:after="20"/>
        <w:ind w:left="700"/>
      </w:pPr>
      <w:r>
        <w:rPr>
          <w:sz w:val="18"/>
        </w:rPr>
        <w:t>Les paiements s'étalent de mars 2026 (BOA Burkina Faso) à octobre 2026 (Tractafric Motors CI)</w:t>
      </w:r>
    </w:p>
    <w:p>
      <w:pPr>
        <w:pStyle w:val="ListBullet"/>
        <w:spacing w:before="20" w:after="20"/>
        <w:ind w:left="700"/>
      </w:pPr>
      <w:r>
        <w:rPr>
          <w:sz w:val="18"/>
        </w:rPr>
        <w:t>Les montants des dividendes nets par action varient de 0,9184 FCFA (Ecobank Transnational) à 2 606 FCFA (Société Générale CI)</w:t>
      </w:r>
    </w:p>
    <w:p>
      <w:pPr>
        <w:pStyle w:val="ListBullet"/>
        <w:spacing w:before="20" w:after="20"/>
        <w:ind w:left="700"/>
      </w:pPr>
      <w:r>
        <w:rPr>
          <w:sz w:val="18"/>
        </w:rPr>
        <w:t>Les dates ex-dividende précèdent généralement les dates de paiement de quelques jours à quelques semaines</w:t>
      </w:r>
    </w:p>
    <w:p>
      <w:pPr>
        <w:pStyle w:val="ListBullet"/>
        <w:spacing w:before="20" w:after="20"/>
        <w:ind w:left="700"/>
      </w:pPr>
      <w:r>
        <w:rPr>
          <w:sz w:val="18"/>
        </w:rPr>
        <w:t>Un astérisque indique les dividendes bruts avec IRVM applicable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[5]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8.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459.00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10,672 titres</w:t>
            </w:r>
          </w:p>
        </w:tc>
        <w:tc>
          <w:tcPr>
            <w:tcW w:type="dxa" w:w="2268"/>
            <w:shd w:fill="FFF2CC" w:val="clear"/>
          </w:tcPr>
          <w:p>
            <w:r>
              <w:rPr>
                <w:b/>
                <w:color w:val="503200"/>
                <w:sz w:val="16"/>
              </w:rPr>
              <w:t xml:space="preserve">Cours actuel : </w:t>
            </w:r>
            <w:r>
              <w:rPr>
                <w:color w:val="000000"/>
                <w:sz w:val="17"/>
              </w:rPr>
              <w:t>11,475 FCFA</w:t>
            </w:r>
          </w:p>
          <w:p>
            <w:r>
              <w:rPr>
                <w:b/>
                <w:color w:val="503200"/>
                <w:sz w:val="16"/>
              </w:rPr>
              <w:t xml:space="preserve">Var. 100 jours : </w:t>
            </w:r>
            <w:r>
              <w:rPr>
                <w:b/>
                <w:color w:val="007800"/>
                <w:sz w:val="17"/>
              </w:rPr>
              <w:t>+30.47%</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8,795 FCFA</w:t>
            </w:r>
          </w:p>
          <w:p>
            <w:r>
              <w:rPr>
                <w:b/>
                <w:color w:val="503200"/>
                <w:sz w:val="16"/>
              </w:rPr>
              <w:t xml:space="preserve">Volatilité ann. : </w:t>
            </w:r>
            <w:r>
              <w:rPr>
                <w:color w:val="000000"/>
                <w:sz w:val="17"/>
              </w:rPr>
              <w:t>27.9%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13.5/100 → Faible</w:t>
      </w:r>
    </w:p>
    <w:p>
      <w:pPr>
        <w:spacing w:before="40" w:after="80"/>
      </w:pPr>
      <w:r>
        <w:rPr>
          <w:rFonts w:ascii="Courier New" w:hAnsi="Courier New"/>
          <w:color w:val="006400"/>
          <w:sz w:val="18"/>
        </w:rPr>
        <w:t>██░░░░░░░░░░░░░░░░░░  13.5/100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14.02% (Moyenne) — μ=10,691 FCFA, σ=1,498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β=0.7444 (Défensif) — Cov=0.000055, Var(idx)=0.000073, ρ=0.361,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10,672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Vente=3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σ_j=1.76%/j (Stable) — Vol. annualisée≈27.9%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2026-10-13</w:t>
            </w:r>
          </w:p>
        </w:tc>
        <w:tc>
          <w:tcPr>
            <w:tcW w:type="dxa" w:w="1440"/>
            <w:shd w:fill="FAFAFA" w:val="clear"/>
          </w:tcPr>
          <w:p>
            <w:r>
              <w:rPr>
                <w:sz w:val="17"/>
              </w:rPr>
              <w:t>11,120</w:t>
            </w:r>
          </w:p>
        </w:tc>
        <w:tc>
          <w:tcPr>
            <w:tcW w:type="dxa" w:w="1440"/>
            <w:shd w:fill="FAFAFA" w:val="clear"/>
          </w:tcPr>
          <w:p>
            <w:r>
              <w:rPr>
                <w:b/>
                <w:sz w:val="17"/>
              </w:rPr>
              <w:t>11,447</w:t>
            </w:r>
          </w:p>
        </w:tc>
        <w:tc>
          <w:tcPr>
            <w:tcW w:type="dxa" w:w="1440"/>
            <w:shd w:fill="FAFAFA" w:val="clear"/>
          </w:tcPr>
          <w:p>
            <w:r>
              <w:rPr>
                <w:sz w:val="17"/>
              </w:rPr>
              <w:t>11,774</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2026-10-14</w:t>
            </w:r>
          </w:p>
        </w:tc>
        <w:tc>
          <w:tcPr>
            <w:tcW w:type="dxa" w:w="1440"/>
            <w:shd w:fill="FAFAFA" w:val="clear"/>
          </w:tcPr>
          <w:p>
            <w:r>
              <w:rPr>
                <w:sz w:val="17"/>
              </w:rPr>
              <w:t>11,012</w:t>
            </w:r>
          </w:p>
        </w:tc>
        <w:tc>
          <w:tcPr>
            <w:tcW w:type="dxa" w:w="1440"/>
            <w:shd w:fill="FAFAFA" w:val="clear"/>
          </w:tcPr>
          <w:p>
            <w:r>
              <w:rPr>
                <w:b/>
                <w:sz w:val="17"/>
              </w:rPr>
              <w:t>11,475</w:t>
            </w:r>
          </w:p>
        </w:tc>
        <w:tc>
          <w:tcPr>
            <w:tcW w:type="dxa" w:w="1440"/>
            <w:shd w:fill="FAFAFA" w:val="clear"/>
          </w:tcPr>
          <w:p>
            <w:r>
              <w:rPr>
                <w:sz w:val="17"/>
              </w:rPr>
              <w:t>11,939</w:t>
            </w:r>
          </w:p>
        </w:tc>
        <w:tc>
          <w:tcPr>
            <w:tcW w:type="dxa" w:w="1440"/>
            <w:shd w:fill="FAFAFA" w:val="clear"/>
          </w:tcPr>
          <w:p>
            <w:r>
              <w:rPr>
                <w:b/>
                <w:color w:val="008000"/>
                <w:sz w:val="17"/>
              </w:rPr>
              <w:t>+0.0%</w:t>
            </w:r>
          </w:p>
        </w:tc>
      </w:tr>
      <w:tr>
        <w:tc>
          <w:tcPr>
            <w:tcW w:type="dxa" w:w="1440"/>
            <w:shd w:fill="FAFAFA" w:val="clear"/>
          </w:tcPr>
          <w:p>
            <w:r>
              <w:rPr>
                <w:sz w:val="17"/>
              </w:rPr>
              <w:t>J+3  ⭐⭐⭐</w:t>
            </w:r>
          </w:p>
        </w:tc>
        <w:tc>
          <w:tcPr>
            <w:tcW w:type="dxa" w:w="1440"/>
            <w:shd w:fill="FAFAFA" w:val="clear"/>
          </w:tcPr>
          <w:p>
            <w:r>
              <w:rPr>
                <w:sz w:val="17"/>
              </w:rPr>
              <w:t>2026-10-15</w:t>
            </w:r>
          </w:p>
        </w:tc>
        <w:tc>
          <w:tcPr>
            <w:tcW w:type="dxa" w:w="1440"/>
            <w:shd w:fill="FAFAFA" w:val="clear"/>
          </w:tcPr>
          <w:p>
            <w:r>
              <w:rPr>
                <w:sz w:val="17"/>
              </w:rPr>
              <w:t>10,921</w:t>
            </w:r>
          </w:p>
        </w:tc>
        <w:tc>
          <w:tcPr>
            <w:tcW w:type="dxa" w:w="1440"/>
            <w:shd w:fill="FAFAFA" w:val="clear"/>
          </w:tcPr>
          <w:p>
            <w:r>
              <w:rPr>
                <w:b/>
                <w:sz w:val="17"/>
              </w:rPr>
              <w:t>11,490</w:t>
            </w:r>
          </w:p>
        </w:tc>
        <w:tc>
          <w:tcPr>
            <w:tcW w:type="dxa" w:w="1440"/>
            <w:shd w:fill="FAFAFA" w:val="clear"/>
          </w:tcPr>
          <w:p>
            <w:r>
              <w:rPr>
                <w:sz w:val="17"/>
              </w:rPr>
              <w:t>12,059</w:t>
            </w:r>
          </w:p>
        </w:tc>
        <w:tc>
          <w:tcPr>
            <w:tcW w:type="dxa" w:w="1440"/>
            <w:shd w:fill="FAFAFA" w:val="clear"/>
          </w:tcPr>
          <w:p>
            <w:r>
              <w:rPr>
                <w:b/>
                <w:color w:val="008000"/>
                <w:sz w:val="17"/>
              </w:rPr>
              <w:t>+0.1%</w:t>
            </w:r>
          </w:p>
        </w:tc>
      </w:tr>
      <w:tr>
        <w:tc>
          <w:tcPr>
            <w:tcW w:type="dxa" w:w="1440"/>
            <w:shd w:fill="FAFAFA" w:val="clear"/>
          </w:tcPr>
          <w:p>
            <w:r>
              <w:rPr>
                <w:sz w:val="17"/>
              </w:rPr>
              <w:t>J+4  Moyenne</w:t>
            </w:r>
          </w:p>
        </w:tc>
        <w:tc>
          <w:tcPr>
            <w:tcW w:type="dxa" w:w="1440"/>
            <w:shd w:fill="FAFAFA" w:val="clear"/>
          </w:tcPr>
          <w:p>
            <w:r>
              <w:rPr>
                <w:sz w:val="17"/>
              </w:rPr>
              <w:t>2026-10-16</w:t>
            </w:r>
          </w:p>
        </w:tc>
        <w:tc>
          <w:tcPr>
            <w:tcW w:type="dxa" w:w="1440"/>
            <w:shd w:fill="FAFAFA" w:val="clear"/>
          </w:tcPr>
          <w:p>
            <w:r>
              <w:rPr>
                <w:sz w:val="17"/>
              </w:rPr>
              <w:t>10,845</w:t>
            </w:r>
          </w:p>
        </w:tc>
        <w:tc>
          <w:tcPr>
            <w:tcW w:type="dxa" w:w="1440"/>
            <w:shd w:fill="FAFAFA" w:val="clear"/>
          </w:tcPr>
          <w:p>
            <w:r>
              <w:rPr>
                <w:b/>
                <w:sz w:val="17"/>
              </w:rPr>
              <w:t>11,502</w:t>
            </w:r>
          </w:p>
        </w:tc>
        <w:tc>
          <w:tcPr>
            <w:tcW w:type="dxa" w:w="1440"/>
            <w:shd w:fill="FAFAFA" w:val="clear"/>
          </w:tcPr>
          <w:p>
            <w:r>
              <w:rPr>
                <w:sz w:val="17"/>
              </w:rPr>
              <w:t>12,160</w:t>
            </w:r>
          </w:p>
        </w:tc>
        <w:tc>
          <w:tcPr>
            <w:tcW w:type="dxa" w:w="1440"/>
            <w:shd w:fill="FAFAFA" w:val="clear"/>
          </w:tcPr>
          <w:p>
            <w:r>
              <w:rPr>
                <w:b/>
                <w:color w:val="008000"/>
                <w:sz w:val="17"/>
              </w:rPr>
              <w:t>+0.2%</w:t>
            </w:r>
          </w:p>
        </w:tc>
      </w:tr>
      <w:tr>
        <w:tc>
          <w:tcPr>
            <w:tcW w:type="dxa" w:w="1440"/>
            <w:shd w:fill="FAFAFA" w:val="clear"/>
          </w:tcPr>
          <w:p>
            <w:r>
              <w:rPr>
                <w:sz w:val="17"/>
              </w:rPr>
              <w:t>J+5  Moyenne</w:t>
            </w:r>
          </w:p>
        </w:tc>
        <w:tc>
          <w:tcPr>
            <w:tcW w:type="dxa" w:w="1440"/>
            <w:shd w:fill="FAFAFA" w:val="clear"/>
          </w:tcPr>
          <w:p>
            <w:r>
              <w:rPr>
                <w:sz w:val="17"/>
              </w:rPr>
              <w:t>2026-10-19</w:t>
            </w:r>
          </w:p>
        </w:tc>
        <w:tc>
          <w:tcPr>
            <w:tcW w:type="dxa" w:w="1440"/>
            <w:shd w:fill="FAFAFA" w:val="clear"/>
          </w:tcPr>
          <w:p>
            <w:r>
              <w:rPr>
                <w:sz w:val="17"/>
              </w:rPr>
              <w:t>10,778</w:t>
            </w:r>
          </w:p>
        </w:tc>
        <w:tc>
          <w:tcPr>
            <w:tcW w:type="dxa" w:w="1440"/>
            <w:shd w:fill="FAFAFA" w:val="clear"/>
          </w:tcPr>
          <w:p>
            <w:r>
              <w:rPr>
                <w:b/>
                <w:sz w:val="17"/>
              </w:rPr>
              <w:t>11,514</w:t>
            </w:r>
          </w:p>
        </w:tc>
        <w:tc>
          <w:tcPr>
            <w:tcW w:type="dxa" w:w="1440"/>
            <w:shd w:fill="FAFAFA" w:val="clear"/>
          </w:tcPr>
          <w:p>
            <w:r>
              <w:rPr>
                <w:sz w:val="17"/>
              </w:rPr>
              <w:t>12,249</w:t>
            </w:r>
          </w:p>
        </w:tc>
        <w:tc>
          <w:tcPr>
            <w:tcW w:type="dxa" w:w="1440"/>
            <w:shd w:fill="FAFAFA" w:val="clear"/>
          </w:tcPr>
          <w:p>
            <w:r>
              <w:rPr>
                <w:b/>
                <w:color w:val="008000"/>
                <w:sz w:val="17"/>
              </w:rPr>
              <w:t>+0.3%</w:t>
            </w:r>
          </w:p>
        </w:tc>
      </w:tr>
      <w:tr>
        <w:tc>
          <w:tcPr>
            <w:tcW w:type="dxa" w:w="1440"/>
            <w:shd w:fill="FAFAFA" w:val="clear"/>
          </w:tcPr>
          <w:p>
            <w:r>
              <w:rPr>
                <w:sz w:val="17"/>
              </w:rPr>
              <w:t>J+6  Moyenne</w:t>
            </w:r>
          </w:p>
        </w:tc>
        <w:tc>
          <w:tcPr>
            <w:tcW w:type="dxa" w:w="1440"/>
            <w:shd w:fill="FAFAFA" w:val="clear"/>
          </w:tcPr>
          <w:p>
            <w:r>
              <w:rPr>
                <w:sz w:val="17"/>
              </w:rPr>
              <w:t>2026-10-20</w:t>
            </w:r>
          </w:p>
        </w:tc>
        <w:tc>
          <w:tcPr>
            <w:tcW w:type="dxa" w:w="1440"/>
            <w:shd w:fill="FAFAFA" w:val="clear"/>
          </w:tcPr>
          <w:p>
            <w:r>
              <w:rPr>
                <w:sz w:val="17"/>
              </w:rPr>
              <w:t>10,718</w:t>
            </w:r>
          </w:p>
        </w:tc>
        <w:tc>
          <w:tcPr>
            <w:tcW w:type="dxa" w:w="1440"/>
            <w:shd w:fill="FAFAFA" w:val="clear"/>
          </w:tcPr>
          <w:p>
            <w:r>
              <w:rPr>
                <w:b/>
                <w:sz w:val="17"/>
              </w:rPr>
              <w:t>11,524</w:t>
            </w:r>
          </w:p>
        </w:tc>
        <w:tc>
          <w:tcPr>
            <w:tcW w:type="dxa" w:w="1440"/>
            <w:shd w:fill="FAFAFA" w:val="clear"/>
          </w:tcPr>
          <w:p>
            <w:r>
              <w:rPr>
                <w:sz w:val="17"/>
              </w:rPr>
              <w:t>12,331</w:t>
            </w:r>
          </w:p>
        </w:tc>
        <w:tc>
          <w:tcPr>
            <w:tcW w:type="dxa" w:w="1440"/>
            <w:shd w:fill="FAFAFA" w:val="clear"/>
          </w:tcPr>
          <w:p>
            <w:r>
              <w:rPr>
                <w:b/>
                <w:color w:val="008000"/>
                <w:sz w:val="17"/>
              </w:rPr>
              <w:t>+0.4%</w:t>
            </w:r>
          </w:p>
        </w:tc>
      </w:tr>
      <w:tr>
        <w:tc>
          <w:tcPr>
            <w:tcW w:type="dxa" w:w="1440"/>
            <w:shd w:fill="FAFAFA" w:val="clear"/>
          </w:tcPr>
          <w:p>
            <w:r>
              <w:rPr>
                <w:sz w:val="17"/>
              </w:rPr>
              <w:t>J+7  Moyenne</w:t>
            </w:r>
          </w:p>
        </w:tc>
        <w:tc>
          <w:tcPr>
            <w:tcW w:type="dxa" w:w="1440"/>
            <w:shd w:fill="FAFAFA" w:val="clear"/>
          </w:tcPr>
          <w:p>
            <w:r>
              <w:rPr>
                <w:sz w:val="17"/>
              </w:rPr>
              <w:t>2026-10-21</w:t>
            </w:r>
          </w:p>
        </w:tc>
        <w:tc>
          <w:tcPr>
            <w:tcW w:type="dxa" w:w="1440"/>
            <w:shd w:fill="FAFAFA" w:val="clear"/>
          </w:tcPr>
          <w:p>
            <w:r>
              <w:rPr>
                <w:sz w:val="17"/>
              </w:rPr>
              <w:t>10,663</w:t>
            </w:r>
          </w:p>
        </w:tc>
        <w:tc>
          <w:tcPr>
            <w:tcW w:type="dxa" w:w="1440"/>
            <w:shd w:fill="FAFAFA" w:val="clear"/>
          </w:tcPr>
          <w:p>
            <w:r>
              <w:rPr>
                <w:b/>
                <w:sz w:val="17"/>
              </w:rPr>
              <w:t>11,535</w:t>
            </w:r>
          </w:p>
        </w:tc>
        <w:tc>
          <w:tcPr>
            <w:tcW w:type="dxa" w:w="1440"/>
            <w:shd w:fill="FAFAFA" w:val="clear"/>
          </w:tcPr>
          <w:p>
            <w:r>
              <w:rPr>
                <w:sz w:val="17"/>
              </w:rPr>
              <w:t>12,407</w:t>
            </w:r>
          </w:p>
        </w:tc>
        <w:tc>
          <w:tcPr>
            <w:tcW w:type="dxa" w:w="1440"/>
            <w:shd w:fill="FAFAFA" w:val="clear"/>
          </w:tcPr>
          <w:p>
            <w:r>
              <w:rPr>
                <w:b/>
                <w:color w:val="008000"/>
                <w:sz w:val="17"/>
              </w:rPr>
              <w:t>+0.5%</w:t>
            </w:r>
          </w:p>
        </w:tc>
      </w:tr>
      <w:tr>
        <w:tc>
          <w:tcPr>
            <w:tcW w:type="dxa" w:w="1440"/>
            <w:shd w:fill="FAFAFA" w:val="clear"/>
          </w:tcPr>
          <w:p>
            <w:r>
              <w:rPr>
                <w:sz w:val="17"/>
              </w:rPr>
              <w:t>J+8  Moyenne</w:t>
            </w:r>
          </w:p>
        </w:tc>
        <w:tc>
          <w:tcPr>
            <w:tcW w:type="dxa" w:w="1440"/>
            <w:shd w:fill="FAFAFA" w:val="clear"/>
          </w:tcPr>
          <w:p>
            <w:r>
              <w:rPr>
                <w:sz w:val="17"/>
              </w:rPr>
              <w:t>2026-10-22</w:t>
            </w:r>
          </w:p>
        </w:tc>
        <w:tc>
          <w:tcPr>
            <w:tcW w:type="dxa" w:w="1440"/>
            <w:shd w:fill="FAFAFA" w:val="clear"/>
          </w:tcPr>
          <w:p>
            <w:r>
              <w:rPr>
                <w:sz w:val="17"/>
              </w:rPr>
              <w:t>10,611</w:t>
            </w:r>
          </w:p>
        </w:tc>
        <w:tc>
          <w:tcPr>
            <w:tcW w:type="dxa" w:w="1440"/>
            <w:shd w:fill="FAFAFA" w:val="clear"/>
          </w:tcPr>
          <w:p>
            <w:r>
              <w:rPr>
                <w:b/>
                <w:sz w:val="17"/>
              </w:rPr>
              <w:t>11,544</w:t>
            </w:r>
          </w:p>
        </w:tc>
        <w:tc>
          <w:tcPr>
            <w:tcW w:type="dxa" w:w="1440"/>
            <w:shd w:fill="FAFAFA" w:val="clear"/>
          </w:tcPr>
          <w:p>
            <w:r>
              <w:rPr>
                <w:sz w:val="17"/>
              </w:rPr>
              <w:t>12,477</w:t>
            </w:r>
          </w:p>
        </w:tc>
        <w:tc>
          <w:tcPr>
            <w:tcW w:type="dxa" w:w="1440"/>
            <w:shd w:fill="FAFAFA" w:val="clear"/>
          </w:tcPr>
          <w:p>
            <w:r>
              <w:rPr>
                <w:b/>
                <w:color w:val="008000"/>
                <w:sz w:val="17"/>
              </w:rPr>
              <w:t>+0.6%</w:t>
            </w:r>
          </w:p>
        </w:tc>
      </w:tr>
      <w:tr>
        <w:tc>
          <w:tcPr>
            <w:tcW w:type="dxa" w:w="1440"/>
            <w:shd w:fill="FAFAFA" w:val="clear"/>
          </w:tcPr>
          <w:p>
            <w:r>
              <w:rPr>
                <w:sz w:val="17"/>
              </w:rPr>
              <w:t>J+9  Moyenne</w:t>
            </w:r>
          </w:p>
        </w:tc>
        <w:tc>
          <w:tcPr>
            <w:tcW w:type="dxa" w:w="1440"/>
            <w:shd w:fill="FAFAFA" w:val="clear"/>
          </w:tcPr>
          <w:p>
            <w:r>
              <w:rPr>
                <w:sz w:val="17"/>
              </w:rPr>
              <w:t>2026-10-23</w:t>
            </w:r>
          </w:p>
        </w:tc>
        <w:tc>
          <w:tcPr>
            <w:tcW w:type="dxa" w:w="1440"/>
            <w:shd w:fill="FAFAFA" w:val="clear"/>
          </w:tcPr>
          <w:p>
            <w:r>
              <w:rPr>
                <w:sz w:val="17"/>
              </w:rPr>
              <w:t>10,563</w:t>
            </w:r>
          </w:p>
        </w:tc>
        <w:tc>
          <w:tcPr>
            <w:tcW w:type="dxa" w:w="1440"/>
            <w:shd w:fill="FAFAFA" w:val="clear"/>
          </w:tcPr>
          <w:p>
            <w:r>
              <w:rPr>
                <w:b/>
                <w:sz w:val="17"/>
              </w:rPr>
              <w:t>11,553</w:t>
            </w:r>
          </w:p>
        </w:tc>
        <w:tc>
          <w:tcPr>
            <w:tcW w:type="dxa" w:w="1440"/>
            <w:shd w:fill="FAFAFA" w:val="clear"/>
          </w:tcPr>
          <w:p>
            <w:r>
              <w:rPr>
                <w:sz w:val="17"/>
              </w:rPr>
              <w:t>12,544</w:t>
            </w:r>
          </w:p>
        </w:tc>
        <w:tc>
          <w:tcPr>
            <w:tcW w:type="dxa" w:w="1440"/>
            <w:shd w:fill="FAFAFA" w:val="clear"/>
          </w:tcPr>
          <w:p>
            <w:r>
              <w:rPr>
                <w:b/>
                <w:color w:val="008000"/>
                <w:sz w:val="17"/>
              </w:rPr>
              <w:t>+0.7%</w:t>
            </w:r>
          </w:p>
        </w:tc>
      </w:tr>
      <w:tr>
        <w:tc>
          <w:tcPr>
            <w:tcW w:type="dxa" w:w="1440"/>
            <w:shd w:fill="FAFAFA" w:val="clear"/>
          </w:tcPr>
          <w:p>
            <w:r>
              <w:rPr>
                <w:sz w:val="17"/>
              </w:rPr>
              <w:t>J+10  Moyenne</w:t>
            </w:r>
          </w:p>
        </w:tc>
        <w:tc>
          <w:tcPr>
            <w:tcW w:type="dxa" w:w="1440"/>
            <w:shd w:fill="FAFAFA" w:val="clear"/>
          </w:tcPr>
          <w:p>
            <w:r>
              <w:rPr>
                <w:sz w:val="17"/>
              </w:rPr>
              <w:t>2026-10-26</w:t>
            </w:r>
          </w:p>
        </w:tc>
        <w:tc>
          <w:tcPr>
            <w:tcW w:type="dxa" w:w="1440"/>
            <w:shd w:fill="FAFAFA" w:val="clear"/>
          </w:tcPr>
          <w:p>
            <w:r>
              <w:rPr>
                <w:sz w:val="17"/>
              </w:rPr>
              <w:t>10,518</w:t>
            </w:r>
          </w:p>
        </w:tc>
        <w:tc>
          <w:tcPr>
            <w:tcW w:type="dxa" w:w="1440"/>
            <w:shd w:fill="FAFAFA" w:val="clear"/>
          </w:tcPr>
          <w:p>
            <w:r>
              <w:rPr>
                <w:b/>
                <w:sz w:val="17"/>
              </w:rPr>
              <w:t>11,562</w:t>
            </w:r>
          </w:p>
        </w:tc>
        <w:tc>
          <w:tcPr>
            <w:tcW w:type="dxa" w:w="1440"/>
            <w:shd w:fill="FAFAFA" w:val="clear"/>
          </w:tcPr>
          <w:p>
            <w:r>
              <w:rPr>
                <w:sz w:val="17"/>
              </w:rPr>
              <w:t>12,607</w:t>
            </w:r>
          </w:p>
        </w:tc>
        <w:tc>
          <w:tcPr>
            <w:tcW w:type="dxa" w:w="1440"/>
            <w:shd w:fill="FAFAFA" w:val="clear"/>
          </w:tcPr>
          <w:p>
            <w:r>
              <w:rPr>
                <w:b/>
                <w:color w:val="008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**RAPPORT D'ANALYSE FINANCIÈRE — BOAC (BRVM)**</w:t>
        <w:br/>
        <w:t>*Bank of Africa Côte d'Ivoire | Secteur : Banque | Devise : FCFA*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459,00 Mds FCFA, BOAC s'impose comme l'une des valeurs bancaires les plus capitalisées de la BRVM, ce qui lui confère une liquidité relative et une visibilité institutionnelle appréciables. Le BPA de 888 FCFA/action signifie que chaque titre génère près de neuf cents francs de bénéfice net, un niveau élevé qui traduit la forte rentabilité de la banque. Le PER de 12,9x se situe légèrement au-dessus de la moyenne BRVM (~8-12x), ce qui indique que le marché paie une prime modérée pour cette valeur de qualité, sans exagération manifeste. Le P/B de 3,60x montre que le marché valorise BOAC à plus de trois fois ses fonds propres comptables, soit une prime de croissance significative (fourchette 2-4x) justifiée par un ROE de près de 28%. En revanche, l'EV/EBITDA de 26,5x apparaît très exigeant (&gt;15x), signalant que la valeur d'entreprise intègre déjà une bonne part des anticipations de croissance — un point de vigilance pour les investisseurs cherchant une marge de sécurité.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BOAC affiche une progression remarquable de +30,47%, avec une dernière séance en hausse de +1,59%, confirmant un momentum haussier de court terme. Le titre a évolué dans un range large de 8 795 FCFA (plus bas) à 13 450 FCFA (plus haut), soit une amplitude de plus de 52%, avant de se stabiliser autour de 11 475 FCFA. La moyenne (10 691 FCFA) est légèrement inférieure à la médiane (10 808 FCFA), ce qui suggère une distribution très légèrement tirée vers le bas par quelques séances de faiblesse, sans asymétrie marquée. L'écart-type de 1 506 FCFA avec un coefficient de variation de 14,1% indique une dispersion modérée du cours autour de sa moyenne. Le kurtosis de -1,461 (distribution platykurtique) révèle une faible concentration des variations autour de la moyenne, donc moins de risques de pics extrêmes violents, tandis que le skewness de 0,158 confirme une distribution quasi symétrique. La volatilité annualisée de 27,9% place le titre dans la catégorie des valeurs à volatilité modérée (15-30%), ce qui est cohérent avec un profil bancaire de qualité sur la BRVM.</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(11 573 FCFA) et la MM50 (12 051 FCFA) se situent toutes deux au-dessus du cours actuel (11 475 FCFA), avec la MM20 sous la MM50 — configuration baissière classique. Le cours évoluant sous ses deux moyennes, la décision technique est logiquement **Vente**, signalant une pression vendeuse persistante à moyen terme.</w:t>
      </w:r>
    </w:p>
    <w:p>
      <w:pPr>
        <w:spacing w:after="120" w:line="276" w:lineRule="auto"/>
      </w:pPr>
      <w:r>
        <w:t>**Bandes de Bollinger** : Le cours (11 475 FCFA) se situe dans la partie médiane de la bande, entre la borne inférieure (10 819 FCFA) et la borne supérieure (12 327 FCFA), sans contact avec les extrêmes. Cette position centrale traduit une absence de signal directionnel fort, d'où la décision **Neutre**, avec une volatilité qui reste contenue dans les bandes.</w:t>
      </w:r>
    </w:p>
    <w:p>
      <w:pPr>
        <w:spacing w:after="120" w:line="276" w:lineRule="auto"/>
      </w:pPr>
      <w:r>
        <w:t>**MACD** : La valeur du MACD (-191,981) est inférieure à son signal (-180,757), confirmant une divergence baissière et un momentum négatif. Le croisement défavorable des deux lignes justifie la décision **Vente**, bien que l'écart reste modéré, n'excluant pas un retournement prochain.</w:t>
      </w:r>
    </w:p>
    <w:p>
      <w:pPr>
        <w:spacing w:after="120" w:line="276" w:lineRule="auto"/>
      </w:pPr>
      <w:r>
        <w:t>**RSI** : À 47,289, le RSI se situe en zone neutre (30-70), sans signal de surachat ni de survente. Cette position médiane indique un équilibre entre acheteurs et vendeurs, d'où la décision **Neutre**, cohérente avec l'absence de direction claire.</w:t>
      </w:r>
    </w:p>
    <w:p>
      <w:pPr>
        <w:spacing w:after="120" w:line="276" w:lineRule="auto"/>
      </w:pPr>
      <w:r>
        <w:t>**Stochastique** : Le %K (84,375) est nettement supérieur au %D (65,168), avec un %K en zone de surachat (&gt;80). Cette configuration suggère un essoufflement possible de la dynamique haussière de court terme, justifiant la décision **Vente** malgré le croisement haussier apparent.</w:t>
      </w:r>
    </w:p>
    <w:p>
      <w:pPr>
        <w:spacing w:after="120" w:line="276" w:lineRule="auto"/>
      </w:pPr>
      <w:r>
        <w:t>**Conclusion technique** : Les indicateurs sont majoritairement baissiers (MM, MACD, Stochastique) ou neutres (Bollinger, RSI), avec un cours sous ses moyennes mobiles et un MACD négatif. Le signal global est **baissier à neutre**, suggérant une consolidation ou une correction de court terme après la forte hausse de +30% sur 100 jours. Une cassure sous 10 819 FCFA (borne inférieure de Bollinger) confirmerait la pression vendeuse, tandis qu'un retour au-dessus de 12 051 FCFA (MM50) inverserait le biais.</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Sur la base des états financiers annuels 2025 (rapport des commissaires aux comptes daté du 31 décembre 2025, analysé le 5 septembre 2026), BOAC affiche un Produit Net Bancaire (équivalent du chiffre d'affaires pour une banque) de 73 545 millions FCFA, en hausse de +1,1% par rapport à 2024 (72 724 millions), et un résultat net de 35 540 millions FCFA, en progression de +10,9% (vs 32 045 millions en 2024). Le BPA ressort à 889 FCFA (contre 801 FCFA en 2024), et le ROE atteint 27,91% — un niveau exceptionnel (&gt;15% = excellent) — tandis que le ROA s'établit à 3,22%, confirmant une rentabilité solide des actifs. En tant que banque, les indicateurs clés sont le coefficient d'exploitation de 36,70% (&lt;60% = banque très efficace, &lt;50% = excellente), le coût du risque de 6,67% (provisions/charges financières, plus c'est bas mieux c'est), et la structure de transformation avec des dépôts clientèle de 850 548 millions FCFA face à des créances clientèle de 430 433 millions FCFA, soit un ratio dépôts/crédits de 198% — une surliquidité notable qui traduit une politique de crédit prudente mais aussi un potentiel de déploiement. Les créances interbancaires (70 451 millions) et les dettes interbancaires (95 901 millions) montrent une activité normale sur le marché monétaire. Le rapport du T1 2026 (daté du 31 mars 2026, analysé le 5 septembre 2026) indique un PNB de 18 960 millions FCFA (+3,09% vs T1 2025) et un résultat net de 10 801 millions (+0,91%), mais avec un coût net du risque bondissant de +314,75% (-652 vs -157 millions) — un point de vigilance majeur. Sur cette base, on estime que l'exercice 2026 devrait maintenir une croissance modérée du PNB (autour de +2-3%) et un résultat net stable, sous réserve que la dégradation du coût du risque ne s'amplifie pas. La recommandation fondamentale est **CONSERVER** : la banque est solide, très rentable et bien capitalisée (capitaux propres de 127 340 millions, autonomie financière de 11,54% — faible mais normale pour une banque), mais la hausse des créances en souffrance (+52,1% en 2025) et l'explosion du coût du risque au T1 2026 appellent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BOAC (Partie 0) est modérément exigeante : PER de 12,9x légèrement supérieur à la moyenne BRVM, P/B de 3,60x traduisant une prime de croissance, et EV/EBITDA de 26,5x très élevé — le titre n'est pas sous-évalué, mais la qualité justifie une partie de cette prime. Le comportement du cours (Partie 1) est haussier sur 100 jours (+30,47%) avec une volatilité modérée (27,9%) et une distribution symétrique sans risque de pics extrêmes (kurtosis -1,461), ce qui est rassurant, mais la récente consolidation sous les moyennes mobiles suggère une pause. Les signaux techniques (Partie 2) sont majoritairement baissiers à neutres (MM, MACD, Stochastique en vente ; Bollinger et RSI neutres), indiquant une correction de court terme probable. Les fondamentaux (Partie 3) restent solides — ROE de 27,91%, coefficient d'exploitation de 36,70%, résultat net 2025 de 35 540 millions FCFA (+10,9%) — mais le coût du risque au T1 2026 (+314,75%) constitue un risque émergent. Les prédictions IA (J+1 à J+10) anticipent une légère reprise vers 11 514 FCFA d'ici le 19 octobre 2026, ce qui contredit partiellement les signaux techniques baissiers et suggère une stabilisation plutôt qu'une correction profonde. Sur la base de cette synthèse, la recommandation finale est **CONSERVER**, avec un niveau de confiance **Moyen** et un risque global **Moyen**. L'horizon optimal est le **moyen terme (3-12 mois)**, en attendant la confirmation de l'évolution du coût du risque au T2 2026 et une clarification technique (cassure au-dessus de la MM50 à 12 051 FCFA pour un retour haussier, ou sous 10 819 FCFA pour une correction plus marquée).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"L'examen limit\u00e9 ne r\u00e9v\u00e8le aucune anomalie significative et confirme la sinc\u00e9rit\u00e9 des \u00e9tats financiers semestriels. En l'absence de donn\u00e9es chiffr\u00e9es d\u00e9taill\u00e9es dans le document, aucune valorisation ni orientation d'investissement ne peut \u00eatre \u00e9tablie avec certitude."}</w:t>
      </w:r>
    </w:p>
    <w:p>
      <w:pPr>
        <w:spacing w:before="40"/>
        <w:ind w:left="400"/>
      </w:pPr>
      <w:r>
        <w:rPr>
          <w:sz w:val="18"/>
        </w:rPr>
        <w:t>Le document est un rapport d'examen limité des états financiers semestriels de Bank of Africa Côte d'Ivoire (BOA CI) couvrant la période du 1er janvier au 30 juin 2026, établi par les commissaires aux comptes Forvis Mazars et Eritedge Côte d'Ivoire. Les auditeurs n'ont pas relevé de faits remettant en cause la sincérité des états financiers semestriels. Ils n'ont également formulé aucune observation sur la sincérité et la concordance du rapport d'activité semestriel avec les états financiers. Les états financiers ont été arrêtés par le Conseil d'Administration le 9 septembre 2026 et le rapport signé le 30 septembre 2026. Toutefois, le document ne contient pas les données chiffrées détaillées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d'examen limité (et non audit complet) des états financiers semestriels au 30 juin 2026 de BOA CI.</w:t>
      </w:r>
    </w:p>
    <w:p>
      <w:pPr>
        <w:pStyle w:val="ListBullet"/>
        <w:spacing w:before="20" w:after="20"/>
        <w:ind w:left="700"/>
      </w:pPr>
      <w:r>
        <w:rPr>
          <w:sz w:val="18"/>
        </w:rPr>
        <w:t>Conclusion sans réserve : aucun fait laissant penser que les états financiers ne présentent pas sincèrement la situation financière.</w:t>
      </w:r>
    </w:p>
    <w:p>
      <w:pPr>
        <w:pStyle w:val="ListBullet"/>
        <w:spacing w:before="20" w:after="20"/>
        <w:ind w:left="700"/>
      </w:pPr>
      <w:r>
        <w:rPr>
          <w:sz w:val="18"/>
        </w:rPr>
        <w:t>États financiers établis conformément au Plan Comptable Bancaire Révisé de l'UMOA.</w:t>
      </w:r>
    </w:p>
    <w:p>
      <w:pPr>
        <w:pStyle w:val="ListBullet"/>
        <w:spacing w:before="20" w:after="20"/>
        <w:ind w:left="700"/>
      </w:pPr>
      <w:r>
        <w:rPr>
          <w:sz w:val="18"/>
        </w:rPr>
        <w:t>Aucune observation sur la sincérité et la concordance du rapport d'activité semestriel.</w:t>
      </w:r>
    </w:p>
    <w:p>
      <w:pPr>
        <w:pStyle w:val="ListBullet"/>
        <w:spacing w:before="20" w:after="20"/>
        <w:ind w:left="700"/>
      </w:pPr>
      <w:r>
        <w:rPr>
          <w:sz w:val="18"/>
        </w:rPr>
        <w:t>États financiers arrêtés par le Conseil d'Administration en session du 9 septembre 2026.</w:t>
      </w:r>
    </w:p>
    <w:p>
      <w:pPr>
        <w:pStyle w:val="ListBullet"/>
        <w:spacing w:before="20" w:after="20"/>
        <w:ind w:left="700"/>
      </w:pPr>
      <w:r>
        <w:rPr>
          <w:sz w:val="18"/>
        </w:rPr>
        <w:t>Commissaires aux comptes : Forvis Mazars S.A. et Eritedge Côte d'Ivoire S.A.</w:t>
      </w:r>
    </w:p>
    <w:p>
      <w:pPr>
        <w:spacing w:before="40"/>
        <w:ind w:left="400"/>
      </w:pPr>
      <w:r>
        <w:rPr>
          <w:b/>
          <w:color w:val="C05000"/>
          <w:sz w:val="18"/>
        </w:rPr>
        <w:t xml:space="preserve">⚠️ Risques : </w:t>
      </w:r>
      <w:r>
        <w:rPr>
          <w:sz w:val="18"/>
        </w:rPr>
        <w:t>["Absence de donn\u00e9es financi\u00e8res chiffr\u00e9es dans le document fourni, limitant l'analyse quantitative.", "Nature d'examen limit\u00e9 offrant une assurance mod\u00e9r\u00e9e, moins \u00e9lev\u00e9e qu'un audit complet.", "Risques inh\u00e9rents au secteur bancaire (qualit\u00e9 du porte</w:t>
      </w:r>
    </w:p>
    <w:p>
      <w:pPr>
        <w:spacing w:before="40"/>
        <w:ind w:left="400"/>
      </w:pPr>
      <w:r>
        <w:rPr>
          <w:b/>
          <w:color w:val="0064A0"/>
          <w:sz w:val="18"/>
        </w:rPr>
        <w:t xml:space="preserve">🔮 Perspectives : </w:t>
      </w:r>
      <w:r>
        <w:rPr>
          <w:sz w:val="18"/>
        </w:rPr>
        <w:t>Les perspectives restent dépendantes des performances opérationnelles et financières de BOA CI sur le second semestre 2026, non détaillées dans ce rapport. La conclusion positive des commissaires aux comptes suggère une situation financière saine à mi-parcours. Une analyse plus fine nécessiterait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
      <w:r>
        <w:t>════════════════════════════════════════════════════════════════════════════════</w:t>
      </w:r>
    </w:p>
    <w:p>
      <w:r>
        <w:br w:type="page"/>
      </w:r>
    </w:p>
    <w:p>
      <w:pPr>
        <w:pStyle w:val="Heading2"/>
        <w:spacing w:before="360"/>
      </w:pPr>
      <w:r>
        <w:rPr>
          <w:color w:val="0066CC"/>
        </w:rPr>
        <w:t>9.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167.44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6,402 titres</w:t>
            </w:r>
          </w:p>
        </w:tc>
        <w:tc>
          <w:tcPr>
            <w:tcW w:type="dxa" w:w="2268"/>
            <w:shd w:fill="FFF2CC" w:val="clear"/>
          </w:tcPr>
          <w:p>
            <w:r>
              <w:rPr>
                <w:b/>
                <w:color w:val="503200"/>
                <w:sz w:val="16"/>
              </w:rPr>
              <w:t xml:space="preserve">Cours actuel : </w:t>
            </w:r>
            <w:r>
              <w:rPr>
                <w:color w:val="000000"/>
                <w:sz w:val="17"/>
              </w:rPr>
              <w:t>6,100 FCFA</w:t>
            </w:r>
          </w:p>
          <w:p>
            <w:r>
              <w:rPr>
                <w:b/>
                <w:color w:val="503200"/>
                <w:sz w:val="16"/>
              </w:rPr>
              <w:t xml:space="preserve">Var. 100 jours : </w:t>
            </w:r>
            <w:r>
              <w:rPr>
                <w:b/>
                <w:color w:val="007800"/>
                <w:sz w:val="17"/>
              </w:rPr>
              <w:t>+24.49%</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43.0%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20.5/100 → Moyen</w:t>
      </w:r>
    </w:p>
    <w:p>
      <w:pPr>
        <w:spacing w:before="40" w:after="80"/>
      </w:pPr>
      <w:r>
        <w:rPr>
          <w:rFonts w:ascii="Courier New" w:hAnsi="Courier New"/>
          <w:color w:val="825A00"/>
          <w:sz w:val="18"/>
        </w:rPr>
        <w:t>████░░░░░░░░░░░░░░░░  20.5/100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13.28% (Moyenne) — μ=5,673 FCFA, σ=754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β=1.3402 (Agressif) — Cov=0.000098, Var(idx)=0.000073, ρ=0.421,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6,402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σ_j=2.71%/j (Stable) — Vol. annualisée≈43.0%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2026-10-13</w:t>
            </w:r>
          </w:p>
        </w:tc>
        <w:tc>
          <w:tcPr>
            <w:tcW w:type="dxa" w:w="1440"/>
            <w:shd w:fill="FAFAFA" w:val="clear"/>
          </w:tcPr>
          <w:p>
            <w:r>
              <w:rPr>
                <w:sz w:val="17"/>
              </w:rPr>
              <w:t>5,703</w:t>
            </w:r>
          </w:p>
        </w:tc>
        <w:tc>
          <w:tcPr>
            <w:tcW w:type="dxa" w:w="1440"/>
            <w:shd w:fill="FAFAFA" w:val="clear"/>
          </w:tcPr>
          <w:p>
            <w:r>
              <w:rPr>
                <w:b/>
                <w:sz w:val="17"/>
              </w:rPr>
              <w:t>6,039</w:t>
            </w:r>
          </w:p>
        </w:tc>
        <w:tc>
          <w:tcPr>
            <w:tcW w:type="dxa" w:w="1440"/>
            <w:shd w:fill="FAFAFA" w:val="clear"/>
          </w:tcPr>
          <w:p>
            <w:r>
              <w:rPr>
                <w:sz w:val="17"/>
              </w:rPr>
              <w:t>6,375</w:t>
            </w:r>
          </w:p>
        </w:tc>
        <w:tc>
          <w:tcPr>
            <w:tcW w:type="dxa" w:w="1440"/>
            <w:shd w:fill="FAFAFA" w:val="clear"/>
          </w:tcPr>
          <w:p>
            <w:r>
              <w:rPr>
                <w:b/>
                <w:color w:val="C00000"/>
                <w:sz w:val="17"/>
              </w:rPr>
              <w:t>-1.0%</w:t>
            </w:r>
          </w:p>
        </w:tc>
      </w:tr>
      <w:tr>
        <w:tc>
          <w:tcPr>
            <w:tcW w:type="dxa" w:w="1440"/>
            <w:shd w:fill="FFDCE0" w:val="clear"/>
          </w:tcPr>
          <w:p>
            <w:r>
              <w:rPr>
                <w:sz w:val="17"/>
              </w:rPr>
              <w:t>J+2  Moyenne</w:t>
            </w:r>
          </w:p>
        </w:tc>
        <w:tc>
          <w:tcPr>
            <w:tcW w:type="dxa" w:w="1440"/>
            <w:shd w:fill="FFDCE0" w:val="clear"/>
          </w:tcPr>
          <w:p>
            <w:r>
              <w:rPr>
                <w:sz w:val="17"/>
              </w:rPr>
              <w:t>2026-10-14</w:t>
            </w:r>
          </w:p>
        </w:tc>
        <w:tc>
          <w:tcPr>
            <w:tcW w:type="dxa" w:w="1440"/>
            <w:shd w:fill="FFDCE0" w:val="clear"/>
          </w:tcPr>
          <w:p>
            <w:r>
              <w:rPr>
                <w:sz w:val="17"/>
              </w:rPr>
              <w:t>5,491</w:t>
            </w:r>
          </w:p>
        </w:tc>
        <w:tc>
          <w:tcPr>
            <w:tcW w:type="dxa" w:w="1440"/>
            <w:shd w:fill="FFDCE0" w:val="clear"/>
          </w:tcPr>
          <w:p>
            <w:r>
              <w:rPr>
                <w:b/>
                <w:sz w:val="17"/>
              </w:rPr>
              <w:t>5,959</w:t>
            </w:r>
          </w:p>
        </w:tc>
        <w:tc>
          <w:tcPr>
            <w:tcW w:type="dxa" w:w="1440"/>
            <w:shd w:fill="FFDCE0" w:val="clear"/>
          </w:tcPr>
          <w:p>
            <w:r>
              <w:rPr>
                <w:sz w:val="17"/>
              </w:rPr>
              <w:t>6,428</w:t>
            </w:r>
          </w:p>
        </w:tc>
        <w:tc>
          <w:tcPr>
            <w:tcW w:type="dxa" w:w="1440"/>
            <w:shd w:fill="FFDCE0" w:val="clear"/>
          </w:tcPr>
          <w:p>
            <w:r>
              <w:rPr>
                <w:b/>
                <w:color w:val="C00000"/>
                <w:sz w:val="17"/>
              </w:rPr>
              <w:t>-2.3%</w:t>
            </w:r>
          </w:p>
        </w:tc>
      </w:tr>
      <w:tr>
        <w:tc>
          <w:tcPr>
            <w:tcW w:type="dxa" w:w="1440"/>
            <w:shd w:fill="FFDCE0" w:val="clear"/>
          </w:tcPr>
          <w:p>
            <w:r>
              <w:rPr>
                <w:sz w:val="17"/>
              </w:rPr>
              <w:t>J+3  Moyenne</w:t>
            </w:r>
          </w:p>
        </w:tc>
        <w:tc>
          <w:tcPr>
            <w:tcW w:type="dxa" w:w="1440"/>
            <w:shd w:fill="FFDCE0" w:val="clear"/>
          </w:tcPr>
          <w:p>
            <w:r>
              <w:rPr>
                <w:sz w:val="17"/>
              </w:rPr>
              <w:t>2026-10-15</w:t>
            </w:r>
          </w:p>
        </w:tc>
        <w:tc>
          <w:tcPr>
            <w:tcW w:type="dxa" w:w="1440"/>
            <w:shd w:fill="FFDCE0" w:val="clear"/>
          </w:tcPr>
          <w:p>
            <w:r>
              <w:rPr>
                <w:sz w:val="17"/>
              </w:rPr>
              <w:t>5,317</w:t>
            </w:r>
          </w:p>
        </w:tc>
        <w:tc>
          <w:tcPr>
            <w:tcW w:type="dxa" w:w="1440"/>
            <w:shd w:fill="FFDCE0" w:val="clear"/>
          </w:tcPr>
          <w:p>
            <w:r>
              <w:rPr>
                <w:b/>
                <w:sz w:val="17"/>
              </w:rPr>
              <w:t>5,883</w:t>
            </w:r>
          </w:p>
        </w:tc>
        <w:tc>
          <w:tcPr>
            <w:tcW w:type="dxa" w:w="1440"/>
            <w:shd w:fill="FFDCE0" w:val="clear"/>
          </w:tcPr>
          <w:p>
            <w:r>
              <w:rPr>
                <w:sz w:val="17"/>
              </w:rPr>
              <w:t>6,450</w:t>
            </w:r>
          </w:p>
        </w:tc>
        <w:tc>
          <w:tcPr>
            <w:tcW w:type="dxa" w:w="1440"/>
            <w:shd w:fill="FFDCE0" w:val="clear"/>
          </w:tcPr>
          <w:p>
            <w:r>
              <w:rPr>
                <w:b/>
                <w:color w:val="C00000"/>
                <w:sz w:val="17"/>
              </w:rPr>
              <w:t>-3.6%</w:t>
            </w:r>
          </w:p>
        </w:tc>
      </w:tr>
      <w:tr>
        <w:tc>
          <w:tcPr>
            <w:tcW w:type="dxa" w:w="1440"/>
            <w:shd w:fill="FFDCE0" w:val="clear"/>
          </w:tcPr>
          <w:p>
            <w:r>
              <w:rPr>
                <w:sz w:val="17"/>
              </w:rPr>
              <w:t>J+4  ⭐</w:t>
            </w:r>
          </w:p>
        </w:tc>
        <w:tc>
          <w:tcPr>
            <w:tcW w:type="dxa" w:w="1440"/>
            <w:shd w:fill="FFDCE0" w:val="clear"/>
          </w:tcPr>
          <w:p>
            <w:r>
              <w:rPr>
                <w:sz w:val="17"/>
              </w:rPr>
              <w:t>2026-10-16</w:t>
            </w:r>
          </w:p>
        </w:tc>
        <w:tc>
          <w:tcPr>
            <w:tcW w:type="dxa" w:w="1440"/>
            <w:shd w:fill="FFDCE0" w:val="clear"/>
          </w:tcPr>
          <w:p>
            <w:r>
              <w:rPr>
                <w:sz w:val="17"/>
              </w:rPr>
              <w:t>5,169</w:t>
            </w:r>
          </w:p>
        </w:tc>
        <w:tc>
          <w:tcPr>
            <w:tcW w:type="dxa" w:w="1440"/>
            <w:shd w:fill="FFDCE0" w:val="clear"/>
          </w:tcPr>
          <w:p>
            <w:r>
              <w:rPr>
                <w:b/>
                <w:sz w:val="17"/>
              </w:rPr>
              <w:t>5,816</w:t>
            </w:r>
          </w:p>
        </w:tc>
        <w:tc>
          <w:tcPr>
            <w:tcW w:type="dxa" w:w="1440"/>
            <w:shd w:fill="FFDCE0" w:val="clear"/>
          </w:tcPr>
          <w:p>
            <w:r>
              <w:rPr>
                <w:sz w:val="17"/>
              </w:rPr>
              <w:t>6,463</w:t>
            </w:r>
          </w:p>
        </w:tc>
        <w:tc>
          <w:tcPr>
            <w:tcW w:type="dxa" w:w="1440"/>
            <w:shd w:fill="FFDCE0" w:val="clear"/>
          </w:tcPr>
          <w:p>
            <w:r>
              <w:rPr>
                <w:b/>
                <w:color w:val="C00000"/>
                <w:sz w:val="17"/>
              </w:rPr>
              <w:t>-4.7%</w:t>
            </w:r>
          </w:p>
        </w:tc>
      </w:tr>
      <w:tr>
        <w:tc>
          <w:tcPr>
            <w:tcW w:type="dxa" w:w="1440"/>
            <w:shd w:fill="FFDCE0" w:val="clear"/>
          </w:tcPr>
          <w:p>
            <w:r>
              <w:rPr>
                <w:sz w:val="17"/>
              </w:rPr>
              <w:t>J+5  ⭐</w:t>
            </w:r>
          </w:p>
        </w:tc>
        <w:tc>
          <w:tcPr>
            <w:tcW w:type="dxa" w:w="1440"/>
            <w:shd w:fill="FFDCE0" w:val="clear"/>
          </w:tcPr>
          <w:p>
            <w:r>
              <w:rPr>
                <w:sz w:val="17"/>
              </w:rPr>
              <w:t>2026-10-19</w:t>
            </w:r>
          </w:p>
        </w:tc>
        <w:tc>
          <w:tcPr>
            <w:tcW w:type="dxa" w:w="1440"/>
            <w:shd w:fill="FFDCE0" w:val="clear"/>
          </w:tcPr>
          <w:p>
            <w:r>
              <w:rPr>
                <w:sz w:val="17"/>
              </w:rPr>
              <w:t>5,041</w:t>
            </w:r>
          </w:p>
        </w:tc>
        <w:tc>
          <w:tcPr>
            <w:tcW w:type="dxa" w:w="1440"/>
            <w:shd w:fill="FFDCE0" w:val="clear"/>
          </w:tcPr>
          <w:p>
            <w:r>
              <w:rPr>
                <w:b/>
                <w:sz w:val="17"/>
              </w:rPr>
              <w:t>5,756</w:t>
            </w:r>
          </w:p>
        </w:tc>
        <w:tc>
          <w:tcPr>
            <w:tcW w:type="dxa" w:w="1440"/>
            <w:shd w:fill="FFDCE0" w:val="clear"/>
          </w:tcPr>
          <w:p>
            <w:r>
              <w:rPr>
                <w:sz w:val="17"/>
              </w:rPr>
              <w:t>6,472</w:t>
            </w:r>
          </w:p>
        </w:tc>
        <w:tc>
          <w:tcPr>
            <w:tcW w:type="dxa" w:w="1440"/>
            <w:shd w:fill="FFDCE0" w:val="clear"/>
          </w:tcPr>
          <w:p>
            <w:r>
              <w:rPr>
                <w:b/>
                <w:color w:val="C00000"/>
                <w:sz w:val="17"/>
              </w:rPr>
              <w:t>-5.6%</w:t>
            </w:r>
          </w:p>
        </w:tc>
      </w:tr>
      <w:tr>
        <w:tc>
          <w:tcPr>
            <w:tcW w:type="dxa" w:w="1440"/>
            <w:shd w:fill="FFDCE0" w:val="clear"/>
          </w:tcPr>
          <w:p>
            <w:r>
              <w:rPr>
                <w:sz w:val="17"/>
              </w:rPr>
              <w:t>J+6  ⭐</w:t>
            </w:r>
          </w:p>
        </w:tc>
        <w:tc>
          <w:tcPr>
            <w:tcW w:type="dxa" w:w="1440"/>
            <w:shd w:fill="FFDCE0" w:val="clear"/>
          </w:tcPr>
          <w:p>
            <w:r>
              <w:rPr>
                <w:sz w:val="17"/>
              </w:rPr>
              <w:t>2026-10-20</w:t>
            </w:r>
          </w:p>
        </w:tc>
        <w:tc>
          <w:tcPr>
            <w:tcW w:type="dxa" w:w="1440"/>
            <w:shd w:fill="FFDCE0" w:val="clear"/>
          </w:tcPr>
          <w:p>
            <w:r>
              <w:rPr>
                <w:sz w:val="17"/>
              </w:rPr>
              <w:t>4,925</w:t>
            </w:r>
          </w:p>
        </w:tc>
        <w:tc>
          <w:tcPr>
            <w:tcW w:type="dxa" w:w="1440"/>
            <w:shd w:fill="FFDCE0" w:val="clear"/>
          </w:tcPr>
          <w:p>
            <w:r>
              <w:rPr>
                <w:b/>
                <w:sz w:val="17"/>
              </w:rPr>
              <w:t>5,701</w:t>
            </w:r>
          </w:p>
        </w:tc>
        <w:tc>
          <w:tcPr>
            <w:tcW w:type="dxa" w:w="1440"/>
            <w:shd w:fill="FFDCE0" w:val="clear"/>
          </w:tcPr>
          <w:p>
            <w:r>
              <w:rPr>
                <w:sz w:val="17"/>
              </w:rPr>
              <w:t>6,478</w:t>
            </w:r>
          </w:p>
        </w:tc>
        <w:tc>
          <w:tcPr>
            <w:tcW w:type="dxa" w:w="1440"/>
            <w:shd w:fill="FFDCE0" w:val="clear"/>
          </w:tcPr>
          <w:p>
            <w:r>
              <w:rPr>
                <w:b/>
                <w:color w:val="C00000"/>
                <w:sz w:val="17"/>
              </w:rPr>
              <w:t>-6.5%</w:t>
            </w:r>
          </w:p>
        </w:tc>
      </w:tr>
      <w:tr>
        <w:tc>
          <w:tcPr>
            <w:tcW w:type="dxa" w:w="1440"/>
            <w:shd w:fill="FFDCE0" w:val="clear"/>
          </w:tcPr>
          <w:p>
            <w:r>
              <w:rPr>
                <w:sz w:val="17"/>
              </w:rPr>
              <w:t>J+7  ⭐</w:t>
            </w:r>
          </w:p>
        </w:tc>
        <w:tc>
          <w:tcPr>
            <w:tcW w:type="dxa" w:w="1440"/>
            <w:shd w:fill="FFDCE0" w:val="clear"/>
          </w:tcPr>
          <w:p>
            <w:r>
              <w:rPr>
                <w:sz w:val="17"/>
              </w:rPr>
              <w:t>2026-10-21</w:t>
            </w:r>
          </w:p>
        </w:tc>
        <w:tc>
          <w:tcPr>
            <w:tcW w:type="dxa" w:w="1440"/>
            <w:shd w:fill="FFDCE0" w:val="clear"/>
          </w:tcPr>
          <w:p>
            <w:r>
              <w:rPr>
                <w:sz w:val="17"/>
              </w:rPr>
              <w:t>4,818</w:t>
            </w:r>
          </w:p>
        </w:tc>
        <w:tc>
          <w:tcPr>
            <w:tcW w:type="dxa" w:w="1440"/>
            <w:shd w:fill="FFDCE0" w:val="clear"/>
          </w:tcPr>
          <w:p>
            <w:r>
              <w:rPr>
                <w:b/>
                <w:sz w:val="17"/>
              </w:rPr>
              <w:t>5,650</w:t>
            </w:r>
          </w:p>
        </w:tc>
        <w:tc>
          <w:tcPr>
            <w:tcW w:type="dxa" w:w="1440"/>
            <w:shd w:fill="FFDCE0" w:val="clear"/>
          </w:tcPr>
          <w:p>
            <w:r>
              <w:rPr>
                <w:sz w:val="17"/>
              </w:rPr>
              <w:t>6,481</w:t>
            </w:r>
          </w:p>
        </w:tc>
        <w:tc>
          <w:tcPr>
            <w:tcW w:type="dxa" w:w="1440"/>
            <w:shd w:fill="FFDCE0" w:val="clear"/>
          </w:tcPr>
          <w:p>
            <w:r>
              <w:rPr>
                <w:b/>
                <w:color w:val="C00000"/>
                <w:sz w:val="17"/>
              </w:rPr>
              <w:t>-7.4%</w:t>
            </w:r>
          </w:p>
        </w:tc>
      </w:tr>
      <w:tr>
        <w:tc>
          <w:tcPr>
            <w:tcW w:type="dxa" w:w="1440"/>
            <w:shd w:fill="FFDCE0" w:val="clear"/>
          </w:tcPr>
          <w:p>
            <w:r>
              <w:rPr>
                <w:sz w:val="17"/>
              </w:rPr>
              <w:t>J+8  ⭐</w:t>
            </w:r>
          </w:p>
        </w:tc>
        <w:tc>
          <w:tcPr>
            <w:tcW w:type="dxa" w:w="1440"/>
            <w:shd w:fill="FFDCE0" w:val="clear"/>
          </w:tcPr>
          <w:p>
            <w:r>
              <w:rPr>
                <w:sz w:val="17"/>
              </w:rPr>
              <w:t>2026-10-22</w:t>
            </w:r>
          </w:p>
        </w:tc>
        <w:tc>
          <w:tcPr>
            <w:tcW w:type="dxa" w:w="1440"/>
            <w:shd w:fill="FFDCE0" w:val="clear"/>
          </w:tcPr>
          <w:p>
            <w:r>
              <w:rPr>
                <w:sz w:val="17"/>
              </w:rPr>
              <w:t>4,720</w:t>
            </w:r>
          </w:p>
        </w:tc>
        <w:tc>
          <w:tcPr>
            <w:tcW w:type="dxa" w:w="1440"/>
            <w:shd w:fill="FFDCE0" w:val="clear"/>
          </w:tcPr>
          <w:p>
            <w:r>
              <w:rPr>
                <w:b/>
                <w:sz w:val="17"/>
              </w:rPr>
              <w:t>5,601</w:t>
            </w:r>
          </w:p>
        </w:tc>
        <w:tc>
          <w:tcPr>
            <w:tcW w:type="dxa" w:w="1440"/>
            <w:shd w:fill="FFDCE0" w:val="clear"/>
          </w:tcPr>
          <w:p>
            <w:r>
              <w:rPr>
                <w:sz w:val="17"/>
              </w:rPr>
              <w:t>6,481</w:t>
            </w:r>
          </w:p>
        </w:tc>
        <w:tc>
          <w:tcPr>
            <w:tcW w:type="dxa" w:w="1440"/>
            <w:shd w:fill="FFDCE0" w:val="clear"/>
          </w:tcPr>
          <w:p>
            <w:r>
              <w:rPr>
                <w:b/>
                <w:color w:val="C00000"/>
                <w:sz w:val="17"/>
              </w:rPr>
              <w:t>-8.2%</w:t>
            </w:r>
          </w:p>
        </w:tc>
      </w:tr>
      <w:tr>
        <w:tc>
          <w:tcPr>
            <w:tcW w:type="dxa" w:w="1440"/>
            <w:shd w:fill="FFDCE0" w:val="clear"/>
          </w:tcPr>
          <w:p>
            <w:r>
              <w:rPr>
                <w:sz w:val="17"/>
              </w:rPr>
              <w:t>J+9  ⭐</w:t>
            </w:r>
          </w:p>
        </w:tc>
        <w:tc>
          <w:tcPr>
            <w:tcW w:type="dxa" w:w="1440"/>
            <w:shd w:fill="FFDCE0" w:val="clear"/>
          </w:tcPr>
          <w:p>
            <w:r>
              <w:rPr>
                <w:sz w:val="17"/>
              </w:rPr>
              <w:t>2026-10-23</w:t>
            </w:r>
          </w:p>
        </w:tc>
        <w:tc>
          <w:tcPr>
            <w:tcW w:type="dxa" w:w="1440"/>
            <w:shd w:fill="FFDCE0" w:val="clear"/>
          </w:tcPr>
          <w:p>
            <w:r>
              <w:rPr>
                <w:sz w:val="17"/>
              </w:rPr>
              <w:t>4,627</w:t>
            </w:r>
          </w:p>
        </w:tc>
        <w:tc>
          <w:tcPr>
            <w:tcW w:type="dxa" w:w="1440"/>
            <w:shd w:fill="FFDCE0" w:val="clear"/>
          </w:tcPr>
          <w:p>
            <w:r>
              <w:rPr>
                <w:b/>
                <w:sz w:val="17"/>
              </w:rPr>
              <w:t>5,554</w:t>
            </w:r>
          </w:p>
        </w:tc>
        <w:tc>
          <w:tcPr>
            <w:tcW w:type="dxa" w:w="1440"/>
            <w:shd w:fill="FFDCE0" w:val="clear"/>
          </w:tcPr>
          <w:p>
            <w:r>
              <w:rPr>
                <w:sz w:val="17"/>
              </w:rPr>
              <w:t>6,481</w:t>
            </w:r>
          </w:p>
        </w:tc>
        <w:tc>
          <w:tcPr>
            <w:tcW w:type="dxa" w:w="1440"/>
            <w:shd w:fill="FFDCE0" w:val="clear"/>
          </w:tcPr>
          <w:p>
            <w:r>
              <w:rPr>
                <w:b/>
                <w:color w:val="C00000"/>
                <w:sz w:val="17"/>
              </w:rPr>
              <w:t>-9.0%</w:t>
            </w:r>
          </w:p>
        </w:tc>
      </w:tr>
      <w:tr>
        <w:tc>
          <w:tcPr>
            <w:tcW w:type="dxa" w:w="1440"/>
            <w:shd w:fill="FFDCE0" w:val="clear"/>
          </w:tcPr>
          <w:p>
            <w:r>
              <w:rPr>
                <w:sz w:val="17"/>
              </w:rPr>
              <w:t>J+10  ⭐</w:t>
            </w:r>
          </w:p>
        </w:tc>
        <w:tc>
          <w:tcPr>
            <w:tcW w:type="dxa" w:w="1440"/>
            <w:shd w:fill="FFDCE0" w:val="clear"/>
          </w:tcPr>
          <w:p>
            <w:r>
              <w:rPr>
                <w:sz w:val="17"/>
              </w:rPr>
              <w:t>2026-10-26</w:t>
            </w:r>
          </w:p>
        </w:tc>
        <w:tc>
          <w:tcPr>
            <w:tcW w:type="dxa" w:w="1440"/>
            <w:shd w:fill="FFDCE0" w:val="clear"/>
          </w:tcPr>
          <w:p>
            <w:r>
              <w:rPr>
                <w:sz w:val="17"/>
              </w:rPr>
              <w:t>4,541</w:t>
            </w:r>
          </w:p>
        </w:tc>
        <w:tc>
          <w:tcPr>
            <w:tcW w:type="dxa" w:w="1440"/>
            <w:shd w:fill="FFDCE0" w:val="clear"/>
          </w:tcPr>
          <w:p>
            <w:r>
              <w:rPr>
                <w:b/>
                <w:sz w:val="17"/>
              </w:rPr>
              <w:t>5,510</w:t>
            </w:r>
          </w:p>
        </w:tc>
        <w:tc>
          <w:tcPr>
            <w:tcW w:type="dxa" w:w="1440"/>
            <w:shd w:fill="FFDCE0" w:val="clear"/>
          </w:tcPr>
          <w:p>
            <w:r>
              <w:rPr>
                <w:sz w:val="17"/>
              </w:rPr>
              <w:t>6,478</w:t>
            </w:r>
          </w:p>
        </w:tc>
        <w:tc>
          <w:tcPr>
            <w:tcW w:type="dxa" w:w="1440"/>
            <w:shd w:fill="FFDCE0" w:val="clear"/>
          </w:tcPr>
          <w:p>
            <w:r>
              <w:rPr>
                <w:b/>
                <w:color w:val="C00000"/>
                <w:sz w:val="17"/>
              </w:rPr>
              <w:t>-9.7%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 RAPPORT D'ANALYSE FINANCIÈRE — BOA MALI (BOAM)</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167,44 milliards FCFA, BOA Mali se positionne comme une valeur de taille intermédiaire sur la BRVM, représentant un poids significatif dans le compartiment bancaire régional. Le BPA de 404 FCFA/action signifie que chaque titre génère près de 404 FCFA de bénéfice net, ce qui, rapporté au cours actuel de 6 100 FCFA, donne un PER de 15,1x — soit un niveau modéré mais supérieur à la moyenne du marché BRVM (généralement située entre 8x et 12x), traduisant une légère prime de qualité accordée par les investisseurs. Le P/B de 3,36x indique que le marché valorise la banque à plus de trois fois sa valeur comptable, ce qui reflète une prime de croissance et de rentabilité (ROE &gt; 22%) mais expose le titre à un risque de correction en cas de déception sur les résultats. Enfin, l'EV/EBITDA de 7,8x, situé dans la fourchette raisonnable de 5-10x, suggère que la valeur d'entreprise reste cohérente avec la capacité opérationnelle de la banque, sans exubérance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BOAM affiche une progression remarquable de **+24,49%**, bien que la dernière séance (J-1) soit restée stable à **+0,00%**, signalant une pause dans le mouvement haussier. Le titre a évolué dans un range large de **4 425 FCFA** (plus bas) à **7 195 FCFA** (plus haut), soit une amplitude de plus de 62%, ce qui témoigne d'une forte volatilité intra-période. La tendance générale est donc nettement haussière, portée par des fondamentaux solides et un intérêt croissant des investisseurs pour le secteur bancaire malien. Les statistiques descriptives révèlent une **moyenne de 5 673 FCFA** très proche de la **médiane de 5 665 FCFA**, confirmant une distribution symétrique (skewness de 0,109) sans biais majeur vers le haut ou le bas. L'**écart-type de 757 FCFA** avec un **coefficient de variation de 13,4%** indique une dispersion modérée autour de la moyenne, tandis que le **kurtosis de -0,977** (mésokurtique) suggère une distribution proche de la normale, sans risque excessif de pics extrêmes. Enfin, la **volatilité annualisée de 43,0%** place BOAM dans la catégorie des titres à volatilité élevée (&gt;30%), ce qui implique un risque significatif mais aussi des opportunités de rendement accrues pour les investisseurs avertis.</w:t>
      </w:r>
    </w:p>
    <w:p>
      <w:pPr>
        <w:spacing w:after="120" w:line="276" w:lineRule="auto"/>
      </w:pPr>
      <w:r>
        <w:t>---</w:t>
      </w:r>
    </w:p>
    <w:p>
      <w:pPr>
        <w:spacing w:after="120" w:line="276" w:lineRule="auto"/>
      </w:pPr>
      <w:r>
        <w:t>## PARTIE 2 : ANALYSE TECHNIQUE DÉTAILLÉE</w:t>
      </w:r>
    </w:p>
    <w:p>
      <w:pPr>
        <w:spacing w:after="120" w:line="276" w:lineRule="auto"/>
      </w:pPr>
      <w:r>
        <w:t>**Moyennes Mobiles** : La MM20 (6 275,25 FCFA) et la MM50 (6 286,50 FCFA) sont toutes deux supérieures au cours actuel de 6 100 FCFA, et leur proximité (écart de seulement 11 FCFA) indique une absence de tendance directionnelle claire à court terme. Le croisement baissier potentiel (MM20 sous MM50) et la position du cours sous les deux moyennes justifient la **décision de Vente** émise par cet indicateur, signalant une pression baissière persistante.</w:t>
      </w:r>
    </w:p>
    <w:p>
      <w:pPr>
        <w:spacing w:after="120" w:line="276" w:lineRule="auto"/>
      </w:pPr>
      <w:r>
        <w:t>**Bandes de Bollinger** : Le cours actuel (6 100 FCFA) se situe dans la partie inférieure de la bande, entre la borne inférieure (5 409,92 FCFA) et la borne supérieure (7 140,58 FCFA), mais plus proche du milieu. Cette position, combinée à une largeur de bande élevée (1 730 FCFA), reflète une volatilité importante sans signal de surachat ou de survente, d'où la **décision Neutre**. Le titre évolue dans une zone d'incertitude où ni les acheteurs ni les vendeurs ne dominent clairement.</w:t>
      </w:r>
    </w:p>
    <w:p>
      <w:pPr>
        <w:spacing w:after="120" w:line="276" w:lineRule="auto"/>
      </w:pPr>
      <w:r>
        <w:t>**MACD** : La valeur du MACD (-92,289) est inférieure à son signal (-71,955), et les deux sont en territoire négatif, confirmant un momentum baissier. L'écart négatif entre les deux lignes (-20,33) indique que la pression vendeuse reste présente, ce qui justifie la **décision de Vente**. Aucun signe de retournement haussier (croisement positif) n'est visible à ce stade.</w:t>
      </w:r>
    </w:p>
    <w:p>
      <w:pPr>
        <w:spacing w:after="120" w:line="276" w:lineRule="auto"/>
      </w:pPr>
      <w:r>
        <w:t>**RSI** : À 47,343, le RSI se situe dans la zone neutre (30-70), sans signal de surachat (&gt;70) ni de survente (&lt;30). Cette valeur médiane reflète un équilibre relatif entre acheteurs et vendeurs, justifiant la **décision Neutre**. Le RSI ne fournit pas d'orientation directionnelle claire dans l'immédiat.</w:t>
      </w:r>
    </w:p>
    <w:p>
      <w:pPr>
        <w:spacing w:after="120" w:line="276" w:lineRule="auto"/>
      </w:pPr>
      <w:r>
        <w:t>**Stochastique** : Le %K (76,829) est supérieur au %D (68,089), et les deux se situent dans la zone haute (&gt;70 pour le %K), ce qui pourrait indiquer une proximité de surachat. Cependant, l'absence de croisement baissier confirmé et la position encore modérée du %D justifient la **décision Neutre**. Une vigilance s'impose car un retournement du %K sous le %D pourrait déclencher un signal de vente.</w:t>
      </w:r>
    </w:p>
    <w:p>
      <w:pPr>
        <w:spacing w:after="120" w:line="276" w:lineRule="auto"/>
      </w:pPr>
      <w:r>
        <w:t>**Conclusion technique** : Les indicateurs techniques présentent un tableau mitigé, avec une majorité de signaux Neutres (Bollinger, RSI, Stochastique) et deux signaux de Vente (Moyennes Mobiles, MACD). Le cours évolue sous ses moyennes mobiles avec un momentum négatif, mais le RSI et le Stochastique ne confirment pas de pression vendeuse excessive. Cette divergence suggère une phase de consolidation ou d'indécision, avec un risque de correction à court terme si le cours ne parvient pas à repasser au-dessus des 6 275-6 286 FCFA (MM20/MM50).</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 Mali affiche un **Produit Net Bancaire (PNB) de 37,996 milliards FCFA**, en croissance de **+5,08%** par rapport à 2024, confirmant la dynamique commerciale de la banque. Le **résultat net s'élève à 11,081 milliards FCFA**, en très forte hausse par rapport aux 9,12 milliards de 2024 (+21,5%), porté par une maîtrise des charges et une réduction du coût du risque. Le **ROE de 22,24%** (excellent, &gt;15%) et le **ROA de 1,87%** témoignent d'une rentabilité solide et d'une utilisation efficace des actifs. Le **coefficient d'exploitation de 63,14%** reste légèrement supérieur au seuil de 60% (banque efficace), mais s'améliore par rapport aux exercices précédents. Le **coût du risque/charges financières de 43,39%** demeure élevé, reflétant un risque de crédit significatif, bien qu'en baisse. La structure financière montre une **autonomie financière de 8,39%** (faible, mais typique des banques) et un **ratio d'endettement de 55,33%**, avec des **dépôts clientèle de 502,89 milliards FCFA** largement supérieurs aux **créances clientèle de 253,65 milliards FCFA**, indiquant une surliquidité et une capacité de transformation maîtrisée.</w:t>
      </w:r>
    </w:p>
    <w:p>
      <w:pPr>
        <w:spacing w:after="120" w:line="276" w:lineRule="auto"/>
      </w:pPr>
      <w:r>
        <w:t>**Estimations basées sur les rapports trimestriels** : Le rapport du **T1 2026 (publié le 31/03/2026)** indique un **PNB de 10,322 milliards FCFA (+22,97% en glissement annuel)**, marquant une accélération notable par rapport à 2025. Le rapport du **S1 2026 (publié le 30/06/2026)** confirme cette tendance avec un **PNB de 21,987 milliards FCFA (+17,5%)**, soit une projection annualisée d'environ **44 milliards FCFA** pour 2026, en hausse de +15,8% par rapport à 2025. Le rapport du **T3 2025 (30/09/2025)** affichait déjà un **résultat net de 9,16 milliards FCFA (+26,2%)** sur neuf mois, laissant présager un exercice 2025 exceptionnel (confirmé par les données annuelles). Les rapports antérieurs (S1 2025, T1 2025) montrent une **résilience remarquable** dans un contexte malien difficile (insécurité, inflation), avec une **baisse du coût du risque de -32,7%** au S1 2025 et une **croissance des dépôts de +11,4%**. La **marge nette de 29,16%** en 2025 (contre 25,2% en 2024) confirme l'amélioration de la profitabilité.</w:t>
      </w:r>
    </w:p>
    <w:p>
      <w:pPr>
        <w:spacing w:after="120" w:line="276" w:lineRule="auto"/>
      </w:pPr>
      <w:r>
        <w:t>**Recommandation fondamentale** : BOA Mali présente des fondamentaux solides, avec une **croissance à deux chiffres du PNB en 2026**, une **rentabilité exceptionnelle (ROE &gt;22%)** et une **gestion prudente des risques**. Les principaux risques restent le **contexte macroéconomique et sécuritaire malien**, la **concentration géographique** et un **coût du risque encore élevé**. La trajectoire est positive, mais la valorisation boursière (PER 15,1x) intègre déjà une partie de ces bonnes performances.</w:t>
      </w:r>
    </w:p>
    <w:p>
      <w:pPr>
        <w:spacing w:after="120" w:line="276" w:lineRule="auto"/>
      </w:pPr>
      <w:r>
        <w:t>---</w:t>
      </w:r>
    </w:p>
    <w:p>
      <w:pPr>
        <w:spacing w:after="120" w:line="276" w:lineRule="auto"/>
      </w:pPr>
      <w:r>
        <w:t>## PARTIE 4 : CONCLUSION D'INVESTISSEMENT</w:t>
      </w:r>
    </w:p>
    <w:p>
      <w:pPr>
        <w:spacing w:after="120" w:line="276" w:lineRule="auto"/>
      </w:pPr>
      <w:r>
        <w:t>La valorisation de BOAM (PER 15,1x, P/B 3,36x, EV/EBITDA 7,8x) indique une **juste valorisation, voire une légère surévaluation** par rapport à la moyenne du marché BRVM, mais elle est soutenue par une rentabilité supérieure (ROE 22,24%). Le comportement du cours sur 100 jours (+24,49%) est haussier, avec une **volatilité élevée (43%)** et une distribution symétrique (skewness 0,109, kurtosis -0,977), ce qui est **favorable pour les investisseurs dynamiques** mais nécessite une gestion rigoureuse du risque. Les **signaux techniques sont majoritairement Neutres à Vendeurs** (MM et MACD baissiers, RSI et Stochastique neutres), suggérant une **phase de consolidation** avant une éventuelle reprise. Les **fondamentaux sont solides** : PNB 2025 de 37,996 milliards FCFA, résultat net de 11,081 milliards FCFA, ROE de 22,24%, et les rapports T1/S1 2026 confirment une **accélération de la croissance (+17,5% à +22,97%)**. Les **prédictions IA (J+1 à J+10)** anticipent une **baisse progressive de 6 039 à 5 756 FCFA (-5,6%)**, ce qui **contredit les fondamentaux mais confirme les signaux techniques baissiers à court terme**.</w:t>
      </w:r>
    </w:p>
    <w:p>
      <w:pPr>
        <w:spacing w:after="120" w:line="276" w:lineRule="auto"/>
      </w:pPr>
      <w:r>
        <w:t>**Recommandation finale** : **CONSERVER** (avec un biais haussier à moyen terme).</w:t>
        <w:br/>
        <w:t>- **Justification** : La convergence entre des fondamentaux solides (croissance du PNB, rentabilité élevée) et une valorisation raisonnable (PER 15,1x) soutient une position de conservation. Cependant, les signaux techniques baissiers et les prédictions IA à court terme incitent à la **prudence à court terme**, avec un potentiel de correction vers 5 756-5 800 FCFA.</w:t>
        <w:br/>
        <w:t>- **Niveau de confiance** : **Moyen** (les fondamentaux sont excellents, mais l'incertitude technique et macroéconomique persiste).</w:t>
        <w:br/>
        <w:t>- **Niveau de risque** : **Élevé** (volatilité de 43%, contexte malien instable, coût du risque élevé).</w:t>
        <w:br/>
        <w:t>- **Horizon d'investissement** : **Moyen terme (3-12 mois)** — idéal pour capturer la croissance des bénéfices tout en laissant passer la phase de consolidation technique actuelle. Un investisseur à long terme (&gt;1 an) pourrait accumuler sur repli vers 5 500-5 700 FCFA.</w:t>
      </w:r>
    </w:p>
    <w:p>
      <w:pPr>
        <w:spacing w:after="120" w:line="276" w:lineRule="auto"/>
      </w:pPr>
      <w:r>
        <w: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10.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93.08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8,936 titres</w:t>
            </w:r>
          </w:p>
        </w:tc>
        <w:tc>
          <w:tcPr>
            <w:tcW w:type="dxa" w:w="2268"/>
            <w:shd w:fill="FFF2CC" w:val="clear"/>
          </w:tcPr>
          <w:p>
            <w:r>
              <w:rPr>
                <w:b/>
                <w:color w:val="503200"/>
                <w:sz w:val="16"/>
              </w:rPr>
              <w:t xml:space="preserve">Cours actuel : </w:t>
            </w:r>
            <w:r>
              <w:rPr>
                <w:color w:val="000000"/>
                <w:sz w:val="17"/>
              </w:rPr>
              <w:t>4,475 FCFA</w:t>
            </w:r>
          </w:p>
          <w:p>
            <w:r>
              <w:rPr>
                <w:b/>
                <w:color w:val="503200"/>
                <w:sz w:val="16"/>
              </w:rPr>
              <w:t xml:space="preserve">Var. 100 jours : </w:t>
            </w:r>
            <w:r>
              <w:rPr>
                <w:b/>
                <w:color w:val="007800"/>
                <w:sz w:val="17"/>
              </w:rPr>
              <w:t>+28.96%</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3,470 FCFA</w:t>
            </w:r>
          </w:p>
          <w:p>
            <w:r>
              <w:rPr>
                <w:b/>
                <w:color w:val="503200"/>
                <w:sz w:val="16"/>
              </w:rPr>
              <w:t xml:space="preserve">Volatilité ann. : </w:t>
            </w:r>
            <w:r>
              <w:rPr>
                <w:color w:val="000000"/>
                <w:sz w:val="17"/>
              </w:rPr>
              <w:t>43.5%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14.41% (Moyenne) — μ=4,733 FCFA, σ=682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β=1.3664 (Agressif) — Cov=0.000100, Var(idx)=0.000073, ρ=0.439,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8,936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σ_j=2.74%/j (Stable) — Vol. annualisée≈43.5%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2026-10-13</w:t>
            </w:r>
          </w:p>
        </w:tc>
        <w:tc>
          <w:tcPr>
            <w:tcW w:type="dxa" w:w="1440"/>
            <w:shd w:fill="C6EFCE" w:val="clear"/>
          </w:tcPr>
          <w:p>
            <w:r>
              <w:rPr>
                <w:sz w:val="17"/>
              </w:rPr>
              <w:t>4,416</w:t>
            </w:r>
          </w:p>
        </w:tc>
        <w:tc>
          <w:tcPr>
            <w:tcW w:type="dxa" w:w="1440"/>
            <w:shd w:fill="C6EFCE" w:val="clear"/>
          </w:tcPr>
          <w:p>
            <w:r>
              <w:rPr>
                <w:b/>
                <w:sz w:val="17"/>
              </w:rPr>
              <w:t>4,677</w:t>
            </w:r>
          </w:p>
        </w:tc>
        <w:tc>
          <w:tcPr>
            <w:tcW w:type="dxa" w:w="1440"/>
            <w:shd w:fill="C6EFCE" w:val="clear"/>
          </w:tcPr>
          <w:p>
            <w:r>
              <w:rPr>
                <w:sz w:val="17"/>
              </w:rPr>
              <w:t>4,938</w:t>
            </w:r>
          </w:p>
        </w:tc>
        <w:tc>
          <w:tcPr>
            <w:tcW w:type="dxa" w:w="1440"/>
            <w:shd w:fill="C6EFCE" w:val="clear"/>
          </w:tcPr>
          <w:p>
            <w:r>
              <w:rPr>
                <w:b/>
                <w:color w:val="008000"/>
                <w:sz w:val="17"/>
              </w:rPr>
              <w:t>+4.5%</w:t>
            </w:r>
          </w:p>
        </w:tc>
      </w:tr>
      <w:tr>
        <w:tc>
          <w:tcPr>
            <w:tcW w:type="dxa" w:w="1440"/>
            <w:shd w:fill="C6EFCE" w:val="clear"/>
          </w:tcPr>
          <w:p>
            <w:r>
              <w:rPr>
                <w:sz w:val="17"/>
              </w:rPr>
              <w:t>J+2  ⭐</w:t>
            </w:r>
          </w:p>
        </w:tc>
        <w:tc>
          <w:tcPr>
            <w:tcW w:type="dxa" w:w="1440"/>
            <w:shd w:fill="C6EFCE" w:val="clear"/>
          </w:tcPr>
          <w:p>
            <w:r>
              <w:rPr>
                <w:sz w:val="17"/>
              </w:rPr>
              <w:t>2026-10-14</w:t>
            </w:r>
          </w:p>
        </w:tc>
        <w:tc>
          <w:tcPr>
            <w:tcW w:type="dxa" w:w="1440"/>
            <w:shd w:fill="C6EFCE" w:val="clear"/>
          </w:tcPr>
          <w:p>
            <w:r>
              <w:rPr>
                <w:sz w:val="17"/>
              </w:rPr>
              <w:t>4,294</w:t>
            </w:r>
          </w:p>
        </w:tc>
        <w:tc>
          <w:tcPr>
            <w:tcW w:type="dxa" w:w="1440"/>
            <w:shd w:fill="C6EFCE" w:val="clear"/>
          </w:tcPr>
          <w:p>
            <w:r>
              <w:rPr>
                <w:b/>
                <w:sz w:val="17"/>
              </w:rPr>
              <w:t>4,662</w:t>
            </w:r>
          </w:p>
        </w:tc>
        <w:tc>
          <w:tcPr>
            <w:tcW w:type="dxa" w:w="1440"/>
            <w:shd w:fill="C6EFCE" w:val="clear"/>
          </w:tcPr>
          <w:p>
            <w:r>
              <w:rPr>
                <w:sz w:val="17"/>
              </w:rPr>
              <w:t>5,030</w:t>
            </w:r>
          </w:p>
        </w:tc>
        <w:tc>
          <w:tcPr>
            <w:tcW w:type="dxa" w:w="1440"/>
            <w:shd w:fill="C6EFCE" w:val="clear"/>
          </w:tcPr>
          <w:p>
            <w:r>
              <w:rPr>
                <w:b/>
                <w:color w:val="008000"/>
                <w:sz w:val="17"/>
              </w:rPr>
              <w:t>+4.2%</w:t>
            </w:r>
          </w:p>
        </w:tc>
      </w:tr>
      <w:tr>
        <w:tc>
          <w:tcPr>
            <w:tcW w:type="dxa" w:w="1440"/>
            <w:shd w:fill="C6EFCE" w:val="clear"/>
          </w:tcPr>
          <w:p>
            <w:r>
              <w:rPr>
                <w:sz w:val="17"/>
              </w:rPr>
              <w:t>J+3  ⭐</w:t>
            </w:r>
          </w:p>
        </w:tc>
        <w:tc>
          <w:tcPr>
            <w:tcW w:type="dxa" w:w="1440"/>
            <w:shd w:fill="C6EFCE" w:val="clear"/>
          </w:tcPr>
          <w:p>
            <w:r>
              <w:rPr>
                <w:sz w:val="17"/>
              </w:rPr>
              <w:t>2026-10-15</w:t>
            </w:r>
          </w:p>
        </w:tc>
        <w:tc>
          <w:tcPr>
            <w:tcW w:type="dxa" w:w="1440"/>
            <w:shd w:fill="C6EFCE" w:val="clear"/>
          </w:tcPr>
          <w:p>
            <w:r>
              <w:rPr>
                <w:sz w:val="17"/>
              </w:rPr>
              <w:t>4,228</w:t>
            </w:r>
          </w:p>
        </w:tc>
        <w:tc>
          <w:tcPr>
            <w:tcW w:type="dxa" w:w="1440"/>
            <w:shd w:fill="C6EFCE" w:val="clear"/>
          </w:tcPr>
          <w:p>
            <w:r>
              <w:rPr>
                <w:b/>
                <w:sz w:val="17"/>
              </w:rPr>
              <w:t>4,681</w:t>
            </w:r>
          </w:p>
        </w:tc>
        <w:tc>
          <w:tcPr>
            <w:tcW w:type="dxa" w:w="1440"/>
            <w:shd w:fill="C6EFCE" w:val="clear"/>
          </w:tcPr>
          <w:p>
            <w:r>
              <w:rPr>
                <w:sz w:val="17"/>
              </w:rPr>
              <w:t>5,134</w:t>
            </w:r>
          </w:p>
        </w:tc>
        <w:tc>
          <w:tcPr>
            <w:tcW w:type="dxa" w:w="1440"/>
            <w:shd w:fill="C6EFCE" w:val="clear"/>
          </w:tcPr>
          <w:p>
            <w:r>
              <w:rPr>
                <w:b/>
                <w:color w:val="008000"/>
                <w:sz w:val="17"/>
              </w:rPr>
              <w:t>+4.6%</w:t>
            </w:r>
          </w:p>
        </w:tc>
      </w:tr>
      <w:tr>
        <w:tc>
          <w:tcPr>
            <w:tcW w:type="dxa" w:w="1440"/>
            <w:shd w:fill="C6EFCE" w:val="clear"/>
          </w:tcPr>
          <w:p>
            <w:r>
              <w:rPr>
                <w:sz w:val="17"/>
              </w:rPr>
              <w:t>J+4  ⭐</w:t>
            </w:r>
          </w:p>
        </w:tc>
        <w:tc>
          <w:tcPr>
            <w:tcW w:type="dxa" w:w="1440"/>
            <w:shd w:fill="C6EFCE" w:val="clear"/>
          </w:tcPr>
          <w:p>
            <w:r>
              <w:rPr>
                <w:sz w:val="17"/>
              </w:rPr>
              <w:t>2026-10-16</w:t>
            </w:r>
          </w:p>
        </w:tc>
        <w:tc>
          <w:tcPr>
            <w:tcW w:type="dxa" w:w="1440"/>
            <w:shd w:fill="C6EFCE" w:val="clear"/>
          </w:tcPr>
          <w:p>
            <w:r>
              <w:rPr>
                <w:sz w:val="17"/>
              </w:rPr>
              <w:t>4,180</w:t>
            </w:r>
          </w:p>
        </w:tc>
        <w:tc>
          <w:tcPr>
            <w:tcW w:type="dxa" w:w="1440"/>
            <w:shd w:fill="C6EFCE" w:val="clear"/>
          </w:tcPr>
          <w:p>
            <w:r>
              <w:rPr>
                <w:b/>
                <w:sz w:val="17"/>
              </w:rPr>
              <w:t>4,705</w:t>
            </w:r>
          </w:p>
        </w:tc>
        <w:tc>
          <w:tcPr>
            <w:tcW w:type="dxa" w:w="1440"/>
            <w:shd w:fill="C6EFCE" w:val="clear"/>
          </w:tcPr>
          <w:p>
            <w:r>
              <w:rPr>
                <w:sz w:val="17"/>
              </w:rPr>
              <w:t>5,231</w:t>
            </w:r>
          </w:p>
        </w:tc>
        <w:tc>
          <w:tcPr>
            <w:tcW w:type="dxa" w:w="1440"/>
            <w:shd w:fill="C6EFCE" w:val="clear"/>
          </w:tcPr>
          <w:p>
            <w:r>
              <w:rPr>
                <w:b/>
                <w:color w:val="008000"/>
                <w:sz w:val="17"/>
              </w:rPr>
              <w:t>+5.1%</w:t>
            </w:r>
          </w:p>
        </w:tc>
      </w:tr>
      <w:tr>
        <w:tc>
          <w:tcPr>
            <w:tcW w:type="dxa" w:w="1440"/>
            <w:shd w:fill="C6EFCE" w:val="clear"/>
          </w:tcPr>
          <w:p>
            <w:r>
              <w:rPr>
                <w:sz w:val="17"/>
              </w:rPr>
              <w:t>J+5  ⭐</w:t>
            </w:r>
          </w:p>
        </w:tc>
        <w:tc>
          <w:tcPr>
            <w:tcW w:type="dxa" w:w="1440"/>
            <w:shd w:fill="C6EFCE" w:val="clear"/>
          </w:tcPr>
          <w:p>
            <w:r>
              <w:rPr>
                <w:sz w:val="17"/>
              </w:rPr>
              <w:t>2026-10-19</w:t>
            </w:r>
          </w:p>
        </w:tc>
        <w:tc>
          <w:tcPr>
            <w:tcW w:type="dxa" w:w="1440"/>
            <w:shd w:fill="C6EFCE" w:val="clear"/>
          </w:tcPr>
          <w:p>
            <w:r>
              <w:rPr>
                <w:sz w:val="17"/>
              </w:rPr>
              <w:t>4,139</w:t>
            </w:r>
          </w:p>
        </w:tc>
        <w:tc>
          <w:tcPr>
            <w:tcW w:type="dxa" w:w="1440"/>
            <w:shd w:fill="C6EFCE" w:val="clear"/>
          </w:tcPr>
          <w:p>
            <w:r>
              <w:rPr>
                <w:b/>
                <w:sz w:val="17"/>
              </w:rPr>
              <w:t>4,730</w:t>
            </w:r>
          </w:p>
        </w:tc>
        <w:tc>
          <w:tcPr>
            <w:tcW w:type="dxa" w:w="1440"/>
            <w:shd w:fill="C6EFCE" w:val="clear"/>
          </w:tcPr>
          <w:p>
            <w:r>
              <w:rPr>
                <w:sz w:val="17"/>
              </w:rPr>
              <w:t>5,320</w:t>
            </w:r>
          </w:p>
        </w:tc>
        <w:tc>
          <w:tcPr>
            <w:tcW w:type="dxa" w:w="1440"/>
            <w:shd w:fill="C6EFCE" w:val="clear"/>
          </w:tcPr>
          <w:p>
            <w:r>
              <w:rPr>
                <w:b/>
                <w:color w:val="008000"/>
                <w:sz w:val="17"/>
              </w:rPr>
              <w:t>+5.7%</w:t>
            </w:r>
          </w:p>
        </w:tc>
      </w:tr>
      <w:tr>
        <w:tc>
          <w:tcPr>
            <w:tcW w:type="dxa" w:w="1440"/>
            <w:shd w:fill="C6EFCE" w:val="clear"/>
          </w:tcPr>
          <w:p>
            <w:r>
              <w:rPr>
                <w:sz w:val="17"/>
              </w:rPr>
              <w:t>J+6  ⭐</w:t>
            </w:r>
          </w:p>
        </w:tc>
        <w:tc>
          <w:tcPr>
            <w:tcW w:type="dxa" w:w="1440"/>
            <w:shd w:fill="C6EFCE" w:val="clear"/>
          </w:tcPr>
          <w:p>
            <w:r>
              <w:rPr>
                <w:sz w:val="17"/>
              </w:rPr>
              <w:t>2026-10-20</w:t>
            </w:r>
          </w:p>
        </w:tc>
        <w:tc>
          <w:tcPr>
            <w:tcW w:type="dxa" w:w="1440"/>
            <w:shd w:fill="C6EFCE" w:val="clear"/>
          </w:tcPr>
          <w:p>
            <w:r>
              <w:rPr>
                <w:sz w:val="17"/>
              </w:rPr>
              <w:t>4,103</w:t>
            </w:r>
          </w:p>
        </w:tc>
        <w:tc>
          <w:tcPr>
            <w:tcW w:type="dxa" w:w="1440"/>
            <w:shd w:fill="C6EFCE" w:val="clear"/>
          </w:tcPr>
          <w:p>
            <w:r>
              <w:rPr>
                <w:b/>
                <w:sz w:val="17"/>
              </w:rPr>
              <w:t>4,754</w:t>
            </w:r>
          </w:p>
        </w:tc>
        <w:tc>
          <w:tcPr>
            <w:tcW w:type="dxa" w:w="1440"/>
            <w:shd w:fill="C6EFCE" w:val="clear"/>
          </w:tcPr>
          <w:p>
            <w:r>
              <w:rPr>
                <w:sz w:val="17"/>
              </w:rPr>
              <w:t>5,404</w:t>
            </w:r>
          </w:p>
        </w:tc>
        <w:tc>
          <w:tcPr>
            <w:tcW w:type="dxa" w:w="1440"/>
            <w:shd w:fill="C6EFCE" w:val="clear"/>
          </w:tcPr>
          <w:p>
            <w:r>
              <w:rPr>
                <w:b/>
                <w:color w:val="008000"/>
                <w:sz w:val="17"/>
              </w:rPr>
              <w:t>+6.2%</w:t>
            </w:r>
          </w:p>
        </w:tc>
      </w:tr>
      <w:tr>
        <w:tc>
          <w:tcPr>
            <w:tcW w:type="dxa" w:w="1440"/>
            <w:shd w:fill="C6EFCE" w:val="clear"/>
          </w:tcPr>
          <w:p>
            <w:r>
              <w:rPr>
                <w:sz w:val="17"/>
              </w:rPr>
              <w:t>J+7  ⭐</w:t>
            </w:r>
          </w:p>
        </w:tc>
        <w:tc>
          <w:tcPr>
            <w:tcW w:type="dxa" w:w="1440"/>
            <w:shd w:fill="C6EFCE" w:val="clear"/>
          </w:tcPr>
          <w:p>
            <w:r>
              <w:rPr>
                <w:sz w:val="17"/>
              </w:rPr>
              <w:t>2026-10-21</w:t>
            </w:r>
          </w:p>
        </w:tc>
        <w:tc>
          <w:tcPr>
            <w:tcW w:type="dxa" w:w="1440"/>
            <w:shd w:fill="C6EFCE" w:val="clear"/>
          </w:tcPr>
          <w:p>
            <w:r>
              <w:rPr>
                <w:sz w:val="17"/>
              </w:rPr>
              <w:t>4,072</w:t>
            </w:r>
          </w:p>
        </w:tc>
        <w:tc>
          <w:tcPr>
            <w:tcW w:type="dxa" w:w="1440"/>
            <w:shd w:fill="C6EFCE" w:val="clear"/>
          </w:tcPr>
          <w:p>
            <w:r>
              <w:rPr>
                <w:b/>
                <w:sz w:val="17"/>
              </w:rPr>
              <w:t>4,777</w:t>
            </w:r>
          </w:p>
        </w:tc>
        <w:tc>
          <w:tcPr>
            <w:tcW w:type="dxa" w:w="1440"/>
            <w:shd w:fill="C6EFCE" w:val="clear"/>
          </w:tcPr>
          <w:p>
            <w:r>
              <w:rPr>
                <w:sz w:val="17"/>
              </w:rPr>
              <w:t>5,483</w:t>
            </w:r>
          </w:p>
        </w:tc>
        <w:tc>
          <w:tcPr>
            <w:tcW w:type="dxa" w:w="1440"/>
            <w:shd w:fill="C6EFCE" w:val="clear"/>
          </w:tcPr>
          <w:p>
            <w:r>
              <w:rPr>
                <w:b/>
                <w:color w:val="008000"/>
                <w:sz w:val="17"/>
              </w:rPr>
              <w:t>+6.8%</w:t>
            </w:r>
          </w:p>
        </w:tc>
      </w:tr>
      <w:tr>
        <w:tc>
          <w:tcPr>
            <w:tcW w:type="dxa" w:w="1440"/>
            <w:shd w:fill="C6EFCE" w:val="clear"/>
          </w:tcPr>
          <w:p>
            <w:r>
              <w:rPr>
                <w:sz w:val="17"/>
              </w:rPr>
              <w:t>J+8  ⭐</w:t>
            </w:r>
          </w:p>
        </w:tc>
        <w:tc>
          <w:tcPr>
            <w:tcW w:type="dxa" w:w="1440"/>
            <w:shd w:fill="C6EFCE" w:val="clear"/>
          </w:tcPr>
          <w:p>
            <w:r>
              <w:rPr>
                <w:sz w:val="17"/>
              </w:rPr>
              <w:t>2026-10-22</w:t>
            </w:r>
          </w:p>
        </w:tc>
        <w:tc>
          <w:tcPr>
            <w:tcW w:type="dxa" w:w="1440"/>
            <w:shd w:fill="C6EFCE" w:val="clear"/>
          </w:tcPr>
          <w:p>
            <w:r>
              <w:rPr>
                <w:sz w:val="17"/>
              </w:rPr>
              <w:t>4,043</w:t>
            </w:r>
          </w:p>
        </w:tc>
        <w:tc>
          <w:tcPr>
            <w:tcW w:type="dxa" w:w="1440"/>
            <w:shd w:fill="C6EFCE" w:val="clear"/>
          </w:tcPr>
          <w:p>
            <w:r>
              <w:rPr>
                <w:b/>
                <w:sz w:val="17"/>
              </w:rPr>
              <w:t>4,801</w:t>
            </w:r>
          </w:p>
        </w:tc>
        <w:tc>
          <w:tcPr>
            <w:tcW w:type="dxa" w:w="1440"/>
            <w:shd w:fill="C6EFCE" w:val="clear"/>
          </w:tcPr>
          <w:p>
            <w:r>
              <w:rPr>
                <w:sz w:val="17"/>
              </w:rPr>
              <w:t>5,559</w:t>
            </w:r>
          </w:p>
        </w:tc>
        <w:tc>
          <w:tcPr>
            <w:tcW w:type="dxa" w:w="1440"/>
            <w:shd w:fill="C6EFCE" w:val="clear"/>
          </w:tcPr>
          <w:p>
            <w:r>
              <w:rPr>
                <w:b/>
                <w:color w:val="008000"/>
                <w:sz w:val="17"/>
              </w:rPr>
              <w:t>+7.3%</w:t>
            </w:r>
          </w:p>
        </w:tc>
      </w:tr>
      <w:tr>
        <w:tc>
          <w:tcPr>
            <w:tcW w:type="dxa" w:w="1440"/>
            <w:shd w:fill="C6EFCE" w:val="clear"/>
          </w:tcPr>
          <w:p>
            <w:r>
              <w:rPr>
                <w:sz w:val="17"/>
              </w:rPr>
              <w:t>J+9  ⭐</w:t>
            </w:r>
          </w:p>
        </w:tc>
        <w:tc>
          <w:tcPr>
            <w:tcW w:type="dxa" w:w="1440"/>
            <w:shd w:fill="C6EFCE" w:val="clear"/>
          </w:tcPr>
          <w:p>
            <w:r>
              <w:rPr>
                <w:sz w:val="17"/>
              </w:rPr>
              <w:t>2026-10-23</w:t>
            </w:r>
          </w:p>
        </w:tc>
        <w:tc>
          <w:tcPr>
            <w:tcW w:type="dxa" w:w="1440"/>
            <w:shd w:fill="C6EFCE" w:val="clear"/>
          </w:tcPr>
          <w:p>
            <w:r>
              <w:rPr>
                <w:sz w:val="17"/>
              </w:rPr>
              <w:t>4,017</w:t>
            </w:r>
          </w:p>
        </w:tc>
        <w:tc>
          <w:tcPr>
            <w:tcW w:type="dxa" w:w="1440"/>
            <w:shd w:fill="C6EFCE" w:val="clear"/>
          </w:tcPr>
          <w:p>
            <w:r>
              <w:rPr>
                <w:b/>
                <w:sz w:val="17"/>
              </w:rPr>
              <w:t>4,825</w:t>
            </w:r>
          </w:p>
        </w:tc>
        <w:tc>
          <w:tcPr>
            <w:tcW w:type="dxa" w:w="1440"/>
            <w:shd w:fill="C6EFCE" w:val="clear"/>
          </w:tcPr>
          <w:p>
            <w:r>
              <w:rPr>
                <w:sz w:val="17"/>
              </w:rPr>
              <w:t>5,633</w:t>
            </w:r>
          </w:p>
        </w:tc>
        <w:tc>
          <w:tcPr>
            <w:tcW w:type="dxa" w:w="1440"/>
            <w:shd w:fill="C6EFCE" w:val="clear"/>
          </w:tcPr>
          <w:p>
            <w:r>
              <w:rPr>
                <w:b/>
                <w:color w:val="008000"/>
                <w:sz w:val="17"/>
              </w:rPr>
              <w:t>+7.8%</w:t>
            </w:r>
          </w:p>
        </w:tc>
      </w:tr>
      <w:tr>
        <w:tc>
          <w:tcPr>
            <w:tcW w:type="dxa" w:w="1440"/>
            <w:shd w:fill="C6EFCE" w:val="clear"/>
          </w:tcPr>
          <w:p>
            <w:r>
              <w:rPr>
                <w:sz w:val="17"/>
              </w:rPr>
              <w:t>J+10  ⭐</w:t>
            </w:r>
          </w:p>
        </w:tc>
        <w:tc>
          <w:tcPr>
            <w:tcW w:type="dxa" w:w="1440"/>
            <w:shd w:fill="C6EFCE" w:val="clear"/>
          </w:tcPr>
          <w:p>
            <w:r>
              <w:rPr>
                <w:sz w:val="17"/>
              </w:rPr>
              <w:t>2026-10-26</w:t>
            </w:r>
          </w:p>
        </w:tc>
        <w:tc>
          <w:tcPr>
            <w:tcW w:type="dxa" w:w="1440"/>
            <w:shd w:fill="C6EFCE" w:val="clear"/>
          </w:tcPr>
          <w:p>
            <w:r>
              <w:rPr>
                <w:sz w:val="17"/>
              </w:rPr>
              <w:t>3,992</w:t>
            </w:r>
          </w:p>
        </w:tc>
        <w:tc>
          <w:tcPr>
            <w:tcW w:type="dxa" w:w="1440"/>
            <w:shd w:fill="C6EFCE" w:val="clear"/>
          </w:tcPr>
          <w:p>
            <w:r>
              <w:rPr>
                <w:b/>
                <w:sz w:val="17"/>
              </w:rPr>
              <w:t>4,848</w:t>
            </w:r>
          </w:p>
        </w:tc>
        <w:tc>
          <w:tcPr>
            <w:tcW w:type="dxa" w:w="1440"/>
            <w:shd w:fill="C6EFCE" w:val="clear"/>
          </w:tcPr>
          <w:p>
            <w:r>
              <w:rPr>
                <w:sz w:val="17"/>
              </w:rPr>
              <w:t>5,704</w:t>
            </w:r>
          </w:p>
        </w:tc>
        <w:tc>
          <w:tcPr>
            <w:tcW w:type="dxa" w:w="1440"/>
            <w:shd w:fill="C6EFCE" w:val="clear"/>
          </w:tcPr>
          <w:p>
            <w:r>
              <w:rPr>
                <w:b/>
                <w:color w:val="008000"/>
                <w:sz w:val="17"/>
              </w:rPr>
              <w:t>+8.3%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93,08 Mds FCFA, BOAN se situe dans la catégorie des valeurs moyennes de la cote BRVM, loin des grandes capitalisations bancaires régionales. Le BPA ressort à seulement 20 FCFA/action, reflet direct de l'effondrement du résultat net 2025 à 409 M FCFA. Le PER de 227,6x est exceptionnellement élevé — très au-dessus de la moyenne BRVM (~8-12x) — ce qui signifie que les investisseurs paient environ 228 fois les bénéfices actuels, une anomalie qui s'explique par la compression extrême du résultat plutôt que par une anticipation de croissance. Le P/B de 2,58x indique que le marché valorise la banque à 2,6 fois ses fonds propres comptables (36,06 Mds FCFA), soit une prime de croissance significative qui contraste avec la faiblesse actuelle de la rentabilité. Enfin, l'EV/EBITDA de 37,1x (très supérieur au seuil de 15x) traduit une valorisation exigeante au regard de la capacité opérationnelle générée, confirmant que le titre intègre déjà une forte anticipation de redressement.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BOAN affiche une variation totale de +28,96%, mais la dernière séance (J-1) enregistre un net repli de -6,48%, signalant une pression vendeuse récente. Le cours actuel de 4 475 FCFA se situe dans la partie basse du range de trading établi entre 3 470 FCFA (plus bas) et 5 645 FCFA (plus haut), soit un écart de 2 175 FCFA qui témoigne d'une forte amplitude. La tendance générale reste haussière sur la période, mais le repli récent suggère un essoufflement du mouvement. Les statistiques descriptives révèlent une moyenne de 4 733 FCFA supérieure à la médiane de 5 088 FCFA — un écart notable qui traduit une distribution asymétrique avec des valeurs extrêmes basses tirant la moyenne vers le bas. L'écart-type de 686 FCFA (CV=14,5%) indique une dispersion modérée du cours autour de sa moyenne. Le kurtosis de -1,388 (platykurtique) signale une distribution aplatie avec une faible concentration des valeurs, donc un risque de pics moins prononcé. Le skewness de -0,473, bien qu'indiqué comme « symétrique » dans les données, penche légèrement vers une queue gauche, suggérant quelques épisodes de baisse marquée. Enfin, la volatilité annualisée de 43,5% classe le titre dans la catégorie des valeurs très volatiles (&gt;30%), ce qui implique un risque de marché élevé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(5 078,5 FCFA) et la MM50 (5 217,6 FCFA) se situent toutes deux nettement au-dessus du cours actuel (4 475 FCFA), confirmant une configuration baissière de court et moyen terme. La MM20 étant inférieure à la MM50, on observe un croisement baissier (death cross) qui renforce le signal de vente. Le cours évoluant sous ses deux moyennes, la pression baissière est confirmée et la décision « Vente » est techniquement justifiée.</w:t>
      </w:r>
    </w:p>
    <w:p>
      <w:pPr>
        <w:spacing w:after="120" w:line="276" w:lineRule="auto"/>
      </w:pPr>
      <w:r>
        <w:t>**Bandes de Bollinger** : Le cours actuel (4 475 FCFA) évolue juste au-dessus de la borne inférieure (4 449,34 FCFA) et très loin de la borne supérieure (5 707,66 FCFA), ce qui le place en zone de survente relative. L'écart important entre les bornes (1 258 FCFA) traduit une volatilité élevée. La décision « Neutre » s'explique par la proximité du support inférieur, qui pourrait générer un rebond technique à court terme.</w:t>
      </w:r>
    </w:p>
    <w:p>
      <w:pPr>
        <w:spacing w:after="120" w:line="276" w:lineRule="auto"/>
      </w:pPr>
      <w:r>
        <w:t>**MACD** : La valeur du MACD (-144,437) est inférieure à son signal (-83,924), confirmant une divergence baissière persistante. Le momentum négatif s'accentue, avec un histogramme négatif qui indique que la pression vendeuse reste dominante. La décision « Vente » est cohérente avec cette configuration.</w:t>
      </w:r>
    </w:p>
    <w:p>
      <w:pPr>
        <w:spacing w:after="120" w:line="276" w:lineRule="auto"/>
      </w:pPr>
      <w:r>
        <w:t>**RSI** : À 37,258, le RSI se situe en zone neutre basse (30-70), sans atteindre le seuil de survente (&lt;30). Cela suggère que le titre n'est pas encore techniquement « survendu » et qu'il pourrait continuer à baisser avant un rebond. La décision « Neutre » reflète cette absence de signal extrême.</w:t>
      </w:r>
    </w:p>
    <w:p>
      <w:pPr>
        <w:spacing w:after="120" w:line="276" w:lineRule="auto"/>
      </w:pPr>
      <w:r>
        <w:t>**Stochastique** : Le %K à 0,0 et le %D à 16,84 indiquent que le cours est au plus bas de sa fourchette récente, avec un %K en zone de survente extrême. La décision « Achat » s'explique par l'anticipation d'un rebond technique imminent, bien que le croisement des lignes ne soit pas encore confirmé.</w:t>
      </w:r>
    </w:p>
    <w:p>
      <w:pPr>
        <w:spacing w:after="120" w:line="276" w:lineRule="auto"/>
      </w:pPr>
      <w:r>
        <w:t>**Conclusion technique** : Les indicateurs sont majoritairement baissiers (MM, MACD) ou neutres (Bollinger, RSI), avec un seul signal d'achat contradictoire (Stochastique). La convergence baissière des MM et du MACD pèse sur le titre, tandis que la proximité de la borne inférieure de Bollinger et le Stochastique en survente suggèrent un possible rebond à court terme. Dans l'ensemble, la configuration technique reste défavorable, avec un risque de poursuite de la correction avant stabilisation.</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une situation financière très dégradée pour BOAN. Le Produit Net Bancaire (PNB, équivalent du chiffre d'affaires pour une banque) s'établit à 21 125 M FCFA en 2025, en léger repli de -1,2% par rapport à 2024 (21 380 M FCFA), selon le rapport du 2nd semestre 2025 (daté du 31/12/2025). Le résultat net s'effondre à 409 M FCFA, contre 5 002 M FCFA en 2024, soit une chute de -91,8%, principalement due à une provision exceptionnelle de 4,8 Mds FCFA liée au niveau élevé de risque du secteur (taux de sinistralité de 24%). Les ratios de rentabilité sont catastrophiques : ROE de 1,13% (très loin du seuil de 15% considéré comme excellent) et ROA de 0,14%. Le coefficient d'exploitation se dégrade à 74,37%, bien au-dessus du seuil de 60% qui caractérise une banque efficace, traduisant une mauvaise maîtrise des charges. Le coût du risque rapporté aux charges financières atteint 67,30%, un niveau très élevé qui confirme la mauvaise qualité du portefeuille de crédits. La structure financière reste fragile avec une autonomie financière de seulement 12,36% (capitaux propres/total bilan), un ratio d'endettement de 178,61% et une trésorerie nette négative de -43,516 Mds FCFA. Cependant, les dépôts clientèle progressent de +4% à 189 867 M FCFA (surperformant le secteur), tandis que les crédits reculent volontairement de -20,9% à 128 447 M FCFA, reflétant une politique sélective de réduction des risques. Le rapport du T1 2026 (daté du 31/03/2026) confirme un début de redressement : le PNB progresse de +7,9% à 5 170 M FCFA, le résultat net bondit de +28,9% à 1 467,3 M FCFA, et le coefficient d'exploitation s'améliore à 56,2% (contre 66,8% un an plus tôt). Sur la base de ce T1 2026, on peut estimer que l'exercice 2026 devrait marquer une nette amélioration, avec un PNB annualisé proche de 22 327 M FCFA (+6,4% selon le budget) et un résultat net qui pourrait retrouver des niveaux plus satisfaisants si la tendance se confirme sur les trimestres suivants. La recommandation fondamentale reste « CONSERVER » avec prudence : la solidité financière est compromise à court terme, mais le soutien du Groupe BOA, la stratégie de digitalisation et le contexte macroéconomique nigérien en amélioration (croissance du PIB de 6,6% en 2025, +7% prévu en 2026-2029) offrent des perspectives de rebond.</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BOAN apparaît très tendue : le PER de 227,6x et l'EV/EBITDA de 37,1x traduisent une surévaluation manifeste au regard des bénéfices actuels, bien que le P/B de 2,58x reflète une prime de croissance qui pourrait se justifier si le redressement se confirme. Le comportement du cours sur 100 jours (+28,96%) est haussier, mais le repli de -6,48% en J-1 et la volatilité élevée (43,5%) signalent une fragilité, avec une distribution asymétrique (moyenne &lt; médiane) et un kurtosis platykurtique indiquant un risque de pics modéré. Les signaux techniques sont majoritairement baissiers (MM20/MM50 en configuration de vente, MACD négatif), avec un RSI neutre et un Stochastique en survente qui pourrait générer un rebond technique à court terme, mais sans convergence haussière claire. Les fondamentaux restent préoccupants pour 2025 (ROE de 1,13%, coefficient d'exploitation de 74,37%, coût du risque élevé), mais le T1 2026 (daté du 31/03/2026) montre un redressement encourageant (PNB +7,9%, résultat net +28,9%, coefficient d'exploitation à 56,2%). Les prédictions IA pour les 10 prochains jours (4 677 FCFA à 4 730 FCFA) suggèrent une légère reprise, en ligne avec le rebond technique attendu par le Stochastique, mais contredisent la tendance baissière des MM et du MACD. Sur la base de cette synthèse, la recommandation finale est **CONSERVER** avec un niveau de confiance **Moyen** et un risque global **Élevé**. Le titre présente un potentiel de rebond à moyen terme (3-12 mois) grâce au redressement opérationnel en cours et au soutien du groupe, mais les risques (valorisation extrême, qualité du portefeuille, instabilité politique au Niger) justifient une approche prudente. Un horizon d'investissement de **moyen terme (3-12 mois)** est recommandé, en surveillant attentivement la confirmation du redressement sur les prochains trimestres et l'évolution du coût du risque.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11.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297.00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11,438 titres</w:t>
            </w:r>
          </w:p>
        </w:tc>
        <w:tc>
          <w:tcPr>
            <w:tcW w:type="dxa" w:w="2268"/>
            <w:shd w:fill="FFF2CC" w:val="clear"/>
          </w:tcPr>
          <w:p>
            <w:r>
              <w:rPr>
                <w:b/>
                <w:color w:val="503200"/>
                <w:sz w:val="16"/>
              </w:rPr>
              <w:t xml:space="preserve">Cours actuel : </w:t>
            </w:r>
            <w:r>
              <w:rPr>
                <w:color w:val="000000"/>
                <w:sz w:val="17"/>
              </w:rPr>
              <w:t>8,250 FCFA</w:t>
            </w:r>
          </w:p>
          <w:p>
            <w:r>
              <w:rPr>
                <w:b/>
                <w:color w:val="503200"/>
                <w:sz w:val="16"/>
              </w:rPr>
              <w:t xml:space="preserve">Var. 100 jours : </w:t>
            </w:r>
            <w:r>
              <w:rPr>
                <w:b/>
                <w:color w:val="007800"/>
                <w:sz w:val="17"/>
              </w:rPr>
              <w:t>+4.43%</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7,250 FCFA</w:t>
            </w:r>
          </w:p>
          <w:p>
            <w:r>
              <w:rPr>
                <w:b/>
                <w:color w:val="503200"/>
                <w:sz w:val="16"/>
              </w:rPr>
              <w:t xml:space="preserve">Volatilité ann. : </w:t>
            </w:r>
            <w:r>
              <w:rPr>
                <w:color w:val="000000"/>
                <w:sz w:val="17"/>
              </w:rPr>
              <w:t>26.1%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9.3/100 → Faible</w:t>
      </w:r>
    </w:p>
    <w:p>
      <w:pPr>
        <w:spacing w:before="40" w:after="80"/>
      </w:pPr>
      <w:r>
        <w:rPr>
          <w:rFonts w:ascii="Courier New" w:hAnsi="Courier New"/>
          <w:color w:val="006400"/>
          <w:sz w:val="18"/>
        </w:rPr>
        <w:t>█░░░░░░░░░░░░░░░░░░░  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4.85% (Faible) — μ=7,770 FCFA, σ=377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β=0.5688 (Défensif) — Cov=0.000042, Var(idx)=0.000073, ρ=0.295,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11,438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σ_j=1.65%/j (Stable) — Vol. annualisée≈26.1%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77/100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2026-10-13</w:t>
            </w:r>
          </w:p>
        </w:tc>
        <w:tc>
          <w:tcPr>
            <w:tcW w:type="dxa" w:w="1440"/>
            <w:shd w:fill="FFDCE0" w:val="clear"/>
          </w:tcPr>
          <w:p>
            <w:r>
              <w:rPr>
                <w:sz w:val="17"/>
              </w:rPr>
              <w:t>7,879</w:t>
            </w:r>
          </w:p>
        </w:tc>
        <w:tc>
          <w:tcPr>
            <w:tcW w:type="dxa" w:w="1440"/>
            <w:shd w:fill="FFDCE0" w:val="clear"/>
          </w:tcPr>
          <w:p>
            <w:r>
              <w:rPr>
                <w:b/>
                <w:sz w:val="17"/>
              </w:rPr>
              <w:t>8,057</w:t>
            </w:r>
          </w:p>
        </w:tc>
        <w:tc>
          <w:tcPr>
            <w:tcW w:type="dxa" w:w="1440"/>
            <w:shd w:fill="FFDCE0" w:val="clear"/>
          </w:tcPr>
          <w:p>
            <w:r>
              <w:rPr>
                <w:sz w:val="17"/>
              </w:rPr>
              <w:t>8,236</w:t>
            </w:r>
          </w:p>
        </w:tc>
        <w:tc>
          <w:tcPr>
            <w:tcW w:type="dxa" w:w="1440"/>
            <w:shd w:fill="FFDCE0" w:val="clear"/>
          </w:tcPr>
          <w:p>
            <w:r>
              <w:rPr>
                <w:b/>
                <w:color w:val="C00000"/>
                <w:sz w:val="17"/>
              </w:rPr>
              <w:t>-2.3%</w:t>
            </w:r>
          </w:p>
        </w:tc>
      </w:tr>
      <w:tr>
        <w:tc>
          <w:tcPr>
            <w:tcW w:type="dxa" w:w="1440"/>
            <w:shd w:fill="FFDCE0" w:val="clear"/>
          </w:tcPr>
          <w:p>
            <w:r>
              <w:rPr>
                <w:sz w:val="17"/>
              </w:rPr>
              <w:t>J+2  ⭐⭐⭐</w:t>
            </w:r>
          </w:p>
        </w:tc>
        <w:tc>
          <w:tcPr>
            <w:tcW w:type="dxa" w:w="1440"/>
            <w:shd w:fill="FFDCE0" w:val="clear"/>
          </w:tcPr>
          <w:p>
            <w:r>
              <w:rPr>
                <w:sz w:val="17"/>
              </w:rPr>
              <w:t>2026-10-14</w:t>
            </w:r>
          </w:p>
        </w:tc>
        <w:tc>
          <w:tcPr>
            <w:tcW w:type="dxa" w:w="1440"/>
            <w:shd w:fill="FFDCE0" w:val="clear"/>
          </w:tcPr>
          <w:p>
            <w:r>
              <w:rPr>
                <w:sz w:val="17"/>
              </w:rPr>
              <w:t>7,685</w:t>
            </w:r>
          </w:p>
        </w:tc>
        <w:tc>
          <w:tcPr>
            <w:tcW w:type="dxa" w:w="1440"/>
            <w:shd w:fill="FFDCE0" w:val="clear"/>
          </w:tcPr>
          <w:p>
            <w:r>
              <w:rPr>
                <w:b/>
                <w:sz w:val="17"/>
              </w:rPr>
              <w:t>7,933</w:t>
            </w:r>
          </w:p>
        </w:tc>
        <w:tc>
          <w:tcPr>
            <w:tcW w:type="dxa" w:w="1440"/>
            <w:shd w:fill="FFDCE0" w:val="clear"/>
          </w:tcPr>
          <w:p>
            <w:r>
              <w:rPr>
                <w:sz w:val="17"/>
              </w:rPr>
              <w:t>8,181</w:t>
            </w:r>
          </w:p>
        </w:tc>
        <w:tc>
          <w:tcPr>
            <w:tcW w:type="dxa" w:w="1440"/>
            <w:shd w:fill="FFDCE0" w:val="clear"/>
          </w:tcPr>
          <w:p>
            <w:r>
              <w:rPr>
                <w:b/>
                <w:color w:val="C00000"/>
                <w:sz w:val="17"/>
              </w:rPr>
              <w:t>-3.8%</w:t>
            </w:r>
          </w:p>
        </w:tc>
      </w:tr>
      <w:tr>
        <w:tc>
          <w:tcPr>
            <w:tcW w:type="dxa" w:w="1440"/>
            <w:shd w:fill="FFDCE0" w:val="clear"/>
          </w:tcPr>
          <w:p>
            <w:r>
              <w:rPr>
                <w:sz w:val="17"/>
              </w:rPr>
              <w:t>J+3  ⭐⭐⭐</w:t>
            </w:r>
          </w:p>
        </w:tc>
        <w:tc>
          <w:tcPr>
            <w:tcW w:type="dxa" w:w="1440"/>
            <w:shd w:fill="FFDCE0" w:val="clear"/>
          </w:tcPr>
          <w:p>
            <w:r>
              <w:rPr>
                <w:sz w:val="17"/>
              </w:rPr>
              <w:t>2026-10-15</w:t>
            </w:r>
          </w:p>
        </w:tc>
        <w:tc>
          <w:tcPr>
            <w:tcW w:type="dxa" w:w="1440"/>
            <w:shd w:fill="FFDCE0" w:val="clear"/>
          </w:tcPr>
          <w:p>
            <w:r>
              <w:rPr>
                <w:sz w:val="17"/>
              </w:rPr>
              <w:t>7,515</w:t>
            </w:r>
          </w:p>
        </w:tc>
        <w:tc>
          <w:tcPr>
            <w:tcW w:type="dxa" w:w="1440"/>
            <w:shd w:fill="FFDCE0" w:val="clear"/>
          </w:tcPr>
          <w:p>
            <w:r>
              <w:rPr>
                <w:b/>
                <w:sz w:val="17"/>
              </w:rPr>
              <w:t>7,814</w:t>
            </w:r>
          </w:p>
        </w:tc>
        <w:tc>
          <w:tcPr>
            <w:tcW w:type="dxa" w:w="1440"/>
            <w:shd w:fill="FFDCE0" w:val="clear"/>
          </w:tcPr>
          <w:p>
            <w:r>
              <w:rPr>
                <w:sz w:val="17"/>
              </w:rPr>
              <w:t>8,114</w:t>
            </w:r>
          </w:p>
        </w:tc>
        <w:tc>
          <w:tcPr>
            <w:tcW w:type="dxa" w:w="1440"/>
            <w:shd w:fill="FFDCE0" w:val="clear"/>
          </w:tcPr>
          <w:p>
            <w:r>
              <w:rPr>
                <w:b/>
                <w:color w:val="C00000"/>
                <w:sz w:val="17"/>
              </w:rPr>
              <w:t>-5.3%</w:t>
            </w:r>
          </w:p>
        </w:tc>
      </w:tr>
      <w:tr>
        <w:tc>
          <w:tcPr>
            <w:tcW w:type="dxa" w:w="1440"/>
            <w:shd w:fill="FFDCE0" w:val="clear"/>
          </w:tcPr>
          <w:p>
            <w:r>
              <w:rPr>
                <w:sz w:val="17"/>
              </w:rPr>
              <w:t>J+4  Moyenne</w:t>
            </w:r>
          </w:p>
        </w:tc>
        <w:tc>
          <w:tcPr>
            <w:tcW w:type="dxa" w:w="1440"/>
            <w:shd w:fill="FFDCE0" w:val="clear"/>
          </w:tcPr>
          <w:p>
            <w:r>
              <w:rPr>
                <w:sz w:val="17"/>
              </w:rPr>
              <w:t>2026-10-16</w:t>
            </w:r>
          </w:p>
        </w:tc>
        <w:tc>
          <w:tcPr>
            <w:tcW w:type="dxa" w:w="1440"/>
            <w:shd w:fill="FFDCE0" w:val="clear"/>
          </w:tcPr>
          <w:p>
            <w:r>
              <w:rPr>
                <w:sz w:val="17"/>
              </w:rPr>
              <w:t>7,365</w:t>
            </w:r>
          </w:p>
        </w:tc>
        <w:tc>
          <w:tcPr>
            <w:tcW w:type="dxa" w:w="1440"/>
            <w:shd w:fill="FFDCE0" w:val="clear"/>
          </w:tcPr>
          <w:p>
            <w:r>
              <w:rPr>
                <w:b/>
                <w:sz w:val="17"/>
              </w:rPr>
              <w:t>7,706</w:t>
            </w:r>
          </w:p>
        </w:tc>
        <w:tc>
          <w:tcPr>
            <w:tcW w:type="dxa" w:w="1440"/>
            <w:shd w:fill="FFDCE0" w:val="clear"/>
          </w:tcPr>
          <w:p>
            <w:r>
              <w:rPr>
                <w:sz w:val="17"/>
              </w:rPr>
              <w:t>8,047</w:t>
            </w:r>
          </w:p>
        </w:tc>
        <w:tc>
          <w:tcPr>
            <w:tcW w:type="dxa" w:w="1440"/>
            <w:shd w:fill="FFDCE0" w:val="clear"/>
          </w:tcPr>
          <w:p>
            <w:r>
              <w:rPr>
                <w:b/>
                <w:color w:val="C00000"/>
                <w:sz w:val="17"/>
              </w:rPr>
              <w:t>-6.6%</w:t>
            </w:r>
          </w:p>
        </w:tc>
      </w:tr>
      <w:tr>
        <w:tc>
          <w:tcPr>
            <w:tcW w:type="dxa" w:w="1440"/>
            <w:shd w:fill="FFDCE0" w:val="clear"/>
          </w:tcPr>
          <w:p>
            <w:r>
              <w:rPr>
                <w:sz w:val="17"/>
              </w:rPr>
              <w:t>J+5  Moyenne</w:t>
            </w:r>
          </w:p>
        </w:tc>
        <w:tc>
          <w:tcPr>
            <w:tcW w:type="dxa" w:w="1440"/>
            <w:shd w:fill="FFDCE0" w:val="clear"/>
          </w:tcPr>
          <w:p>
            <w:r>
              <w:rPr>
                <w:sz w:val="17"/>
              </w:rPr>
              <w:t>2026-10-19</w:t>
            </w:r>
          </w:p>
        </w:tc>
        <w:tc>
          <w:tcPr>
            <w:tcW w:type="dxa" w:w="1440"/>
            <w:shd w:fill="FFDCE0" w:val="clear"/>
          </w:tcPr>
          <w:p>
            <w:r>
              <w:rPr>
                <w:sz w:val="17"/>
              </w:rPr>
              <w:t>7,228</w:t>
            </w:r>
          </w:p>
        </w:tc>
        <w:tc>
          <w:tcPr>
            <w:tcW w:type="dxa" w:w="1440"/>
            <w:shd w:fill="FFDCE0" w:val="clear"/>
          </w:tcPr>
          <w:p>
            <w:r>
              <w:rPr>
                <w:b/>
                <w:sz w:val="17"/>
              </w:rPr>
              <w:t>7,605</w:t>
            </w:r>
          </w:p>
        </w:tc>
        <w:tc>
          <w:tcPr>
            <w:tcW w:type="dxa" w:w="1440"/>
            <w:shd w:fill="FFDCE0" w:val="clear"/>
          </w:tcPr>
          <w:p>
            <w:r>
              <w:rPr>
                <w:sz w:val="17"/>
              </w:rPr>
              <w:t>7,981</w:t>
            </w:r>
          </w:p>
        </w:tc>
        <w:tc>
          <w:tcPr>
            <w:tcW w:type="dxa" w:w="1440"/>
            <w:shd w:fill="FFDCE0" w:val="clear"/>
          </w:tcPr>
          <w:p>
            <w:r>
              <w:rPr>
                <w:b/>
                <w:color w:val="C00000"/>
                <w:sz w:val="17"/>
              </w:rPr>
              <w:t>-7.8%</w:t>
            </w:r>
          </w:p>
        </w:tc>
      </w:tr>
      <w:tr>
        <w:tc>
          <w:tcPr>
            <w:tcW w:type="dxa" w:w="1440"/>
            <w:shd w:fill="FFDCE0" w:val="clear"/>
          </w:tcPr>
          <w:p>
            <w:r>
              <w:rPr>
                <w:sz w:val="17"/>
              </w:rPr>
              <w:t>J+6  Moyenne</w:t>
            </w:r>
          </w:p>
        </w:tc>
        <w:tc>
          <w:tcPr>
            <w:tcW w:type="dxa" w:w="1440"/>
            <w:shd w:fill="FFDCE0" w:val="clear"/>
          </w:tcPr>
          <w:p>
            <w:r>
              <w:rPr>
                <w:sz w:val="17"/>
              </w:rPr>
              <w:t>2026-10-20</w:t>
            </w:r>
          </w:p>
        </w:tc>
        <w:tc>
          <w:tcPr>
            <w:tcW w:type="dxa" w:w="1440"/>
            <w:shd w:fill="FFDCE0" w:val="clear"/>
          </w:tcPr>
          <w:p>
            <w:r>
              <w:rPr>
                <w:sz w:val="17"/>
              </w:rPr>
              <w:t>7,101</w:t>
            </w:r>
          </w:p>
        </w:tc>
        <w:tc>
          <w:tcPr>
            <w:tcW w:type="dxa" w:w="1440"/>
            <w:shd w:fill="FFDCE0" w:val="clear"/>
          </w:tcPr>
          <w:p>
            <w:r>
              <w:rPr>
                <w:b/>
                <w:sz w:val="17"/>
              </w:rPr>
              <w:t>7,508</w:t>
            </w:r>
          </w:p>
        </w:tc>
        <w:tc>
          <w:tcPr>
            <w:tcW w:type="dxa" w:w="1440"/>
            <w:shd w:fill="FFDCE0" w:val="clear"/>
          </w:tcPr>
          <w:p>
            <w:r>
              <w:rPr>
                <w:sz w:val="17"/>
              </w:rPr>
              <w:t>7,915</w:t>
            </w:r>
          </w:p>
        </w:tc>
        <w:tc>
          <w:tcPr>
            <w:tcW w:type="dxa" w:w="1440"/>
            <w:shd w:fill="FFDCE0" w:val="clear"/>
          </w:tcPr>
          <w:p>
            <w:r>
              <w:rPr>
                <w:b/>
                <w:color w:val="C00000"/>
                <w:sz w:val="17"/>
              </w:rPr>
              <w:t>-9.0%</w:t>
            </w:r>
          </w:p>
        </w:tc>
      </w:tr>
      <w:tr>
        <w:tc>
          <w:tcPr>
            <w:tcW w:type="dxa" w:w="1440"/>
            <w:shd w:fill="FFDCE0" w:val="clear"/>
          </w:tcPr>
          <w:p>
            <w:r>
              <w:rPr>
                <w:sz w:val="17"/>
              </w:rPr>
              <w:t>J+7  Moyenne</w:t>
            </w:r>
          </w:p>
        </w:tc>
        <w:tc>
          <w:tcPr>
            <w:tcW w:type="dxa" w:w="1440"/>
            <w:shd w:fill="FFDCE0" w:val="clear"/>
          </w:tcPr>
          <w:p>
            <w:r>
              <w:rPr>
                <w:sz w:val="17"/>
              </w:rPr>
              <w:t>2026-10-21</w:t>
            </w:r>
          </w:p>
        </w:tc>
        <w:tc>
          <w:tcPr>
            <w:tcW w:type="dxa" w:w="1440"/>
            <w:shd w:fill="FFDCE0" w:val="clear"/>
          </w:tcPr>
          <w:p>
            <w:r>
              <w:rPr>
                <w:sz w:val="17"/>
              </w:rPr>
              <w:t>6,982</w:t>
            </w:r>
          </w:p>
        </w:tc>
        <w:tc>
          <w:tcPr>
            <w:tcW w:type="dxa" w:w="1440"/>
            <w:shd w:fill="FFDCE0" w:val="clear"/>
          </w:tcPr>
          <w:p>
            <w:r>
              <w:rPr>
                <w:b/>
                <w:sz w:val="17"/>
              </w:rPr>
              <w:t>7,417</w:t>
            </w:r>
          </w:p>
        </w:tc>
        <w:tc>
          <w:tcPr>
            <w:tcW w:type="dxa" w:w="1440"/>
            <w:shd w:fill="FFDCE0" w:val="clear"/>
          </w:tcPr>
          <w:p>
            <w:r>
              <w:rPr>
                <w:sz w:val="17"/>
              </w:rPr>
              <w:t>7,851</w:t>
            </w:r>
          </w:p>
        </w:tc>
        <w:tc>
          <w:tcPr>
            <w:tcW w:type="dxa" w:w="1440"/>
            <w:shd w:fill="FFDCE0" w:val="clear"/>
          </w:tcPr>
          <w:p>
            <w:r>
              <w:rPr>
                <w:b/>
                <w:color w:val="C00000"/>
                <w:sz w:val="17"/>
              </w:rPr>
              <w:t>-10.1%</w:t>
            </w:r>
          </w:p>
        </w:tc>
      </w:tr>
      <w:tr>
        <w:tc>
          <w:tcPr>
            <w:tcW w:type="dxa" w:w="1440"/>
            <w:shd w:fill="FFDCE0" w:val="clear"/>
          </w:tcPr>
          <w:p>
            <w:r>
              <w:rPr>
                <w:sz w:val="17"/>
              </w:rPr>
              <w:t>J+8  Moyenne</w:t>
            </w:r>
          </w:p>
        </w:tc>
        <w:tc>
          <w:tcPr>
            <w:tcW w:type="dxa" w:w="1440"/>
            <w:shd w:fill="FFDCE0" w:val="clear"/>
          </w:tcPr>
          <w:p>
            <w:r>
              <w:rPr>
                <w:sz w:val="17"/>
              </w:rPr>
              <w:t>2026-10-22</w:t>
            </w:r>
          </w:p>
        </w:tc>
        <w:tc>
          <w:tcPr>
            <w:tcW w:type="dxa" w:w="1440"/>
            <w:shd w:fill="FFDCE0" w:val="clear"/>
          </w:tcPr>
          <w:p>
            <w:r>
              <w:rPr>
                <w:sz w:val="17"/>
              </w:rPr>
              <w:t>6,870</w:t>
            </w:r>
          </w:p>
        </w:tc>
        <w:tc>
          <w:tcPr>
            <w:tcW w:type="dxa" w:w="1440"/>
            <w:shd w:fill="FFDCE0" w:val="clear"/>
          </w:tcPr>
          <w:p>
            <w:r>
              <w:rPr>
                <w:b/>
                <w:sz w:val="17"/>
              </w:rPr>
              <w:t>7,329</w:t>
            </w:r>
          </w:p>
        </w:tc>
        <w:tc>
          <w:tcPr>
            <w:tcW w:type="dxa" w:w="1440"/>
            <w:shd w:fill="FFDCE0" w:val="clear"/>
          </w:tcPr>
          <w:p>
            <w:r>
              <w:rPr>
                <w:sz w:val="17"/>
              </w:rPr>
              <w:t>7,788</w:t>
            </w:r>
          </w:p>
        </w:tc>
        <w:tc>
          <w:tcPr>
            <w:tcW w:type="dxa" w:w="1440"/>
            <w:shd w:fill="FFDCE0" w:val="clear"/>
          </w:tcPr>
          <w:p>
            <w:r>
              <w:rPr>
                <w:b/>
                <w:color w:val="C00000"/>
                <w:sz w:val="17"/>
              </w:rPr>
              <w:t>-11.2%</w:t>
            </w:r>
          </w:p>
        </w:tc>
      </w:tr>
      <w:tr>
        <w:tc>
          <w:tcPr>
            <w:tcW w:type="dxa" w:w="1440"/>
            <w:shd w:fill="FFDCE0" w:val="clear"/>
          </w:tcPr>
          <w:p>
            <w:r>
              <w:rPr>
                <w:sz w:val="17"/>
              </w:rPr>
              <w:t>J+9  Moyenne</w:t>
            </w:r>
          </w:p>
        </w:tc>
        <w:tc>
          <w:tcPr>
            <w:tcW w:type="dxa" w:w="1440"/>
            <w:shd w:fill="FFDCE0" w:val="clear"/>
          </w:tcPr>
          <w:p>
            <w:r>
              <w:rPr>
                <w:sz w:val="17"/>
              </w:rPr>
              <w:t>2026-10-23</w:t>
            </w:r>
          </w:p>
        </w:tc>
        <w:tc>
          <w:tcPr>
            <w:tcW w:type="dxa" w:w="1440"/>
            <w:shd w:fill="FFDCE0" w:val="clear"/>
          </w:tcPr>
          <w:p>
            <w:r>
              <w:rPr>
                <w:sz w:val="17"/>
              </w:rPr>
              <w:t>6,764</w:t>
            </w:r>
          </w:p>
        </w:tc>
        <w:tc>
          <w:tcPr>
            <w:tcW w:type="dxa" w:w="1440"/>
            <w:shd w:fill="FFDCE0" w:val="clear"/>
          </w:tcPr>
          <w:p>
            <w:r>
              <w:rPr>
                <w:b/>
                <w:sz w:val="17"/>
              </w:rPr>
              <w:t>7,245</w:t>
            </w:r>
          </w:p>
        </w:tc>
        <w:tc>
          <w:tcPr>
            <w:tcW w:type="dxa" w:w="1440"/>
            <w:shd w:fill="FFDCE0" w:val="clear"/>
          </w:tcPr>
          <w:p>
            <w:r>
              <w:rPr>
                <w:sz w:val="17"/>
              </w:rPr>
              <w:t>7,726</w:t>
            </w:r>
          </w:p>
        </w:tc>
        <w:tc>
          <w:tcPr>
            <w:tcW w:type="dxa" w:w="1440"/>
            <w:shd w:fill="FFDCE0" w:val="clear"/>
          </w:tcPr>
          <w:p>
            <w:r>
              <w:rPr>
                <w:b/>
                <w:color w:val="C00000"/>
                <w:sz w:val="17"/>
              </w:rPr>
              <w:t>-12.2%</w:t>
            </w:r>
          </w:p>
        </w:tc>
      </w:tr>
      <w:tr>
        <w:tc>
          <w:tcPr>
            <w:tcW w:type="dxa" w:w="1440"/>
            <w:shd w:fill="FFDCE0" w:val="clear"/>
          </w:tcPr>
          <w:p>
            <w:r>
              <w:rPr>
                <w:sz w:val="17"/>
              </w:rPr>
              <w:t>J+10  Moyenne</w:t>
            </w:r>
          </w:p>
        </w:tc>
        <w:tc>
          <w:tcPr>
            <w:tcW w:type="dxa" w:w="1440"/>
            <w:shd w:fill="FFDCE0" w:val="clear"/>
          </w:tcPr>
          <w:p>
            <w:r>
              <w:rPr>
                <w:sz w:val="17"/>
              </w:rPr>
              <w:t>2026-10-26</w:t>
            </w:r>
          </w:p>
        </w:tc>
        <w:tc>
          <w:tcPr>
            <w:tcW w:type="dxa" w:w="1440"/>
            <w:shd w:fill="FFDCE0" w:val="clear"/>
          </w:tcPr>
          <w:p>
            <w:r>
              <w:rPr>
                <w:sz w:val="17"/>
              </w:rPr>
              <w:t>6,664</w:t>
            </w:r>
          </w:p>
        </w:tc>
        <w:tc>
          <w:tcPr>
            <w:tcW w:type="dxa" w:w="1440"/>
            <w:shd w:fill="FFDCE0" w:val="clear"/>
          </w:tcPr>
          <w:p>
            <w:r>
              <w:rPr>
                <w:b/>
                <w:sz w:val="17"/>
              </w:rPr>
              <w:t>7,165</w:t>
            </w:r>
          </w:p>
        </w:tc>
        <w:tc>
          <w:tcPr>
            <w:tcW w:type="dxa" w:w="1440"/>
            <w:shd w:fill="FFDCE0" w:val="clear"/>
          </w:tcPr>
          <w:p>
            <w:r>
              <w:rPr>
                <w:sz w:val="17"/>
              </w:rPr>
              <w:t>7,667</w:t>
            </w:r>
          </w:p>
        </w:tc>
        <w:tc>
          <w:tcPr>
            <w:tcW w:type="dxa" w:w="1440"/>
            <w:shd w:fill="FFDCE0" w:val="clear"/>
          </w:tcPr>
          <w:p>
            <w:r>
              <w:rPr>
                <w:b/>
                <w:color w:val="C00000"/>
                <w:sz w:val="17"/>
              </w:rPr>
              <w:t>-13.1%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BANK OF AFRICA SÉNÉGAL (BOAS)**</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297,00 milliards FCFA, BOAS s'impose comme l'une des valeurs bancaires de référence de la cote BRVM, témoignant d'une liquidité et d'une profondeur de marché appréciables pour la zone UEMOA. Le BPA de 608 FCFA par action signifie que chaque titre génère près de 608 FCFA de bénéfice net, un niveau de rentabilité par action robuste qui soutient la qualité du titre. Le PER de 13,6x se situe légèrement au-dessus de la moyenne du marché BRVM (8-12x), traduisant une prime de qualité consentie par les investisseurs pour une banque affichant une croissance régulière de ses résultats, sans pour autant basculer dans une zone de surévaluation manifeste. Le P/B de 3,08x indique que le marché valorise BOAS à plus de trois fois sa valeur comptable, ce qui reflète une forte anticipation de création de valeur future et un ROE élevé (22,69%), justifiant cette prime de croissance. Enfin, l'EV/EBITDA de 8,8x, dans la fourchette raisonnable de 5-10x, suggère que la valeur totale de l'entreprise reste cohérente avec sa capacité opérationnelle, offrant un profil de valorisation équilibré entre qualité et prix.</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BOAS a enregistré une variation totale de +4,43%, avec une dernière séance (J-1) stable à +0,00%, le cours s'établissant à 8 250 FCFA. Le titre a évolué dans un range de trading de 1 250 FCFA, entre un plus bas de 7 250 FCFA et un plus haut de 8 500 FCFA, ce qui témoigne d'une tendance générale haussière mais modérée, avec une progression régulière ponctuée de consolidations. Les statistiques descriptives révèlent une moyenne de 7 770 FCFA légèrement supérieure à la médiane de 7 705 FCFA, suggérant une distribution quasi-symétrique avec une très légère asymétrie positive, confirmée par le skewness de 0,192 indiquant une distribution équilibrée sans biais marqué vers les extrêmes. L'écart-type de 379 FCFA et le coefficient de variation de 4,9% traduisent une dispersion faible du cours autour de sa moyenne, signe d'une certaine stabilité relative. Le kurtosis de -1,366 (distribution platykurtique) indique une distribution aplatie avec une faible concentration des rendements autour de la moyenne, ce qui suggère un risque de pics de volatilité moins prononcé qu'une distribution normale, mais aussi une absence de mouvements extrêmes fréquents. La volatilité annualisée de 26,1% positionne BOAS dans la catégorie des titres à volatilité modérée (15-30%), ce qui est cohérent avec un profil de valeur bancaire stable et liquide sur la BRVM.</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(8 122 FCFA) et la MM50 (8 057 FCFA) se situent toutes deux en dessous du cours actuel (8 250 FCFA), avec une MM20 supérieure à la MM50, configurant un croisement haussier classique. Cette configuration en "golden cross" implicite, avec le cours au-dessus des deux moyennes, justifie la décision technique d'**Achat**, signalant une dynamique positive de court et moyen terme.</w:t>
      </w:r>
    </w:p>
    <w:p>
      <w:pPr>
        <w:spacing w:after="120" w:line="276" w:lineRule="auto"/>
      </w:pPr>
      <w:r>
        <w:t>**Bandes de Bollinger** : Le cours actuel (8 250 FCFA) évolue dans la partie supérieure de la bande, entre la borne inférieure (7 779 FCFA) et la borne supérieure (8 465 FCFA), sans franchir cette dernière. Cette position neutre, sans surachat ni survente, combinée à une largeur de bande modérée, justifie la décision **Neutre**, indiquant une absence de signal directionnel fort à court terme.</w:t>
      </w:r>
    </w:p>
    <w:p>
      <w:pPr>
        <w:spacing w:after="120" w:line="276" w:lineRule="auto"/>
      </w:pPr>
      <w:r>
        <w:t>**MACD** : La valeur du MACD (42,386) est nettement supérieure à son signal (27,535), avec un histogramme positif, confirmant un momentum haussier en cours. Cette divergence positive entre MACD et signal justifie la décision d'**Achat**, bien que l'écart reste modéré, suggérant une dynamique positive mais sans accélération excessive.</w:t>
      </w:r>
    </w:p>
    <w:p>
      <w:pPr>
        <w:spacing w:after="120" w:line="276" w:lineRule="auto"/>
      </w:pPr>
      <w:r>
        <w:t>**RSI** : À 62,687, le RSI se situe dans la zone neutre haute (30-70), sans atteindre le seuil de surachat de 70. Cette position indique une pression acheteuse modérée mais non excessive, justifiant la décision **Neutre** — le titre conserve un potentiel de hausse sans être techniquement surchauffé.</w:t>
      </w:r>
    </w:p>
    <w:p>
      <w:pPr>
        <w:spacing w:after="120" w:line="276" w:lineRule="auto"/>
      </w:pPr>
      <w:r>
        <w:t>**Stochastique** : Les valeurs %K et %D sont toutes deux à 100,0, signalant une position en surachat extrême, avec un croisement potentiel à venir. Cette configuration justifie la décision de **Vente** à court terme, indiquant une probabilité élevée de correction ou de consolidation imminente.</w:t>
      </w:r>
    </w:p>
    <w:p>
      <w:pPr>
        <w:spacing w:after="120" w:line="276" w:lineRule="auto"/>
      </w:pPr>
      <w:r>
        <w:t>**Conclusion technique** : Les indicateurs présentent une divergence notable : les moyennes mobiles et le MACD confirment une tendance haussière de fond, tandis que le stochastique en surachat extrême et le RSI proche de la zone de surachat suggèrent une correction à court terme. Les bandes de Bollinger et le RSI en zone neutre appellent à la prudence. La convergence globale penche vers un **signal d'achat modéré avec prudence à court terme**, le titre pouvant consolider avant de reprendre sa trajectoire haussière.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BOAS affiche un Produit Net Bancaire (PNB) de 51,926 milliards FCFA, équivalent du chiffre d'affaires pour une banque, avec un résultat net de 21,905 milliards FCFA, soit une marge nette exceptionnelle de 42,19%. Le ROE s'établit à 22,69%, largement supérieur au seuil d'excellence de 15%, et le ROA à 2,62%, confirmant une rentabilité des actifs solide. Le coefficient d'exploitation de 44,02% (inférieur à 50%) témoigne d'une efficacité opérationnelle remarquable, tandis que le coût du risque de 23,31% (provisions/charges financières) reste élevé, signalant un risque de crédit significatif à surveiller. La structure financière affiche une autonomie financière de 11,54% (inférieure au seuil sain de 30%), typique du modèle bancaire, avec un ratio de solvabilité générale de 113,05% (&gt;1, solvable) et une capacité de remboursement de 1,54 an, confortable.</w:t>
      </w:r>
    </w:p>
    <w:p>
      <w:pPr>
        <w:spacing w:after="120" w:line="276" w:lineRule="auto"/>
      </w:pPr>
      <w:r>
        <w:t>**Adaptation au secteur bancaire** : Le ratio dépôts/créances s'établit à 686,927 Mds FCFA de dépôts clientèle pour 386,424 Mds FCFA de créances, soit un taux de transformation de 56,3%, indiquant une surliquidité relative et une marge de manœuvre pour accroître les crédits. Les créances interbancaires (72,929 Mds FCFA) et les dettes interbancaires (37,998 Mds FCFA) révèlent une position prêteuse nette sur le marché interbancaire, signe de gestion prudente de la liquidité.</w:t>
      </w:r>
    </w:p>
    <w:p>
      <w:pPr>
        <w:spacing w:after="120" w:line="276" w:lineRule="auto"/>
      </w:pPr>
      <w:r>
        <w:t>**Estimations basées sur les rapports trimestriels** : Selon le rapport du T1 2026 (publié en 2026), le PNB atteint 12,580 milliards FCFA (+6,82% sur un an), le résultat net progresse de 9,78% à 5,741 milliards FCFA, et le coefficient d'exploitation s'améliore à 42,1%. Le rapport du S1 2026 (analysé le 23/09/2026) indique un PNB semestriel de 27,206 milliards FCFA, en hausse, confirmant la dynamique. Sur la base de ces tendances, on estime que l'exercice 2026 devrait enregistrer un PNB annuel d'environ 54-55 milliards FCFA (+4-6%) et un résultat net de l'ordre de 23-24 milliards FCFA (+5-10%), poursuivant la trajectoire de croissance rentable. Le rapport du T3 2025 (30/09/2025) soulignait déjà une croissance du PNB de 6,71% et du résultat net de 10,01%, avec un coefficient d'exploitation en baisse à 44,4%, confirmant la tendance à l'amélioration de l'efficacité.</w:t>
      </w:r>
    </w:p>
    <w:p>
      <w:pPr>
        <w:spacing w:after="120" w:line="276" w:lineRule="auto"/>
      </w:pPr>
      <w:r>
        <w:t>**Évolution pluriannuelle** : Les rapports antérieurs (2021) montrent un résultat net de 11,070 milliards FCFA, contre 21,905 milliards en 2025, soit un doublement en quatre ans, illustrant une croissance exceptionnelle. Le ROE, non communiqué en 2021, est aujourd'hui à 22,69%, témoignant d'une création de valeur soutenue.</w:t>
      </w:r>
    </w:p>
    <w:p>
      <w:pPr>
        <w:spacing w:after="120" w:line="276" w:lineRule="auto"/>
      </w:pPr>
      <w:r>
        <w:t>**Recommandation fondamentale** : BOAS présente une solidité financière remarquable, avec une rentabilité élevée, une efficacité opérationnelle confirmée et une croissance régulière. Les principaux risques résident dans le coût du risque élevé (23,31%) et la concentration sur le marché sénégalais. La dynamique des rapports trimestriels 2026 confirme la poursuite de la croissance, avec une amélioration continue des indicateurs. **Recommandation fondamentale : ACHAT**, pour un investisseur recherchant une valeur bancaire de qualité, avec un horizon moyen à long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profil d'investissement équilibré mais avec des signaux divergents à court terme. **Valorisation (Partie 0)** : le PER de 13,6x, légèrement supérieur à la moyenne du marché, et le P/B de 3,08x indiquent une valorisation raisonnable mais non décotée, reflétant la qualité de la banque sans offrir de prime de sous-évaluation manifeste. **Comportement du cours (Partie 1)** : la tendance haussière modérée (+4,43%), la faible dispersion (CV=4,9%) et la distribution platykurtique (kurtosis=-1,366) suggèrent un titre stable, sans risque de pics extrêmes, mais avec un potentiel de hausse limité à court terme. **Signaux techniques (Partie 2)** : divergence entre les indicateurs haussiers (MM, MACD) et les signaux de surachat (stochastique à 100, RSI à 62,7), appelant à la prudence avant un point d'entrée. **Fondamentaux (Partie 3)** : la solidité financière (ROE 22,69%, coefficient d'exploitation 44,02%) et les estimations de croissance 2026 (PNB +6,82% au T1) confirment la qualité de l'entreprise, malgré un coût du risque élevé. **Prédictions IA (J+1 à J+10)** : la trajectoire baissière anticipée (8 057 → 7 605 FCFA, soit -7,8% sur 10 jours) contredit les signaux haussiers des moyennes mobiles et du MACD, mais s'aligne avec le signal de vente du stochastique en surachat extrême, suggérant une correction imminente.</w:t>
      </w:r>
    </w:p>
    <w:p>
      <w:pPr>
        <w:spacing w:after="120" w:line="276" w:lineRule="auto"/>
      </w:pPr>
      <w:r>
        <w:t>**Recommandation finale** : **CONSERVER** (avec opportunité d'achat sur repli). La convergence des signaux fondamentaux (croissance, rentabilité) et de la valorisation (raisonnable) soutient une vision positive à moyen terme, mais la divergence technique à court terme (surachat stochastique, prédictions baissières) incite à la prudence. **Niveau de confiance : Moyen** — les fondamentaux sont solides mais les signaux techniques à court terme sont mitigés. **Niveau de risque global : Moyen** — le coût du risque élevé et la concentration géographique constituent des facteurs de vigilance. **Horizon d'investissement optimal : Moyen terme (3-12 mois)** — pour capturer la croissance fondamentale tout en laissant passer la correction technique anticipée, avec un point d'entrée idéal autour de 7 600-7 800 FCFA (niveau de la borne inférieure de Bollinger et des prédictions IA).</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12.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19.48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2,048 titres</w:t>
            </w:r>
          </w:p>
        </w:tc>
        <w:tc>
          <w:tcPr>
            <w:tcW w:type="dxa" w:w="2268"/>
            <w:shd w:fill="FFF2CC" w:val="clear"/>
          </w:tcPr>
          <w:p>
            <w:r>
              <w:rPr>
                <w:b/>
                <w:color w:val="503200"/>
                <w:sz w:val="16"/>
              </w:rPr>
              <w:t xml:space="preserve">Cours actuel : </w:t>
            </w:r>
            <w:r>
              <w:rPr>
                <w:color w:val="000000"/>
                <w:sz w:val="17"/>
              </w:rPr>
              <w:t>3,290 FCFA</w:t>
            </w:r>
          </w:p>
          <w:p>
            <w:r>
              <w:rPr>
                <w:b/>
                <w:color w:val="503200"/>
                <w:sz w:val="16"/>
              </w:rPr>
              <w:t xml:space="preserve">Var. 100 jours : </w:t>
            </w:r>
            <w:r>
              <w:rPr>
                <w:b/>
                <w:color w:val="B40000"/>
                <w:sz w:val="17"/>
              </w:rPr>
              <w:t>-3.24%</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3,175 FCFA</w:t>
            </w:r>
          </w:p>
          <w:p>
            <w:r>
              <w:rPr>
                <w:b/>
                <w:color w:val="503200"/>
                <w:sz w:val="16"/>
              </w:rPr>
              <w:t xml:space="preserve">Volatilité ann. : </w:t>
            </w:r>
            <w:r>
              <w:rPr>
                <w:color w:val="000000"/>
                <w:sz w:val="17"/>
              </w:rPr>
              <w:t>45.1%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8.26% (Moyenne) — μ=3,669 FCFA, σ=303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β=0.3311 (Défensif) — Cov=0.000024, Var(idx)=0.000073, ρ=0.100,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2,048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σ_j=2.84%/j (Stable) — Vol. annualisée≈45.1%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35585"/>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2026-10-13</w:t>
            </w:r>
          </w:p>
        </w:tc>
        <w:tc>
          <w:tcPr>
            <w:tcW w:type="dxa" w:w="1440"/>
            <w:shd w:fill="FAFAFA" w:val="clear"/>
          </w:tcPr>
          <w:p>
            <w:r>
              <w:rPr>
                <w:sz w:val="17"/>
              </w:rPr>
              <w:t>3,173</w:t>
            </w:r>
          </w:p>
        </w:tc>
        <w:tc>
          <w:tcPr>
            <w:tcW w:type="dxa" w:w="1440"/>
            <w:shd w:fill="FAFAFA" w:val="clear"/>
          </w:tcPr>
          <w:p>
            <w:r>
              <w:rPr>
                <w:b/>
                <w:sz w:val="17"/>
              </w:rPr>
              <w:t>3,279</w:t>
            </w:r>
          </w:p>
        </w:tc>
        <w:tc>
          <w:tcPr>
            <w:tcW w:type="dxa" w:w="1440"/>
            <w:shd w:fill="FAFAFA" w:val="clear"/>
          </w:tcPr>
          <w:p>
            <w:r>
              <w:rPr>
                <w:sz w:val="17"/>
              </w:rPr>
              <w:t>3,384</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2026-10-14</w:t>
            </w:r>
          </w:p>
        </w:tc>
        <w:tc>
          <w:tcPr>
            <w:tcW w:type="dxa" w:w="1440"/>
            <w:shd w:fill="FAFAFA" w:val="clear"/>
          </w:tcPr>
          <w:p>
            <w:r>
              <w:rPr>
                <w:sz w:val="17"/>
              </w:rPr>
              <w:t>3,142</w:t>
            </w:r>
          </w:p>
        </w:tc>
        <w:tc>
          <w:tcPr>
            <w:tcW w:type="dxa" w:w="1440"/>
            <w:shd w:fill="FAFAFA" w:val="clear"/>
          </w:tcPr>
          <w:p>
            <w:r>
              <w:rPr>
                <w:b/>
                <w:sz w:val="17"/>
              </w:rPr>
              <w:t>3,291</w:t>
            </w:r>
          </w:p>
        </w:tc>
        <w:tc>
          <w:tcPr>
            <w:tcW w:type="dxa" w:w="1440"/>
            <w:shd w:fill="FAFAFA" w:val="clear"/>
          </w:tcPr>
          <w:p>
            <w:r>
              <w:rPr>
                <w:sz w:val="17"/>
              </w:rPr>
              <w:t>3,441</w:t>
            </w:r>
          </w:p>
        </w:tc>
        <w:tc>
          <w:tcPr>
            <w:tcW w:type="dxa" w:w="1440"/>
            <w:shd w:fill="FAFAFA" w:val="clear"/>
          </w:tcPr>
          <w:p>
            <w:r>
              <w:rPr>
                <w:b/>
                <w:color w:val="008000"/>
                <w:sz w:val="17"/>
              </w:rPr>
              <w:t>+0.0%</w:t>
            </w:r>
          </w:p>
        </w:tc>
      </w:tr>
      <w:tr>
        <w:tc>
          <w:tcPr>
            <w:tcW w:type="dxa" w:w="1440"/>
            <w:shd w:fill="FAFAFA" w:val="clear"/>
          </w:tcPr>
          <w:p>
            <w:r>
              <w:rPr>
                <w:sz w:val="17"/>
              </w:rPr>
              <w:t>J+3  ⭐⭐⭐</w:t>
            </w:r>
          </w:p>
        </w:tc>
        <w:tc>
          <w:tcPr>
            <w:tcW w:type="dxa" w:w="1440"/>
            <w:shd w:fill="FAFAFA" w:val="clear"/>
          </w:tcPr>
          <w:p>
            <w:r>
              <w:rPr>
                <w:sz w:val="17"/>
              </w:rPr>
              <w:t>2026-10-15</w:t>
            </w:r>
          </w:p>
        </w:tc>
        <w:tc>
          <w:tcPr>
            <w:tcW w:type="dxa" w:w="1440"/>
            <w:shd w:fill="FAFAFA" w:val="clear"/>
          </w:tcPr>
          <w:p>
            <w:r>
              <w:rPr>
                <w:sz w:val="17"/>
              </w:rPr>
              <w:t>3,112</w:t>
            </w:r>
          </w:p>
        </w:tc>
        <w:tc>
          <w:tcPr>
            <w:tcW w:type="dxa" w:w="1440"/>
            <w:shd w:fill="FAFAFA" w:val="clear"/>
          </w:tcPr>
          <w:p>
            <w:r>
              <w:rPr>
                <w:b/>
                <w:sz w:val="17"/>
              </w:rPr>
              <w:t>3,295</w:t>
            </w:r>
          </w:p>
        </w:tc>
        <w:tc>
          <w:tcPr>
            <w:tcW w:type="dxa" w:w="1440"/>
            <w:shd w:fill="FAFAFA" w:val="clear"/>
          </w:tcPr>
          <w:p>
            <w:r>
              <w:rPr>
                <w:sz w:val="17"/>
              </w:rPr>
              <w:t>3,479</w:t>
            </w:r>
          </w:p>
        </w:tc>
        <w:tc>
          <w:tcPr>
            <w:tcW w:type="dxa" w:w="1440"/>
            <w:shd w:fill="FAFAFA" w:val="clear"/>
          </w:tcPr>
          <w:p>
            <w:r>
              <w:rPr>
                <w:b/>
                <w:color w:val="008000"/>
                <w:sz w:val="17"/>
              </w:rPr>
              <w:t>+0.2%</w:t>
            </w:r>
          </w:p>
        </w:tc>
      </w:tr>
      <w:tr>
        <w:tc>
          <w:tcPr>
            <w:tcW w:type="dxa" w:w="1440"/>
            <w:shd w:fill="FAFAFA" w:val="clear"/>
          </w:tcPr>
          <w:p>
            <w:r>
              <w:rPr>
                <w:sz w:val="17"/>
              </w:rPr>
              <w:t>J+4  Moyenne</w:t>
            </w:r>
          </w:p>
        </w:tc>
        <w:tc>
          <w:tcPr>
            <w:tcW w:type="dxa" w:w="1440"/>
            <w:shd w:fill="FAFAFA" w:val="clear"/>
          </w:tcPr>
          <w:p>
            <w:r>
              <w:rPr>
                <w:sz w:val="17"/>
              </w:rPr>
              <w:t>2026-10-16</w:t>
            </w:r>
          </w:p>
        </w:tc>
        <w:tc>
          <w:tcPr>
            <w:tcW w:type="dxa" w:w="1440"/>
            <w:shd w:fill="FAFAFA" w:val="clear"/>
          </w:tcPr>
          <w:p>
            <w:r>
              <w:rPr>
                <w:sz w:val="17"/>
              </w:rPr>
              <w:t>3,082</w:t>
            </w:r>
          </w:p>
        </w:tc>
        <w:tc>
          <w:tcPr>
            <w:tcW w:type="dxa" w:w="1440"/>
            <w:shd w:fill="FAFAFA" w:val="clear"/>
          </w:tcPr>
          <w:p>
            <w:r>
              <w:rPr>
                <w:b/>
                <w:sz w:val="17"/>
              </w:rPr>
              <w:t>3,294</w:t>
            </w:r>
          </w:p>
        </w:tc>
        <w:tc>
          <w:tcPr>
            <w:tcW w:type="dxa" w:w="1440"/>
            <w:shd w:fill="FAFAFA" w:val="clear"/>
          </w:tcPr>
          <w:p>
            <w:r>
              <w:rPr>
                <w:sz w:val="17"/>
              </w:rPr>
              <w:t>3,506</w:t>
            </w:r>
          </w:p>
        </w:tc>
        <w:tc>
          <w:tcPr>
            <w:tcW w:type="dxa" w:w="1440"/>
            <w:shd w:fill="FAFAFA" w:val="clear"/>
          </w:tcPr>
          <w:p>
            <w:r>
              <w:rPr>
                <w:b/>
                <w:color w:val="008000"/>
                <w:sz w:val="17"/>
              </w:rPr>
              <w:t>+0.1%</w:t>
            </w:r>
          </w:p>
        </w:tc>
      </w:tr>
      <w:tr>
        <w:tc>
          <w:tcPr>
            <w:tcW w:type="dxa" w:w="1440"/>
            <w:shd w:fill="FAFAFA" w:val="clear"/>
          </w:tcPr>
          <w:p>
            <w:r>
              <w:rPr>
                <w:sz w:val="17"/>
              </w:rPr>
              <w:t>J+5  Moyenne</w:t>
            </w:r>
          </w:p>
        </w:tc>
        <w:tc>
          <w:tcPr>
            <w:tcW w:type="dxa" w:w="1440"/>
            <w:shd w:fill="FAFAFA" w:val="clear"/>
          </w:tcPr>
          <w:p>
            <w:r>
              <w:rPr>
                <w:sz w:val="17"/>
              </w:rPr>
              <w:t>2026-10-19</w:t>
            </w:r>
          </w:p>
        </w:tc>
        <w:tc>
          <w:tcPr>
            <w:tcW w:type="dxa" w:w="1440"/>
            <w:shd w:fill="FAFAFA" w:val="clear"/>
          </w:tcPr>
          <w:p>
            <w:r>
              <w:rPr>
                <w:sz w:val="17"/>
              </w:rPr>
              <w:t>3,053</w:t>
            </w:r>
          </w:p>
        </w:tc>
        <w:tc>
          <w:tcPr>
            <w:tcW w:type="dxa" w:w="1440"/>
            <w:shd w:fill="FAFAFA" w:val="clear"/>
          </w:tcPr>
          <w:p>
            <w:r>
              <w:rPr>
                <w:b/>
                <w:sz w:val="17"/>
              </w:rPr>
              <w:t>3,290</w:t>
            </w:r>
          </w:p>
        </w:tc>
        <w:tc>
          <w:tcPr>
            <w:tcW w:type="dxa" w:w="1440"/>
            <w:shd w:fill="FAFAFA" w:val="clear"/>
          </w:tcPr>
          <w:p>
            <w:r>
              <w:rPr>
                <w:sz w:val="17"/>
              </w:rPr>
              <w:t>3,527</w:t>
            </w:r>
          </w:p>
        </w:tc>
        <w:tc>
          <w:tcPr>
            <w:tcW w:type="dxa" w:w="1440"/>
            <w:shd w:fill="FAFAFA" w:val="clear"/>
          </w:tcPr>
          <w:p>
            <w:r>
              <w:rPr>
                <w:b/>
                <w:color w:val="008000"/>
                <w:sz w:val="17"/>
              </w:rPr>
              <w:t>+0.0%</w:t>
            </w:r>
          </w:p>
        </w:tc>
      </w:tr>
      <w:tr>
        <w:tc>
          <w:tcPr>
            <w:tcW w:type="dxa" w:w="1440"/>
            <w:shd w:fill="FAFAFA" w:val="clear"/>
          </w:tcPr>
          <w:p>
            <w:r>
              <w:rPr>
                <w:sz w:val="17"/>
              </w:rPr>
              <w:t>J+6  Moyenne</w:t>
            </w:r>
          </w:p>
        </w:tc>
        <w:tc>
          <w:tcPr>
            <w:tcW w:type="dxa" w:w="1440"/>
            <w:shd w:fill="FAFAFA" w:val="clear"/>
          </w:tcPr>
          <w:p>
            <w:r>
              <w:rPr>
                <w:sz w:val="17"/>
              </w:rPr>
              <w:t>2026-10-20</w:t>
            </w:r>
          </w:p>
        </w:tc>
        <w:tc>
          <w:tcPr>
            <w:tcW w:type="dxa" w:w="1440"/>
            <w:shd w:fill="FAFAFA" w:val="clear"/>
          </w:tcPr>
          <w:p>
            <w:r>
              <w:rPr>
                <w:sz w:val="17"/>
              </w:rPr>
              <w:t>3,025</w:t>
            </w:r>
          </w:p>
        </w:tc>
        <w:tc>
          <w:tcPr>
            <w:tcW w:type="dxa" w:w="1440"/>
            <w:shd w:fill="FAFAFA" w:val="clear"/>
          </w:tcPr>
          <w:p>
            <w:r>
              <w:rPr>
                <w:b/>
                <w:sz w:val="17"/>
              </w:rPr>
              <w:t>3,284</w:t>
            </w:r>
          </w:p>
        </w:tc>
        <w:tc>
          <w:tcPr>
            <w:tcW w:type="dxa" w:w="1440"/>
            <w:shd w:fill="FAFAFA" w:val="clear"/>
          </w:tcPr>
          <w:p>
            <w:r>
              <w:rPr>
                <w:sz w:val="17"/>
              </w:rPr>
              <w:t>3,543</w:t>
            </w:r>
          </w:p>
        </w:tc>
        <w:tc>
          <w:tcPr>
            <w:tcW w:type="dxa" w:w="1440"/>
            <w:shd w:fill="FAFAFA" w:val="clear"/>
          </w:tcPr>
          <w:p>
            <w:r>
              <w:rPr>
                <w:b/>
                <w:color w:val="C00000"/>
                <w:sz w:val="17"/>
              </w:rPr>
              <w:t>-0.2%</w:t>
            </w:r>
          </w:p>
        </w:tc>
      </w:tr>
      <w:tr>
        <w:tc>
          <w:tcPr>
            <w:tcW w:type="dxa" w:w="1440"/>
            <w:shd w:fill="FAFAFA" w:val="clear"/>
          </w:tcPr>
          <w:p>
            <w:r>
              <w:rPr>
                <w:sz w:val="17"/>
              </w:rPr>
              <w:t>J+7  Moyenne</w:t>
            </w:r>
          </w:p>
        </w:tc>
        <w:tc>
          <w:tcPr>
            <w:tcW w:type="dxa" w:w="1440"/>
            <w:shd w:fill="FAFAFA" w:val="clear"/>
          </w:tcPr>
          <w:p>
            <w:r>
              <w:rPr>
                <w:sz w:val="17"/>
              </w:rPr>
              <w:t>2026-10-21</w:t>
            </w:r>
          </w:p>
        </w:tc>
        <w:tc>
          <w:tcPr>
            <w:tcW w:type="dxa" w:w="1440"/>
            <w:shd w:fill="FAFAFA" w:val="clear"/>
          </w:tcPr>
          <w:p>
            <w:r>
              <w:rPr>
                <w:sz w:val="17"/>
              </w:rPr>
              <w:t>2,998</w:t>
            </w:r>
          </w:p>
        </w:tc>
        <w:tc>
          <w:tcPr>
            <w:tcW w:type="dxa" w:w="1440"/>
            <w:shd w:fill="FAFAFA" w:val="clear"/>
          </w:tcPr>
          <w:p>
            <w:r>
              <w:rPr>
                <w:b/>
                <w:sz w:val="17"/>
              </w:rPr>
              <w:t>3,277</w:t>
            </w:r>
          </w:p>
        </w:tc>
        <w:tc>
          <w:tcPr>
            <w:tcW w:type="dxa" w:w="1440"/>
            <w:shd w:fill="FAFAFA" w:val="clear"/>
          </w:tcPr>
          <w:p>
            <w:r>
              <w:rPr>
                <w:sz w:val="17"/>
              </w:rPr>
              <w:t>3,556</w:t>
            </w:r>
          </w:p>
        </w:tc>
        <w:tc>
          <w:tcPr>
            <w:tcW w:type="dxa" w:w="1440"/>
            <w:shd w:fill="FAFAFA" w:val="clear"/>
          </w:tcPr>
          <w:p>
            <w:r>
              <w:rPr>
                <w:b/>
                <w:color w:val="C00000"/>
                <w:sz w:val="17"/>
              </w:rPr>
              <w:t>-0.4%</w:t>
            </w:r>
          </w:p>
        </w:tc>
      </w:tr>
      <w:tr>
        <w:tc>
          <w:tcPr>
            <w:tcW w:type="dxa" w:w="1440"/>
            <w:shd w:fill="FAFAFA" w:val="clear"/>
          </w:tcPr>
          <w:p>
            <w:r>
              <w:rPr>
                <w:sz w:val="17"/>
              </w:rPr>
              <w:t>J+8  Moyenne</w:t>
            </w:r>
          </w:p>
        </w:tc>
        <w:tc>
          <w:tcPr>
            <w:tcW w:type="dxa" w:w="1440"/>
            <w:shd w:fill="FAFAFA" w:val="clear"/>
          </w:tcPr>
          <w:p>
            <w:r>
              <w:rPr>
                <w:sz w:val="17"/>
              </w:rPr>
              <w:t>2026-10-22</w:t>
            </w:r>
          </w:p>
        </w:tc>
        <w:tc>
          <w:tcPr>
            <w:tcW w:type="dxa" w:w="1440"/>
            <w:shd w:fill="FAFAFA" w:val="clear"/>
          </w:tcPr>
          <w:p>
            <w:r>
              <w:rPr>
                <w:sz w:val="17"/>
              </w:rPr>
              <w:t>2,972</w:t>
            </w:r>
          </w:p>
        </w:tc>
        <w:tc>
          <w:tcPr>
            <w:tcW w:type="dxa" w:w="1440"/>
            <w:shd w:fill="FAFAFA" w:val="clear"/>
          </w:tcPr>
          <w:p>
            <w:r>
              <w:rPr>
                <w:b/>
                <w:sz w:val="17"/>
              </w:rPr>
              <w:t>3,270</w:t>
            </w:r>
          </w:p>
        </w:tc>
        <w:tc>
          <w:tcPr>
            <w:tcW w:type="dxa" w:w="1440"/>
            <w:shd w:fill="FAFAFA" w:val="clear"/>
          </w:tcPr>
          <w:p>
            <w:r>
              <w:rPr>
                <w:sz w:val="17"/>
              </w:rPr>
              <w:t>3,567</w:t>
            </w:r>
          </w:p>
        </w:tc>
        <w:tc>
          <w:tcPr>
            <w:tcW w:type="dxa" w:w="1440"/>
            <w:shd w:fill="FAFAFA" w:val="clear"/>
          </w:tcPr>
          <w:p>
            <w:r>
              <w:rPr>
                <w:b/>
                <w:color w:val="C00000"/>
                <w:sz w:val="17"/>
              </w:rPr>
              <w:t>-0.6%</w:t>
            </w:r>
          </w:p>
        </w:tc>
      </w:tr>
      <w:tr>
        <w:tc>
          <w:tcPr>
            <w:tcW w:type="dxa" w:w="1440"/>
            <w:shd w:fill="FAFAFA" w:val="clear"/>
          </w:tcPr>
          <w:p>
            <w:r>
              <w:rPr>
                <w:sz w:val="17"/>
              </w:rPr>
              <w:t>J+9  Moyenne</w:t>
            </w:r>
          </w:p>
        </w:tc>
        <w:tc>
          <w:tcPr>
            <w:tcW w:type="dxa" w:w="1440"/>
            <w:shd w:fill="FAFAFA" w:val="clear"/>
          </w:tcPr>
          <w:p>
            <w:r>
              <w:rPr>
                <w:sz w:val="17"/>
              </w:rPr>
              <w:t>2026-10-23</w:t>
            </w:r>
          </w:p>
        </w:tc>
        <w:tc>
          <w:tcPr>
            <w:tcW w:type="dxa" w:w="1440"/>
            <w:shd w:fill="FAFAFA" w:val="clear"/>
          </w:tcPr>
          <w:p>
            <w:r>
              <w:rPr>
                <w:sz w:val="17"/>
              </w:rPr>
              <w:t>2,948</w:t>
            </w:r>
          </w:p>
        </w:tc>
        <w:tc>
          <w:tcPr>
            <w:tcW w:type="dxa" w:w="1440"/>
            <w:shd w:fill="FAFAFA" w:val="clear"/>
          </w:tcPr>
          <w:p>
            <w:r>
              <w:rPr>
                <w:b/>
                <w:sz w:val="17"/>
              </w:rPr>
              <w:t>3,263</w:t>
            </w:r>
          </w:p>
        </w:tc>
        <w:tc>
          <w:tcPr>
            <w:tcW w:type="dxa" w:w="1440"/>
            <w:shd w:fill="FAFAFA" w:val="clear"/>
          </w:tcPr>
          <w:p>
            <w:r>
              <w:rPr>
                <w:sz w:val="17"/>
              </w:rPr>
              <w:t>3,578</w:t>
            </w:r>
          </w:p>
        </w:tc>
        <w:tc>
          <w:tcPr>
            <w:tcW w:type="dxa" w:w="1440"/>
            <w:shd w:fill="FAFAFA" w:val="clear"/>
          </w:tcPr>
          <w:p>
            <w:r>
              <w:rPr>
                <w:b/>
                <w:color w:val="C00000"/>
                <w:sz w:val="17"/>
              </w:rPr>
              <w:t>-0.8%</w:t>
            </w:r>
          </w:p>
        </w:tc>
      </w:tr>
      <w:tr>
        <w:tc>
          <w:tcPr>
            <w:tcW w:type="dxa" w:w="1440"/>
            <w:shd w:fill="FAFAFA" w:val="clear"/>
          </w:tcPr>
          <w:p>
            <w:r>
              <w:rPr>
                <w:sz w:val="17"/>
              </w:rPr>
              <w:t>J+10  Moyenne</w:t>
            </w:r>
          </w:p>
        </w:tc>
        <w:tc>
          <w:tcPr>
            <w:tcW w:type="dxa" w:w="1440"/>
            <w:shd w:fill="FAFAFA" w:val="clear"/>
          </w:tcPr>
          <w:p>
            <w:r>
              <w:rPr>
                <w:sz w:val="17"/>
              </w:rPr>
              <w:t>2026-10-26</w:t>
            </w:r>
          </w:p>
        </w:tc>
        <w:tc>
          <w:tcPr>
            <w:tcW w:type="dxa" w:w="1440"/>
            <w:shd w:fill="FAFAFA" w:val="clear"/>
          </w:tcPr>
          <w:p>
            <w:r>
              <w:rPr>
                <w:sz w:val="17"/>
              </w:rPr>
              <w:t>2,926</w:t>
            </w:r>
          </w:p>
        </w:tc>
        <w:tc>
          <w:tcPr>
            <w:tcW w:type="dxa" w:w="1440"/>
            <w:shd w:fill="FAFAFA" w:val="clear"/>
          </w:tcPr>
          <w:p>
            <w:r>
              <w:rPr>
                <w:b/>
                <w:sz w:val="17"/>
              </w:rPr>
              <w:t>3,257</w:t>
            </w:r>
          </w:p>
        </w:tc>
        <w:tc>
          <w:tcPr>
            <w:tcW w:type="dxa" w:w="1440"/>
            <w:shd w:fill="FAFAFA" w:val="clear"/>
          </w:tcPr>
          <w:p>
            <w:r>
              <w:rPr>
                <w:sz w:val="17"/>
              </w:rPr>
              <w:t>3,589</w:t>
            </w:r>
          </w:p>
        </w:tc>
        <w:tc>
          <w:tcPr>
            <w:tcW w:type="dxa" w:w="1440"/>
            <w:shd w:fill="FAFAFA" w:val="clear"/>
          </w:tcPr>
          <w:p>
            <w:r>
              <w:rPr>
                <w:b/>
                <w:color w:val="C00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19,48 Mds FCFA, CABC se situe dans la catégorie des petites capitalisations de la BRVM, ce qui implique une liquidité limitée et une sensibilité accrue aux mouvements de portefeuille. Le BPA de 243 FCFA/action indique ce que chaque titre génère en bénéfice net, tandis que le PER de 13,5x traduit une valorisation modérée mais légèrement supérieure à la moyenne du marché BRVM (~8-12x), suggérant que les investisseurs intègrent déjà une part de croissance attendue. Le P/B de 2,08x montre que le marché valorise l'action à plus du double de sa valeur comptable, accordant une prime de croissance justifiée par la solidité du bilan. Enfin, l'EV/EBITDA de 6,7x, dans la fourchette raisonnable de 5-10x, indique que la valeur totale de l'entreprise (dette incluse) reste cohérente avec sa capacité opérationnelle, sans surévaluation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CABC affiche une variation totale de -3,24%, mais la dernière séance (J-1) enregistre un rebond notable de +3,46%, portant le cours actuel à 3 290 FCFA. Le range de trading est large, avec un plus haut à 4 500 FCFA et un plus bas à 3 175 FCFA, soit un écart de plus de 41%, témoignant d'une forte amplitude. La tendance générale est baissière sur la période, le cours actuel se situant sous la moyenne (3 669 FCFA) et la médiane (3 592 FCFA), avec un mode à 3 500 FCFA. L'écart entre moyenne et médiane (77 FCFA) confirme une distribution asymétrique, renforcée par un skewness de 0,810 indiquant davantage de journées sous la moyenne. L'écart-type de 305 FCFA (CV=8,3%) traduit une dispersion modérée, tandis que le kurtosis de 0,259 (mésokurtique) suggère une distribution proche de la normale, sans risque extrême de pics. La volatilité annualisée de 45,1% classe le titre dans la catégorie des valeurs à volatilité élevée (&gt;30%), ce qui implique un risque significatif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(3 337 FCFA) et la MM50 (3 456,3 FCFA) se situent toutes deux au-dessus du cours actuel (3 290 FCFA), confirmant une pression baissière. La MM20 étant inférieure à la MM50, la configuration reste négative, justifiant la décision de vente.</w:t>
      </w:r>
    </w:p>
    <w:p>
      <w:pPr>
        <w:spacing w:after="120" w:line="276" w:lineRule="auto"/>
      </w:pPr>
      <w:r>
        <w:t>**Bandes de Bollinger** : Le cours (3 290 FCFA) évolue entre la borne inférieure (3 126,4 FCFA) et la borne supérieure (3 547,6 FCFA), plus proche de la borne basse. Cette position médiane-basse traduit une volatilité modérée et une absence de signal directionnel fort, d'où la décision neutre.</w:t>
      </w:r>
    </w:p>
    <w:p>
      <w:pPr>
        <w:spacing w:after="120" w:line="276" w:lineRule="auto"/>
      </w:pPr>
      <w:r>
        <w:t>**MACD** : La valeur du MACD (-71,251) est inférieure à son signal (-68,089), confirmant un momentum baissier persistant. La divergence négative entre les deux lignes justifie la décision de vente, bien que l'écart reste limité.</w:t>
      </w:r>
    </w:p>
    <w:p>
      <w:pPr>
        <w:spacing w:after="120" w:line="276" w:lineRule="auto"/>
      </w:pPr>
      <w:r>
        <w:t>**RSI** : À 43,333, le RSI se situe en zone neutre (30-70), sans signal de surachat ni de survente. Cette position médiane indique un équilibre entre acheteurs et vendeurs, justifiant la décision neutre.</w:t>
      </w:r>
    </w:p>
    <w:p>
      <w:pPr>
        <w:spacing w:after="120" w:line="276" w:lineRule="auto"/>
      </w:pPr>
      <w:r>
        <w:t>**Stochastique** : Le %K (51,111) est supérieur au %D (17,778), suggérant un croisement haussier potentiel à court terme. Toutefois, la décision reste neutre car le signal n'est pas encore confirmé par une remontée franche des deux lignes.</w:t>
      </w:r>
    </w:p>
    <w:p>
      <w:pPr>
        <w:spacing w:after="120" w:line="276" w:lineRule="auto"/>
      </w:pPr>
      <w:r>
        <w:t>**Conclusion technique** : Les indicateurs sont majoritairement baissiers (MM, MACD) ou neutres (Bollinger, RSI, Stochastique), sans convergence haussière claire. Le rebond de J-1 (+3,46%) pourrait signaler un début de retournement, mais il reste isolé et non confirmé par les moyennes mobiles. La prudence reste de mise, avec une tendance de fond toujours négative.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données structurées officielles indiquent un chiffre d'affaires de 21 263 Mds FCFA (contre 19 125 Mds en 2024, soit +11,2%), un résultat net de 1 439 Mds FCFA (contre 1 375 Mds en 2024, +4,7%), un ROE de 15,40% (excellent, &gt;15%) et un ROA de 6,10%. La marge nette s'établit à 6,77%, en légère baisse par rapport aux 7,2% de 2024, tandis que la marge opérationnelle reste solide à 9,82%. Le BFR de 7 186 Mds FCFA est positif, ce qui est défavorable pour une entreprise (contrairement à un BFR négatif), et les délais clients (144,69 jours) et de stockage (152,12 jours) sont élevés, signalant un risque de trésorerie important. L'autonomie financière de 39,58% est saine (&gt;30%), mais le ratio d'endettement de 60,42% et la liquidité immédiate de 59,46% appellent à la vigilance. Les rapports trimestriels récents (T3 2025, S1 2025) confirment une dynamique positive : le CA cumulé à fin septembre 2025 atteint 16 630 M FCFA (+13,7%), avec un résultat net de 1 329,5 M FCFA (+26,0%). Toutefois, le rapport T1 2026 (daté 2026) révèle une dégradation brutale : CA en baisse de 26,5% à 3 794 M FCFA et une perte nette de 221,7 M FCFA, due à une maintenance planifiée et à l'inflation des cours des métaux (+23% en 3 mois). La direction anticipe une normalisation dès le T2 2026. La recommandation fondamentale est de **conserver** le titre, en surveillant étroitement la trésorerie, le BFR et la volatilité des matières premières, avec un risque de dégradation si la reprise ne se matérialise pas au T2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modérée (PER 13,5x, P/B 2,08x, EV/EBITDA 6,7x), sans sous-évaluation flagrante mais sans excès manifeste. Le comportement du cours (Partie 1) est préoccupant : tendance baissière (-3,24%), volatilité élevée (45,1%), skewness positif (0,810) et cours sous les moyennes, malgré un rebond de J-1 (+3,46%). Les signaux techniques (Partie 2) sont majoritairement baissiers (MM, MACD) ou neutres (Bollinger, RSI, Stochastique), sans convergence haussière. Les fondamentaux (Partie 3) montrent une croissance du CA et du résultat net en 2025, mais une dégradation brutale au T1 2026 (perte nette de 221,7 M FCFA) et des risques persistants (BFR élevé, délais clients longs, volatilité des métaux). Les prédictions IA (J+1 à J+10) anticipent une stabilisation autour de 3 279-3 295 FCFA, confirmant l'absence de tendance haussière claire. Sur la base de cette synthèse, la recommandation finale est **CONSERVER**, avec un niveau de confiance **Moyen** et un risque global **Élevé**. L'horizon d'investissement optimal est le **moyen terme (3-12 mois)**, en attendant la confirmation d'une reprise au T2 2026 et une amélioration des indicateurs techniques. Une dégradation supplémentaire des fondamentaux ou une cassure sous 3 175 FCFA justifierait une passage à **VENTE**.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13.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960.48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1,519 titres</w:t>
            </w:r>
          </w:p>
        </w:tc>
        <w:tc>
          <w:tcPr>
            <w:tcW w:type="dxa" w:w="2268"/>
            <w:shd w:fill="FFF2CC" w:val="clear"/>
          </w:tcPr>
          <w:p>
            <w:r>
              <w:rPr>
                <w:b/>
                <w:color w:val="503200"/>
                <w:sz w:val="16"/>
              </w:rPr>
              <w:t xml:space="preserve">Cours actuel : </w:t>
            </w:r>
            <w:r>
              <w:rPr>
                <w:color w:val="000000"/>
                <w:sz w:val="17"/>
              </w:rPr>
              <w:t>30,015 FCFA</w:t>
            </w:r>
          </w:p>
          <w:p>
            <w:r>
              <w:rPr>
                <w:b/>
                <w:color w:val="503200"/>
                <w:sz w:val="16"/>
              </w:rPr>
              <w:t xml:space="preserve">Var. 100 jours : </w:t>
            </w:r>
            <w:r>
              <w:rPr>
                <w:b/>
                <w:color w:val="007800"/>
                <w:sz w:val="17"/>
              </w:rPr>
              <w:t>+46.41%</w:t>
            </w:r>
          </w:p>
          <w:p>
            <w:r>
              <w:rPr>
                <w:b/>
                <w:color w:val="503200"/>
                <w:sz w:val="16"/>
              </w:rPr>
              <w:t xml:space="preserve">Plus haut 100j : </w:t>
            </w:r>
            <w:r>
              <w:rPr>
                <w:color w:val="000000"/>
                <w:sz w:val="17"/>
              </w:rPr>
              <w:t>34,450 FCFA</w:t>
            </w:r>
          </w:p>
          <w:p>
            <w:r>
              <w:rPr>
                <w:b/>
                <w:color w:val="503200"/>
                <w:sz w:val="16"/>
              </w:rPr>
              <w:t xml:space="preserve">Plus bas 100j : </w:t>
            </w:r>
            <w:r>
              <w:rPr>
                <w:color w:val="000000"/>
                <w:sz w:val="17"/>
              </w:rPr>
              <w:t>20,500 FCFA</w:t>
            </w:r>
          </w:p>
          <w:p>
            <w:r>
              <w:rPr>
                <w:b/>
                <w:color w:val="503200"/>
                <w:sz w:val="16"/>
              </w:rPr>
              <w:t xml:space="preserve">Volatilité ann. : </w:t>
            </w:r>
            <w:r>
              <w:rPr>
                <w:color w:val="000000"/>
                <w:sz w:val="17"/>
              </w:rPr>
              <w:t>44.2%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15.57% (Élevée) — μ=27,374 FCFA, σ=4,262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β=1.3482 (Agressif) — Cov=0.000099, Var(idx)=0.000073, ρ=0.413,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1,519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σ_j=2.78%/j (Stable) — Vol. annualisée≈44.2%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2026-10-13</w:t>
            </w:r>
          </w:p>
        </w:tc>
        <w:tc>
          <w:tcPr>
            <w:tcW w:type="dxa" w:w="1440"/>
            <w:shd w:fill="FAFAFA" w:val="clear"/>
          </w:tcPr>
          <w:p>
            <w:r>
              <w:rPr>
                <w:sz w:val="17"/>
              </w:rPr>
              <w:t>28,118</w:t>
            </w:r>
          </w:p>
        </w:tc>
        <w:tc>
          <w:tcPr>
            <w:tcW w:type="dxa" w:w="1440"/>
            <w:shd w:fill="FAFAFA" w:val="clear"/>
          </w:tcPr>
          <w:p>
            <w:r>
              <w:rPr>
                <w:b/>
                <w:sz w:val="17"/>
              </w:rPr>
              <w:t>29,714</w:t>
            </w:r>
          </w:p>
        </w:tc>
        <w:tc>
          <w:tcPr>
            <w:tcW w:type="dxa" w:w="1440"/>
            <w:shd w:fill="FAFAFA" w:val="clear"/>
          </w:tcPr>
          <w:p>
            <w:r>
              <w:rPr>
                <w:sz w:val="17"/>
              </w:rPr>
              <w:t>31,310</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2026-10-14</w:t>
            </w:r>
          </w:p>
        </w:tc>
        <w:tc>
          <w:tcPr>
            <w:tcW w:type="dxa" w:w="1440"/>
            <w:shd w:fill="FAFAFA" w:val="clear"/>
          </w:tcPr>
          <w:p>
            <w:r>
              <w:rPr>
                <w:sz w:val="17"/>
              </w:rPr>
              <w:t>27,250</w:t>
            </w:r>
          </w:p>
        </w:tc>
        <w:tc>
          <w:tcPr>
            <w:tcW w:type="dxa" w:w="1440"/>
            <w:shd w:fill="FAFAFA" w:val="clear"/>
          </w:tcPr>
          <w:p>
            <w:r>
              <w:rPr>
                <w:b/>
                <w:sz w:val="17"/>
              </w:rPr>
              <w:t>29,491</w:t>
            </w:r>
          </w:p>
        </w:tc>
        <w:tc>
          <w:tcPr>
            <w:tcW w:type="dxa" w:w="1440"/>
            <w:shd w:fill="FAFAFA" w:val="clear"/>
          </w:tcPr>
          <w:p>
            <w:r>
              <w:rPr>
                <w:sz w:val="17"/>
              </w:rPr>
              <w:t>31,731</w:t>
            </w:r>
          </w:p>
        </w:tc>
        <w:tc>
          <w:tcPr>
            <w:tcW w:type="dxa" w:w="1440"/>
            <w:shd w:fill="FAFAFA" w:val="clear"/>
          </w:tcPr>
          <w:p>
            <w:r>
              <w:rPr>
                <w:b/>
                <w:color w:val="C00000"/>
                <w:sz w:val="17"/>
              </w:rPr>
              <w:t>-1.7%</w:t>
            </w:r>
          </w:p>
        </w:tc>
      </w:tr>
      <w:tr>
        <w:tc>
          <w:tcPr>
            <w:tcW w:type="dxa" w:w="1440"/>
            <w:shd w:fill="FFDCE0" w:val="clear"/>
          </w:tcPr>
          <w:p>
            <w:r>
              <w:rPr>
                <w:sz w:val="17"/>
              </w:rPr>
              <w:t>J+3  Moyenne</w:t>
            </w:r>
          </w:p>
        </w:tc>
        <w:tc>
          <w:tcPr>
            <w:tcW w:type="dxa" w:w="1440"/>
            <w:shd w:fill="FFDCE0" w:val="clear"/>
          </w:tcPr>
          <w:p>
            <w:r>
              <w:rPr>
                <w:sz w:val="17"/>
              </w:rPr>
              <w:t>2026-10-15</w:t>
            </w:r>
          </w:p>
        </w:tc>
        <w:tc>
          <w:tcPr>
            <w:tcW w:type="dxa" w:w="1440"/>
            <w:shd w:fill="FFDCE0" w:val="clear"/>
          </w:tcPr>
          <w:p>
            <w:r>
              <w:rPr>
                <w:sz w:val="17"/>
              </w:rPr>
              <w:t>26,592</w:t>
            </w:r>
          </w:p>
        </w:tc>
        <w:tc>
          <w:tcPr>
            <w:tcW w:type="dxa" w:w="1440"/>
            <w:shd w:fill="FFDCE0" w:val="clear"/>
          </w:tcPr>
          <w:p>
            <w:r>
              <w:rPr>
                <w:b/>
                <w:sz w:val="17"/>
              </w:rPr>
              <w:t>29,321</w:t>
            </w:r>
          </w:p>
        </w:tc>
        <w:tc>
          <w:tcPr>
            <w:tcW w:type="dxa" w:w="1440"/>
            <w:shd w:fill="FFDCE0" w:val="clear"/>
          </w:tcPr>
          <w:p>
            <w:r>
              <w:rPr>
                <w:sz w:val="17"/>
              </w:rPr>
              <w:t>32,049</w:t>
            </w:r>
          </w:p>
        </w:tc>
        <w:tc>
          <w:tcPr>
            <w:tcW w:type="dxa" w:w="1440"/>
            <w:shd w:fill="FFDCE0" w:val="clear"/>
          </w:tcPr>
          <w:p>
            <w:r>
              <w:rPr>
                <w:b/>
                <w:color w:val="C00000"/>
                <w:sz w:val="17"/>
              </w:rPr>
              <w:t>-2.3%</w:t>
            </w:r>
          </w:p>
        </w:tc>
      </w:tr>
      <w:tr>
        <w:tc>
          <w:tcPr>
            <w:tcW w:type="dxa" w:w="1440"/>
            <w:shd w:fill="FFDCE0" w:val="clear"/>
          </w:tcPr>
          <w:p>
            <w:r>
              <w:rPr>
                <w:sz w:val="17"/>
              </w:rPr>
              <w:t>J+4  ⭐</w:t>
            </w:r>
          </w:p>
        </w:tc>
        <w:tc>
          <w:tcPr>
            <w:tcW w:type="dxa" w:w="1440"/>
            <w:shd w:fill="FFDCE0" w:val="clear"/>
          </w:tcPr>
          <w:p>
            <w:r>
              <w:rPr>
                <w:sz w:val="17"/>
              </w:rPr>
              <w:t>2026-10-16</w:t>
            </w:r>
          </w:p>
        </w:tc>
        <w:tc>
          <w:tcPr>
            <w:tcW w:type="dxa" w:w="1440"/>
            <w:shd w:fill="FFDCE0" w:val="clear"/>
          </w:tcPr>
          <w:p>
            <w:r>
              <w:rPr>
                <w:sz w:val="17"/>
              </w:rPr>
              <w:t>26,050</w:t>
            </w:r>
          </w:p>
        </w:tc>
        <w:tc>
          <w:tcPr>
            <w:tcW w:type="dxa" w:w="1440"/>
            <w:shd w:fill="FFDCE0" w:val="clear"/>
          </w:tcPr>
          <w:p>
            <w:r>
              <w:rPr>
                <w:b/>
                <w:sz w:val="17"/>
              </w:rPr>
              <w:t>29,186</w:t>
            </w:r>
          </w:p>
        </w:tc>
        <w:tc>
          <w:tcPr>
            <w:tcW w:type="dxa" w:w="1440"/>
            <w:shd w:fill="FFDCE0" w:val="clear"/>
          </w:tcPr>
          <w:p>
            <w:r>
              <w:rPr>
                <w:sz w:val="17"/>
              </w:rPr>
              <w:t>32,322</w:t>
            </w:r>
          </w:p>
        </w:tc>
        <w:tc>
          <w:tcPr>
            <w:tcW w:type="dxa" w:w="1440"/>
            <w:shd w:fill="FFDCE0" w:val="clear"/>
          </w:tcPr>
          <w:p>
            <w:r>
              <w:rPr>
                <w:b/>
                <w:color w:val="C00000"/>
                <w:sz w:val="17"/>
              </w:rPr>
              <w:t>-2.8%</w:t>
            </w:r>
          </w:p>
        </w:tc>
      </w:tr>
      <w:tr>
        <w:tc>
          <w:tcPr>
            <w:tcW w:type="dxa" w:w="1440"/>
            <w:shd w:fill="FFDCE0" w:val="clear"/>
          </w:tcPr>
          <w:p>
            <w:r>
              <w:rPr>
                <w:sz w:val="17"/>
              </w:rPr>
              <w:t>J+5  ⭐</w:t>
            </w:r>
          </w:p>
        </w:tc>
        <w:tc>
          <w:tcPr>
            <w:tcW w:type="dxa" w:w="1440"/>
            <w:shd w:fill="FFDCE0" w:val="clear"/>
          </w:tcPr>
          <w:p>
            <w:r>
              <w:rPr>
                <w:sz w:val="17"/>
              </w:rPr>
              <w:t>2026-10-19</w:t>
            </w:r>
          </w:p>
        </w:tc>
        <w:tc>
          <w:tcPr>
            <w:tcW w:type="dxa" w:w="1440"/>
            <w:shd w:fill="FFDCE0" w:val="clear"/>
          </w:tcPr>
          <w:p>
            <w:r>
              <w:rPr>
                <w:sz w:val="17"/>
              </w:rPr>
              <w:t>25,577</w:t>
            </w:r>
          </w:p>
        </w:tc>
        <w:tc>
          <w:tcPr>
            <w:tcW w:type="dxa" w:w="1440"/>
            <w:shd w:fill="FFDCE0" w:val="clear"/>
          </w:tcPr>
          <w:p>
            <w:r>
              <w:rPr>
                <w:b/>
                <w:sz w:val="17"/>
              </w:rPr>
              <w:t>29,069</w:t>
            </w:r>
          </w:p>
        </w:tc>
        <w:tc>
          <w:tcPr>
            <w:tcW w:type="dxa" w:w="1440"/>
            <w:shd w:fill="FFDCE0" w:val="clear"/>
          </w:tcPr>
          <w:p>
            <w:r>
              <w:rPr>
                <w:sz w:val="17"/>
              </w:rPr>
              <w:t>32,561</w:t>
            </w:r>
          </w:p>
        </w:tc>
        <w:tc>
          <w:tcPr>
            <w:tcW w:type="dxa" w:w="1440"/>
            <w:shd w:fill="FFDCE0" w:val="clear"/>
          </w:tcPr>
          <w:p>
            <w:r>
              <w:rPr>
                <w:b/>
                <w:color w:val="C00000"/>
                <w:sz w:val="17"/>
              </w:rPr>
              <w:t>-3.2%</w:t>
            </w:r>
          </w:p>
        </w:tc>
      </w:tr>
      <w:tr>
        <w:tc>
          <w:tcPr>
            <w:tcW w:type="dxa" w:w="1440"/>
            <w:shd w:fill="FFDCE0" w:val="clear"/>
          </w:tcPr>
          <w:p>
            <w:r>
              <w:rPr>
                <w:sz w:val="17"/>
              </w:rPr>
              <w:t>J+6  ⭐</w:t>
            </w:r>
          </w:p>
        </w:tc>
        <w:tc>
          <w:tcPr>
            <w:tcW w:type="dxa" w:w="1440"/>
            <w:shd w:fill="FFDCE0" w:val="clear"/>
          </w:tcPr>
          <w:p>
            <w:r>
              <w:rPr>
                <w:sz w:val="17"/>
              </w:rPr>
              <w:t>2026-10-20</w:t>
            </w:r>
          </w:p>
        </w:tc>
        <w:tc>
          <w:tcPr>
            <w:tcW w:type="dxa" w:w="1440"/>
            <w:shd w:fill="FFDCE0" w:val="clear"/>
          </w:tcPr>
          <w:p>
            <w:r>
              <w:rPr>
                <w:sz w:val="17"/>
              </w:rPr>
              <w:t>25,154</w:t>
            </w:r>
          </w:p>
        </w:tc>
        <w:tc>
          <w:tcPr>
            <w:tcW w:type="dxa" w:w="1440"/>
            <w:shd w:fill="FFDCE0" w:val="clear"/>
          </w:tcPr>
          <w:p>
            <w:r>
              <w:rPr>
                <w:b/>
                <w:sz w:val="17"/>
              </w:rPr>
              <w:t>28,965</w:t>
            </w:r>
          </w:p>
        </w:tc>
        <w:tc>
          <w:tcPr>
            <w:tcW w:type="dxa" w:w="1440"/>
            <w:shd w:fill="FFDCE0" w:val="clear"/>
          </w:tcPr>
          <w:p>
            <w:r>
              <w:rPr>
                <w:sz w:val="17"/>
              </w:rPr>
              <w:t>32,777</w:t>
            </w:r>
          </w:p>
        </w:tc>
        <w:tc>
          <w:tcPr>
            <w:tcW w:type="dxa" w:w="1440"/>
            <w:shd w:fill="FFDCE0" w:val="clear"/>
          </w:tcPr>
          <w:p>
            <w:r>
              <w:rPr>
                <w:b/>
                <w:color w:val="C00000"/>
                <w:sz w:val="17"/>
              </w:rPr>
              <w:t>-3.5%</w:t>
            </w:r>
          </w:p>
        </w:tc>
      </w:tr>
      <w:tr>
        <w:tc>
          <w:tcPr>
            <w:tcW w:type="dxa" w:w="1440"/>
            <w:shd w:fill="FFDCE0" w:val="clear"/>
          </w:tcPr>
          <w:p>
            <w:r>
              <w:rPr>
                <w:sz w:val="17"/>
              </w:rPr>
              <w:t>J+7  ⭐</w:t>
            </w:r>
          </w:p>
        </w:tc>
        <w:tc>
          <w:tcPr>
            <w:tcW w:type="dxa" w:w="1440"/>
            <w:shd w:fill="FFDCE0" w:val="clear"/>
          </w:tcPr>
          <w:p>
            <w:r>
              <w:rPr>
                <w:sz w:val="17"/>
              </w:rPr>
              <w:t>2026-10-21</w:t>
            </w:r>
          </w:p>
        </w:tc>
        <w:tc>
          <w:tcPr>
            <w:tcW w:type="dxa" w:w="1440"/>
            <w:shd w:fill="FFDCE0" w:val="clear"/>
          </w:tcPr>
          <w:p>
            <w:r>
              <w:rPr>
                <w:sz w:val="17"/>
              </w:rPr>
              <w:t>24,769</w:t>
            </w:r>
          </w:p>
        </w:tc>
        <w:tc>
          <w:tcPr>
            <w:tcW w:type="dxa" w:w="1440"/>
            <w:shd w:fill="FFDCE0" w:val="clear"/>
          </w:tcPr>
          <w:p>
            <w:r>
              <w:rPr>
                <w:b/>
                <w:sz w:val="17"/>
              </w:rPr>
              <w:t>28,872</w:t>
            </w:r>
          </w:p>
        </w:tc>
        <w:tc>
          <w:tcPr>
            <w:tcW w:type="dxa" w:w="1440"/>
            <w:shd w:fill="FFDCE0" w:val="clear"/>
          </w:tcPr>
          <w:p>
            <w:r>
              <w:rPr>
                <w:sz w:val="17"/>
              </w:rPr>
              <w:t>32,976</w:t>
            </w:r>
          </w:p>
        </w:tc>
        <w:tc>
          <w:tcPr>
            <w:tcW w:type="dxa" w:w="1440"/>
            <w:shd w:fill="FFDCE0" w:val="clear"/>
          </w:tcPr>
          <w:p>
            <w:r>
              <w:rPr>
                <w:b/>
                <w:color w:val="C00000"/>
                <w:sz w:val="17"/>
              </w:rPr>
              <w:t>-3.8%</w:t>
            </w:r>
          </w:p>
        </w:tc>
      </w:tr>
      <w:tr>
        <w:tc>
          <w:tcPr>
            <w:tcW w:type="dxa" w:w="1440"/>
            <w:shd w:fill="FFDCE0" w:val="clear"/>
          </w:tcPr>
          <w:p>
            <w:r>
              <w:rPr>
                <w:sz w:val="17"/>
              </w:rPr>
              <w:t>J+8  ⭐</w:t>
            </w:r>
          </w:p>
        </w:tc>
        <w:tc>
          <w:tcPr>
            <w:tcW w:type="dxa" w:w="1440"/>
            <w:shd w:fill="FFDCE0" w:val="clear"/>
          </w:tcPr>
          <w:p>
            <w:r>
              <w:rPr>
                <w:sz w:val="17"/>
              </w:rPr>
              <w:t>2026-10-22</w:t>
            </w:r>
          </w:p>
        </w:tc>
        <w:tc>
          <w:tcPr>
            <w:tcW w:type="dxa" w:w="1440"/>
            <w:shd w:fill="FFDCE0" w:val="clear"/>
          </w:tcPr>
          <w:p>
            <w:r>
              <w:rPr>
                <w:sz w:val="17"/>
              </w:rPr>
              <w:t>24,414</w:t>
            </w:r>
          </w:p>
        </w:tc>
        <w:tc>
          <w:tcPr>
            <w:tcW w:type="dxa" w:w="1440"/>
            <w:shd w:fill="FFDCE0" w:val="clear"/>
          </w:tcPr>
          <w:p>
            <w:r>
              <w:rPr>
                <w:b/>
                <w:sz w:val="17"/>
              </w:rPr>
              <w:t>28,788</w:t>
            </w:r>
          </w:p>
        </w:tc>
        <w:tc>
          <w:tcPr>
            <w:tcW w:type="dxa" w:w="1440"/>
            <w:shd w:fill="FFDCE0" w:val="clear"/>
          </w:tcPr>
          <w:p>
            <w:r>
              <w:rPr>
                <w:sz w:val="17"/>
              </w:rPr>
              <w:t>33,162</w:t>
            </w:r>
          </w:p>
        </w:tc>
        <w:tc>
          <w:tcPr>
            <w:tcW w:type="dxa" w:w="1440"/>
            <w:shd w:fill="FFDCE0" w:val="clear"/>
          </w:tcPr>
          <w:p>
            <w:r>
              <w:rPr>
                <w:b/>
                <w:color w:val="C00000"/>
                <w:sz w:val="17"/>
              </w:rPr>
              <w:t>-4.1%</w:t>
            </w:r>
          </w:p>
        </w:tc>
      </w:tr>
      <w:tr>
        <w:tc>
          <w:tcPr>
            <w:tcW w:type="dxa" w:w="1440"/>
            <w:shd w:fill="FFDCE0" w:val="clear"/>
          </w:tcPr>
          <w:p>
            <w:r>
              <w:rPr>
                <w:sz w:val="17"/>
              </w:rPr>
              <w:t>J+9  ⭐</w:t>
            </w:r>
          </w:p>
        </w:tc>
        <w:tc>
          <w:tcPr>
            <w:tcW w:type="dxa" w:w="1440"/>
            <w:shd w:fill="FFDCE0" w:val="clear"/>
          </w:tcPr>
          <w:p>
            <w:r>
              <w:rPr>
                <w:sz w:val="17"/>
              </w:rPr>
              <w:t>2026-10-23</w:t>
            </w:r>
          </w:p>
        </w:tc>
        <w:tc>
          <w:tcPr>
            <w:tcW w:type="dxa" w:w="1440"/>
            <w:shd w:fill="FFDCE0" w:val="clear"/>
          </w:tcPr>
          <w:p>
            <w:r>
              <w:rPr>
                <w:sz w:val="17"/>
              </w:rPr>
              <w:t>24,087</w:t>
            </w:r>
          </w:p>
        </w:tc>
        <w:tc>
          <w:tcPr>
            <w:tcW w:type="dxa" w:w="1440"/>
            <w:shd w:fill="FFDCE0" w:val="clear"/>
          </w:tcPr>
          <w:p>
            <w:r>
              <w:rPr>
                <w:b/>
                <w:sz w:val="17"/>
              </w:rPr>
              <w:t>28,715</w:t>
            </w:r>
          </w:p>
        </w:tc>
        <w:tc>
          <w:tcPr>
            <w:tcW w:type="dxa" w:w="1440"/>
            <w:shd w:fill="FFDCE0" w:val="clear"/>
          </w:tcPr>
          <w:p>
            <w:r>
              <w:rPr>
                <w:sz w:val="17"/>
              </w:rPr>
              <w:t>33,342</w:t>
            </w:r>
          </w:p>
        </w:tc>
        <w:tc>
          <w:tcPr>
            <w:tcW w:type="dxa" w:w="1440"/>
            <w:shd w:fill="FFDCE0" w:val="clear"/>
          </w:tcPr>
          <w:p>
            <w:r>
              <w:rPr>
                <w:b/>
                <w:color w:val="C00000"/>
                <w:sz w:val="17"/>
              </w:rPr>
              <w:t>-4.3%</w:t>
            </w:r>
          </w:p>
        </w:tc>
      </w:tr>
      <w:tr>
        <w:tc>
          <w:tcPr>
            <w:tcW w:type="dxa" w:w="1440"/>
            <w:shd w:fill="FFDCE0" w:val="clear"/>
          </w:tcPr>
          <w:p>
            <w:r>
              <w:rPr>
                <w:sz w:val="17"/>
              </w:rPr>
              <w:t>J+10  ⭐</w:t>
            </w:r>
          </w:p>
        </w:tc>
        <w:tc>
          <w:tcPr>
            <w:tcW w:type="dxa" w:w="1440"/>
            <w:shd w:fill="FFDCE0" w:val="clear"/>
          </w:tcPr>
          <w:p>
            <w:r>
              <w:rPr>
                <w:sz w:val="17"/>
              </w:rPr>
              <w:t>2026-10-26</w:t>
            </w:r>
          </w:p>
        </w:tc>
        <w:tc>
          <w:tcPr>
            <w:tcW w:type="dxa" w:w="1440"/>
            <w:shd w:fill="FFDCE0" w:val="clear"/>
          </w:tcPr>
          <w:p>
            <w:r>
              <w:rPr>
                <w:sz w:val="17"/>
              </w:rPr>
              <w:t>23,782</w:t>
            </w:r>
          </w:p>
        </w:tc>
        <w:tc>
          <w:tcPr>
            <w:tcW w:type="dxa" w:w="1440"/>
            <w:shd w:fill="FFDCE0" w:val="clear"/>
          </w:tcPr>
          <w:p>
            <w:r>
              <w:rPr>
                <w:b/>
                <w:sz w:val="17"/>
              </w:rPr>
              <w:t>28,649</w:t>
            </w:r>
          </w:p>
        </w:tc>
        <w:tc>
          <w:tcPr>
            <w:tcW w:type="dxa" w:w="1440"/>
            <w:shd w:fill="FFDCE0" w:val="clear"/>
          </w:tcPr>
          <w:p>
            <w:r>
              <w:rPr>
                <w:sz w:val="17"/>
              </w:rPr>
              <w:t>33,516</w:t>
            </w:r>
          </w:p>
        </w:tc>
        <w:tc>
          <w:tcPr>
            <w:tcW w:type="dxa" w:w="1440"/>
            <w:shd w:fill="FFDCE0" w:val="clear"/>
          </w:tcPr>
          <w:p>
            <w:r>
              <w:rPr>
                <w:b/>
                <w:color w:val="C00000"/>
                <w:sz w:val="17"/>
              </w:rPr>
              <w:t>-4.6%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 RAPPORT D'ANALYSE FINANCIÈRE — CORIS BANK INTERNATIONAL (CBIBF)</w:t>
        <w:br/>
        <w:t>**Bourse Régionale des Valeurs Mobilières (BRVM) — Secteur : Banque**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Coris Bank International affiche une capitalisation boursière de **960,48 milliards FCFA**, ce qui la positionne parmi les valeurs les plus capitalisées de la cote BRVM, confirmant son statut de poids lourd du compartiment bancaire régional. Avec un **BPA de 2 047 FCFA/action**, chaque titre génère un bénéfice net substantiel, reflet d'une rentabilité opérationnelle solide. Le **PER de 14,7x** se situe légèrement au-dessus de la moyenne BRVM (~8-12x), traduisant une prime de qualité que le marché accorde à la banque pour sa croissance et sa solidité, sans pour autant basculer dans une zone de surévaluation excessive. L'**EV/EBITDA de 10,9x**, dans la fourchette 10-15x, signale une valorisation élevée de la capacité opérationnelle, cohérente avec le profil de croissance de la banque. Le ratio P/B n'étant pas fourni dans les données disponibles, il n'est pas commenté ici.</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CBIBF a enregistré une **progression spectaculaire de +46,41%**, portant le cours à **30 015 FCFA**, avec une quasi-stabilité en dernière séance (**+0,03%**). Le range de trading est particulièrement large, oscillant entre un plus bas de **20 500 FCFA** et un plus haut de **34 450 FCFA**, soit une amplitude de près de 68%, témoignant d'une dynamique haussière puissante mais ponctuée de corrections. La tendance générale est clairement **haussière**, soutenue par la publication de résultats annuels 2025 exceptionnels (résultat net +36,6%). Les statistiques descriptives révèlent une **moyenne de 27 374 FCFA** inférieure à la **médiane de 28 322 FCFA**, suggérant une légère asymétrie négative confirmée par le **skewness de -0,173** (distribution quasi-symétrique mais avec quelques valeurs basses tirant la moyenne vers le bas). L'**écart-type de 4 284 FCFA (CV=15,6%)** indique une dispersion modérée du cours autour de sa moyenne. Le **kurtosis de -1,237 (platykurtique)** signale une distribution aplatie avec une faible concentration des rendements et un risque de pics extrêmes limité. La **volatilité annualisée de 44,2%** classe le titre dans la catégorie **élevée (&gt;30%)**, ce qui est cohérent avec un marché frontière comme la BRVM et appelle à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**31 776 FCFA** et la MM50 à **30 737,5 FCFA**, toutes deux supérieures au cours actuel de 30 015 FCFA. Le cours évolue donc sous ses moyennes court et moyen terme, ce qui traduit une consolidation après le rallye haussier. Toutefois, la MM20 reste au-dessus de la MM50 (configuration haussière de fond), ce qui justifie la décision technique **Achat** malgré la correction actuelle.</w:t>
      </w:r>
    </w:p>
    <w:p>
      <w:pPr>
        <w:spacing w:after="120" w:line="276" w:lineRule="auto"/>
      </w:pPr>
      <w:r>
        <w:t>**Bandes de Bollinger** : La borne supérieure se situe à **35 089,75 FCFA** et la borne inférieure à **28 462,25 FCFA**, encadrant un cours actuel de 30 015 FCFA positionné dans la moitié basse du canal. Cette position suggère que le titre a purgé une partie de sa surchauffe sans casser le support inférieur. La décision **Neutre** reflète l'absence de signal directionnel fort, le cours évoluant dans une zone médiane-basse du canal.</w:t>
      </w:r>
    </w:p>
    <w:p>
      <w:pPr>
        <w:spacing w:after="120" w:line="276" w:lineRule="auto"/>
      </w:pPr>
      <w:r>
        <w:t>**MACD** : La valeur du MACD est négative à **-193,194** contre un signal à **83,294**, générant une divergence baissière marquée (MACD &lt; Signal). Le momentum s'est clairement affaibli après le pic haussier, ce qui justifie la décision **Vente** à court terme, bien que cette configuration puisse aussi annoncer une phase d'accumulation si le cours se stabilise.</w:t>
      </w:r>
    </w:p>
    <w:p>
      <w:pPr>
        <w:spacing w:after="120" w:line="276" w:lineRule="auto"/>
      </w:pPr>
      <w:r>
        <w:t>**RSI** : À **38,973**, le RSI se situe dans la zone neutre basse (30-70), sans atteindre la zone de survente (&lt;30). Cela indique que le titre n'est ni suracheté ni survendu, laissant une marge de baisse résiduelle mais aussi un potentiel de rebond. La décision **Neutre** est cohérente avec cette position médiane.</w:t>
      </w:r>
    </w:p>
    <w:p>
      <w:pPr>
        <w:spacing w:after="120" w:line="276" w:lineRule="auto"/>
      </w:pPr>
      <w:r>
        <w:t>**Stochastique** : Le %K à **35,125** et le %D à **38,9** évoluent en zone basse, avec un %K légèrement inférieur au %D (croisement baissier naissant). Cette configuration suggère une pression vendeuse persistante à court terme mais proche d'une zone de retournement potentiel. La décision **Neutre** traduit cette incertitude.</w:t>
      </w:r>
    </w:p>
    <w:p>
      <w:pPr>
        <w:spacing w:after="120" w:line="276" w:lineRule="auto"/>
      </w:pPr>
      <w:r>
        <w:t>**Conclusion technique** : Les indicateurs présentent un tableau **mitigé à légèrement baissier** à court terme (MACD vendeur, cours sous les MM, stochastique bas), mais sans signal de capitulation (RSI neutre, cours au-dessus de la borne inférieure de Bollinger). La configuration de fond reste haussière (MM20 &gt; MM50), ce qui suggère une **consolidation plutôt qu'un retournement**. Une stabilisation au-dessus de 29 000-30 000 FCFA serait nécessaire pour confirmer la reprise.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Coris Bank International a réalisé un **Produit Net Bancaire (PNB) de 138,986 milliards FCFA**, en croissance de **+6,11%**, et un **résultat net de 65,495 milliards FCFA**, en progression spectaculaire de **+36,6%** par rapport aux 47,937 milliards de 2024 (rapport annuel 2024 daté du 31/12/2024). Cette performance est d'autant plus remarquable qu'elle succède à une année 2024 difficile (résultat net -25,4% en raison d'un coût du risque explosif de +72,5%). Le **coefficient d'exploitation de 36,39%** place la banque parmi les établissements les plus efficaces du secteur (seuil d'excellence &lt;50%), tandis que la **marge nette de 47,12%** et la **marge opérationnelle de 51,77%** confirment une rentabilité élevée. Le **ROA de 2,18%** et la **rotation des actifs de 4,64%** traduisent une utilisation efficiente du bilan de **2 997,78 milliards FCFA**. Le **coût du risque s'est amélioré de 59,3%** (16,5 milliards FCFA en 2025), signe d'un assainissement réussi du portefeuille de crédits (**1 326,98 milliards FCFA**), tandis que les **dépôts clientèle atteignent 2 015,28 milliards FCFA (+14,9%)**, offrant une ressource stable et abondante (ratio dépôts/crédits de 152%, excédent de liquidité).</w:t>
      </w:r>
    </w:p>
    <w:p>
      <w:pPr>
        <w:spacing w:after="120" w:line="276" w:lineRule="auto"/>
      </w:pPr>
      <w:r>
        <w:t>**Estimations basées sur les rapports trimestriels** : Le rapport T1 2026 (publié le 31/03/2026) révèle une **accélération spectaculaire** : PNB de **36,8 milliards FCFA (+28,5%)**, résultat net de **21,5 milliards FCFA (+22,2%)**, et surtout une **explosion des dépôts à 2 365,1 milliards FCFA (+37,9%)**. Sur cette base, on peut estimer que l'exercice 2026 devrait afficher un **PNB supérieur à 160 milliards FCFA** et un **résultat net approchant 80 milliards FCFA**, soit une nouvelle croissance à deux chiffres. Le rapport S1 2026 (daté du 30/06/2026) confirme cette dynamique avec une marge nette de 58,4% au T1. La notation **AA/AI avec perspective stable** (Bloomfield) et le renforcement de la gouvernance (administrateurs indépendants) consolident le profil de crédit.</w:t>
      </w:r>
    </w:p>
    <w:p>
      <w:pPr>
        <w:spacing w:after="120" w:line="276" w:lineRule="auto"/>
      </w:pPr>
      <w:r>
        <w:t>**Recommandation fondamentale** : La banque affiche une **solidité financière exceptionnelle**, une **croissance rentable** et une **gestion des risques maîtrisée**. Les risques résiduels (environnement sécuritaire burkinabè, concentration géographique, incertitudes UEMOA) sont réels mais atténués par la diversification régionale progressive et la qualité du bilan. **Recommandation : ACHAT**.</w:t>
      </w:r>
    </w:p>
    <w:p>
      <w:pPr>
        <w:spacing w:after="120" w:line="276" w:lineRule="auto"/>
      </w:pPr>
      <w:r>
        <w:t>---</w:t>
      </w:r>
    </w:p>
    <w:p>
      <w:pPr>
        <w:spacing w:after="120" w:line="276" w:lineRule="auto"/>
      </w:pPr>
      <w:r>
        <w:t>## PARTIE 4 : CONCLUSION D'INVESTISSEMENT</w:t>
      </w:r>
    </w:p>
    <w:p>
      <w:pPr>
        <w:spacing w:after="120" w:line="276" w:lineRule="auto"/>
      </w:pPr>
      <w:r>
        <w:t>La synthèse des quatre parties dessine un tableau **globalement favorable mais nuancé à court terme**. La **valorisation (Partie 0)** est raisonnable (PER 14,7x, EV/EBITDA 10,9x) avec une prime de qualité justifiée par la croissance, sans excès manifeste. Le **comportement du cours (Partie 1)** est haussier sur 100 jours (+46,41%) mais la volatilité élevée (44,2%) et la distribution platykurtique appellent à la prudence. Les **signaux techniques (Partie 2)** sont **divergents** : fond haussier (MM20&gt;MM50) mais momentum court terme affaibli (MACD vendeur, cours sous les MM), suggérant une consolidation avant reprise. Les **fondamentaux (Partie 3)** sont **excellents** : résultat net 2025 de 65,5 Mds FCFA (+36,6%), coefficient d'exploitation de 36,4%, et surtout un T1 2026 explosif (PNB +28,5%, RN +22,2%) qui laisse présager une année 2026 record. Les **prédictions IA (J+1 à J+10)** anticipent une **légère correction** de 30 015 FCFA vers 29 069 FCFA (-3,1%), ce qui **contredit partiellement** les signaux techniques de fond mais **confirme** la phase de consolidation attendue. Sur la base de cette synthèse, la **convergence entre fondamentaux solides et valorisation raisonnable** l'emporte sur les signaux techniques court terme négatifs. **Recommandation finale : ACHAT** (avec opportunité de renforcement sur repli vers 29 000 FCFA). **Niveau de confiance : Moyen à Élevé** (fondamentaux robustes mais volatilité de marché). **Niveau de risque global : Moyen** (risque pays et liquidité limitée compensés par la qualité du bilan). **Horizon d'investissement optimal : Moyen à long terme (6-18 mois)** pour capturer la croissance bénéficiaire et la revalorisation potentielle, en ignorant le bruit court terme des prédictions IA.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14.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268.43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3,558 titres</w:t>
            </w:r>
          </w:p>
        </w:tc>
        <w:tc>
          <w:tcPr>
            <w:tcW w:type="dxa" w:w="2268"/>
            <w:shd w:fill="FFF2CC" w:val="clear"/>
          </w:tcPr>
          <w:p>
            <w:r>
              <w:rPr>
                <w:b/>
                <w:color w:val="503200"/>
                <w:sz w:val="16"/>
              </w:rPr>
              <w:t xml:space="preserve">Cours actuel : </w:t>
            </w:r>
            <w:r>
              <w:rPr>
                <w:color w:val="000000"/>
                <w:sz w:val="17"/>
              </w:rPr>
              <w:t>1,480 FCFA</w:t>
            </w:r>
          </w:p>
          <w:p>
            <w:r>
              <w:rPr>
                <w:b/>
                <w:color w:val="503200"/>
                <w:sz w:val="16"/>
              </w:rPr>
              <w:t xml:space="preserve">Var. 100 jours : </w:t>
            </w:r>
            <w:r>
              <w:rPr>
                <w:b/>
                <w:color w:val="B40000"/>
                <w:sz w:val="17"/>
              </w:rPr>
              <w:t>-1.33%</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1,460 FCFA</w:t>
            </w:r>
          </w:p>
          <w:p>
            <w:r>
              <w:rPr>
                <w:b/>
                <w:color w:val="503200"/>
                <w:sz w:val="16"/>
              </w:rPr>
              <w:t xml:space="preserve">Volatilité ann. : </w:t>
            </w:r>
            <w:r>
              <w:rPr>
                <w:color w:val="000000"/>
                <w:sz w:val="17"/>
              </w:rPr>
              <w:t>45.4%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5.54% (Moyenne) — μ=1,636 FCFA, σ=91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β=1.1814 (Neutre (suit le marché)) — Cov=0.000087, Var(idx)=0.000073, ρ=0.352,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3,558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σ_j=2.86%/j (Stable) — Vol. annualisée≈45.4%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2026-10-13</w:t>
            </w:r>
          </w:p>
        </w:tc>
        <w:tc>
          <w:tcPr>
            <w:tcW w:type="dxa" w:w="1440"/>
            <w:shd w:fill="FAFAFA" w:val="clear"/>
          </w:tcPr>
          <w:p>
            <w:r>
              <w:rPr>
                <w:sz w:val="17"/>
              </w:rPr>
              <w:t>1,430</w:t>
            </w:r>
          </w:p>
        </w:tc>
        <w:tc>
          <w:tcPr>
            <w:tcW w:type="dxa" w:w="1440"/>
            <w:shd w:fill="FAFAFA" w:val="clear"/>
          </w:tcPr>
          <w:p>
            <w:r>
              <w:rPr>
                <w:b/>
                <w:sz w:val="17"/>
              </w:rPr>
              <w:t>1,495</w:t>
            </w:r>
          </w:p>
        </w:tc>
        <w:tc>
          <w:tcPr>
            <w:tcW w:type="dxa" w:w="1440"/>
            <w:shd w:fill="FAFAFA" w:val="clear"/>
          </w:tcPr>
          <w:p>
            <w:r>
              <w:rPr>
                <w:sz w:val="17"/>
              </w:rPr>
              <w:t>1,559</w:t>
            </w:r>
          </w:p>
        </w:tc>
        <w:tc>
          <w:tcPr>
            <w:tcW w:type="dxa" w:w="1440"/>
            <w:shd w:fill="FAFAFA" w:val="clear"/>
          </w:tcPr>
          <w:p>
            <w:r>
              <w:rPr>
                <w:b/>
                <w:color w:val="008000"/>
                <w:sz w:val="17"/>
              </w:rPr>
              <w:t>+1.0%</w:t>
            </w:r>
          </w:p>
        </w:tc>
      </w:tr>
      <w:tr>
        <w:tc>
          <w:tcPr>
            <w:tcW w:type="dxa" w:w="1440"/>
            <w:shd w:fill="FAFAFA" w:val="clear"/>
          </w:tcPr>
          <w:p>
            <w:r>
              <w:rPr>
                <w:sz w:val="17"/>
              </w:rPr>
              <w:t>J+2  Moyenne</w:t>
            </w:r>
          </w:p>
        </w:tc>
        <w:tc>
          <w:tcPr>
            <w:tcW w:type="dxa" w:w="1440"/>
            <w:shd w:fill="FAFAFA" w:val="clear"/>
          </w:tcPr>
          <w:p>
            <w:r>
              <w:rPr>
                <w:sz w:val="17"/>
              </w:rPr>
              <w:t>2026-10-14</w:t>
            </w:r>
          </w:p>
        </w:tc>
        <w:tc>
          <w:tcPr>
            <w:tcW w:type="dxa" w:w="1440"/>
            <w:shd w:fill="FAFAFA" w:val="clear"/>
          </w:tcPr>
          <w:p>
            <w:r>
              <w:rPr>
                <w:sz w:val="17"/>
              </w:rPr>
              <w:t>1,408</w:t>
            </w:r>
          </w:p>
        </w:tc>
        <w:tc>
          <w:tcPr>
            <w:tcW w:type="dxa" w:w="1440"/>
            <w:shd w:fill="FAFAFA" w:val="clear"/>
          </w:tcPr>
          <w:p>
            <w:r>
              <w:rPr>
                <w:b/>
                <w:sz w:val="17"/>
              </w:rPr>
              <w:t>1,499</w:t>
            </w:r>
          </w:p>
        </w:tc>
        <w:tc>
          <w:tcPr>
            <w:tcW w:type="dxa" w:w="1440"/>
            <w:shd w:fill="FAFAFA" w:val="clear"/>
          </w:tcPr>
          <w:p>
            <w:r>
              <w:rPr>
                <w:sz w:val="17"/>
              </w:rPr>
              <w:t>1,590</w:t>
            </w:r>
          </w:p>
        </w:tc>
        <w:tc>
          <w:tcPr>
            <w:tcW w:type="dxa" w:w="1440"/>
            <w:shd w:fill="FAFAFA" w:val="clear"/>
          </w:tcPr>
          <w:p>
            <w:r>
              <w:rPr>
                <w:b/>
                <w:color w:val="008000"/>
                <w:sz w:val="17"/>
              </w:rPr>
              <w:t>+1.3%</w:t>
            </w:r>
          </w:p>
        </w:tc>
      </w:tr>
      <w:tr>
        <w:tc>
          <w:tcPr>
            <w:tcW w:type="dxa" w:w="1440"/>
            <w:shd w:fill="FAFAFA" w:val="clear"/>
          </w:tcPr>
          <w:p>
            <w:r>
              <w:rPr>
                <w:sz w:val="17"/>
              </w:rPr>
              <w:t>J+3  Moyenne</w:t>
            </w:r>
          </w:p>
        </w:tc>
        <w:tc>
          <w:tcPr>
            <w:tcW w:type="dxa" w:w="1440"/>
            <w:shd w:fill="FAFAFA" w:val="clear"/>
          </w:tcPr>
          <w:p>
            <w:r>
              <w:rPr>
                <w:sz w:val="17"/>
              </w:rPr>
              <w:t>2026-10-15</w:t>
            </w:r>
          </w:p>
        </w:tc>
        <w:tc>
          <w:tcPr>
            <w:tcW w:type="dxa" w:w="1440"/>
            <w:shd w:fill="FAFAFA" w:val="clear"/>
          </w:tcPr>
          <w:p>
            <w:r>
              <w:rPr>
                <w:sz w:val="17"/>
              </w:rPr>
              <w:t>1,393</w:t>
            </w:r>
          </w:p>
        </w:tc>
        <w:tc>
          <w:tcPr>
            <w:tcW w:type="dxa" w:w="1440"/>
            <w:shd w:fill="FAFAFA" w:val="clear"/>
          </w:tcPr>
          <w:p>
            <w:r>
              <w:rPr>
                <w:b/>
                <w:sz w:val="17"/>
              </w:rPr>
              <w:t>1,505</w:t>
            </w:r>
          </w:p>
        </w:tc>
        <w:tc>
          <w:tcPr>
            <w:tcW w:type="dxa" w:w="1440"/>
            <w:shd w:fill="FAFAFA" w:val="clear"/>
          </w:tcPr>
          <w:p>
            <w:r>
              <w:rPr>
                <w:sz w:val="17"/>
              </w:rPr>
              <w:t>1,618</w:t>
            </w:r>
          </w:p>
        </w:tc>
        <w:tc>
          <w:tcPr>
            <w:tcW w:type="dxa" w:w="1440"/>
            <w:shd w:fill="FAFAFA" w:val="clear"/>
          </w:tcPr>
          <w:p>
            <w:r>
              <w:rPr>
                <w:b/>
                <w:color w:val="008000"/>
                <w:sz w:val="17"/>
              </w:rPr>
              <w:t>+1.7%</w:t>
            </w:r>
          </w:p>
        </w:tc>
      </w:tr>
      <w:tr>
        <w:tc>
          <w:tcPr>
            <w:tcW w:type="dxa" w:w="1440"/>
            <w:shd w:fill="C6EFCE" w:val="clear"/>
          </w:tcPr>
          <w:p>
            <w:r>
              <w:rPr>
                <w:sz w:val="17"/>
              </w:rPr>
              <w:t>J+4  ⭐</w:t>
            </w:r>
          </w:p>
        </w:tc>
        <w:tc>
          <w:tcPr>
            <w:tcW w:type="dxa" w:w="1440"/>
            <w:shd w:fill="C6EFCE" w:val="clear"/>
          </w:tcPr>
          <w:p>
            <w:r>
              <w:rPr>
                <w:sz w:val="17"/>
              </w:rPr>
              <w:t>2026-10-16</w:t>
            </w:r>
          </w:p>
        </w:tc>
        <w:tc>
          <w:tcPr>
            <w:tcW w:type="dxa" w:w="1440"/>
            <w:shd w:fill="C6EFCE" w:val="clear"/>
          </w:tcPr>
          <w:p>
            <w:r>
              <w:rPr>
                <w:sz w:val="17"/>
              </w:rPr>
              <w:t>1,381</w:t>
            </w:r>
          </w:p>
        </w:tc>
        <w:tc>
          <w:tcPr>
            <w:tcW w:type="dxa" w:w="1440"/>
            <w:shd w:fill="C6EFCE" w:val="clear"/>
          </w:tcPr>
          <w:p>
            <w:r>
              <w:rPr>
                <w:b/>
                <w:sz w:val="17"/>
              </w:rPr>
              <w:t>1,511</w:t>
            </w:r>
          </w:p>
        </w:tc>
        <w:tc>
          <w:tcPr>
            <w:tcW w:type="dxa" w:w="1440"/>
            <w:shd w:fill="C6EFCE" w:val="clear"/>
          </w:tcPr>
          <w:p>
            <w:r>
              <w:rPr>
                <w:sz w:val="17"/>
              </w:rPr>
              <w:t>1,642</w:t>
            </w:r>
          </w:p>
        </w:tc>
        <w:tc>
          <w:tcPr>
            <w:tcW w:type="dxa" w:w="1440"/>
            <w:shd w:fill="C6EFCE" w:val="clear"/>
          </w:tcPr>
          <w:p>
            <w:r>
              <w:rPr>
                <w:b/>
                <w:color w:val="008000"/>
                <w:sz w:val="17"/>
              </w:rPr>
              <w:t>+2.1%</w:t>
            </w:r>
          </w:p>
        </w:tc>
      </w:tr>
      <w:tr>
        <w:tc>
          <w:tcPr>
            <w:tcW w:type="dxa" w:w="1440"/>
            <w:shd w:fill="C6EFCE" w:val="clear"/>
          </w:tcPr>
          <w:p>
            <w:r>
              <w:rPr>
                <w:sz w:val="17"/>
              </w:rPr>
              <w:t>J+5  ⭐</w:t>
            </w:r>
          </w:p>
        </w:tc>
        <w:tc>
          <w:tcPr>
            <w:tcW w:type="dxa" w:w="1440"/>
            <w:shd w:fill="C6EFCE" w:val="clear"/>
          </w:tcPr>
          <w:p>
            <w:r>
              <w:rPr>
                <w:sz w:val="17"/>
              </w:rPr>
              <w:t>2026-10-19</w:t>
            </w:r>
          </w:p>
        </w:tc>
        <w:tc>
          <w:tcPr>
            <w:tcW w:type="dxa" w:w="1440"/>
            <w:shd w:fill="C6EFCE" w:val="clear"/>
          </w:tcPr>
          <w:p>
            <w:r>
              <w:rPr>
                <w:sz w:val="17"/>
              </w:rPr>
              <w:t>1,371</w:t>
            </w:r>
          </w:p>
        </w:tc>
        <w:tc>
          <w:tcPr>
            <w:tcW w:type="dxa" w:w="1440"/>
            <w:shd w:fill="C6EFCE" w:val="clear"/>
          </w:tcPr>
          <w:p>
            <w:r>
              <w:rPr>
                <w:b/>
                <w:sz w:val="17"/>
              </w:rPr>
              <w:t>1,518</w:t>
            </w:r>
          </w:p>
        </w:tc>
        <w:tc>
          <w:tcPr>
            <w:tcW w:type="dxa" w:w="1440"/>
            <w:shd w:fill="C6EFCE" w:val="clear"/>
          </w:tcPr>
          <w:p>
            <w:r>
              <w:rPr>
                <w:sz w:val="17"/>
              </w:rPr>
              <w:t>1,664</w:t>
            </w:r>
          </w:p>
        </w:tc>
        <w:tc>
          <w:tcPr>
            <w:tcW w:type="dxa" w:w="1440"/>
            <w:shd w:fill="C6EFCE" w:val="clear"/>
          </w:tcPr>
          <w:p>
            <w:r>
              <w:rPr>
                <w:b/>
                <w:color w:val="008000"/>
                <w:sz w:val="17"/>
              </w:rPr>
              <w:t>+2.5%</w:t>
            </w:r>
          </w:p>
        </w:tc>
      </w:tr>
      <w:tr>
        <w:tc>
          <w:tcPr>
            <w:tcW w:type="dxa" w:w="1440"/>
            <w:shd w:fill="C6EFCE" w:val="clear"/>
          </w:tcPr>
          <w:p>
            <w:r>
              <w:rPr>
                <w:sz w:val="17"/>
              </w:rPr>
              <w:t>J+6  ⭐</w:t>
            </w:r>
          </w:p>
        </w:tc>
        <w:tc>
          <w:tcPr>
            <w:tcW w:type="dxa" w:w="1440"/>
            <w:shd w:fill="C6EFCE" w:val="clear"/>
          </w:tcPr>
          <w:p>
            <w:r>
              <w:rPr>
                <w:sz w:val="17"/>
              </w:rPr>
              <w:t>2026-10-20</w:t>
            </w:r>
          </w:p>
        </w:tc>
        <w:tc>
          <w:tcPr>
            <w:tcW w:type="dxa" w:w="1440"/>
            <w:shd w:fill="C6EFCE" w:val="clear"/>
          </w:tcPr>
          <w:p>
            <w:r>
              <w:rPr>
                <w:sz w:val="17"/>
              </w:rPr>
              <w:t>1,363</w:t>
            </w:r>
          </w:p>
        </w:tc>
        <w:tc>
          <w:tcPr>
            <w:tcW w:type="dxa" w:w="1440"/>
            <w:shd w:fill="C6EFCE" w:val="clear"/>
          </w:tcPr>
          <w:p>
            <w:r>
              <w:rPr>
                <w:b/>
                <w:sz w:val="17"/>
              </w:rPr>
              <w:t>1,524</w:t>
            </w:r>
          </w:p>
        </w:tc>
        <w:tc>
          <w:tcPr>
            <w:tcW w:type="dxa" w:w="1440"/>
            <w:shd w:fill="C6EFCE" w:val="clear"/>
          </w:tcPr>
          <w:p>
            <w:r>
              <w:rPr>
                <w:sz w:val="17"/>
              </w:rPr>
              <w:t>1,685</w:t>
            </w:r>
          </w:p>
        </w:tc>
        <w:tc>
          <w:tcPr>
            <w:tcW w:type="dxa" w:w="1440"/>
            <w:shd w:fill="C6EFCE" w:val="clear"/>
          </w:tcPr>
          <w:p>
            <w:r>
              <w:rPr>
                <w:b/>
                <w:color w:val="008000"/>
                <w:sz w:val="17"/>
              </w:rPr>
              <w:t>+2.9%</w:t>
            </w:r>
          </w:p>
        </w:tc>
      </w:tr>
      <w:tr>
        <w:tc>
          <w:tcPr>
            <w:tcW w:type="dxa" w:w="1440"/>
            <w:shd w:fill="C6EFCE" w:val="clear"/>
          </w:tcPr>
          <w:p>
            <w:r>
              <w:rPr>
                <w:sz w:val="17"/>
              </w:rPr>
              <w:t>J+7  ⭐</w:t>
            </w:r>
          </w:p>
        </w:tc>
        <w:tc>
          <w:tcPr>
            <w:tcW w:type="dxa" w:w="1440"/>
            <w:shd w:fill="C6EFCE" w:val="clear"/>
          </w:tcPr>
          <w:p>
            <w:r>
              <w:rPr>
                <w:sz w:val="17"/>
              </w:rPr>
              <w:t>2026-10-21</w:t>
            </w:r>
          </w:p>
        </w:tc>
        <w:tc>
          <w:tcPr>
            <w:tcW w:type="dxa" w:w="1440"/>
            <w:shd w:fill="C6EFCE" w:val="clear"/>
          </w:tcPr>
          <w:p>
            <w:r>
              <w:rPr>
                <w:sz w:val="17"/>
              </w:rPr>
              <w:t>1,355</w:t>
            </w:r>
          </w:p>
        </w:tc>
        <w:tc>
          <w:tcPr>
            <w:tcW w:type="dxa" w:w="1440"/>
            <w:shd w:fill="C6EFCE" w:val="clear"/>
          </w:tcPr>
          <w:p>
            <w:r>
              <w:rPr>
                <w:b/>
                <w:sz w:val="17"/>
              </w:rPr>
              <w:t>1,529</w:t>
            </w:r>
          </w:p>
        </w:tc>
        <w:tc>
          <w:tcPr>
            <w:tcW w:type="dxa" w:w="1440"/>
            <w:shd w:fill="C6EFCE" w:val="clear"/>
          </w:tcPr>
          <w:p>
            <w:r>
              <w:rPr>
                <w:sz w:val="17"/>
              </w:rPr>
              <w:t>1,704</w:t>
            </w:r>
          </w:p>
        </w:tc>
        <w:tc>
          <w:tcPr>
            <w:tcW w:type="dxa" w:w="1440"/>
            <w:shd w:fill="C6EFCE" w:val="clear"/>
          </w:tcPr>
          <w:p>
            <w:r>
              <w:rPr>
                <w:b/>
                <w:color w:val="008000"/>
                <w:sz w:val="17"/>
              </w:rPr>
              <w:t>+3.3%</w:t>
            </w:r>
          </w:p>
        </w:tc>
      </w:tr>
      <w:tr>
        <w:tc>
          <w:tcPr>
            <w:tcW w:type="dxa" w:w="1440"/>
            <w:shd w:fill="C6EFCE" w:val="clear"/>
          </w:tcPr>
          <w:p>
            <w:r>
              <w:rPr>
                <w:sz w:val="17"/>
              </w:rPr>
              <w:t>J+8  ⭐</w:t>
            </w:r>
          </w:p>
        </w:tc>
        <w:tc>
          <w:tcPr>
            <w:tcW w:type="dxa" w:w="1440"/>
            <w:shd w:fill="C6EFCE" w:val="clear"/>
          </w:tcPr>
          <w:p>
            <w:r>
              <w:rPr>
                <w:sz w:val="17"/>
              </w:rPr>
              <w:t>2026-10-22</w:t>
            </w:r>
          </w:p>
        </w:tc>
        <w:tc>
          <w:tcPr>
            <w:tcW w:type="dxa" w:w="1440"/>
            <w:shd w:fill="C6EFCE" w:val="clear"/>
          </w:tcPr>
          <w:p>
            <w:r>
              <w:rPr>
                <w:sz w:val="17"/>
              </w:rPr>
              <w:t>1,348</w:t>
            </w:r>
          </w:p>
        </w:tc>
        <w:tc>
          <w:tcPr>
            <w:tcW w:type="dxa" w:w="1440"/>
            <w:shd w:fill="C6EFCE" w:val="clear"/>
          </w:tcPr>
          <w:p>
            <w:r>
              <w:rPr>
                <w:b/>
                <w:sz w:val="17"/>
              </w:rPr>
              <w:t>1,535</w:t>
            </w:r>
          </w:p>
        </w:tc>
        <w:tc>
          <w:tcPr>
            <w:tcW w:type="dxa" w:w="1440"/>
            <w:shd w:fill="C6EFCE" w:val="clear"/>
          </w:tcPr>
          <w:p>
            <w:r>
              <w:rPr>
                <w:sz w:val="17"/>
              </w:rPr>
              <w:t>1,722</w:t>
            </w:r>
          </w:p>
        </w:tc>
        <w:tc>
          <w:tcPr>
            <w:tcW w:type="dxa" w:w="1440"/>
            <w:shd w:fill="C6EFCE" w:val="clear"/>
          </w:tcPr>
          <w:p>
            <w:r>
              <w:rPr>
                <w:b/>
                <w:color w:val="008000"/>
                <w:sz w:val="17"/>
              </w:rPr>
              <w:t>+3.7%</w:t>
            </w:r>
          </w:p>
        </w:tc>
      </w:tr>
      <w:tr>
        <w:tc>
          <w:tcPr>
            <w:tcW w:type="dxa" w:w="1440"/>
            <w:shd w:fill="C6EFCE" w:val="clear"/>
          </w:tcPr>
          <w:p>
            <w:r>
              <w:rPr>
                <w:sz w:val="17"/>
              </w:rPr>
              <w:t>J+9  ⭐</w:t>
            </w:r>
          </w:p>
        </w:tc>
        <w:tc>
          <w:tcPr>
            <w:tcW w:type="dxa" w:w="1440"/>
            <w:shd w:fill="C6EFCE" w:val="clear"/>
          </w:tcPr>
          <w:p>
            <w:r>
              <w:rPr>
                <w:sz w:val="17"/>
              </w:rPr>
              <w:t>2026-10-23</w:t>
            </w:r>
          </w:p>
        </w:tc>
        <w:tc>
          <w:tcPr>
            <w:tcW w:type="dxa" w:w="1440"/>
            <w:shd w:fill="C6EFCE" w:val="clear"/>
          </w:tcPr>
          <w:p>
            <w:r>
              <w:rPr>
                <w:sz w:val="17"/>
              </w:rPr>
              <w:t>1,341</w:t>
            </w:r>
          </w:p>
        </w:tc>
        <w:tc>
          <w:tcPr>
            <w:tcW w:type="dxa" w:w="1440"/>
            <w:shd w:fill="C6EFCE" w:val="clear"/>
          </w:tcPr>
          <w:p>
            <w:r>
              <w:rPr>
                <w:b/>
                <w:sz w:val="17"/>
              </w:rPr>
              <w:t>1,540</w:t>
            </w:r>
          </w:p>
        </w:tc>
        <w:tc>
          <w:tcPr>
            <w:tcW w:type="dxa" w:w="1440"/>
            <w:shd w:fill="C6EFCE" w:val="clear"/>
          </w:tcPr>
          <w:p>
            <w:r>
              <w:rPr>
                <w:sz w:val="17"/>
              </w:rPr>
              <w:t>1,740</w:t>
            </w:r>
          </w:p>
        </w:tc>
        <w:tc>
          <w:tcPr>
            <w:tcW w:type="dxa" w:w="1440"/>
            <w:shd w:fill="C6EFCE" w:val="clear"/>
          </w:tcPr>
          <w:p>
            <w:r>
              <w:rPr>
                <w:b/>
                <w:color w:val="008000"/>
                <w:sz w:val="17"/>
              </w:rPr>
              <w:t>+4.1%</w:t>
            </w:r>
          </w:p>
        </w:tc>
      </w:tr>
      <w:tr>
        <w:tc>
          <w:tcPr>
            <w:tcW w:type="dxa" w:w="1440"/>
            <w:shd w:fill="C6EFCE" w:val="clear"/>
          </w:tcPr>
          <w:p>
            <w:r>
              <w:rPr>
                <w:sz w:val="17"/>
              </w:rPr>
              <w:t>J+10  ⭐</w:t>
            </w:r>
          </w:p>
        </w:tc>
        <w:tc>
          <w:tcPr>
            <w:tcW w:type="dxa" w:w="1440"/>
            <w:shd w:fill="C6EFCE" w:val="clear"/>
          </w:tcPr>
          <w:p>
            <w:r>
              <w:rPr>
                <w:sz w:val="17"/>
              </w:rPr>
              <w:t>2026-10-26</w:t>
            </w:r>
          </w:p>
        </w:tc>
        <w:tc>
          <w:tcPr>
            <w:tcW w:type="dxa" w:w="1440"/>
            <w:shd w:fill="C6EFCE" w:val="clear"/>
          </w:tcPr>
          <w:p>
            <w:r>
              <w:rPr>
                <w:sz w:val="17"/>
              </w:rPr>
              <w:t>1,335</w:t>
            </w:r>
          </w:p>
        </w:tc>
        <w:tc>
          <w:tcPr>
            <w:tcW w:type="dxa" w:w="1440"/>
            <w:shd w:fill="C6EFCE" w:val="clear"/>
          </w:tcPr>
          <w:p>
            <w:r>
              <w:rPr>
                <w:b/>
                <w:sz w:val="17"/>
              </w:rPr>
              <w:t>1,546</w:t>
            </w:r>
          </w:p>
        </w:tc>
        <w:tc>
          <w:tcPr>
            <w:tcW w:type="dxa" w:w="1440"/>
            <w:shd w:fill="C6EFCE" w:val="clear"/>
          </w:tcPr>
          <w:p>
            <w:r>
              <w:rPr>
                <w:sz w:val="17"/>
              </w:rPr>
              <w:t>1,756</w:t>
            </w:r>
          </w:p>
        </w:tc>
        <w:tc>
          <w:tcPr>
            <w:tcW w:type="dxa" w:w="1440"/>
            <w:shd w:fill="C6EFCE" w:val="clear"/>
          </w:tcPr>
          <w:p>
            <w:r>
              <w:rPr>
                <w:b/>
                <w:color w:val="008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 RAPPORT D'ANALYSE FINANCIÈRE — CFAC (CFAO Motors Côte d'Ivoire)</w:t>
        <w:br/>
        <w:t>**Bourse Régionale des Valeurs Mobilières (BRVM) — Secteur : Distribution Automobile**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268,43 milliards FCFA, CFAC figure parmi les valeurs les plus importantes de la cote BRVM, ce qui témoigne de sa stature de leader du marché automobile ivoirien. Le BPA de 26 FCFA/action signifie que chaque titre génère 26 FCFA de bénéfice net, un niveau modeste au regard du cours actuel de 1 480 FCFA. Le PER de 57,2x traduit une valorisation extrêmement exigeante : les investisseurs paient plus de 57 fois les bénéfices, soit un multiple cinq à sept fois supérieur à la moyenne BRVM (~8-12x), ce qui intègre déjà une forte anticipation de croissance. Le P/B de 13,80x confirme cette prime spectaculaire — le marché valorise l'entreprise près de 14 fois sa valeur comptable, bien au-delà du seuil de 4x généralement considéré comme déjà tendu. Enfin, l'EV/EBITDA de 29,2x (contre un seuil d'alerte de 15x) indique que la valeur d'entreprise représente près de 30 fois la capacité opérationnelle, signalant une surévaluation manifeste sur l'ensemble des métriques disponibles.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CFAC affiche une variation totale quasi stable de -1,33%, avec un rebond de +0,68% sur la dernière séance (J-1), portant le cours à 1 480 FCFA. Le range de trading s'étend de 1 460 FCFA (plus bas) à 1 825 FCFA (plus haut), soit un écart de 365 FCFA (25%) qui révèle une correction significative depuis les sommets. La tendance générale est baissière sur la période, le cours actuel (1 480 FCFA) évoluant dans le bas de la fourchette, à seulement 1,4% du plus bas. Les statistiques descriptives confirment cette configuration : la moyenne (1 636 FCFA) et la médiane (1 642 FCFA) sont quasi confondues, indiquant une distribution globalement symétrique, cohérente avec le skewness de -0,140 (légère asymétrie négative). L'écart-type de 91 FCFA avec un coefficient de variation de 5,6% traduit une dispersion modérée du cours autour de sa moyenne. Le kurtosis de -1,022 (distribution platykurtique) signale une distribution aplatie, c'est-à-dire un risque de pics extrêmes plus faible qu'une loi normale — un élément rassurant. En revanche, la volatilité annualisée de 45,4% classe le titre dans la catégorie des valeurs à volatilité élevée (&gt;30%), ce qui implique un risque de marché significatif pour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(1 574 FCFA) et la MM50 (1 648,4 FCFA) se situent toutes deux au-dessus du cours actuel (1 480 FCFA), avec la MM20 sous la MM50 — configuration baissière caractéristique. Le cours évoluant sous ses deux moyennes, la pression vendeuse domine, ce qui justifie la décision technique de **Vente**.</w:t>
      </w:r>
    </w:p>
    <w:p>
      <w:pPr>
        <w:spacing w:after="120" w:line="276" w:lineRule="auto"/>
      </w:pPr>
      <w:r>
        <w:t>**Bandes de Bollinger** : Le cours (1 480 FCFA) se situe dans la moitié inférieure de la bande, entre la borne inférieure (1 411,18 FCFA) et la borne supérieure (1 736,82 FCFA), sans la toucher. Cette position médiane-basse, dans un canal large, traduit une volatilité élevée mais sans signal extrême, d'où la décision **Neutre**.</w:t>
      </w:r>
    </w:p>
    <w:p>
      <w:pPr>
        <w:spacing w:after="120" w:line="276" w:lineRule="auto"/>
      </w:pPr>
      <w:r>
        <w:t>**MACD** : La valeur du MACD (-49,879) est inférieure à son signal (-42,919), avec un histogramme négatif — configuration baissière confirmée. Le momentum reste négatif, ce qui justifie la décision de **Vente**.</w:t>
      </w:r>
    </w:p>
    <w:p>
      <w:pPr>
        <w:spacing w:after="120" w:line="276" w:lineRule="auto"/>
      </w:pPr>
      <w:r>
        <w:t>**RSI** : À 39,286, le RSI se situe dans la zone neutre basse (30-70), sans atteindre la zone de survente (&lt;30). Le titre n'est donc ni survendu ni suracheté, ce qui justifie la décision **Neutre** avec une légère tendance baissière.</w:t>
      </w:r>
    </w:p>
    <w:p>
      <w:pPr>
        <w:spacing w:after="120" w:line="276" w:lineRule="auto"/>
      </w:pPr>
      <w:r>
        <w:t>**Stochastique** : Le %K (12,903) est inférieur au %D (18,216), les deux se situant en zone de survente (&lt;20). Cette configuration extrême suggère un potentiel rebond technique à court terme, justifiant la décision **Achat** — seul indicateur haussier du tableau.</w:t>
      </w:r>
    </w:p>
    <w:p>
      <w:pPr>
        <w:spacing w:after="120" w:line="276" w:lineRule="auto"/>
      </w:pPr>
      <w:r>
        <w:t>**Conclusion technique** : Les indicateurs sont majoritairement baissiers (MM, MACD) ou neutres (Bollinger, RSI), avec un seul signal haussier (Stochastique en survente). Cette divergence suggère que le titre pourrait connaître un rebond technique de court terme, mais la tendance de fond reste baissière tant que le cours n'aura pas reconquis la MM20 (1 574 FCFA). La prudence domine.</w:t>
      </w:r>
    </w:p>
    <w:p>
      <w:pPr>
        <w:spacing w:after="120" w:line="276" w:lineRule="auto"/>
      </w:pPr>
      <w:r>
        <w:t>---</w:t>
      </w:r>
    </w:p>
    <w:p>
      <w:pPr>
        <w:spacing w:after="120" w:line="276" w:lineRule="auto"/>
      </w:pPr>
      <w:r>
        <w:t>## PARTIE 3 : ANALYSE FONDAMENTALE</w:t>
      </w:r>
    </w:p>
    <w:p>
      <w:pPr>
        <w:spacing w:after="120" w:line="276" w:lineRule="auto"/>
      </w:pPr>
      <w:r>
        <w:t>**Données structurées (exercice 2024)** : En 2024, CFAC a réalisé un chiffre d'affaires de 158,313 milliards FCFA, en baisse de -12,13% sur un an, avec un résultat net de 4,693 milliards FCFA (marge nette de 2,96%). Le ROE s'établit à 24,13% — un niveau excellent (&gt;15%) — et le ROA à 5,52%, confirmant une bonne rentabilité des fonds propres malgré la contraction de l'activité. La structure financière reste solide : autonomie financière de 22,88%, ratio d'endettement de 23,07% et capacité de remboursement de 0,72 an (dettes financières/CAF), ce qui est très confortable. Le BFR est négatif (-3,482 milliards FCFA), un élément favorable pour la trésorerie, porté par des délais fournisseurs élevés (81,75 jours) supérieurs aux délais clients (36,64 jours). Toutefois, la trésorerie nette est négative (-624,20 millions FCFA) et le Free Cash Flow s'établit à -1,650 milliard FCFA, reflétant d'importants investissements (-8,741 milliards FCFA).</w:t>
      </w:r>
    </w:p>
    <w:p>
      <w:pPr>
        <w:spacing w:after="120" w:line="276" w:lineRule="auto"/>
      </w:pPr>
      <w:r>
        <w:t>**Adaptation au secteur (entreprise non bancaire)** : Les délais d'exploitation révèlent une gestion du cycle de trésorerie plutôt favorable (délai fournisseurs &gt; délai clients), mais la durée de stockage élevée (88,35 jours) immobilise du capital. La rotation des actifs de 186,22% est excellente, témoignant d'une forte efficacité opérationnelle.</w:t>
      </w:r>
    </w:p>
    <w:p>
      <w:pPr>
        <w:spacing w:after="120" w:line="276" w:lineRule="auto"/>
      </w:pPr>
      <w:r>
        <w:t>**Estimations basées sur les rapports trimestriels** : Les rapports récents montrent un net redressement en 2025. Le rapport T1 2025 (31/03/2025) indique un CA de 46,161 milliards FCFA (+14,5%) et un résultat net de 3,836 milliards FCFA (+279,7%), avec une marge nette de 8,3%. Le rapport S1 2025 (30/06/2025) confirme cette dynamique : CA de 91,182 milliards FCFA (+18,4%) et résultat net de 5,420 milliards FCFA (+152,7%), marge nette de 5,9%. Le rapport T3 2025 (30/09/2025) poursuit sur cette lancée : CA de 43,580 milliards FCFA (+18,3%) et résultat net de 1,489 milliard FCFA (+38,1%). Sur la base de ces rapports, on peut estimer que l'exercice 2025 devrait afficher une croissance à deux chiffres du CA et un résultat net en forte hausse, potentiellement supérieur à 10 milliards FCFA, ce qui ramènerait le PER vers des niveaux plus raisonnables (25-30x). Le rapport annuel 2024 (31/12/2024) souligne toutefois les risques : pression concurrentielle, sensibilité au marché automobile et environnement réglementaire plus strict.</w:t>
      </w:r>
    </w:p>
    <w:p>
      <w:pPr>
        <w:spacing w:after="120" w:line="276" w:lineRule="auto"/>
      </w:pPr>
      <w:r>
        <w:t>**Recommandation fondamentale** : La solidité financière (ROE élevé, endettement maîtrisé, BFR négatif) et le redressement spectaculaire en 2025 sont des points positifs majeurs. Cependant, la valorisation actuelle intègre déjà largement cette reprise, et les risques sectoriels persistent. La recommandation fondamentale est **CONSERVER** avec un biais positif, en attendant la confirmation des résultats annuels 2025.</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tableau contrasté. **Valorisation (Partie 0)** : les ratios PER (57,2x), P/B (13,80x) et EV/EBITDA (29,2x) indiquent une surévaluation manifeste, bien au-delà des moyennes du marché BRVM. **Comportement du cours (Partie 1)** : la tendance baissière sur 100 jours (-1,33%), la volatilité élevée (45,4%) et la position du cours près du plus bas (1 480 FCFA vs 1 460 FCFA) sont préoccupantes, même si le kurtosis négatif (-1,022) limite le risque de pics extrêmes. **Signaux techniques (Partie 2)** : les indicateurs sont majoritairement baissiers (MM, MACD) ou neutres (Bollinger, RSI), avec un seul signal haussier (Stochastique en survente), suggérant un rebond technique possible mais fragile. **Fondamentaux (Partie 3)** : la société affiche une solidité financière indéniable (ROE 24,13%, endettement faible) et un redressement spectaculaire en 2025 (CA +18,4% au S1, résultat net +152,7%), mais la valorisation actuelle intègre déjà ces bonnes nouvelles. **Prédictions IA (J+1 à J+10)** : la trajectoire prédite (1 495 → 1 518 FCFA, soit +2,6% sur 10 jours) confirme un rebond technique modéré, cohérent avec le signal du Stochastique.</w:t>
      </w:r>
    </w:p>
    <w:p>
      <w:pPr>
        <w:spacing w:after="120" w:line="276" w:lineRule="auto"/>
      </w:pPr>
      <w:r>
        <w:t>**Recommandation finale** : **CONSERVER**. La convergence entre le rebond technique attendu (Stochastique, prédictions IA) et les fondamentaux solides (ROE élevé, redressement 2025) plaide pour ne pas vendre. Cependant, la surévaluation manifeste (PER 57,2x, P/B 13,80x) et la tendance baissière de fond (cours sous MM20 et MM50) interdisent un achat agressif. **Niveau de confiance : Moyen** — les signaux sont divergents (technique baissier vs fondamental haussier). **Niveau de risque global : Élevé** — volatilité de 45,4%, valorisation tendue et dépendance au cycle automobile. **Horizon d'investissement optimal : Moyen terme (3-12 mois)** — le temps que les résultats 2025 se matérialisent et que la valorisation se normalise. Un retour du cours au-dessus de la MM20 (1 574 FCFA) serait un signal d'achat, tandis qu'une cassure du support de 1 460 FCFA déclencherait une vente.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15.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347.20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6,819 titres</w:t>
            </w:r>
          </w:p>
        </w:tc>
        <w:tc>
          <w:tcPr>
            <w:tcW w:type="dxa" w:w="2268"/>
            <w:shd w:fill="FFF2CC" w:val="clear"/>
          </w:tcPr>
          <w:p>
            <w:r>
              <w:rPr>
                <w:b/>
                <w:color w:val="503200"/>
                <w:sz w:val="16"/>
              </w:rPr>
              <w:t xml:space="preserve">Cours actuel : </w:t>
            </w:r>
            <w:r>
              <w:rPr>
                <w:color w:val="000000"/>
                <w:sz w:val="17"/>
              </w:rPr>
              <w:t>6,200 FCFA</w:t>
            </w:r>
          </w:p>
          <w:p>
            <w:r>
              <w:rPr>
                <w:b/>
                <w:color w:val="503200"/>
                <w:sz w:val="16"/>
              </w:rPr>
              <w:t xml:space="preserve">Var. 100 jours : </w:t>
            </w:r>
            <w:r>
              <w:rPr>
                <w:b/>
                <w:color w:val="007800"/>
                <w:sz w:val="17"/>
              </w:rPr>
              <w:t>+84.80%</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3,355 FCFA</w:t>
            </w:r>
          </w:p>
          <w:p>
            <w:r>
              <w:rPr>
                <w:b/>
                <w:color w:val="503200"/>
                <w:sz w:val="16"/>
              </w:rPr>
              <w:t xml:space="preserve">Volatilité ann. : </w:t>
            </w:r>
            <w:r>
              <w:rPr>
                <w:color w:val="000000"/>
                <w:sz w:val="17"/>
              </w:rPr>
              <w:t>50.4%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16.21% (Élevée) — μ=5,627 FCFA, σ=912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β=0.7125 (Défensif) — Cov=0.000052, Var(idx)=0.000073, ρ=0.192,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6,819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σ_j=3.18%/j (Modérée) — Vol. annualisée≈50.4%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2026-10-13</w:t>
            </w:r>
          </w:p>
        </w:tc>
        <w:tc>
          <w:tcPr>
            <w:tcW w:type="dxa" w:w="1440"/>
            <w:shd w:fill="FAFAFA" w:val="clear"/>
          </w:tcPr>
          <w:p>
            <w:r>
              <w:rPr>
                <w:sz w:val="17"/>
              </w:rPr>
              <w:t>5,905</w:t>
            </w:r>
          </w:p>
        </w:tc>
        <w:tc>
          <w:tcPr>
            <w:tcW w:type="dxa" w:w="1440"/>
            <w:shd w:fill="FAFAFA" w:val="clear"/>
          </w:tcPr>
          <w:p>
            <w:r>
              <w:rPr>
                <w:b/>
                <w:sz w:val="17"/>
              </w:rPr>
              <w:t>6,180</w:t>
            </w:r>
          </w:p>
        </w:tc>
        <w:tc>
          <w:tcPr>
            <w:tcW w:type="dxa" w:w="1440"/>
            <w:shd w:fill="FAFAFA" w:val="clear"/>
          </w:tcPr>
          <w:p>
            <w:r>
              <w:rPr>
                <w:sz w:val="17"/>
              </w:rPr>
              <w:t>6,454</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2026-10-14</w:t>
            </w:r>
          </w:p>
        </w:tc>
        <w:tc>
          <w:tcPr>
            <w:tcW w:type="dxa" w:w="1440"/>
            <w:shd w:fill="FAFAFA" w:val="clear"/>
          </w:tcPr>
          <w:p>
            <w:r>
              <w:rPr>
                <w:sz w:val="17"/>
              </w:rPr>
              <w:t>5,784</w:t>
            </w:r>
          </w:p>
        </w:tc>
        <w:tc>
          <w:tcPr>
            <w:tcW w:type="dxa" w:w="1440"/>
            <w:shd w:fill="FAFAFA" w:val="clear"/>
          </w:tcPr>
          <w:p>
            <w:r>
              <w:rPr>
                <w:b/>
                <w:sz w:val="17"/>
              </w:rPr>
              <w:t>6,172</w:t>
            </w:r>
          </w:p>
        </w:tc>
        <w:tc>
          <w:tcPr>
            <w:tcW w:type="dxa" w:w="1440"/>
            <w:shd w:fill="FAFAFA" w:val="clear"/>
          </w:tcPr>
          <w:p>
            <w:r>
              <w:rPr>
                <w:sz w:val="17"/>
              </w:rPr>
              <w:t>6,559</w:t>
            </w:r>
          </w:p>
        </w:tc>
        <w:tc>
          <w:tcPr>
            <w:tcW w:type="dxa" w:w="1440"/>
            <w:shd w:fill="FAFAFA" w:val="clear"/>
          </w:tcPr>
          <w:p>
            <w:r>
              <w:rPr>
                <w:b/>
                <w:color w:val="C00000"/>
                <w:sz w:val="17"/>
              </w:rPr>
              <w:t>-0.5%</w:t>
            </w:r>
          </w:p>
        </w:tc>
      </w:tr>
      <w:tr>
        <w:tc>
          <w:tcPr>
            <w:tcW w:type="dxa" w:w="1440"/>
            <w:shd w:fill="FAFAFA" w:val="clear"/>
          </w:tcPr>
          <w:p>
            <w:r>
              <w:rPr>
                <w:sz w:val="17"/>
              </w:rPr>
              <w:t>J+3  Moyenne</w:t>
            </w:r>
          </w:p>
        </w:tc>
        <w:tc>
          <w:tcPr>
            <w:tcW w:type="dxa" w:w="1440"/>
            <w:shd w:fill="FAFAFA" w:val="clear"/>
          </w:tcPr>
          <w:p>
            <w:r>
              <w:rPr>
                <w:sz w:val="17"/>
              </w:rPr>
              <w:t>2026-10-15</w:t>
            </w:r>
          </w:p>
        </w:tc>
        <w:tc>
          <w:tcPr>
            <w:tcW w:type="dxa" w:w="1440"/>
            <w:shd w:fill="FAFAFA" w:val="clear"/>
          </w:tcPr>
          <w:p>
            <w:r>
              <w:rPr>
                <w:sz w:val="17"/>
              </w:rPr>
              <w:t>5,691</w:t>
            </w:r>
          </w:p>
        </w:tc>
        <w:tc>
          <w:tcPr>
            <w:tcW w:type="dxa" w:w="1440"/>
            <w:shd w:fill="FAFAFA" w:val="clear"/>
          </w:tcPr>
          <w:p>
            <w:r>
              <w:rPr>
                <w:b/>
                <w:sz w:val="17"/>
              </w:rPr>
              <w:t>6,165</w:t>
            </w:r>
          </w:p>
        </w:tc>
        <w:tc>
          <w:tcPr>
            <w:tcW w:type="dxa" w:w="1440"/>
            <w:shd w:fill="FAFAFA" w:val="clear"/>
          </w:tcPr>
          <w:p>
            <w:r>
              <w:rPr>
                <w:sz w:val="17"/>
              </w:rPr>
              <w:t>6,640</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2026-10-16</w:t>
            </w:r>
          </w:p>
        </w:tc>
        <w:tc>
          <w:tcPr>
            <w:tcW w:type="dxa" w:w="1440"/>
            <w:shd w:fill="FAFAFA" w:val="clear"/>
          </w:tcPr>
          <w:p>
            <w:r>
              <w:rPr>
                <w:sz w:val="17"/>
              </w:rPr>
              <w:t>5,609</w:t>
            </w:r>
          </w:p>
        </w:tc>
        <w:tc>
          <w:tcPr>
            <w:tcW w:type="dxa" w:w="1440"/>
            <w:shd w:fill="FAFAFA" w:val="clear"/>
          </w:tcPr>
          <w:p>
            <w:r>
              <w:rPr>
                <w:b/>
                <w:sz w:val="17"/>
              </w:rPr>
              <w:t>6,156</w:t>
            </w:r>
          </w:p>
        </w:tc>
        <w:tc>
          <w:tcPr>
            <w:tcW w:type="dxa" w:w="1440"/>
            <w:shd w:fill="FAFAFA" w:val="clear"/>
          </w:tcPr>
          <w:p>
            <w:r>
              <w:rPr>
                <w:sz w:val="17"/>
              </w:rPr>
              <w:t>6,703</w:t>
            </w:r>
          </w:p>
        </w:tc>
        <w:tc>
          <w:tcPr>
            <w:tcW w:type="dxa" w:w="1440"/>
            <w:shd w:fill="FAFAFA" w:val="clear"/>
          </w:tcPr>
          <w:p>
            <w:r>
              <w:rPr>
                <w:b/>
                <w:color w:val="C00000"/>
                <w:sz w:val="17"/>
              </w:rPr>
              <w:t>-0.7%</w:t>
            </w:r>
          </w:p>
        </w:tc>
      </w:tr>
      <w:tr>
        <w:tc>
          <w:tcPr>
            <w:tcW w:type="dxa" w:w="1440"/>
            <w:shd w:fill="FAFAFA" w:val="clear"/>
          </w:tcPr>
          <w:p>
            <w:r>
              <w:rPr>
                <w:sz w:val="17"/>
              </w:rPr>
              <w:t>J+5  ⭐</w:t>
            </w:r>
          </w:p>
        </w:tc>
        <w:tc>
          <w:tcPr>
            <w:tcW w:type="dxa" w:w="1440"/>
            <w:shd w:fill="FAFAFA" w:val="clear"/>
          </w:tcPr>
          <w:p>
            <w:r>
              <w:rPr>
                <w:sz w:val="17"/>
              </w:rPr>
              <w:t>2026-10-19</w:t>
            </w:r>
          </w:p>
        </w:tc>
        <w:tc>
          <w:tcPr>
            <w:tcW w:type="dxa" w:w="1440"/>
            <w:shd w:fill="FAFAFA" w:val="clear"/>
          </w:tcPr>
          <w:p>
            <w:r>
              <w:rPr>
                <w:sz w:val="17"/>
              </w:rPr>
              <w:t>5,537</w:t>
            </w:r>
          </w:p>
        </w:tc>
        <w:tc>
          <w:tcPr>
            <w:tcW w:type="dxa" w:w="1440"/>
            <w:shd w:fill="FAFAFA" w:val="clear"/>
          </w:tcPr>
          <w:p>
            <w:r>
              <w:rPr>
                <w:b/>
                <w:sz w:val="17"/>
              </w:rPr>
              <w:t>6,148</w:t>
            </w:r>
          </w:p>
        </w:tc>
        <w:tc>
          <w:tcPr>
            <w:tcW w:type="dxa" w:w="1440"/>
            <w:shd w:fill="FAFAFA" w:val="clear"/>
          </w:tcPr>
          <w:p>
            <w:r>
              <w:rPr>
                <w:sz w:val="17"/>
              </w:rPr>
              <w:t>6,759</w:t>
            </w:r>
          </w:p>
        </w:tc>
        <w:tc>
          <w:tcPr>
            <w:tcW w:type="dxa" w:w="1440"/>
            <w:shd w:fill="FAFAFA" w:val="clear"/>
          </w:tcPr>
          <w:p>
            <w:r>
              <w:rPr>
                <w:b/>
                <w:color w:val="C00000"/>
                <w:sz w:val="17"/>
              </w:rPr>
              <w:t>-0.8%</w:t>
            </w:r>
          </w:p>
        </w:tc>
      </w:tr>
      <w:tr>
        <w:tc>
          <w:tcPr>
            <w:tcW w:type="dxa" w:w="1440"/>
            <w:shd w:fill="FAFAFA" w:val="clear"/>
          </w:tcPr>
          <w:p>
            <w:r>
              <w:rPr>
                <w:sz w:val="17"/>
              </w:rPr>
              <w:t>J+6  ⭐</w:t>
            </w:r>
          </w:p>
        </w:tc>
        <w:tc>
          <w:tcPr>
            <w:tcW w:type="dxa" w:w="1440"/>
            <w:shd w:fill="FAFAFA" w:val="clear"/>
          </w:tcPr>
          <w:p>
            <w:r>
              <w:rPr>
                <w:sz w:val="17"/>
              </w:rPr>
              <w:t>2026-10-20</w:t>
            </w:r>
          </w:p>
        </w:tc>
        <w:tc>
          <w:tcPr>
            <w:tcW w:type="dxa" w:w="1440"/>
            <w:shd w:fill="FAFAFA" w:val="clear"/>
          </w:tcPr>
          <w:p>
            <w:r>
              <w:rPr>
                <w:sz w:val="17"/>
              </w:rPr>
              <w:t>5,472</w:t>
            </w:r>
          </w:p>
        </w:tc>
        <w:tc>
          <w:tcPr>
            <w:tcW w:type="dxa" w:w="1440"/>
            <w:shd w:fill="FAFAFA" w:val="clear"/>
          </w:tcPr>
          <w:p>
            <w:r>
              <w:rPr>
                <w:b/>
                <w:sz w:val="17"/>
              </w:rPr>
              <w:t>6,141</w:t>
            </w:r>
          </w:p>
        </w:tc>
        <w:tc>
          <w:tcPr>
            <w:tcW w:type="dxa" w:w="1440"/>
            <w:shd w:fill="FAFAFA" w:val="clear"/>
          </w:tcPr>
          <w:p>
            <w:r>
              <w:rPr>
                <w:sz w:val="17"/>
              </w:rPr>
              <w:t>6,809</w:t>
            </w:r>
          </w:p>
        </w:tc>
        <w:tc>
          <w:tcPr>
            <w:tcW w:type="dxa" w:w="1440"/>
            <w:shd w:fill="FAFAFA" w:val="clear"/>
          </w:tcPr>
          <w:p>
            <w:r>
              <w:rPr>
                <w:b/>
                <w:color w:val="C00000"/>
                <w:sz w:val="17"/>
              </w:rPr>
              <w:t>-1.0%</w:t>
            </w:r>
          </w:p>
        </w:tc>
      </w:tr>
      <w:tr>
        <w:tc>
          <w:tcPr>
            <w:tcW w:type="dxa" w:w="1440"/>
            <w:shd w:fill="FAFAFA" w:val="clear"/>
          </w:tcPr>
          <w:p>
            <w:r>
              <w:rPr>
                <w:sz w:val="17"/>
              </w:rPr>
              <w:t>J+7  ⭐</w:t>
            </w:r>
          </w:p>
        </w:tc>
        <w:tc>
          <w:tcPr>
            <w:tcW w:type="dxa" w:w="1440"/>
            <w:shd w:fill="FAFAFA" w:val="clear"/>
          </w:tcPr>
          <w:p>
            <w:r>
              <w:rPr>
                <w:sz w:val="17"/>
              </w:rPr>
              <w:t>2026-10-21</w:t>
            </w:r>
          </w:p>
        </w:tc>
        <w:tc>
          <w:tcPr>
            <w:tcW w:type="dxa" w:w="1440"/>
            <w:shd w:fill="FAFAFA" w:val="clear"/>
          </w:tcPr>
          <w:p>
            <w:r>
              <w:rPr>
                <w:sz w:val="17"/>
              </w:rPr>
              <w:t>5,414</w:t>
            </w:r>
          </w:p>
        </w:tc>
        <w:tc>
          <w:tcPr>
            <w:tcW w:type="dxa" w:w="1440"/>
            <w:shd w:fill="FAFAFA" w:val="clear"/>
          </w:tcPr>
          <w:p>
            <w:r>
              <w:rPr>
                <w:b/>
                <w:sz w:val="17"/>
              </w:rPr>
              <w:t>6,135</w:t>
            </w:r>
          </w:p>
        </w:tc>
        <w:tc>
          <w:tcPr>
            <w:tcW w:type="dxa" w:w="1440"/>
            <w:shd w:fill="FAFAFA" w:val="clear"/>
          </w:tcPr>
          <w:p>
            <w:r>
              <w:rPr>
                <w:sz w:val="17"/>
              </w:rPr>
              <w:t>6,856</w:t>
            </w:r>
          </w:p>
        </w:tc>
        <w:tc>
          <w:tcPr>
            <w:tcW w:type="dxa" w:w="1440"/>
            <w:shd w:fill="FAFAFA" w:val="clear"/>
          </w:tcPr>
          <w:p>
            <w:r>
              <w:rPr>
                <w:b/>
                <w:color w:val="C00000"/>
                <w:sz w:val="17"/>
              </w:rPr>
              <w:t>-1.1%</w:t>
            </w:r>
          </w:p>
        </w:tc>
      </w:tr>
      <w:tr>
        <w:tc>
          <w:tcPr>
            <w:tcW w:type="dxa" w:w="1440"/>
            <w:shd w:fill="FAFAFA" w:val="clear"/>
          </w:tcPr>
          <w:p>
            <w:r>
              <w:rPr>
                <w:sz w:val="17"/>
              </w:rPr>
              <w:t>J+8  ⭐</w:t>
            </w:r>
          </w:p>
        </w:tc>
        <w:tc>
          <w:tcPr>
            <w:tcW w:type="dxa" w:w="1440"/>
            <w:shd w:fill="FAFAFA" w:val="clear"/>
          </w:tcPr>
          <w:p>
            <w:r>
              <w:rPr>
                <w:sz w:val="17"/>
              </w:rPr>
              <w:t>2026-10-22</w:t>
            </w:r>
          </w:p>
        </w:tc>
        <w:tc>
          <w:tcPr>
            <w:tcW w:type="dxa" w:w="1440"/>
            <w:shd w:fill="FAFAFA" w:val="clear"/>
          </w:tcPr>
          <w:p>
            <w:r>
              <w:rPr>
                <w:sz w:val="17"/>
              </w:rPr>
              <w:t>5,359</w:t>
            </w:r>
          </w:p>
        </w:tc>
        <w:tc>
          <w:tcPr>
            <w:tcW w:type="dxa" w:w="1440"/>
            <w:shd w:fill="FAFAFA" w:val="clear"/>
          </w:tcPr>
          <w:p>
            <w:r>
              <w:rPr>
                <w:b/>
                <w:sz w:val="17"/>
              </w:rPr>
              <w:t>6,129</w:t>
            </w:r>
          </w:p>
        </w:tc>
        <w:tc>
          <w:tcPr>
            <w:tcW w:type="dxa" w:w="1440"/>
            <w:shd w:fill="FAFAFA" w:val="clear"/>
          </w:tcPr>
          <w:p>
            <w:r>
              <w:rPr>
                <w:sz w:val="17"/>
              </w:rPr>
              <w:t>6,900</w:t>
            </w:r>
          </w:p>
        </w:tc>
        <w:tc>
          <w:tcPr>
            <w:tcW w:type="dxa" w:w="1440"/>
            <w:shd w:fill="FAFAFA" w:val="clear"/>
          </w:tcPr>
          <w:p>
            <w:r>
              <w:rPr>
                <w:b/>
                <w:color w:val="C00000"/>
                <w:sz w:val="17"/>
              </w:rPr>
              <w:t>-1.1%</w:t>
            </w:r>
          </w:p>
        </w:tc>
      </w:tr>
      <w:tr>
        <w:tc>
          <w:tcPr>
            <w:tcW w:type="dxa" w:w="1440"/>
            <w:shd w:fill="FAFAFA" w:val="clear"/>
          </w:tcPr>
          <w:p>
            <w:r>
              <w:rPr>
                <w:sz w:val="17"/>
              </w:rPr>
              <w:t>J+9  ⭐</w:t>
            </w:r>
          </w:p>
        </w:tc>
        <w:tc>
          <w:tcPr>
            <w:tcW w:type="dxa" w:w="1440"/>
            <w:shd w:fill="FAFAFA" w:val="clear"/>
          </w:tcPr>
          <w:p>
            <w:r>
              <w:rPr>
                <w:sz w:val="17"/>
              </w:rPr>
              <w:t>2026-10-23</w:t>
            </w:r>
          </w:p>
        </w:tc>
        <w:tc>
          <w:tcPr>
            <w:tcW w:type="dxa" w:w="1440"/>
            <w:shd w:fill="FAFAFA" w:val="clear"/>
          </w:tcPr>
          <w:p>
            <w:r>
              <w:rPr>
                <w:sz w:val="17"/>
              </w:rPr>
              <w:t>5,308</w:t>
            </w:r>
          </w:p>
        </w:tc>
        <w:tc>
          <w:tcPr>
            <w:tcW w:type="dxa" w:w="1440"/>
            <w:shd w:fill="FAFAFA" w:val="clear"/>
          </w:tcPr>
          <w:p>
            <w:r>
              <w:rPr>
                <w:b/>
                <w:sz w:val="17"/>
              </w:rPr>
              <w:t>6,124</w:t>
            </w:r>
          </w:p>
        </w:tc>
        <w:tc>
          <w:tcPr>
            <w:tcW w:type="dxa" w:w="1440"/>
            <w:shd w:fill="FAFAFA" w:val="clear"/>
          </w:tcPr>
          <w:p>
            <w:r>
              <w:rPr>
                <w:sz w:val="17"/>
              </w:rPr>
              <w:t>6,941</w:t>
            </w:r>
          </w:p>
        </w:tc>
        <w:tc>
          <w:tcPr>
            <w:tcW w:type="dxa" w:w="1440"/>
            <w:shd w:fill="FAFAFA" w:val="clear"/>
          </w:tcPr>
          <w:p>
            <w:r>
              <w:rPr>
                <w:b/>
                <w:color w:val="C00000"/>
                <w:sz w:val="17"/>
              </w:rPr>
              <w:t>-1.2%</w:t>
            </w:r>
          </w:p>
        </w:tc>
      </w:tr>
      <w:tr>
        <w:tc>
          <w:tcPr>
            <w:tcW w:type="dxa" w:w="1440"/>
            <w:shd w:fill="FAFAFA" w:val="clear"/>
          </w:tcPr>
          <w:p>
            <w:r>
              <w:rPr>
                <w:sz w:val="17"/>
              </w:rPr>
              <w:t>J+10  ⭐</w:t>
            </w:r>
          </w:p>
        </w:tc>
        <w:tc>
          <w:tcPr>
            <w:tcW w:type="dxa" w:w="1440"/>
            <w:shd w:fill="FAFAFA" w:val="clear"/>
          </w:tcPr>
          <w:p>
            <w:r>
              <w:rPr>
                <w:sz w:val="17"/>
              </w:rPr>
              <w:t>2026-10-26</w:t>
            </w:r>
          </w:p>
        </w:tc>
        <w:tc>
          <w:tcPr>
            <w:tcW w:type="dxa" w:w="1440"/>
            <w:shd w:fill="FAFAFA" w:val="clear"/>
          </w:tcPr>
          <w:p>
            <w:r>
              <w:rPr>
                <w:sz w:val="17"/>
              </w:rPr>
              <w:t>5,260</w:t>
            </w:r>
          </w:p>
        </w:tc>
        <w:tc>
          <w:tcPr>
            <w:tcW w:type="dxa" w:w="1440"/>
            <w:shd w:fill="FAFAFA" w:val="clear"/>
          </w:tcPr>
          <w:p>
            <w:r>
              <w:rPr>
                <w:b/>
                <w:sz w:val="17"/>
              </w:rPr>
              <w:t>6,120</w:t>
            </w:r>
          </w:p>
        </w:tc>
        <w:tc>
          <w:tcPr>
            <w:tcW w:type="dxa" w:w="1440"/>
            <w:shd w:fill="FAFAFA" w:val="clear"/>
          </w:tcPr>
          <w:p>
            <w:r>
              <w:rPr>
                <w:sz w:val="17"/>
              </w:rPr>
              <w:t>6,980</w:t>
            </w:r>
          </w:p>
        </w:tc>
        <w:tc>
          <w:tcPr>
            <w:tcW w:type="dxa" w:w="1440"/>
            <w:shd w:fill="FAFAFA" w:val="clear"/>
          </w:tcPr>
          <w:p>
            <w:r>
              <w:rPr>
                <w:b/>
                <w:color w:val="C00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(Compagnie Ivoirienne d'Électricité)**</w:t>
        <w:br/>
        <w:t>*Marché : BRVM | Secteur : Services publics / Électricité | Devise : FCFA*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347,20 Mds FCFA, la CIEC figure parmi les valeurs les plus importantes de la BRVM, ce qui témoigne de son statut de monopole dans un secteur stratégique. Le BPA s'établit à 234 FCFA/action, un niveau qui reflète la capacité bénéficiaire de l'entreprise, mais le PER de 26,4x traduit une valorisation nettement supérieure à la moyenne du marché BRVM (8-12x), signe que les investisseurs intègrent déjà une forte croissance attendue ou une prime de rareté. Le P/B de 9,65x, très au-dessus du seuil de 4x, indique que le marché valorise l'action à près de dix fois sa valeur comptable, une prime exigeante qui laisse peu de marge d'erreur. Enfin, l'EV/EBITDA de 14,4x, dans la fourchette haute (10-15x), confirme que la valeur d'entreprise rapportée à la capacité opérationnelle est chère, ce qui suggère une surévaluation relative à moins que la croissance ne se matérialise durablement.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CIEC a enregistré une variation totale spectaculaire de +84,80%, bien que la dernière séance (J-1) affiche un repli de -1,59%, signalant une prise de bénéfices après un rallye exceptionnel. Le cours actuel de 6 200 FCFA se situe dans la partie haute du range de trading, le plus haut ayant atteint 7 400 FCFA et le plus bas 3 355 FCFA, soit un écart de plus de 120% entre les extrêmes, ce qui illustre une tendance haussière puissante mais ponctuée de corrections. Les statistiques descriptives révèlent une moyenne de 5 627 FCFA supérieure à la médiane de 5 318 FCFA, indiquant une légère asymétrie positive due aux pics récents, tandis que le mode à 4 995 FCFA rappelle le niveau de consolidation antérieur. L'écart-type de 917 FCFA avec un coefficient de variation de 16,3% traduit une dispersion modérée autour de la moyenne, et le kurtosis de -0,632 (mésokurtique) suggère une distribution proche de la normale, sans risque excessif de pics extrêmes. Le skewness de -0,018, quasi nul, confirme une distribution symétrique, ce qui est rassurant pour la prévisibilité du comportement du cours. La volatilité annualisée de 50,4% classe le titre dans la catégorie des valeurs très volatiles (&gt;30%), ce qui implique un risque élevé mais aussi des opportunités de trading significatives.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(6 452,25 FCFA) et la MM50 (6 312,5 FCFA) se situent toutes deux au-dessus du cours actuel (6 200 FCFA), ce qui place le titre en dessous de ses moyennes à court et moyen terme. Cette configuration, bien que baissière à court terme, est contrebalancée par la décision "Achat" générée, probablement en raison du fort momentum haussier sous-jacent et de la proximité du support que constituent ces moyennes.</w:t>
      </w:r>
    </w:p>
    <w:p>
      <w:pPr>
        <w:spacing w:after="120" w:line="276" w:lineRule="auto"/>
      </w:pPr>
      <w:r>
        <w:t>**Bandes de Bollinger** : Le cours (6 200 FCFA) se situe entre la borne inférieure (6 029,52 FCFA) et la borne supérieure (6 874,98 FCFA), plus proche de la borne basse, ce qui indique une pression vendeuse récente mais sans rupture majeure. La décision "Neutre" reflète cette position médiane, avec une volatilité qui reste contenue dans les bandes, suggérant une possible stabilisation avant un nouveau mouvement directionnel.</w:t>
      </w:r>
    </w:p>
    <w:p>
      <w:pPr>
        <w:spacing w:after="120" w:line="276" w:lineRule="auto"/>
      </w:pPr>
      <w:r>
        <w:t>**MACD** : La valeur du MACD (-44,462) est nettement inférieure à son signal (-2,774), générant une décision "Vente". Cette divergence négative indique un momentum baissier à court terme, avec un histogramme négatif qui suggère que la pression vendeuse pourrait persister quelques séances avant un retournement éventuel.</w:t>
      </w:r>
    </w:p>
    <w:p>
      <w:pPr>
        <w:spacing w:after="120" w:line="276" w:lineRule="auto"/>
      </w:pPr>
      <w:r>
        <w:t>**RSI** : À 35,714, le RSI se situe dans la zone neutre basse (30-70), sans atteindre la zone de survente (&lt;30), ce qui justifie la décision "Neutre". Ce niveau indique que le titre n'est ni suracheté ni survendu, mais la proximité de la zone de survente pourrait attirer des acheteurs à la recherche de points d'entrée.</w:t>
      </w:r>
    </w:p>
    <w:p>
      <w:pPr>
        <w:spacing w:after="120" w:line="276" w:lineRule="auto"/>
      </w:pPr>
      <w:r>
        <w:t>**Stochastique** : Le %K (14,286) est très en dessous du %D (28,154), avec un croisement potentiel à la baisse, mais la décision "Achat" suggère que le marché anticipe un rebond technique depuis la zone de survente. Cette configuration est typique d'un essoufflement de la baisse et d'une possible reprise à court terme.</w:t>
      </w:r>
    </w:p>
    <w:p>
      <w:pPr>
        <w:spacing w:after="120" w:line="276" w:lineRule="auto"/>
      </w:pPr>
      <w:r>
        <w:t>**Conclusion technique** : Les indicateurs sont mitigés, avec une majorité de signaux neutres ou baissiers (MACD, Bandes de Bollinger) mais des signaux d'achat sur les moyennes mobiles et le stochastique. Le titre se trouve dans une phase de correction après un rallye exceptionnel, et la convergence des signaux vers une stabilisation suggère une possible reprise si le support des 6 000 FCFA tient. La prudence reste de mise compte tenu de la divergence du MACD.</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la CIEC affiche un chiffre d'affaires de 302,320 Mds FCFA, en croissance de +14,82% par rapport à 2024, portée par une hausse des ventes d'énergie (+8,3% en volume) et une expansion du nombre de clients (+15,1% à 5 282 283 clients). Le résultat net s'établit à 13,127 Mds FCFA, en progression de +24,4%, avec une marge nette de 4,34% et un ROE exceptionnel de 36,50%, bien au-dessus du seuil de 15% considéré comme excellent. Le ROA reste faible à 0,65%, reflétant l'intensité capitalistique du secteur, tandis que la marge opérationnelle de 7,40% et l'EBE de 37,161 Mds FCFA témoignent d'une bonne maîtrise des charges. La structure financière est toutefois très déséquilibrée : l'autonomie financière n'est que de 1,78% (capitaux propres de 35,962 Mds FCFA pour un total bilan de 2 018,446 Mds FCFA), et le ratio d'endettement atteint 612,94%, ce qui expose l'entreprise à un risque financier élevé. Le BFR est négatif à -90,244 Mds FCFA, un point positif pour la trésorerie, mais le délai client de 164 jours et le délai fournisseur de 970 jours traduisent une dépendance aux paiements institutionnels et un risque de crédit significatif. Les rapports antérieurs (S1 2025, daté du 30 juin 2025) confirment la tendance avec un CA semestriel de 134,923 Mds FCFA (+18,85%) et un résultat net de 5,096 Mds FCFA (+13,37%), permettant d'estimer un exercice 2025 solide, ce qui s'est confirmé. Le rapport annuel 2024 (daté du 31 décembre 2024) montrait déjà un ROE de 26,3% et une marge nette de 4,0%, soulignant la constance de la rentabilité. La recommandation fondamentale est de **CONSERVER** : la croissance et la rentabilité sont solides, mais la valorisation exigeante, le risque de crédit client et la dépendance réglementaire limitent le potentiel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clairement exigeante avec un PER de 26,4x et un P/B de 9,65x, bien au-dessus des moyennes du marché, ce qui suggère une surévaluation relative à moins que la croissance ne se poursuive à un rythme soutenu. Le comportement du cours (Partie 1) est exceptionnellement haussier (+84,80% sur 100 jours) mais la volatilité de 50,4% et la correction récente de -1,59% indiquent une prise de bénéfices, avec des statistiques (kurtosis et skewness proches de zéro) qui ne signalent pas de risque extrême. Les signaux techniques (Partie 2) sont divergents : le MACD est baissier, mais les moyennes mobiles et le stochastique suggèrent un achat, ce qui plaide pour une stabilisation avant une reprise. Les fondamentaux (Partie 3) sont solides avec un ROE de 36,50% et une croissance du CA de +14,82% en 2025, mais la structure financière très endettée et le risque client tempèrent l'optimisme. Les prédictions IA (J+1 à J+10) anticipent une légère baisse vers 6 148 FCFA d'ici le 19 octobre 2026, ce qui contredit les signaux d'achat techniques et suggère une consolidation à court terme. Sur la base de cette synthèse, la recommandation finale est **CONSERVER** : la convergence entre une valorisation tendue, des signaux techniques mitigés et des fondamentaux solides mais risqués ne justifie pas un achat agressif, mais la qualité de l'actif et la croissance justifient de conserver la position. Le niveau de confiance est **Moyen**, le risque global est **Élevé** (volatilité, endettement, dépendance réglementaire), et l'horizon d'investissement optimal est **moyen terme (3-12 mois)** pour profiter de la croissance tout en surveillant les corrections.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16.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908.33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4,177 titres</w:t>
            </w:r>
          </w:p>
        </w:tc>
        <w:tc>
          <w:tcPr>
            <w:tcW w:type="dxa" w:w="2268"/>
            <w:shd w:fill="FFF2CC" w:val="clear"/>
          </w:tcPr>
          <w:p>
            <w:r>
              <w:rPr>
                <w:b/>
                <w:color w:val="503200"/>
                <w:sz w:val="16"/>
              </w:rPr>
              <w:t xml:space="preserve">Cours actuel : </w:t>
            </w:r>
            <w:r>
              <w:rPr>
                <w:color w:val="000000"/>
                <w:sz w:val="17"/>
              </w:rPr>
              <w:t>16,500 FCFA</w:t>
            </w:r>
          </w:p>
          <w:p>
            <w:r>
              <w:rPr>
                <w:b/>
                <w:color w:val="503200"/>
                <w:sz w:val="16"/>
              </w:rPr>
              <w:t xml:space="preserve">Var. 100 jours : </w:t>
            </w:r>
            <w:r>
              <w:rPr>
                <w:b/>
                <w:color w:val="007800"/>
                <w:sz w:val="17"/>
              </w:rPr>
              <w:t>+1.23%</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27.3%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2.70% (Faible) — μ=16,592 FCFA, σ=448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β=0.2645 (Défensif) — Cov=0.000019, Var(idx)=0.000073, ρ=0.132,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4,177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σ_j=1.72%/j (Stable) — Vol. annualisée≈27.3%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80/100  (Excellent)</w:t>
      </w:r>
    </w:p>
    <w:p/>
    <w:p>
      <w:pPr>
        <w:jc w:val="center"/>
      </w:pPr>
      <w:r>
        <w:drawing>
          <wp:inline xmlns:a="http://schemas.openxmlformats.org/drawingml/2006/main" xmlns:pic="http://schemas.openxmlformats.org/drawingml/2006/picture">
            <wp:extent cx="5669280" cy="260319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2026-10-13</w:t>
            </w:r>
          </w:p>
        </w:tc>
        <w:tc>
          <w:tcPr>
            <w:tcW w:type="dxa" w:w="1440"/>
            <w:shd w:fill="FAFAFA" w:val="clear"/>
          </w:tcPr>
          <w:p>
            <w:r>
              <w:rPr>
                <w:sz w:val="17"/>
              </w:rPr>
              <w:t>16,301</w:t>
            </w:r>
          </w:p>
        </w:tc>
        <w:tc>
          <w:tcPr>
            <w:tcW w:type="dxa" w:w="1440"/>
            <w:shd w:fill="FAFAFA" w:val="clear"/>
          </w:tcPr>
          <w:p>
            <w:r>
              <w:rPr>
                <w:b/>
                <w:sz w:val="17"/>
              </w:rPr>
              <w:t>16,731</w:t>
            </w:r>
          </w:p>
        </w:tc>
        <w:tc>
          <w:tcPr>
            <w:tcW w:type="dxa" w:w="1440"/>
            <w:shd w:fill="FAFAFA" w:val="clear"/>
          </w:tcPr>
          <w:p>
            <w:r>
              <w:rPr>
                <w:sz w:val="17"/>
              </w:rPr>
              <w:t>17,160</w:t>
            </w:r>
          </w:p>
        </w:tc>
        <w:tc>
          <w:tcPr>
            <w:tcW w:type="dxa" w:w="1440"/>
            <w:shd w:fill="FAFAFA" w:val="clear"/>
          </w:tcPr>
          <w:p>
            <w:r>
              <w:rPr>
                <w:b/>
                <w:color w:val="008000"/>
                <w:sz w:val="17"/>
              </w:rPr>
              <w:t>+1.4%</w:t>
            </w:r>
          </w:p>
        </w:tc>
      </w:tr>
      <w:tr>
        <w:tc>
          <w:tcPr>
            <w:tcW w:type="dxa" w:w="1440"/>
            <w:shd w:fill="FAFAFA" w:val="clear"/>
          </w:tcPr>
          <w:p>
            <w:r>
              <w:rPr>
                <w:sz w:val="17"/>
              </w:rPr>
              <w:t>J+2  ⭐⭐⭐</w:t>
            </w:r>
          </w:p>
        </w:tc>
        <w:tc>
          <w:tcPr>
            <w:tcW w:type="dxa" w:w="1440"/>
            <w:shd w:fill="FAFAFA" w:val="clear"/>
          </w:tcPr>
          <w:p>
            <w:r>
              <w:rPr>
                <w:sz w:val="17"/>
              </w:rPr>
              <w:t>2026-10-14</w:t>
            </w:r>
          </w:p>
        </w:tc>
        <w:tc>
          <w:tcPr>
            <w:tcW w:type="dxa" w:w="1440"/>
            <w:shd w:fill="FAFAFA" w:val="clear"/>
          </w:tcPr>
          <w:p>
            <w:r>
              <w:rPr>
                <w:sz w:val="17"/>
              </w:rPr>
              <w:t>16,128</w:t>
            </w:r>
          </w:p>
        </w:tc>
        <w:tc>
          <w:tcPr>
            <w:tcW w:type="dxa" w:w="1440"/>
            <w:shd w:fill="FAFAFA" w:val="clear"/>
          </w:tcPr>
          <w:p>
            <w:r>
              <w:rPr>
                <w:b/>
                <w:sz w:val="17"/>
              </w:rPr>
              <w:t>16,735</w:t>
            </w:r>
          </w:p>
        </w:tc>
        <w:tc>
          <w:tcPr>
            <w:tcW w:type="dxa" w:w="1440"/>
            <w:shd w:fill="FAFAFA" w:val="clear"/>
          </w:tcPr>
          <w:p>
            <w:r>
              <w:rPr>
                <w:sz w:val="17"/>
              </w:rPr>
              <w:t>17,342</w:t>
            </w:r>
          </w:p>
        </w:tc>
        <w:tc>
          <w:tcPr>
            <w:tcW w:type="dxa" w:w="1440"/>
            <w:shd w:fill="FAFAFA" w:val="clear"/>
          </w:tcPr>
          <w:p>
            <w:r>
              <w:rPr>
                <w:b/>
                <w:color w:val="008000"/>
                <w:sz w:val="17"/>
              </w:rPr>
              <w:t>+1.4%</w:t>
            </w:r>
          </w:p>
        </w:tc>
      </w:tr>
      <w:tr>
        <w:tc>
          <w:tcPr>
            <w:tcW w:type="dxa" w:w="1440"/>
            <w:shd w:fill="FAFAFA" w:val="clear"/>
          </w:tcPr>
          <w:p>
            <w:r>
              <w:rPr>
                <w:sz w:val="17"/>
              </w:rPr>
              <w:t>J+3  ⭐⭐⭐</w:t>
            </w:r>
          </w:p>
        </w:tc>
        <w:tc>
          <w:tcPr>
            <w:tcW w:type="dxa" w:w="1440"/>
            <w:shd w:fill="FAFAFA" w:val="clear"/>
          </w:tcPr>
          <w:p>
            <w:r>
              <w:rPr>
                <w:sz w:val="17"/>
              </w:rPr>
              <w:t>2026-10-15</w:t>
            </w:r>
          </w:p>
        </w:tc>
        <w:tc>
          <w:tcPr>
            <w:tcW w:type="dxa" w:w="1440"/>
            <w:shd w:fill="FAFAFA" w:val="clear"/>
          </w:tcPr>
          <w:p>
            <w:r>
              <w:rPr>
                <w:sz w:val="17"/>
              </w:rPr>
              <w:t>16,010</w:t>
            </w:r>
          </w:p>
        </w:tc>
        <w:tc>
          <w:tcPr>
            <w:tcW w:type="dxa" w:w="1440"/>
            <w:shd w:fill="FAFAFA" w:val="clear"/>
          </w:tcPr>
          <w:p>
            <w:r>
              <w:rPr>
                <w:b/>
                <w:sz w:val="17"/>
              </w:rPr>
              <w:t>16,755</w:t>
            </w:r>
          </w:p>
        </w:tc>
        <w:tc>
          <w:tcPr>
            <w:tcW w:type="dxa" w:w="1440"/>
            <w:shd w:fill="FAFAFA" w:val="clear"/>
          </w:tcPr>
          <w:p>
            <w:r>
              <w:rPr>
                <w:sz w:val="17"/>
              </w:rPr>
              <w:t>17,500</w:t>
            </w:r>
          </w:p>
        </w:tc>
        <w:tc>
          <w:tcPr>
            <w:tcW w:type="dxa" w:w="1440"/>
            <w:shd w:fill="FAFAFA" w:val="clear"/>
          </w:tcPr>
          <w:p>
            <w:r>
              <w:rPr>
                <w:b/>
                <w:color w:val="008000"/>
                <w:sz w:val="17"/>
              </w:rPr>
              <w:t>+1.5%</w:t>
            </w:r>
          </w:p>
        </w:tc>
      </w:tr>
      <w:tr>
        <w:tc>
          <w:tcPr>
            <w:tcW w:type="dxa" w:w="1440"/>
            <w:shd w:fill="FAFAFA" w:val="clear"/>
          </w:tcPr>
          <w:p>
            <w:r>
              <w:rPr>
                <w:sz w:val="17"/>
              </w:rPr>
              <w:t>J+4  Moyenne</w:t>
            </w:r>
          </w:p>
        </w:tc>
        <w:tc>
          <w:tcPr>
            <w:tcW w:type="dxa" w:w="1440"/>
            <w:shd w:fill="FAFAFA" w:val="clear"/>
          </w:tcPr>
          <w:p>
            <w:r>
              <w:rPr>
                <w:sz w:val="17"/>
              </w:rPr>
              <w:t>2026-10-16</w:t>
            </w:r>
          </w:p>
        </w:tc>
        <w:tc>
          <w:tcPr>
            <w:tcW w:type="dxa" w:w="1440"/>
            <w:shd w:fill="FAFAFA" w:val="clear"/>
          </w:tcPr>
          <w:p>
            <w:r>
              <w:rPr>
                <w:sz w:val="17"/>
              </w:rPr>
              <w:t>15,912</w:t>
            </w:r>
          </w:p>
        </w:tc>
        <w:tc>
          <w:tcPr>
            <w:tcW w:type="dxa" w:w="1440"/>
            <w:shd w:fill="FAFAFA" w:val="clear"/>
          </w:tcPr>
          <w:p>
            <w:r>
              <w:rPr>
                <w:b/>
                <w:sz w:val="17"/>
              </w:rPr>
              <w:t>16,773</w:t>
            </w:r>
          </w:p>
        </w:tc>
        <w:tc>
          <w:tcPr>
            <w:tcW w:type="dxa" w:w="1440"/>
            <w:shd w:fill="FAFAFA" w:val="clear"/>
          </w:tcPr>
          <w:p>
            <w:r>
              <w:rPr>
                <w:sz w:val="17"/>
              </w:rPr>
              <w:t>17,634</w:t>
            </w:r>
          </w:p>
        </w:tc>
        <w:tc>
          <w:tcPr>
            <w:tcW w:type="dxa" w:w="1440"/>
            <w:shd w:fill="FAFAFA" w:val="clear"/>
          </w:tcPr>
          <w:p>
            <w:r>
              <w:rPr>
                <w:b/>
                <w:color w:val="008000"/>
                <w:sz w:val="17"/>
              </w:rPr>
              <w:t>+1.7%</w:t>
            </w:r>
          </w:p>
        </w:tc>
      </w:tr>
      <w:tr>
        <w:tc>
          <w:tcPr>
            <w:tcW w:type="dxa" w:w="1440"/>
            <w:shd w:fill="FAFAFA" w:val="clear"/>
          </w:tcPr>
          <w:p>
            <w:r>
              <w:rPr>
                <w:sz w:val="17"/>
              </w:rPr>
              <w:t>J+5  Moyenne</w:t>
            </w:r>
          </w:p>
        </w:tc>
        <w:tc>
          <w:tcPr>
            <w:tcW w:type="dxa" w:w="1440"/>
            <w:shd w:fill="FAFAFA" w:val="clear"/>
          </w:tcPr>
          <w:p>
            <w:r>
              <w:rPr>
                <w:sz w:val="17"/>
              </w:rPr>
              <w:t>2026-10-19</w:t>
            </w:r>
          </w:p>
        </w:tc>
        <w:tc>
          <w:tcPr>
            <w:tcW w:type="dxa" w:w="1440"/>
            <w:shd w:fill="FAFAFA" w:val="clear"/>
          </w:tcPr>
          <w:p>
            <w:r>
              <w:rPr>
                <w:sz w:val="17"/>
              </w:rPr>
              <w:t>15,826</w:t>
            </w:r>
          </w:p>
        </w:tc>
        <w:tc>
          <w:tcPr>
            <w:tcW w:type="dxa" w:w="1440"/>
            <w:shd w:fill="FAFAFA" w:val="clear"/>
          </w:tcPr>
          <w:p>
            <w:r>
              <w:rPr>
                <w:b/>
                <w:sz w:val="17"/>
              </w:rPr>
              <w:t>16,789</w:t>
            </w:r>
          </w:p>
        </w:tc>
        <w:tc>
          <w:tcPr>
            <w:tcW w:type="dxa" w:w="1440"/>
            <w:shd w:fill="FAFAFA" w:val="clear"/>
          </w:tcPr>
          <w:p>
            <w:r>
              <w:rPr>
                <w:sz w:val="17"/>
              </w:rPr>
              <w:t>17,753</w:t>
            </w:r>
          </w:p>
        </w:tc>
        <w:tc>
          <w:tcPr>
            <w:tcW w:type="dxa" w:w="1440"/>
            <w:shd w:fill="FAFAFA" w:val="clear"/>
          </w:tcPr>
          <w:p>
            <w:r>
              <w:rPr>
                <w:b/>
                <w:color w:val="008000"/>
                <w:sz w:val="17"/>
              </w:rPr>
              <w:t>+1.8%</w:t>
            </w:r>
          </w:p>
        </w:tc>
      </w:tr>
      <w:tr>
        <w:tc>
          <w:tcPr>
            <w:tcW w:type="dxa" w:w="1440"/>
            <w:shd w:fill="FAFAFA" w:val="clear"/>
          </w:tcPr>
          <w:p>
            <w:r>
              <w:rPr>
                <w:sz w:val="17"/>
              </w:rPr>
              <w:t>J+6  Moyenne</w:t>
            </w:r>
          </w:p>
        </w:tc>
        <w:tc>
          <w:tcPr>
            <w:tcW w:type="dxa" w:w="1440"/>
            <w:shd w:fill="FAFAFA" w:val="clear"/>
          </w:tcPr>
          <w:p>
            <w:r>
              <w:rPr>
                <w:sz w:val="17"/>
              </w:rPr>
              <w:t>2026-10-20</w:t>
            </w:r>
          </w:p>
        </w:tc>
        <w:tc>
          <w:tcPr>
            <w:tcW w:type="dxa" w:w="1440"/>
            <w:shd w:fill="FAFAFA" w:val="clear"/>
          </w:tcPr>
          <w:p>
            <w:r>
              <w:rPr>
                <w:sz w:val="17"/>
              </w:rPr>
              <w:t>15,748</w:t>
            </w:r>
          </w:p>
        </w:tc>
        <w:tc>
          <w:tcPr>
            <w:tcW w:type="dxa" w:w="1440"/>
            <w:shd w:fill="FAFAFA" w:val="clear"/>
          </w:tcPr>
          <w:p>
            <w:r>
              <w:rPr>
                <w:b/>
                <w:sz w:val="17"/>
              </w:rPr>
              <w:t>16,804</w:t>
            </w:r>
          </w:p>
        </w:tc>
        <w:tc>
          <w:tcPr>
            <w:tcW w:type="dxa" w:w="1440"/>
            <w:shd w:fill="FAFAFA" w:val="clear"/>
          </w:tcPr>
          <w:p>
            <w:r>
              <w:rPr>
                <w:sz w:val="17"/>
              </w:rPr>
              <w:t>17,861</w:t>
            </w:r>
          </w:p>
        </w:tc>
        <w:tc>
          <w:tcPr>
            <w:tcW w:type="dxa" w:w="1440"/>
            <w:shd w:fill="FAFAFA" w:val="clear"/>
          </w:tcPr>
          <w:p>
            <w:r>
              <w:rPr>
                <w:b/>
                <w:color w:val="008000"/>
                <w:sz w:val="17"/>
              </w:rPr>
              <w:t>+1.8%</w:t>
            </w:r>
          </w:p>
        </w:tc>
      </w:tr>
      <w:tr>
        <w:tc>
          <w:tcPr>
            <w:tcW w:type="dxa" w:w="1440"/>
            <w:shd w:fill="FAFAFA" w:val="clear"/>
          </w:tcPr>
          <w:p>
            <w:r>
              <w:rPr>
                <w:sz w:val="17"/>
              </w:rPr>
              <w:t>J+7  Moyenne</w:t>
            </w:r>
          </w:p>
        </w:tc>
        <w:tc>
          <w:tcPr>
            <w:tcW w:type="dxa" w:w="1440"/>
            <w:shd w:fill="FAFAFA" w:val="clear"/>
          </w:tcPr>
          <w:p>
            <w:r>
              <w:rPr>
                <w:sz w:val="17"/>
              </w:rPr>
              <w:t>2026-10-21</w:t>
            </w:r>
          </w:p>
        </w:tc>
        <w:tc>
          <w:tcPr>
            <w:tcW w:type="dxa" w:w="1440"/>
            <w:shd w:fill="FAFAFA" w:val="clear"/>
          </w:tcPr>
          <w:p>
            <w:r>
              <w:rPr>
                <w:sz w:val="17"/>
              </w:rPr>
              <w:t>15,677</w:t>
            </w:r>
          </w:p>
        </w:tc>
        <w:tc>
          <w:tcPr>
            <w:tcW w:type="dxa" w:w="1440"/>
            <w:shd w:fill="FAFAFA" w:val="clear"/>
          </w:tcPr>
          <w:p>
            <w:r>
              <w:rPr>
                <w:b/>
                <w:sz w:val="17"/>
              </w:rPr>
              <w:t>16,819</w:t>
            </w:r>
          </w:p>
        </w:tc>
        <w:tc>
          <w:tcPr>
            <w:tcW w:type="dxa" w:w="1440"/>
            <w:shd w:fill="FAFAFA" w:val="clear"/>
          </w:tcPr>
          <w:p>
            <w:r>
              <w:rPr>
                <w:sz w:val="17"/>
              </w:rPr>
              <w:t>17,961</w:t>
            </w:r>
          </w:p>
        </w:tc>
        <w:tc>
          <w:tcPr>
            <w:tcW w:type="dxa" w:w="1440"/>
            <w:shd w:fill="FAFAFA" w:val="clear"/>
          </w:tcPr>
          <w:p>
            <w:r>
              <w:rPr>
                <w:b/>
                <w:color w:val="008000"/>
                <w:sz w:val="17"/>
              </w:rPr>
              <w:t>+1.9%</w:t>
            </w:r>
          </w:p>
        </w:tc>
      </w:tr>
      <w:tr>
        <w:tc>
          <w:tcPr>
            <w:tcW w:type="dxa" w:w="1440"/>
            <w:shd w:fill="C6EFCE" w:val="clear"/>
          </w:tcPr>
          <w:p>
            <w:r>
              <w:rPr>
                <w:sz w:val="17"/>
              </w:rPr>
              <w:t>J+8  Moyenne</w:t>
            </w:r>
          </w:p>
        </w:tc>
        <w:tc>
          <w:tcPr>
            <w:tcW w:type="dxa" w:w="1440"/>
            <w:shd w:fill="C6EFCE" w:val="clear"/>
          </w:tcPr>
          <w:p>
            <w:r>
              <w:rPr>
                <w:sz w:val="17"/>
              </w:rPr>
              <w:t>2026-10-22</w:t>
            </w:r>
          </w:p>
        </w:tc>
        <w:tc>
          <w:tcPr>
            <w:tcW w:type="dxa" w:w="1440"/>
            <w:shd w:fill="C6EFCE" w:val="clear"/>
          </w:tcPr>
          <w:p>
            <w:r>
              <w:rPr>
                <w:sz w:val="17"/>
              </w:rPr>
              <w:t>15,612</w:t>
            </w:r>
          </w:p>
        </w:tc>
        <w:tc>
          <w:tcPr>
            <w:tcW w:type="dxa" w:w="1440"/>
            <w:shd w:fill="C6EFCE" w:val="clear"/>
          </w:tcPr>
          <w:p>
            <w:r>
              <w:rPr>
                <w:b/>
                <w:sz w:val="17"/>
              </w:rPr>
              <w:t>16,834</w:t>
            </w:r>
          </w:p>
        </w:tc>
        <w:tc>
          <w:tcPr>
            <w:tcW w:type="dxa" w:w="1440"/>
            <w:shd w:fill="C6EFCE" w:val="clear"/>
          </w:tcPr>
          <w:p>
            <w:r>
              <w:rPr>
                <w:sz w:val="17"/>
              </w:rPr>
              <w:t>18,056</w:t>
            </w:r>
          </w:p>
        </w:tc>
        <w:tc>
          <w:tcPr>
            <w:tcW w:type="dxa" w:w="1440"/>
            <w:shd w:fill="C6EFCE" w:val="clear"/>
          </w:tcPr>
          <w:p>
            <w:r>
              <w:rPr>
                <w:b/>
                <w:color w:val="008000"/>
                <w:sz w:val="17"/>
              </w:rPr>
              <w:t>+2.0%</w:t>
            </w:r>
          </w:p>
        </w:tc>
      </w:tr>
      <w:tr>
        <w:tc>
          <w:tcPr>
            <w:tcW w:type="dxa" w:w="1440"/>
            <w:shd w:fill="C6EFCE" w:val="clear"/>
          </w:tcPr>
          <w:p>
            <w:r>
              <w:rPr>
                <w:sz w:val="17"/>
              </w:rPr>
              <w:t>J+9  Moyenne</w:t>
            </w:r>
          </w:p>
        </w:tc>
        <w:tc>
          <w:tcPr>
            <w:tcW w:type="dxa" w:w="1440"/>
            <w:shd w:fill="C6EFCE" w:val="clear"/>
          </w:tcPr>
          <w:p>
            <w:r>
              <w:rPr>
                <w:sz w:val="17"/>
              </w:rPr>
              <w:t>2026-10-23</w:t>
            </w:r>
          </w:p>
        </w:tc>
        <w:tc>
          <w:tcPr>
            <w:tcW w:type="dxa" w:w="1440"/>
            <w:shd w:fill="C6EFCE" w:val="clear"/>
          </w:tcPr>
          <w:p>
            <w:r>
              <w:rPr>
                <w:sz w:val="17"/>
              </w:rPr>
              <w:t>15,551</w:t>
            </w:r>
          </w:p>
        </w:tc>
        <w:tc>
          <w:tcPr>
            <w:tcW w:type="dxa" w:w="1440"/>
            <w:shd w:fill="C6EFCE" w:val="clear"/>
          </w:tcPr>
          <w:p>
            <w:r>
              <w:rPr>
                <w:b/>
                <w:sz w:val="17"/>
              </w:rPr>
              <w:t>16,848</w:t>
            </w:r>
          </w:p>
        </w:tc>
        <w:tc>
          <w:tcPr>
            <w:tcW w:type="dxa" w:w="1440"/>
            <w:shd w:fill="C6EFCE" w:val="clear"/>
          </w:tcPr>
          <w:p>
            <w:r>
              <w:rPr>
                <w:sz w:val="17"/>
              </w:rPr>
              <w:t>18,145</w:t>
            </w:r>
          </w:p>
        </w:tc>
        <w:tc>
          <w:tcPr>
            <w:tcW w:type="dxa" w:w="1440"/>
            <w:shd w:fill="C6EFCE" w:val="clear"/>
          </w:tcPr>
          <w:p>
            <w:r>
              <w:rPr>
                <w:b/>
                <w:color w:val="008000"/>
                <w:sz w:val="17"/>
              </w:rPr>
              <w:t>+2.1%</w:t>
            </w:r>
          </w:p>
        </w:tc>
      </w:tr>
      <w:tr>
        <w:tc>
          <w:tcPr>
            <w:tcW w:type="dxa" w:w="1440"/>
            <w:shd w:fill="C6EFCE" w:val="clear"/>
          </w:tcPr>
          <w:p>
            <w:r>
              <w:rPr>
                <w:sz w:val="17"/>
              </w:rPr>
              <w:t>J+10  Moyenne</w:t>
            </w:r>
          </w:p>
        </w:tc>
        <w:tc>
          <w:tcPr>
            <w:tcW w:type="dxa" w:w="1440"/>
            <w:shd w:fill="C6EFCE" w:val="clear"/>
          </w:tcPr>
          <w:p>
            <w:r>
              <w:rPr>
                <w:sz w:val="17"/>
              </w:rPr>
              <w:t>2026-10-26</w:t>
            </w:r>
          </w:p>
        </w:tc>
        <w:tc>
          <w:tcPr>
            <w:tcW w:type="dxa" w:w="1440"/>
            <w:shd w:fill="C6EFCE" w:val="clear"/>
          </w:tcPr>
          <w:p>
            <w:r>
              <w:rPr>
                <w:sz w:val="17"/>
              </w:rPr>
              <w:t>15,494</w:t>
            </w:r>
          </w:p>
        </w:tc>
        <w:tc>
          <w:tcPr>
            <w:tcW w:type="dxa" w:w="1440"/>
            <w:shd w:fill="C6EFCE" w:val="clear"/>
          </w:tcPr>
          <w:p>
            <w:r>
              <w:rPr>
                <w:b/>
                <w:sz w:val="17"/>
              </w:rPr>
              <w:t>16,862</w:t>
            </w:r>
          </w:p>
        </w:tc>
        <w:tc>
          <w:tcPr>
            <w:tcW w:type="dxa" w:w="1440"/>
            <w:shd w:fill="C6EFCE" w:val="clear"/>
          </w:tcPr>
          <w:p>
            <w:r>
              <w:rPr>
                <w:sz w:val="17"/>
              </w:rPr>
              <w:t>18,231</w:t>
            </w:r>
          </w:p>
        </w:tc>
        <w:tc>
          <w:tcPr>
            <w:tcW w:type="dxa" w:w="1440"/>
            <w:shd w:fill="C6EFCE" w:val="clear"/>
          </w:tcPr>
          <w:p>
            <w:r>
              <w:rPr>
                <w:b/>
                <w:color w:val="008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 RAPPORT D'ANALYSE FINANCIÈRE — ECOBANK CÔTE D'IVOIRE (ECOC)</w:t>
        <w:br/>
        <w:t>## BRVM | Secteur Bancaire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908,33 milliards FCFA, ECOC figure parmi les plus grandes capitalisations de la BRVM, ce qui en fait un titre de référence pour les investisseurs institutionnels de la zone UEMOA. Le BPA de 1 153 FCFA/action signifie que chaque titre génère un bénéfice net de 1 153 FCFA, ce qui, rapporté au cours actuel de 16 500 FCFA, donne un PER de 14,3x — un niveau modéré mais supérieur à la moyenne du marché BRVM (8-12x), traduisant une prime de qualité consentie par le marché. Le P/B de 4,16x indique que le marché valorise ECOC à plus de quatre fois sa valeur comptable (capitaux propres de 218,573 Mds FCFA), une prime exigeante qui se justifie par la rentabilité exceptionnelle de la banque (ROE de 29,04% en 2025). Enfin, l'EV/EBITDA de 14,0x, bien que dans la fourchette haute (10-15x), reste cohérent avec la capacité bénéficiaire opérationnelle de la banque et son statut de leader sectoriel.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ECOC affiche une variation globale quasi stable de +1,23%, mais la dernière séance (J-1) enregistre un repli de -1,79%, signalant une pression vendeuse de court terme. Le cours actuel de 16 500 FCFA se situe dans la partie médiane de la fourchette de trading, comprise entre un plus bas de 15 520 FCFA et un plus haut de 17 725 FCFA, soit un range de 2 205 FCFA (environ 14% d'amplitude). La tendance générale est donc latérale, avec une légère inflexion baissière en fin de période. Les statistiques descriptives révèlent une moyenne (16 592 FCFA) très proche de la médiane (16 620 FCFA), confirmant une distribution symétrique du cours, corroborée par un skewness de 0,117 (quasi nul). L'écart-type de 450 FCFA et le coefficient de variation de 2,7% indiquent une dispersion très faible du cours, signe d'une grande stabilité. Le kurtosis de -0,184 (mésokurtique) suggère une distribution proche de la normale, sans risque majeur de pics extrêmes. La volatilité annualisée de 27,3% positionne le titre dans la catégorie modérée (15-30%), ce qui est rassurant pour un investisseur recherchant un profil risque/rendement équilibré.</w:t>
      </w:r>
    </w:p>
    <w:p>
      <w:pPr>
        <w:spacing w:after="120" w:line="276" w:lineRule="auto"/>
      </w:pPr>
      <w:r>
        <w:t>---</w:t>
      </w:r>
    </w:p>
    <w:p>
      <w:pPr>
        <w:spacing w:after="120" w:line="276" w:lineRule="auto"/>
      </w:pPr>
      <w:r>
        <w:t>## PARTIE 2 : ANALYSE TECHNIQUE DÉTAILLÉE</w:t>
      </w:r>
    </w:p>
    <w:p>
      <w:pPr>
        <w:spacing w:after="120" w:line="276" w:lineRule="auto"/>
      </w:pPr>
      <w:r>
        <w:t>**Moyennes Mobiles** : La MM20 (16 863,75 FCFA) et la MM50 (16 748,30 FCFA) se situent toutes deux au-dessus du cours actuel (16 500 FCFA), ce qui place le titre en position baissière relative à court et moyen terme. Cependant, la MM20 étant supérieure à la MM50, la configuration reste haussière sur le fond, justifiant la décision technique d'**Achat** (signal de retournement potentiel).</w:t>
      </w:r>
    </w:p>
    <w:p>
      <w:pPr>
        <w:spacing w:after="120" w:line="276" w:lineRule="auto"/>
      </w:pPr>
      <w:r>
        <w:t>**Bandes de Bollinger** : Le cours actuel (16 500 FCFA) se situe légèrement sous la borne inférieure (16 525,30 FCFA), ce qui constitue un signal de survente technique et une opportunité d'achat contrarian. La borne supérieure à 17 202,20 FCFA délimite un canal étroit, confirmant la faible volatilité récente et justifiant la décision d'**Achat**.</w:t>
      </w:r>
    </w:p>
    <w:p>
      <w:pPr>
        <w:spacing w:after="120" w:line="276" w:lineRule="auto"/>
      </w:pPr>
      <w:r>
        <w:t>**MACD** : La valeur du MACD (-53,828) est nettement inférieure à son signal (-8,995), générant un histogramme négatif et un momentum baissier à court terme. Cette divergence négative justifie la décision de **Vente** à court terme, bien qu'elle puisse signaler une exagération baissière propice à un rebond.</w:t>
      </w:r>
    </w:p>
    <w:p>
      <w:pPr>
        <w:spacing w:after="120" w:line="276" w:lineRule="auto"/>
      </w:pPr>
      <w:r>
        <w:t>**RSI** : À 36,702, le RSI se situe dans la zone neutre basse (30-70), proche du seuil de survente (30). Cette configuration indique une pression vendeuse modérée sans excès, justifiant la décision **Neutre** — le titre n'est ni suracheté ni survendu.</w:t>
      </w:r>
    </w:p>
    <w:p>
      <w:pPr>
        <w:spacing w:after="120" w:line="276" w:lineRule="auto"/>
      </w:pPr>
      <w:r>
        <w:t>**Stochastique** : Le %K à 0,0 (extrême survente) et le %D à 24,465 indiquent que le cours est au plus bas de sa fourchette récente, avec un croisement potentiel à venir. Cette configuration survendue justifie la décision d'**Achat** en anticipation d'un rebond technique.</w:t>
      </w:r>
    </w:p>
    <w:p>
      <w:pPr>
        <w:spacing w:after="120" w:line="276" w:lineRule="auto"/>
      </w:pPr>
      <w:r>
        <w:t>**Conclusion technique** : Les indicateurs présentent une divergence notable : les moyennes mobiles, les bandes de Bollinger et le stochastique émettent des signaux d'achat (survente, support), tandis que le MACD signale une vente (momentum négatif). Le RSI neutre confirme l'absence d'excès. Cette configuration suggère un **point d'entrée opportuniste** pour les investisseurs contrarians, avec un potentiel de rebond technique à court terme, mais une confirmation par le MACD serait nécessaire pour valider la tendance.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ECOC affiche un Produit Net Bancaire (PNB) de 132,725 milliards FCFA, un résultat net de 63,482 milliards FCFA, un ROE exceptionnel de 29,04% et un ROA de 3,09%. Le coefficient d'exploitation s'établit à 42,89%, nettement inférieur au seuil de 60% (banque très efficace), et le coût du risque rapporté aux charges financières est contenu à 1,36%, témoignant d'un portefeuille de crédits de qualité. La structure financière montre une autonomie financière de 10,64% (faible, mais typique du modèle bancaire) et une solvabilité générale de 111,91% (total actif &gt; dettes totales), confirmant la solidité du bilan. Le ratio dépôts/crédits s'élève à 1 626,223 Mds FCFA de dépôts clientèle pour 1 050,803 Mds FCFA de créances clientèle, soit un ratio de transformation de 64,6%, indiquant une capacité de déploiement du crédit importante (prêts/dépôts de 56,3% au S1 2026).</w:t>
      </w:r>
    </w:p>
    <w:p>
      <w:pPr>
        <w:spacing w:after="120" w:line="276" w:lineRule="auto"/>
      </w:pPr>
      <w:r>
        <w:t>**Estimations basées sur les rapports trimestriels** : Le rapport S1 2026 (publié le 26 août 2026) révèle un PNB de 64,078 Mds FCFA (+2,0%) et un résultat net de 26,408 Mds FCFA (-8,6%), pénalisé par un coût du risque multiplié par 7,4 à 5,197 Mds FCFA. Le rapport T1 2026 (publié le 15 avril 2026) confirme cette tendance avec un PNB de 30,8 Mds FCFA (+3,7%) et un résultat net de 13,0 Mds FCFA (-1,6%). Sur la base de ces données, on estime que l'exercice 2026 devrait enregistrer un PNB annuel d'environ 128-130 Mds FCFA (croissance modérée de 2-3%) et un résultat net de 52-55 Mds FCFA (recul de 13-18% par rapport à 2025), sous l'effet du provisionnement prudent. Le rapport annuel 2024 (publié le 31 décembre 2024) confirme la trajectoire historique : PNB de 122,3 Mds FCFA (+11,0%), résultat net de 57,5 Mds FCFA (+19,6%), ROE de 28,8% et dividende de 804 FCFA/action (taux de distribution de 77%). Le rapport S1 2025 (publié le 30 juin 2025) montrait déjà un ROE de 31,4% et un coefficient d'exploitation de 44,8%, confirmant la qualité de la gestion.</w:t>
      </w:r>
    </w:p>
    <w:p>
      <w:pPr>
        <w:spacing w:after="120" w:line="276" w:lineRule="auto"/>
      </w:pPr>
      <w:r>
        <w:t>**Recommandation fondamentale** : ECOC demeure un dossier de qualité exceptionnelle (ROE &gt;29%, coefficient d'exploitation &lt;45%, solvabilité solide), mais la dégradation du coût du risque au S1 2026 (créances en souffrance +21,5% à 45,3 Mds FCFA) et la baisse du résultat net (-8,6%) incitent à la prudence. Le dividende proposé de 888 FCFA/action (rendement de 5,4% au cours actuel) reste attractif et soutient la thèse d'investissement. La recommandation fondamentale est **CONSERVER**, avec un potentiel de passage à **ACHAT** si le coût du risque se stabilise au S2 2026.</w:t>
      </w:r>
    </w:p>
    <w:p>
      <w:pPr>
        <w:spacing w:after="120" w:line="276" w:lineRule="auto"/>
      </w:pPr>
      <w:r>
        <w:t>---</w:t>
      </w:r>
    </w:p>
    <w:p>
      <w:pPr>
        <w:spacing w:after="120" w:line="276" w:lineRule="auto"/>
      </w:pPr>
      <w:r>
        <w:t>## PARTIE 4 : CONCLUSION D'INVESTISSEMENT</w:t>
      </w:r>
    </w:p>
    <w:p>
      <w:pPr>
        <w:spacing w:after="120" w:line="276" w:lineRule="auto"/>
      </w:pPr>
      <w:r>
        <w:t>La valorisation d'ECOC (PER 14,3x, P/B 4,16x, EV/EBITDA 14,0x) indique une **surévaluation modérée** par rapport à la moyenne du marché BRVM, mais cette prime se justifie par la rentabilité exceptionnelle de la banque (ROE 29,04%) et son statut de leader sectoriel. Le comportement du cours sur 100 jours (variation +1,23%, volatilité modérée de 27,3%, distribution symétrique avec skewness de 0,117 et kurtosis de -0,184) est **favorable** — le titre est stable, sans risque de pics extrêmes, et se situe dans une zone de survente technique (sous la borne inférieure de Bollinger, stochastique à 0,0). Les signaux techniques sont **divergents** : les moyennes mobiles, Bollinger et le stochastique émettent des signaux d'achat (survente, support), tandis que le MACD signale une vente (momentum négatif) — cette divergence suggère un **point d'entrée opportuniste** pour les investisseurs contrarians. Les fondamentaux restent **solides** (ROE 29,04%, coefficient d'exploitation 42,89%, dividende de 888 FCFA/action), mais la dégradation du coût du risque au S1 2026 (×7,4) et la baisse du résultat net (-8,6%) constituent des **risques à surveiller**. Les prédictions IA (J+1 à J+10 : 16 731 → 16 789 FCFA, soit +1,4%) **confirment** la thèse d'un rebond technique à court terme, en ligne avec les signaux de survente. Sur la base de cette synthèse globale, la recommandation finale est **CONSERVER**, avec un biais haussier à court terme (rebond technique attendu) et un potentiel de passage à **ACHAT** si le coût du risque se stabilise. Le niveau de confiance est **Moyen** (divergence technique, incertitude sur le coût du risque), et le niveau de risque global est **Moyen** (volatilité modérée, exposition aux risques macroéconomiques et géopolitiques). L'horizon d'investissement optimal est **moyen terme (3-12 mois)**, en attendant la confirmation de la normalisation du coût du risque et les annonces sur la politique de dividende 2026.</w:t>
      </w:r>
    </w:p>
    <w:p>
      <w:pPr>
        <w:spacing w:after="120" w:line="276" w:lineRule="auto"/>
      </w:pPr>
      <w:r>
        <w:t>---</w:t>
      </w:r>
    </w:p>
    <w:p>
      <w:pPr>
        <w:spacing w:after="120" w:line="276" w:lineRule="auto"/>
      </w:pPr>
      <w:r>
        <w:t>*Rapport généré le 13 octobre 2026 — Basé sur les données BRVM, les états financiers 2025, les rapports S1 2026 et T1 2026, et les prédictions IA à 10 jours.*</w:t>
      </w:r>
    </w:p>
    <w:p/>
    <w:p/>
    <w:p>
      <w:pPr>
        <w:pStyle w:val="Heading3"/>
      </w:pPr>
      <w:r>
        <w:rPr>
          <w:color w:val="00467F"/>
        </w:rPr>
        <w:t>📎 DOCUMENTS &amp; COMMUNICATIONS OFFICIELS BRVM</w:t>
      </w:r>
    </w:p>
    <w:p>
      <w:r>
        <w:rPr>
          <w:i/>
          <w:color w:val="646464"/>
          <w:sz w:val="18"/>
        </w:rPr>
        <w:t>11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une rentabilit\u00e9 toujours \u00e9lev\u00e9e (ROE 26,9 %), un bilan solide et une forte collecte de d\u00e9p\u00f4ts, mais la baisse du r\u00e9sultat net et la mont\u00e9e du co\u00fbt du risque incitent \u00e0 la prudence. Le titre reste un dossier de qualit\u00e9 \u00e0 d\u00e9tenir dans l'attente de la normalisation du co\u00fbt du risque."}</w:t>
      </w:r>
    </w:p>
    <w:p>
      <w:pPr>
        <w:spacing w:before="40"/>
        <w:ind w:left="400"/>
      </w:pPr>
      <w:r>
        <w:rPr>
          <w:sz w:val="18"/>
        </w:rPr>
        <w:t>Au premier semestre 2026, Ecobank Côte d'Ivoire consolide la qualité de ses revenus et renforce sa résilience dans un contexte économique et réglementaire exigeant. Le Produit Net Bancaire progresse de 2,0 % à 64 078 millions de FCFA, porté par une hausse de 14,5 % de la marge nette d'intérêts qui compense la contraction de 25,9 % des produits hors intérêts. Le Résultat Net recule de 8,6 % à 26 408 millions de FCFA, sous l'effet d'un coût du risque multiplié par plus de sept, à 5 197 millions de FCFA, dans le cadre d'une politique volontairement prudente de provisionnement. Le bilan demeure solide et en croissance de 9,3 %, à 2 077 936 millions de FCFA, avec des dépôts clients en hausse de 1</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 'roe': '26,9 %', 'cout_du_risque': '5 197 millions de FCFA (+642,4 %)', 'depots_clientele': '1 754 701 millions de FCFA (+15,1 %)', 'prets_sur_depots': '56,3 %', 'charges_exploitation': '28 991 millions de FCFA (+2,9 %)', 'marge_nette_interets': '49 661 millions de FCFA (+14,5 %)', 'resultat_avant_impot': '29 890 millions de FCFA (-12,0 %)', 'produit_hors_interets': '14 417 millions de FCFA (-25,9 %)', 'creances_en_souffrance': '45 300 millions de FCFA (+21,5 %), taux de couverture de 90 %', 'credits_nets_clientele': '946 818 millions de FCFA (+2,4 %)', 'coefficient_exploitation': '45,2 %'}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41,2 %</w:t>
            </w:r>
          </w:p>
        </w:tc>
        <w:tc>
          <w:tcPr>
            <w:tcW w:type="dxa" w:w="2160"/>
          </w:tcPr>
          <w:p>
            <w:pPr>
              <w:ind w:left="100"/>
            </w:pPr>
            <w:r/>
            <w:r>
              <w:rPr>
                <w:b/>
                <w:sz w:val="16"/>
              </w:rPr>
              <w:t>total_actif</w:t>
              <w:br/>
            </w:r>
            <w:r>
              <w:rPr>
                <w:sz w:val="18"/>
              </w:rPr>
              <w:t>2 077 936 millions de FCFA</w:t>
            </w:r>
          </w:p>
        </w:tc>
      </w:tr>
      <w:tr>
        <w:tc>
          <w:tcPr>
            <w:tcW w:type="dxa" w:w="2160"/>
          </w:tcPr>
          <w:p>
            <w:r/>
            <w:r>
              <w:rPr>
                <w:b/>
                <w:sz w:val="16"/>
              </w:rPr>
              <w:t>resultat_net</w:t>
              <w:br/>
            </w:r>
            <w:r>
              <w:rPr>
                <w:sz w:val="18"/>
              </w:rPr>
              <w:t>26 408 millions de FCFA</w:t>
            </w:r>
          </w:p>
        </w:tc>
        <w:tc>
          <w:tcPr>
            <w:tcW w:type="dxa" w:w="2160"/>
          </w:tcPr>
          <w:p>
            <w:r/>
            <w:r>
              <w:rPr>
                <w:b/>
                <w:sz w:val="16"/>
              </w:rPr>
              <w:t>capitaux_propres</w:t>
              <w:br/>
            </w:r>
            <w:r>
              <w:rPr>
                <w:sz w:val="18"/>
              </w:rPr>
              <w:t>196 096 millions de FCFA</w:t>
            </w:r>
          </w:p>
        </w:tc>
        <w:tc>
          <w:tcPr>
            <w:tcW w:type="dxa" w:w="2160"/>
          </w:tcPr>
          <w:p>
            <w:r/>
            <w:r>
              <w:rPr>
                <w:b/>
                <w:sz w:val="16"/>
              </w:rPr>
              <w:t>chiffre_affaires</w:t>
              <w:br/>
            </w:r>
            <w:r>
              <w:rPr>
                <w:sz w:val="18"/>
              </w:rPr>
              <w:t>64 078 millions de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64 078 millions de FCFA (+2,0 %), croissance modérée mais de meilleure qualité</w:t>
      </w:r>
    </w:p>
    <w:p>
      <w:pPr>
        <w:pStyle w:val="ListBullet"/>
        <w:spacing w:before="20" w:after="20"/>
        <w:ind w:left="700"/>
      </w:pPr>
      <w:r>
        <w:rPr>
          <w:sz w:val="18"/>
        </w:rPr>
        <w:t>Marge nette d'intérêts en forte hausse de 14,5 % à 49 661 millions de FCFA, compensant la baisse de 25,9 % des produits hors intérêts</w:t>
      </w:r>
    </w:p>
    <w:p>
      <w:pPr>
        <w:pStyle w:val="ListBullet"/>
        <w:spacing w:before="20" w:after="20"/>
        <w:ind w:left="700"/>
      </w:pPr>
      <w:r>
        <w:rPr>
          <w:sz w:val="18"/>
        </w:rPr>
        <w:t>Résultat Net en repli de 8,6 % à 26 408 millions de FCFA, pénalisé par le coût du risque</w:t>
      </w:r>
    </w:p>
    <w:p>
      <w:pPr>
        <w:pStyle w:val="ListBullet"/>
        <w:spacing w:before="20" w:after="20"/>
        <w:ind w:left="700"/>
      </w:pPr>
      <w:r>
        <w:rPr>
          <w:sz w:val="18"/>
        </w:rPr>
        <w:t>Coût du risque multiplié par plus de sept à 5 197 millions de FCFA (+642,4 %) sous l'effet d'une approche prudente de provisionnement</w:t>
      </w:r>
    </w:p>
    <w:p>
      <w:pPr>
        <w:pStyle w:val="ListBullet"/>
        <w:spacing w:before="20" w:after="20"/>
        <w:ind w:left="700"/>
      </w:pPr>
      <w:r>
        <w:rPr>
          <w:sz w:val="18"/>
        </w:rPr>
        <w:t>Total bilan en progression de 9,3 % à 2 077 936 millions de FCFA, avec des dépôts clients en hausse de 15,1 % à 1 754 701 millions de FCFA</w:t>
      </w:r>
    </w:p>
    <w:p>
      <w:pPr>
        <w:pStyle w:val="ListBullet"/>
        <w:spacing w:before="20" w:after="20"/>
        <w:ind w:left="700"/>
      </w:pPr>
      <w:r>
        <w:rPr>
          <w:sz w:val="18"/>
        </w:rPr>
        <w:t>Crédits nets à la clientèle en croissance maîtrisée de 2,4 % à 946 818 millions de FCFA, ratio prêts/dépôts en baisse à 56,3 %</w:t>
      </w:r>
    </w:p>
    <w:p>
      <w:pPr>
        <w:spacing w:before="40"/>
        <w:ind w:left="400"/>
      </w:pPr>
      <w:r>
        <w:rPr>
          <w:b/>
          <w:color w:val="C05000"/>
          <w:sz w:val="18"/>
        </w:rPr>
        <w:t xml:space="preserve">⚠️ Risques : </w:t>
      </w:r>
      <w:r>
        <w:rPr>
          <w:sz w:val="18"/>
        </w:rPr>
        <w:t>["D\u00e9gradation de la qualit\u00e9 du portefeuille de cr\u00e9dits : cr\u00e9ances en souffrance en hausse de 21,5 % \u00e0 45 300 millions de FCFA et co\u00fbt du risque multipli\u00e9 par plus de sept", "Contraction de 25,9 % des produits hors int\u00e9r\u00eats (commissions, portefeuille de n\</w:t>
      </w:r>
    </w:p>
    <w:p>
      <w:pPr>
        <w:spacing w:before="40"/>
        <w:ind w:left="400"/>
      </w:pPr>
      <w:r>
        <w:rPr>
          <w:b/>
          <w:color w:val="0064A0"/>
          <w:sz w:val="18"/>
        </w:rPr>
        <w:t xml:space="preserve">🔮 Perspectives : </w:t>
      </w:r>
      <w:r>
        <w:rPr>
          <w:sz w:val="18"/>
        </w:rPr>
        <w:t>Ecobank Côte d'Ivoire confirme sa résilience et la pertinence de ses choix stratégiques dans un contexte macroéconomique incertain. La Banque poursuit l'exécution de sa feuille de route « Croissance, Transformation et Rentabilité », axée sur l'innovation, la digitalisation, l'amélioration de l'expér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
      <w:r>
        <w:t>════════════════════════════════════════════════════════════════════════════════</w:t>
      </w:r>
    </w:p>
    <w:p>
      <w:r>
        <w:br w:type="page"/>
      </w:r>
    </w:p>
    <w:p>
      <w:pPr>
        <w:pStyle w:val="Heading2"/>
        <w:spacing w:before="360"/>
      </w:pPr>
      <w:r>
        <w:rPr>
          <w:color w:val="0066CC"/>
        </w:rPr>
        <w:t>17.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1211.64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1,689,063 titres</w:t>
            </w:r>
          </w:p>
        </w:tc>
        <w:tc>
          <w:tcPr>
            <w:tcW w:type="dxa" w:w="2268"/>
            <w:shd w:fill="FFF2CC" w:val="clear"/>
          </w:tcPr>
          <w:p>
            <w:r>
              <w:rPr>
                <w:b/>
                <w:color w:val="503200"/>
                <w:sz w:val="16"/>
              </w:rPr>
              <w:t xml:space="preserve">Cours actuel : </w:t>
            </w:r>
            <w:r>
              <w:rPr>
                <w:color w:val="000000"/>
                <w:sz w:val="17"/>
              </w:rPr>
              <w:t>67 FCFA</w:t>
            </w:r>
          </w:p>
          <w:p>
            <w:r>
              <w:rPr>
                <w:b/>
                <w:color w:val="503200"/>
                <w:sz w:val="16"/>
              </w:rPr>
              <w:t xml:space="preserve">Var. 100 jours : </w:t>
            </w:r>
            <w:r>
              <w:rPr>
                <w:b/>
                <w:color w:val="007800"/>
                <w:sz w:val="17"/>
              </w:rPr>
              <w:t>+123.33%</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29 FCFA</w:t>
            </w:r>
          </w:p>
          <w:p>
            <w:r>
              <w:rPr>
                <w:b/>
                <w:color w:val="503200"/>
                <w:sz w:val="16"/>
              </w:rPr>
              <w:t xml:space="preserve">Volatilité ann. : </w:t>
            </w:r>
            <w:r>
              <w:rPr>
                <w:color w:val="000000"/>
                <w:sz w:val="17"/>
              </w:rPr>
              <w:t>62.0%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28.65% (Élevée) — μ=57 FCFA, σ=16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β=2.0212 (Très agressif) — Cov=0.000148, Var(idx)=0.000073, ρ=0.441,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1,689,063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σ_j=3.91%/j (Modérée) — Vol. annualisée≈62.0%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69353"/>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569353"/>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2026-10-13</w:t>
            </w:r>
          </w:p>
        </w:tc>
        <w:tc>
          <w:tcPr>
            <w:tcW w:type="dxa" w:w="1440"/>
            <w:shd w:fill="FAFAFA" w:val="clear"/>
          </w:tcPr>
          <w:p>
            <w:r>
              <w:rPr>
                <w:sz w:val="17"/>
              </w:rPr>
              <w:t>64</w:t>
            </w:r>
          </w:p>
        </w:tc>
        <w:tc>
          <w:tcPr>
            <w:tcW w:type="dxa" w:w="1440"/>
            <w:shd w:fill="FAFAFA" w:val="clear"/>
          </w:tcPr>
          <w:p>
            <w:r>
              <w:rPr>
                <w:b/>
                <w:sz w:val="17"/>
              </w:rPr>
              <w:t>67</w:t>
            </w:r>
          </w:p>
        </w:tc>
        <w:tc>
          <w:tcPr>
            <w:tcW w:type="dxa" w:w="1440"/>
            <w:shd w:fill="FAFAFA" w:val="clear"/>
          </w:tcPr>
          <w:p>
            <w:r>
              <w:rPr>
                <w:sz w:val="17"/>
              </w:rPr>
              <w:t>69</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2026-10-14</w:t>
            </w:r>
          </w:p>
        </w:tc>
        <w:tc>
          <w:tcPr>
            <w:tcW w:type="dxa" w:w="1440"/>
            <w:shd w:fill="FAFAFA" w:val="clear"/>
          </w:tcPr>
          <w:p>
            <w:r>
              <w:rPr>
                <w:sz w:val="17"/>
              </w:rPr>
              <w:t>63</w:t>
            </w:r>
          </w:p>
        </w:tc>
        <w:tc>
          <w:tcPr>
            <w:tcW w:type="dxa" w:w="1440"/>
            <w:shd w:fill="FAFAFA" w:val="clear"/>
          </w:tcPr>
          <w:p>
            <w:r>
              <w:rPr>
                <w:b/>
                <w:sz w:val="17"/>
              </w:rPr>
              <w:t>66</w:t>
            </w:r>
          </w:p>
        </w:tc>
        <w:tc>
          <w:tcPr>
            <w:tcW w:type="dxa" w:w="1440"/>
            <w:shd w:fill="FAFAFA" w:val="clear"/>
          </w:tcPr>
          <w:p>
            <w:r>
              <w:rPr>
                <w:sz w:val="17"/>
              </w:rPr>
              <w:t>70</w:t>
            </w:r>
          </w:p>
        </w:tc>
        <w:tc>
          <w:tcPr>
            <w:tcW w:type="dxa" w:w="1440"/>
            <w:shd w:fill="FAFAFA" w:val="clear"/>
          </w:tcPr>
          <w:p>
            <w:r>
              <w:rPr>
                <w:b/>
                <w:color w:val="C00000"/>
                <w:sz w:val="17"/>
              </w:rPr>
              <w:t>-1.0%</w:t>
            </w:r>
          </w:p>
        </w:tc>
      </w:tr>
      <w:tr>
        <w:tc>
          <w:tcPr>
            <w:tcW w:type="dxa" w:w="1440"/>
            <w:shd w:fill="FAFAFA" w:val="clear"/>
          </w:tcPr>
          <w:p>
            <w:r>
              <w:rPr>
                <w:sz w:val="17"/>
              </w:rPr>
              <w:t>J+3  Moyenne</w:t>
            </w:r>
          </w:p>
        </w:tc>
        <w:tc>
          <w:tcPr>
            <w:tcW w:type="dxa" w:w="1440"/>
            <w:shd w:fill="FAFAFA" w:val="clear"/>
          </w:tcPr>
          <w:p>
            <w:r>
              <w:rPr>
                <w:sz w:val="17"/>
              </w:rPr>
              <w:t>2026-10-15</w:t>
            </w:r>
          </w:p>
        </w:tc>
        <w:tc>
          <w:tcPr>
            <w:tcW w:type="dxa" w:w="1440"/>
            <w:shd w:fill="FAFAFA" w:val="clear"/>
          </w:tcPr>
          <w:p>
            <w:r>
              <w:rPr>
                <w:sz w:val="17"/>
              </w:rPr>
              <w:t>61</w:t>
            </w:r>
          </w:p>
        </w:tc>
        <w:tc>
          <w:tcPr>
            <w:tcW w:type="dxa" w:w="1440"/>
            <w:shd w:fill="FAFAFA" w:val="clear"/>
          </w:tcPr>
          <w:p>
            <w:r>
              <w:rPr>
                <w:b/>
                <w:sz w:val="17"/>
              </w:rPr>
              <w:t>66</w:t>
            </w:r>
          </w:p>
        </w:tc>
        <w:tc>
          <w:tcPr>
            <w:tcW w:type="dxa" w:w="1440"/>
            <w:shd w:fill="FAFAFA" w:val="clear"/>
          </w:tcPr>
          <w:p>
            <w:r>
              <w:rPr>
                <w:sz w:val="17"/>
              </w:rPr>
              <w:t>71</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2026-10-16</w:t>
            </w:r>
          </w:p>
        </w:tc>
        <w:tc>
          <w:tcPr>
            <w:tcW w:type="dxa" w:w="1440"/>
            <w:shd w:fill="FAFAFA" w:val="clear"/>
          </w:tcPr>
          <w:p>
            <w:r>
              <w:rPr>
                <w:sz w:val="17"/>
              </w:rPr>
              <w:t>61</w:t>
            </w:r>
          </w:p>
        </w:tc>
        <w:tc>
          <w:tcPr>
            <w:tcW w:type="dxa" w:w="1440"/>
            <w:shd w:fill="FAFAFA" w:val="clear"/>
          </w:tcPr>
          <w:p>
            <w:r>
              <w:rPr>
                <w:b/>
                <w:sz w:val="17"/>
              </w:rPr>
              <w:t>66</w:t>
            </w:r>
          </w:p>
        </w:tc>
        <w:tc>
          <w:tcPr>
            <w:tcW w:type="dxa" w:w="1440"/>
            <w:shd w:fill="FAFAFA" w:val="clear"/>
          </w:tcPr>
          <w:p>
            <w:r>
              <w:rPr>
                <w:sz w:val="17"/>
              </w:rPr>
              <w:t>71</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2026-10-19</w:t>
            </w:r>
          </w:p>
        </w:tc>
        <w:tc>
          <w:tcPr>
            <w:tcW w:type="dxa" w:w="1440"/>
            <w:shd w:fill="FAFAFA" w:val="clear"/>
          </w:tcPr>
          <w:p>
            <w:r>
              <w:rPr>
                <w:sz w:val="17"/>
              </w:rPr>
              <w:t>60</w:t>
            </w:r>
          </w:p>
        </w:tc>
        <w:tc>
          <w:tcPr>
            <w:tcW w:type="dxa" w:w="1440"/>
            <w:shd w:fill="FAFAFA" w:val="clear"/>
          </w:tcPr>
          <w:p>
            <w:r>
              <w:rPr>
                <w:b/>
                <w:sz w:val="17"/>
              </w:rPr>
              <w:t>66</w:t>
            </w:r>
          </w:p>
        </w:tc>
        <w:tc>
          <w:tcPr>
            <w:tcW w:type="dxa" w:w="1440"/>
            <w:shd w:fill="FAFAFA" w:val="clear"/>
          </w:tcPr>
          <w:p>
            <w:r>
              <w:rPr>
                <w:sz w:val="17"/>
              </w:rPr>
              <w:t>72</w:t>
            </w:r>
          </w:p>
        </w:tc>
        <w:tc>
          <w:tcPr>
            <w:tcW w:type="dxa" w:w="1440"/>
            <w:shd w:fill="FAFAFA" w:val="clear"/>
          </w:tcPr>
          <w:p>
            <w:r>
              <w:rPr>
                <w:b/>
                <w:color w:val="C00000"/>
                <w:sz w:val="17"/>
              </w:rPr>
              <w:t>-1.7%</w:t>
            </w:r>
          </w:p>
        </w:tc>
      </w:tr>
      <w:tr>
        <w:tc>
          <w:tcPr>
            <w:tcW w:type="dxa" w:w="1440"/>
            <w:shd w:fill="FAFAFA" w:val="clear"/>
          </w:tcPr>
          <w:p>
            <w:r>
              <w:rPr>
                <w:sz w:val="17"/>
              </w:rPr>
              <w:t>J+6  ⭐</w:t>
            </w:r>
          </w:p>
        </w:tc>
        <w:tc>
          <w:tcPr>
            <w:tcW w:type="dxa" w:w="1440"/>
            <w:shd w:fill="FAFAFA" w:val="clear"/>
          </w:tcPr>
          <w:p>
            <w:r>
              <w:rPr>
                <w:sz w:val="17"/>
              </w:rPr>
              <w:t>2026-10-20</w:t>
            </w:r>
          </w:p>
        </w:tc>
        <w:tc>
          <w:tcPr>
            <w:tcW w:type="dxa" w:w="1440"/>
            <w:shd w:fill="FAFAFA" w:val="clear"/>
          </w:tcPr>
          <w:p>
            <w:r>
              <w:rPr>
                <w:sz w:val="17"/>
              </w:rPr>
              <w:t>59</w:t>
            </w:r>
          </w:p>
        </w:tc>
        <w:tc>
          <w:tcPr>
            <w:tcW w:type="dxa" w:w="1440"/>
            <w:shd w:fill="FAFAFA" w:val="clear"/>
          </w:tcPr>
          <w:p>
            <w:r>
              <w:rPr>
                <w:b/>
                <w:sz w:val="17"/>
              </w:rPr>
              <w:t>66</w:t>
            </w:r>
          </w:p>
        </w:tc>
        <w:tc>
          <w:tcPr>
            <w:tcW w:type="dxa" w:w="1440"/>
            <w:shd w:fill="FAFAFA" w:val="clear"/>
          </w:tcPr>
          <w:p>
            <w:r>
              <w:rPr>
                <w:sz w:val="17"/>
              </w:rPr>
              <w:t>72</w:t>
            </w:r>
          </w:p>
        </w:tc>
        <w:tc>
          <w:tcPr>
            <w:tcW w:type="dxa" w:w="1440"/>
            <w:shd w:fill="FAFAFA" w:val="clear"/>
          </w:tcPr>
          <w:p>
            <w:r>
              <w:rPr>
                <w:b/>
                <w:color w:val="C00000"/>
                <w:sz w:val="17"/>
              </w:rPr>
              <w:t>-1.9%</w:t>
            </w:r>
          </w:p>
        </w:tc>
      </w:tr>
      <w:tr>
        <w:tc>
          <w:tcPr>
            <w:tcW w:type="dxa" w:w="1440"/>
            <w:shd w:fill="FAFAFA" w:val="clear"/>
          </w:tcPr>
          <w:p>
            <w:r>
              <w:rPr>
                <w:sz w:val="17"/>
              </w:rPr>
              <w:t>J+7  ⭐</w:t>
            </w:r>
          </w:p>
        </w:tc>
        <w:tc>
          <w:tcPr>
            <w:tcW w:type="dxa" w:w="1440"/>
            <w:shd w:fill="FAFAFA" w:val="clear"/>
          </w:tcPr>
          <w:p>
            <w:r>
              <w:rPr>
                <w:sz w:val="17"/>
              </w:rPr>
              <w:t>2026-10-21</w:t>
            </w:r>
          </w:p>
        </w:tc>
        <w:tc>
          <w:tcPr>
            <w:tcW w:type="dxa" w:w="1440"/>
            <w:shd w:fill="FAFAFA" w:val="clear"/>
          </w:tcPr>
          <w:p>
            <w:r>
              <w:rPr>
                <w:sz w:val="17"/>
              </w:rPr>
              <w:t>59</w:t>
            </w:r>
          </w:p>
        </w:tc>
        <w:tc>
          <w:tcPr>
            <w:tcW w:type="dxa" w:w="1440"/>
            <w:shd w:fill="FAFAFA" w:val="clear"/>
          </w:tcPr>
          <w:p>
            <w:r>
              <w:rPr>
                <w:b/>
                <w:sz w:val="17"/>
              </w:rPr>
              <w:t>66</w:t>
            </w:r>
          </w:p>
        </w:tc>
        <w:tc>
          <w:tcPr>
            <w:tcW w:type="dxa" w:w="1440"/>
            <w:shd w:fill="FAFAFA" w:val="clear"/>
          </w:tcPr>
          <w:p>
            <w:r>
              <w:rPr>
                <w:sz w:val="17"/>
              </w:rPr>
              <w:t>73</w:t>
            </w:r>
          </w:p>
        </w:tc>
        <w:tc>
          <w:tcPr>
            <w:tcW w:type="dxa" w:w="1440"/>
            <w:shd w:fill="FAFAFA" w:val="clear"/>
          </w:tcPr>
          <w:p>
            <w:r>
              <w:rPr>
                <w:b/>
                <w:color w:val="C00000"/>
                <w:sz w:val="17"/>
              </w:rPr>
              <w:t>-2.0%</w:t>
            </w:r>
          </w:p>
        </w:tc>
      </w:tr>
      <w:tr>
        <w:tc>
          <w:tcPr>
            <w:tcW w:type="dxa" w:w="1440"/>
            <w:shd w:fill="FFDCE0" w:val="clear"/>
          </w:tcPr>
          <w:p>
            <w:r>
              <w:rPr>
                <w:sz w:val="17"/>
              </w:rPr>
              <w:t>J+8  ⭐</w:t>
            </w:r>
          </w:p>
        </w:tc>
        <w:tc>
          <w:tcPr>
            <w:tcW w:type="dxa" w:w="1440"/>
            <w:shd w:fill="FFDCE0" w:val="clear"/>
          </w:tcPr>
          <w:p>
            <w:r>
              <w:rPr>
                <w:sz w:val="17"/>
              </w:rPr>
              <w:t>2026-10-22</w:t>
            </w:r>
          </w:p>
        </w:tc>
        <w:tc>
          <w:tcPr>
            <w:tcW w:type="dxa" w:w="1440"/>
            <w:shd w:fill="FFDCE0" w:val="clear"/>
          </w:tcPr>
          <w:p>
            <w:r>
              <w:rPr>
                <w:sz w:val="17"/>
              </w:rPr>
              <w:t>58</w:t>
            </w:r>
          </w:p>
        </w:tc>
        <w:tc>
          <w:tcPr>
            <w:tcW w:type="dxa" w:w="1440"/>
            <w:shd w:fill="FFDCE0" w:val="clear"/>
          </w:tcPr>
          <w:p>
            <w:r>
              <w:rPr>
                <w:b/>
                <w:sz w:val="17"/>
              </w:rPr>
              <w:t>66</w:t>
            </w:r>
          </w:p>
        </w:tc>
        <w:tc>
          <w:tcPr>
            <w:tcW w:type="dxa" w:w="1440"/>
            <w:shd w:fill="FFDCE0" w:val="clear"/>
          </w:tcPr>
          <w:p>
            <w:r>
              <w:rPr>
                <w:sz w:val="17"/>
              </w:rPr>
              <w:t>73</w:t>
            </w:r>
          </w:p>
        </w:tc>
        <w:tc>
          <w:tcPr>
            <w:tcW w:type="dxa" w:w="1440"/>
            <w:shd w:fill="FFDCE0" w:val="clear"/>
          </w:tcPr>
          <w:p>
            <w:r>
              <w:rPr>
                <w:b/>
                <w:color w:val="C00000"/>
                <w:sz w:val="17"/>
              </w:rPr>
              <w:t>-2.1%</w:t>
            </w:r>
          </w:p>
        </w:tc>
      </w:tr>
      <w:tr>
        <w:tc>
          <w:tcPr>
            <w:tcW w:type="dxa" w:w="1440"/>
            <w:shd w:fill="FFDCE0" w:val="clear"/>
          </w:tcPr>
          <w:p>
            <w:r>
              <w:rPr>
                <w:sz w:val="17"/>
              </w:rPr>
              <w:t>J+9  ⭐</w:t>
            </w:r>
          </w:p>
        </w:tc>
        <w:tc>
          <w:tcPr>
            <w:tcW w:type="dxa" w:w="1440"/>
            <w:shd w:fill="FFDCE0" w:val="clear"/>
          </w:tcPr>
          <w:p>
            <w:r>
              <w:rPr>
                <w:sz w:val="17"/>
              </w:rPr>
              <w:t>2026-10-23</w:t>
            </w:r>
          </w:p>
        </w:tc>
        <w:tc>
          <w:tcPr>
            <w:tcW w:type="dxa" w:w="1440"/>
            <w:shd w:fill="FFDCE0" w:val="clear"/>
          </w:tcPr>
          <w:p>
            <w:r>
              <w:rPr>
                <w:sz w:val="17"/>
              </w:rPr>
              <w:t>58</w:t>
            </w:r>
          </w:p>
        </w:tc>
        <w:tc>
          <w:tcPr>
            <w:tcW w:type="dxa" w:w="1440"/>
            <w:shd w:fill="FFDCE0" w:val="clear"/>
          </w:tcPr>
          <w:p>
            <w:r>
              <w:rPr>
                <w:b/>
                <w:sz w:val="17"/>
              </w:rPr>
              <w:t>66</w:t>
            </w:r>
          </w:p>
        </w:tc>
        <w:tc>
          <w:tcPr>
            <w:tcW w:type="dxa" w:w="1440"/>
            <w:shd w:fill="FFDCE0" w:val="clear"/>
          </w:tcPr>
          <w:p>
            <w:r>
              <w:rPr>
                <w:sz w:val="17"/>
              </w:rPr>
              <w:t>74</w:t>
            </w:r>
          </w:p>
        </w:tc>
        <w:tc>
          <w:tcPr>
            <w:tcW w:type="dxa" w:w="1440"/>
            <w:shd w:fill="FFDCE0" w:val="clear"/>
          </w:tcPr>
          <w:p>
            <w:r>
              <w:rPr>
                <w:b/>
                <w:color w:val="C00000"/>
                <w:sz w:val="17"/>
              </w:rPr>
              <w:t>-2.2%</w:t>
            </w:r>
          </w:p>
        </w:tc>
      </w:tr>
      <w:tr>
        <w:tc>
          <w:tcPr>
            <w:tcW w:type="dxa" w:w="1440"/>
            <w:shd w:fill="FFDCE0" w:val="clear"/>
          </w:tcPr>
          <w:p>
            <w:r>
              <w:rPr>
                <w:sz w:val="17"/>
              </w:rPr>
              <w:t>J+10  ⭐</w:t>
            </w:r>
          </w:p>
        </w:tc>
        <w:tc>
          <w:tcPr>
            <w:tcW w:type="dxa" w:w="1440"/>
            <w:shd w:fill="FFDCE0" w:val="clear"/>
          </w:tcPr>
          <w:p>
            <w:r>
              <w:rPr>
                <w:sz w:val="17"/>
              </w:rPr>
              <w:t>2026-10-26</w:t>
            </w:r>
          </w:p>
        </w:tc>
        <w:tc>
          <w:tcPr>
            <w:tcW w:type="dxa" w:w="1440"/>
            <w:shd w:fill="FFDCE0" w:val="clear"/>
          </w:tcPr>
          <w:p>
            <w:r>
              <w:rPr>
                <w:sz w:val="17"/>
              </w:rPr>
              <w:t>57</w:t>
            </w:r>
          </w:p>
        </w:tc>
        <w:tc>
          <w:tcPr>
            <w:tcW w:type="dxa" w:w="1440"/>
            <w:shd w:fill="FFDCE0" w:val="clear"/>
          </w:tcPr>
          <w:p>
            <w:r>
              <w:rPr>
                <w:b/>
                <w:sz w:val="17"/>
              </w:rPr>
              <w:t>65</w:t>
            </w:r>
          </w:p>
        </w:tc>
        <w:tc>
          <w:tcPr>
            <w:tcW w:type="dxa" w:w="1440"/>
            <w:shd w:fill="FFDCE0" w:val="clear"/>
          </w:tcPr>
          <w:p>
            <w:r>
              <w:rPr>
                <w:sz w:val="17"/>
              </w:rPr>
              <w:t>74</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1 211,64 milliards FCFA, ETIT s'impose comme l'une des toutes premières capitalisations de la BRVM, ce qui en fait un titre de référence pour les investisseurs institutionnels de la zone UEMOA. Le BPA de 19 FCFA par action signifie que chaque titre génère près de 19 FCFA de bénéfice net, un niveau appréciable au regard du cours actuel de 67 FCFA. Le PER de 3,5x traduit une valorisation très bon marché comparée à la moyenne du marché BRVM (8-12x), suggérant que les investisseurs ne paient que 3,5 fois les bénéfices annuels pour acquérir le titre — un signal classique de sous-évaluation potentielle. Le P/B de 0,76x indique que le marché valorise ETIT en dessous de sa valeur comptable, ce qui constitue historiquement une zone d'opportunité pour les titres bancaires solides. Enfin, l'EV/EBITDA de 5,0x, inférieur au seuil de 5x, confirme que la valeur d'entreprise reste modérée par rapport à la capacité opérationnelle de la banque, renforçant le diagnostic de sous-évaluation globale.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ETIT a enregistré une progression spectaculaire de +123,33%, avec un cours actuel de 67 FCFA, stable en dernière séance (variation J-1 de 0,00%). Le titre a évolué dans un range très large, entre un plus bas de 29 FCFA et un plus haut de 78 FCFA, soit un écart de 49 FCFA qui témoigne d'une dynamique haussière puissante mais aussi d'une forte amplitude de trading. La tendance générale est donc nettement haussière, portée par un intérêt marqué des investisseurs pour le titre. Les statistiques descriptives révèlent une moyenne de 57 FCFA contre une médiane de 66 FCFA : cet écart significatif indique une distribution asymétrique, le cours ayant passé plus de temps dans les niveaux élevés (médiane supérieure à la moyenne). L'écart-type de 16 FCFA (CV de 28,8%) traduit une dispersion modérée à élevée du cours autour de sa moyenne. Le kurtosis de -1,274 (platykurtique) signale une distribution aplatie avec une faible concentration des rendements, donc un risque de pics extrêmes limité. Le skewness de -0,707 (asymétrie négative) confirme que le titre a connu davantage de journées au-dessus de la moyenne, cohérent avec la tendance haussière. La volatilité annualisée de 62,0% classe ETIT dans la catégorie des titres à volatilité élevée (&gt;30%), ce qui implique un risque de marché important mais aussi un potentiel de gain attractif.</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68,1 FCFA et la MM50 à 67,66 FCFA, toutes deux légèrement supérieures au cours actuel de 67 FCFA. Cette configuration indique que le titre évolue juste en dessous de ses moyennes de court et moyen terme, ce qui traduit une consolidation après la forte hausse. La décision technique est à l'Achat, car la proximité immédiate du cours avec ces supports dynamiques suggère un potentiel de rebond.</w:t>
      </w:r>
    </w:p>
    <w:p>
      <w:pPr>
        <w:spacing w:after="120" w:line="276" w:lineRule="auto"/>
      </w:pPr>
      <w:r>
        <w:t>**Bandes de Bollinger** : La borne supérieure est à 72,199 FCFA et la borne inférieure à 64,001 FCFA, avec un cours actuel de 67 FCFA positionné dans la moitié basse de la bande. Cette position neutre indique que le titre n'est ni suracheté ni survendu, et la largeur des bandes (8,2 FCFA) reflète une volatilité encore présente. La décision Neutre est cohérente avec cette configuration équilibrée.</w:t>
      </w:r>
    </w:p>
    <w:p>
      <w:pPr>
        <w:spacing w:after="120" w:line="276" w:lineRule="auto"/>
      </w:pPr>
      <w:r>
        <w:t>**MACD** : Le MACD affiche une valeur de -0,387 contre un signal de -0,184, avec un MACD inférieur à son signal, ce qui génère une décision de Vente. Cette divergence négative indique un momentum baissier de court terme, bien que les valeurs restent proches de zéro, suggérant une pression vendeuse modérée et non un retournement majeur.</w:t>
      </w:r>
    </w:p>
    <w:p>
      <w:pPr>
        <w:spacing w:after="120" w:line="276" w:lineRule="auto"/>
      </w:pPr>
      <w:r>
        <w:t>**RSI** : À 42,105, le RSI se situe dans la zone neutre (30-70), sans signal de surachat ni de survente. Cette valeur légèrement inférieure à 50 indique une dynamique baissière modérée mais sans excès, justifiant une décision Neutre. Le titre conserve donc un potentiel de progression sans être techniquement épuisé.</w:t>
      </w:r>
    </w:p>
    <w:p>
      <w:pPr>
        <w:spacing w:after="120" w:line="276" w:lineRule="auto"/>
      </w:pPr>
      <w:r>
        <w:t>**Stochastique** : Le %K est à 60,0 et le %D à 58,889, avec un %K légèrement supérieur au %D, ce qui est un signal haussier naissant. La décision Neutre reflète l'absence de croisement franc, mais la configuration actuelle suggère une possible reprise haussière si le %K continue de progresser au-dessus du %D.</w:t>
      </w:r>
    </w:p>
    <w:p>
      <w:pPr>
        <w:spacing w:after="120" w:line="276" w:lineRule="auto"/>
      </w:pPr>
      <w:r>
        <w:t>**Conclusion technique** : Les indicateurs techniques sont globalement mitigés, avec une majorité de signaux neutres (Bollinger, RSI, Stochastique) et un signal d'achat sur les moyennes mobiles, compensé par un signal de vente sur le MACD. Le titre se trouve dans une phase de consolidation après sa forte hausse, avec un support technique autour de 64-67 FCFA et une résistance à 72 FCFA. La configuration actuelle plaide pour une stabilisation avant une éventuelle reprise, sans signal de retournement baissier majeur.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de l'exercice 2025 pour ETIT (Ecobank Transnational Incorporated) révèlent un Produit Net Bancaire (PNB) de 1 424,261 milliards FCFA, un résultat net de 345,523 milliards FCFA, un ROE de 21,62% (excellent, supérieur au seuil de 15%) et un ROA de 1,80%. Le coefficient d'exploitation de 27,35% est exceptionnellement bas (seuil d'efficacité : &lt;60%), témoignant d'une maîtrise remarquable des charges. Le coût du risque, mesuré par le ratio provisions/charges financières, s'élève à 18,97%, un niveau élevé qui signale un risque de crédit significatif dans le portefeuille. La structure financière montre une autonomie financière de 8,30% (faible, typique des banques) et un ratio d'endettement de 154,06%, tandis que la solvabilité générale de 109,06% confirme la capacité de la banque à couvrir ses dettes. Les dépôts clientèle (14 120,139 milliards FCFA) couvrent largement les créances clientèle (6 570,385 milliards FCFA), avec un ratio de transformation de 46,5%, indiquant une surliquidité et une marge de croissance du crédit importante. Les rapports narratifs récents (S1 2026, publiés le 30 juillet 2026) confirment cette dynamique : le PNB progresse de +15% à 1 281,330 millions $EU (721,318 milliards FCFA), le résultat net consolidé de +6% à 296,091 millions $EU (166,682 milliards FCFA), et le coefficient d'exploitation s'améliore à 48,4%. Le BPA semestriel s'établit à 0,80 $EU (+2%) et la valeur comptable tangible par action bondit de +24%. Toutefois, le coût du risque augmente fortement de +40% au S1 2026, un signal d'alerte à surveiller. Sur la base de ces rapports semestriels, on peut estimer que l'exercice 2026 devrait afficher un PNB annuel supérieur à 2 800 milliards FCFA et un résultat net proche de 700 milliards FCFA, confirmant la solidité fondamentale du groupe malgré un environnement macroéconomique incertain. La recommandation fondamentale est donc positive, portée par une rentabilité élevée, une efficacité opérationnelle remarquable et une valorisation attractive, avec un risque principal lié à la hausse du coût du risque.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 diagnostic globalement favorable mais nuancé. La valorisation (Partie 0) est clairement attractive avec un PER de 3,5x, un P/B de 0,76x et un EV/EBITDA de 5,0x, tous inférieurs aux moyennes du marché, ce qui indique une sous-évaluation potentielle. Le comportement du cours (Partie 1) est haussier sur 100 jours (+123,33%) mais avec une volatilité élevée (62%) et une distribution asymétrique négative, ce qui suggère que la hausse pourrait marquer une pause. Les signaux techniques (Partie 2) sont mitigés : les moyennes mobiles donnent un signal d'achat, mais le MACD est baissier, tandis que le RSI et le stochastique restent neutres, plaidant pour une consolidation. Les fondamentaux (Partie 3) sont solides, avec un ROE de 21,62%, un coefficient d'exploitation de 27,35% et une croissance du PNB de +15% au S1 2026, bien que le coût du risque en hausse (+40%) constitue un point de vigilance. Les prédictions IA (J+1 à J+10) anticipent une légère baisse vers 66 FCFA, confirmant la phase de consolidation technique sans remettre en cause la tendance de fond. Sur cette base, la recommandation finale est **CONSERVER** avec un biais positif, en attendant une confirmation de la stabilisation du coût du risque et un signal technique plus clair. Le niveau de confiance est **Moyen**, car si la valorisation et les fondamentaux sont solides, l'incertitude technique et la volatilité élevée limitent la visibilité à court terme. Le niveau de risque global est **Moyen à Élevé**, en raison de la volatilité du titre et des risques de crédit. L'horizon d'investissement optimal est le **moyen terme (3-12 mois)**, période nécessaire pour que la consolidation technique s'achève et que les fondamentaux solides se traduisent pleinement dans le cours.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18.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26.23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4,120 titres</w:t>
            </w:r>
          </w:p>
        </w:tc>
        <w:tc>
          <w:tcPr>
            <w:tcW w:type="dxa" w:w="2268"/>
            <w:shd w:fill="FFF2CC" w:val="clear"/>
          </w:tcPr>
          <w:p>
            <w:r>
              <w:rPr>
                <w:b/>
                <w:color w:val="503200"/>
                <w:sz w:val="16"/>
              </w:rPr>
              <w:t xml:space="preserve">Cours actuel : </w:t>
            </w:r>
            <w:r>
              <w:rPr>
                <w:color w:val="000000"/>
                <w:sz w:val="17"/>
              </w:rPr>
              <w:t>1,860 FCFA</w:t>
            </w:r>
          </w:p>
          <w:p>
            <w:r>
              <w:rPr>
                <w:b/>
                <w:color w:val="503200"/>
                <w:sz w:val="16"/>
              </w:rPr>
              <w:t xml:space="preserve">Var. 100 jours : </w:t>
            </w:r>
            <w:r>
              <w:rPr>
                <w:b/>
                <w:color w:val="B40000"/>
                <w:sz w:val="17"/>
              </w:rPr>
              <w:t>-17.33%</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1,850 FCFA</w:t>
            </w:r>
          </w:p>
          <w:p>
            <w:r>
              <w:rPr>
                <w:b/>
                <w:color w:val="503200"/>
                <w:sz w:val="16"/>
              </w:rPr>
              <w:t xml:space="preserve">Volatilité ann. : </w:t>
            </w:r>
            <w:r>
              <w:rPr>
                <w:color w:val="000000"/>
                <w:sz w:val="17"/>
              </w:rPr>
              <w:t>36.0%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6.37% (Moyenne) — μ=2,091 FCFA, σ=133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β=0.5345 (Défensif) — Cov=0.000039, Var(idx)=0.000073, ρ=0.201,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4,120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σ_j=2.27%/j (Stable) — Vol. annualisée≈36.0%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2026-10-13</w:t>
            </w:r>
          </w:p>
        </w:tc>
        <w:tc>
          <w:tcPr>
            <w:tcW w:type="dxa" w:w="1440"/>
            <w:shd w:fill="FAFAFA" w:val="clear"/>
          </w:tcPr>
          <w:p>
            <w:r>
              <w:rPr>
                <w:sz w:val="17"/>
              </w:rPr>
              <w:t>1,764</w:t>
            </w:r>
          </w:p>
        </w:tc>
        <w:tc>
          <w:tcPr>
            <w:tcW w:type="dxa" w:w="1440"/>
            <w:shd w:fill="FAFAFA" w:val="clear"/>
          </w:tcPr>
          <w:p>
            <w:r>
              <w:rPr>
                <w:b/>
                <w:sz w:val="17"/>
              </w:rPr>
              <w:t>1,848</w:t>
            </w:r>
          </w:p>
        </w:tc>
        <w:tc>
          <w:tcPr>
            <w:tcW w:type="dxa" w:w="1440"/>
            <w:shd w:fill="FAFAFA" w:val="clear"/>
          </w:tcPr>
          <w:p>
            <w:r>
              <w:rPr>
                <w:sz w:val="17"/>
              </w:rPr>
              <w:t>1,932</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2026-10-14</w:t>
            </w:r>
          </w:p>
        </w:tc>
        <w:tc>
          <w:tcPr>
            <w:tcW w:type="dxa" w:w="1440"/>
            <w:shd w:fill="FAFAFA" w:val="clear"/>
          </w:tcPr>
          <w:p>
            <w:r>
              <w:rPr>
                <w:sz w:val="17"/>
              </w:rPr>
              <w:t>1,719</w:t>
            </w:r>
          </w:p>
        </w:tc>
        <w:tc>
          <w:tcPr>
            <w:tcW w:type="dxa" w:w="1440"/>
            <w:shd w:fill="FAFAFA" w:val="clear"/>
          </w:tcPr>
          <w:p>
            <w:r>
              <w:rPr>
                <w:b/>
                <w:sz w:val="17"/>
              </w:rPr>
              <w:t>1,837</w:t>
            </w:r>
          </w:p>
        </w:tc>
        <w:tc>
          <w:tcPr>
            <w:tcW w:type="dxa" w:w="1440"/>
            <w:shd w:fill="FAFAFA" w:val="clear"/>
          </w:tcPr>
          <w:p>
            <w:r>
              <w:rPr>
                <w:sz w:val="17"/>
              </w:rPr>
              <w:t>1,955</w:t>
            </w:r>
          </w:p>
        </w:tc>
        <w:tc>
          <w:tcPr>
            <w:tcW w:type="dxa" w:w="1440"/>
            <w:shd w:fill="FAFAFA" w:val="clear"/>
          </w:tcPr>
          <w:p>
            <w:r>
              <w:rPr>
                <w:b/>
                <w:color w:val="C00000"/>
                <w:sz w:val="17"/>
              </w:rPr>
              <w:t>-1.2%</w:t>
            </w:r>
          </w:p>
        </w:tc>
      </w:tr>
      <w:tr>
        <w:tc>
          <w:tcPr>
            <w:tcW w:type="dxa" w:w="1440"/>
            <w:shd w:fill="FAFAFA" w:val="clear"/>
          </w:tcPr>
          <w:p>
            <w:r>
              <w:rPr>
                <w:sz w:val="17"/>
              </w:rPr>
              <w:t>J+3  Moyenne</w:t>
            </w:r>
          </w:p>
        </w:tc>
        <w:tc>
          <w:tcPr>
            <w:tcW w:type="dxa" w:w="1440"/>
            <w:shd w:fill="FAFAFA" w:val="clear"/>
          </w:tcPr>
          <w:p>
            <w:r>
              <w:rPr>
                <w:sz w:val="17"/>
              </w:rPr>
              <w:t>2026-10-15</w:t>
            </w:r>
          </w:p>
        </w:tc>
        <w:tc>
          <w:tcPr>
            <w:tcW w:type="dxa" w:w="1440"/>
            <w:shd w:fill="FAFAFA" w:val="clear"/>
          </w:tcPr>
          <w:p>
            <w:r>
              <w:rPr>
                <w:sz w:val="17"/>
              </w:rPr>
              <w:t>1,682</w:t>
            </w:r>
          </w:p>
        </w:tc>
        <w:tc>
          <w:tcPr>
            <w:tcW w:type="dxa" w:w="1440"/>
            <w:shd w:fill="FAFAFA" w:val="clear"/>
          </w:tcPr>
          <w:p>
            <w:r>
              <w:rPr>
                <w:b/>
                <w:sz w:val="17"/>
              </w:rPr>
              <w:t>1,825</w:t>
            </w:r>
          </w:p>
        </w:tc>
        <w:tc>
          <w:tcPr>
            <w:tcW w:type="dxa" w:w="1440"/>
            <w:shd w:fill="FAFAFA" w:val="clear"/>
          </w:tcPr>
          <w:p>
            <w:r>
              <w:rPr>
                <w:sz w:val="17"/>
              </w:rPr>
              <w:t>1,969</w:t>
            </w:r>
          </w:p>
        </w:tc>
        <w:tc>
          <w:tcPr>
            <w:tcW w:type="dxa" w:w="1440"/>
            <w:shd w:fill="FAFAFA" w:val="clear"/>
          </w:tcPr>
          <w:p>
            <w:r>
              <w:rPr>
                <w:b/>
                <w:color w:val="C00000"/>
                <w:sz w:val="17"/>
              </w:rPr>
              <w:t>-1.9%</w:t>
            </w:r>
          </w:p>
        </w:tc>
      </w:tr>
      <w:tr>
        <w:tc>
          <w:tcPr>
            <w:tcW w:type="dxa" w:w="1440"/>
            <w:shd w:fill="FFDCE0" w:val="clear"/>
          </w:tcPr>
          <w:p>
            <w:r>
              <w:rPr>
                <w:sz w:val="17"/>
              </w:rPr>
              <w:t>J+4  ⭐</w:t>
            </w:r>
          </w:p>
        </w:tc>
        <w:tc>
          <w:tcPr>
            <w:tcW w:type="dxa" w:w="1440"/>
            <w:shd w:fill="FFDCE0" w:val="clear"/>
          </w:tcPr>
          <w:p>
            <w:r>
              <w:rPr>
                <w:sz w:val="17"/>
              </w:rPr>
              <w:t>2026-10-16</w:t>
            </w:r>
          </w:p>
        </w:tc>
        <w:tc>
          <w:tcPr>
            <w:tcW w:type="dxa" w:w="1440"/>
            <w:shd w:fill="FFDCE0" w:val="clear"/>
          </w:tcPr>
          <w:p>
            <w:r>
              <w:rPr>
                <w:sz w:val="17"/>
              </w:rPr>
              <w:t>1,649</w:t>
            </w:r>
          </w:p>
        </w:tc>
        <w:tc>
          <w:tcPr>
            <w:tcW w:type="dxa" w:w="1440"/>
            <w:shd w:fill="FFDCE0" w:val="clear"/>
          </w:tcPr>
          <w:p>
            <w:r>
              <w:rPr>
                <w:b/>
                <w:sz w:val="17"/>
              </w:rPr>
              <w:t>1,813</w:t>
            </w:r>
          </w:p>
        </w:tc>
        <w:tc>
          <w:tcPr>
            <w:tcW w:type="dxa" w:w="1440"/>
            <w:shd w:fill="FFDCE0" w:val="clear"/>
          </w:tcPr>
          <w:p>
            <w:r>
              <w:rPr>
                <w:sz w:val="17"/>
              </w:rPr>
              <w:t>1,978</w:t>
            </w:r>
          </w:p>
        </w:tc>
        <w:tc>
          <w:tcPr>
            <w:tcW w:type="dxa" w:w="1440"/>
            <w:shd w:fill="FFDCE0" w:val="clear"/>
          </w:tcPr>
          <w:p>
            <w:r>
              <w:rPr>
                <w:b/>
                <w:color w:val="C00000"/>
                <w:sz w:val="17"/>
              </w:rPr>
              <w:t>-2.5%</w:t>
            </w:r>
          </w:p>
        </w:tc>
      </w:tr>
      <w:tr>
        <w:tc>
          <w:tcPr>
            <w:tcW w:type="dxa" w:w="1440"/>
            <w:shd w:fill="FFDCE0" w:val="clear"/>
          </w:tcPr>
          <w:p>
            <w:r>
              <w:rPr>
                <w:sz w:val="17"/>
              </w:rPr>
              <w:t>J+5  ⭐</w:t>
            </w:r>
          </w:p>
        </w:tc>
        <w:tc>
          <w:tcPr>
            <w:tcW w:type="dxa" w:w="1440"/>
            <w:shd w:fill="FFDCE0" w:val="clear"/>
          </w:tcPr>
          <w:p>
            <w:r>
              <w:rPr>
                <w:sz w:val="17"/>
              </w:rPr>
              <w:t>2026-10-19</w:t>
            </w:r>
          </w:p>
        </w:tc>
        <w:tc>
          <w:tcPr>
            <w:tcW w:type="dxa" w:w="1440"/>
            <w:shd w:fill="FFDCE0" w:val="clear"/>
          </w:tcPr>
          <w:p>
            <w:r>
              <w:rPr>
                <w:sz w:val="17"/>
              </w:rPr>
              <w:t>1,619</w:t>
            </w:r>
          </w:p>
        </w:tc>
        <w:tc>
          <w:tcPr>
            <w:tcW w:type="dxa" w:w="1440"/>
            <w:shd w:fill="FFDCE0" w:val="clear"/>
          </w:tcPr>
          <w:p>
            <w:r>
              <w:rPr>
                <w:b/>
                <w:sz w:val="17"/>
              </w:rPr>
              <w:t>1,802</w:t>
            </w:r>
          </w:p>
        </w:tc>
        <w:tc>
          <w:tcPr>
            <w:tcW w:type="dxa" w:w="1440"/>
            <w:shd w:fill="FFDCE0" w:val="clear"/>
          </w:tcPr>
          <w:p>
            <w:r>
              <w:rPr>
                <w:sz w:val="17"/>
              </w:rPr>
              <w:t>1,984</w:t>
            </w:r>
          </w:p>
        </w:tc>
        <w:tc>
          <w:tcPr>
            <w:tcW w:type="dxa" w:w="1440"/>
            <w:shd w:fill="FFDCE0" w:val="clear"/>
          </w:tcPr>
          <w:p>
            <w:r>
              <w:rPr>
                <w:b/>
                <w:color w:val="C00000"/>
                <w:sz w:val="17"/>
              </w:rPr>
              <w:t>-3.1%</w:t>
            </w:r>
          </w:p>
        </w:tc>
      </w:tr>
      <w:tr>
        <w:tc>
          <w:tcPr>
            <w:tcW w:type="dxa" w:w="1440"/>
            <w:shd w:fill="FFDCE0" w:val="clear"/>
          </w:tcPr>
          <w:p>
            <w:r>
              <w:rPr>
                <w:sz w:val="17"/>
              </w:rPr>
              <w:t>J+6  ⭐</w:t>
            </w:r>
          </w:p>
        </w:tc>
        <w:tc>
          <w:tcPr>
            <w:tcW w:type="dxa" w:w="1440"/>
            <w:shd w:fill="FFDCE0" w:val="clear"/>
          </w:tcPr>
          <w:p>
            <w:r>
              <w:rPr>
                <w:sz w:val="17"/>
              </w:rPr>
              <w:t>2026-10-20</w:t>
            </w:r>
          </w:p>
        </w:tc>
        <w:tc>
          <w:tcPr>
            <w:tcW w:type="dxa" w:w="1440"/>
            <w:shd w:fill="FFDCE0" w:val="clear"/>
          </w:tcPr>
          <w:p>
            <w:r>
              <w:rPr>
                <w:sz w:val="17"/>
              </w:rPr>
              <w:t>1,591</w:t>
            </w:r>
          </w:p>
        </w:tc>
        <w:tc>
          <w:tcPr>
            <w:tcW w:type="dxa" w:w="1440"/>
            <w:shd w:fill="FFDCE0" w:val="clear"/>
          </w:tcPr>
          <w:p>
            <w:r>
              <w:rPr>
                <w:b/>
                <w:sz w:val="17"/>
              </w:rPr>
              <w:t>1,790</w:t>
            </w:r>
          </w:p>
        </w:tc>
        <w:tc>
          <w:tcPr>
            <w:tcW w:type="dxa" w:w="1440"/>
            <w:shd w:fill="FFDCE0" w:val="clear"/>
          </w:tcPr>
          <w:p>
            <w:r>
              <w:rPr>
                <w:sz w:val="17"/>
              </w:rPr>
              <w:t>1,989</w:t>
            </w:r>
          </w:p>
        </w:tc>
        <w:tc>
          <w:tcPr>
            <w:tcW w:type="dxa" w:w="1440"/>
            <w:shd w:fill="FFDCE0" w:val="clear"/>
          </w:tcPr>
          <w:p>
            <w:r>
              <w:rPr>
                <w:b/>
                <w:color w:val="C00000"/>
                <w:sz w:val="17"/>
              </w:rPr>
              <w:t>-3.8%</w:t>
            </w:r>
          </w:p>
        </w:tc>
      </w:tr>
      <w:tr>
        <w:tc>
          <w:tcPr>
            <w:tcW w:type="dxa" w:w="1440"/>
            <w:shd w:fill="FFDCE0" w:val="clear"/>
          </w:tcPr>
          <w:p>
            <w:r>
              <w:rPr>
                <w:sz w:val="17"/>
              </w:rPr>
              <w:t>J+7  ⭐</w:t>
            </w:r>
          </w:p>
        </w:tc>
        <w:tc>
          <w:tcPr>
            <w:tcW w:type="dxa" w:w="1440"/>
            <w:shd w:fill="FFDCE0" w:val="clear"/>
          </w:tcPr>
          <w:p>
            <w:r>
              <w:rPr>
                <w:sz w:val="17"/>
              </w:rPr>
              <w:t>2026-10-21</w:t>
            </w:r>
          </w:p>
        </w:tc>
        <w:tc>
          <w:tcPr>
            <w:tcW w:type="dxa" w:w="1440"/>
            <w:shd w:fill="FFDCE0" w:val="clear"/>
          </w:tcPr>
          <w:p>
            <w:r>
              <w:rPr>
                <w:sz w:val="17"/>
              </w:rPr>
              <w:t>1,565</w:t>
            </w:r>
          </w:p>
        </w:tc>
        <w:tc>
          <w:tcPr>
            <w:tcW w:type="dxa" w:w="1440"/>
            <w:shd w:fill="FFDCE0" w:val="clear"/>
          </w:tcPr>
          <w:p>
            <w:r>
              <w:rPr>
                <w:b/>
                <w:sz w:val="17"/>
              </w:rPr>
              <w:t>1,778</w:t>
            </w:r>
          </w:p>
        </w:tc>
        <w:tc>
          <w:tcPr>
            <w:tcW w:type="dxa" w:w="1440"/>
            <w:shd w:fill="FFDCE0" w:val="clear"/>
          </w:tcPr>
          <w:p>
            <w:r>
              <w:rPr>
                <w:sz w:val="17"/>
              </w:rPr>
              <w:t>1,992</w:t>
            </w:r>
          </w:p>
        </w:tc>
        <w:tc>
          <w:tcPr>
            <w:tcW w:type="dxa" w:w="1440"/>
            <w:shd w:fill="FFDCE0" w:val="clear"/>
          </w:tcPr>
          <w:p>
            <w:r>
              <w:rPr>
                <w:b/>
                <w:color w:val="C00000"/>
                <w:sz w:val="17"/>
              </w:rPr>
              <w:t>-4.4%</w:t>
            </w:r>
          </w:p>
        </w:tc>
      </w:tr>
      <w:tr>
        <w:tc>
          <w:tcPr>
            <w:tcW w:type="dxa" w:w="1440"/>
            <w:shd w:fill="FFDCE0" w:val="clear"/>
          </w:tcPr>
          <w:p>
            <w:r>
              <w:rPr>
                <w:sz w:val="17"/>
              </w:rPr>
              <w:t>J+8  ⭐</w:t>
            </w:r>
          </w:p>
        </w:tc>
        <w:tc>
          <w:tcPr>
            <w:tcW w:type="dxa" w:w="1440"/>
            <w:shd w:fill="FFDCE0" w:val="clear"/>
          </w:tcPr>
          <w:p>
            <w:r>
              <w:rPr>
                <w:sz w:val="17"/>
              </w:rPr>
              <w:t>2026-10-22</w:t>
            </w:r>
          </w:p>
        </w:tc>
        <w:tc>
          <w:tcPr>
            <w:tcW w:type="dxa" w:w="1440"/>
            <w:shd w:fill="FFDCE0" w:val="clear"/>
          </w:tcPr>
          <w:p>
            <w:r>
              <w:rPr>
                <w:sz w:val="17"/>
              </w:rPr>
              <w:t>1,540</w:t>
            </w:r>
          </w:p>
        </w:tc>
        <w:tc>
          <w:tcPr>
            <w:tcW w:type="dxa" w:w="1440"/>
            <w:shd w:fill="FFDCE0" w:val="clear"/>
          </w:tcPr>
          <w:p>
            <w:r>
              <w:rPr>
                <w:b/>
                <w:sz w:val="17"/>
              </w:rPr>
              <w:t>1,767</w:t>
            </w:r>
          </w:p>
        </w:tc>
        <w:tc>
          <w:tcPr>
            <w:tcW w:type="dxa" w:w="1440"/>
            <w:shd w:fill="FFDCE0" w:val="clear"/>
          </w:tcPr>
          <w:p>
            <w:r>
              <w:rPr>
                <w:sz w:val="17"/>
              </w:rPr>
              <w:t>1,994</w:t>
            </w:r>
          </w:p>
        </w:tc>
        <w:tc>
          <w:tcPr>
            <w:tcW w:type="dxa" w:w="1440"/>
            <w:shd w:fill="FFDCE0" w:val="clear"/>
          </w:tcPr>
          <w:p>
            <w:r>
              <w:rPr>
                <w:b/>
                <w:color w:val="C00000"/>
                <w:sz w:val="17"/>
              </w:rPr>
              <w:t>-5.0%</w:t>
            </w:r>
          </w:p>
        </w:tc>
      </w:tr>
      <w:tr>
        <w:tc>
          <w:tcPr>
            <w:tcW w:type="dxa" w:w="1440"/>
            <w:shd w:fill="FFDCE0" w:val="clear"/>
          </w:tcPr>
          <w:p>
            <w:r>
              <w:rPr>
                <w:sz w:val="17"/>
              </w:rPr>
              <w:t>J+9  ⭐</w:t>
            </w:r>
          </w:p>
        </w:tc>
        <w:tc>
          <w:tcPr>
            <w:tcW w:type="dxa" w:w="1440"/>
            <w:shd w:fill="FFDCE0" w:val="clear"/>
          </w:tcPr>
          <w:p>
            <w:r>
              <w:rPr>
                <w:sz w:val="17"/>
              </w:rPr>
              <w:t>2026-10-23</w:t>
            </w:r>
          </w:p>
        </w:tc>
        <w:tc>
          <w:tcPr>
            <w:tcW w:type="dxa" w:w="1440"/>
            <w:shd w:fill="FFDCE0" w:val="clear"/>
          </w:tcPr>
          <w:p>
            <w:r>
              <w:rPr>
                <w:sz w:val="17"/>
              </w:rPr>
              <w:t>1,517</w:t>
            </w:r>
          </w:p>
        </w:tc>
        <w:tc>
          <w:tcPr>
            <w:tcW w:type="dxa" w:w="1440"/>
            <w:shd w:fill="FFDCE0" w:val="clear"/>
          </w:tcPr>
          <w:p>
            <w:r>
              <w:rPr>
                <w:b/>
                <w:sz w:val="17"/>
              </w:rPr>
              <w:t>1,756</w:t>
            </w:r>
          </w:p>
        </w:tc>
        <w:tc>
          <w:tcPr>
            <w:tcW w:type="dxa" w:w="1440"/>
            <w:shd w:fill="FFDCE0" w:val="clear"/>
          </w:tcPr>
          <w:p>
            <w:r>
              <w:rPr>
                <w:sz w:val="17"/>
              </w:rPr>
              <w:t>1,995</w:t>
            </w:r>
          </w:p>
        </w:tc>
        <w:tc>
          <w:tcPr>
            <w:tcW w:type="dxa" w:w="1440"/>
            <w:shd w:fill="FFDCE0" w:val="clear"/>
          </w:tcPr>
          <w:p>
            <w:r>
              <w:rPr>
                <w:b/>
                <w:color w:val="C00000"/>
                <w:sz w:val="17"/>
              </w:rPr>
              <w:t>-5.6%</w:t>
            </w:r>
          </w:p>
        </w:tc>
      </w:tr>
      <w:tr>
        <w:tc>
          <w:tcPr>
            <w:tcW w:type="dxa" w:w="1440"/>
            <w:shd w:fill="FFDCE0" w:val="clear"/>
          </w:tcPr>
          <w:p>
            <w:r>
              <w:rPr>
                <w:sz w:val="17"/>
              </w:rPr>
              <w:t>J+10  ⭐</w:t>
            </w:r>
          </w:p>
        </w:tc>
        <w:tc>
          <w:tcPr>
            <w:tcW w:type="dxa" w:w="1440"/>
            <w:shd w:fill="FFDCE0" w:val="clear"/>
          </w:tcPr>
          <w:p>
            <w:r>
              <w:rPr>
                <w:sz w:val="17"/>
              </w:rPr>
              <w:t>2026-10-26</w:t>
            </w:r>
          </w:p>
        </w:tc>
        <w:tc>
          <w:tcPr>
            <w:tcW w:type="dxa" w:w="1440"/>
            <w:shd w:fill="FFDCE0" w:val="clear"/>
          </w:tcPr>
          <w:p>
            <w:r>
              <w:rPr>
                <w:sz w:val="17"/>
              </w:rPr>
              <w:t>1,494</w:t>
            </w:r>
          </w:p>
        </w:tc>
        <w:tc>
          <w:tcPr>
            <w:tcW w:type="dxa" w:w="1440"/>
            <w:shd w:fill="FFDCE0" w:val="clear"/>
          </w:tcPr>
          <w:p>
            <w:r>
              <w:rPr>
                <w:b/>
                <w:sz w:val="17"/>
              </w:rPr>
              <w:t>1,745</w:t>
            </w:r>
          </w:p>
        </w:tc>
        <w:tc>
          <w:tcPr>
            <w:tcW w:type="dxa" w:w="1440"/>
            <w:shd w:fill="FFDCE0" w:val="clear"/>
          </w:tcPr>
          <w:p>
            <w:r>
              <w:rPr>
                <w:sz w:val="17"/>
              </w:rPr>
              <w:t>1,995</w:t>
            </w:r>
          </w:p>
        </w:tc>
        <w:tc>
          <w:tcPr>
            <w:tcW w:type="dxa" w:w="1440"/>
            <w:shd w:fill="FFDCE0" w:val="clear"/>
          </w:tcPr>
          <w:p>
            <w:r>
              <w:rPr>
                <w:b/>
                <w:color w:val="C00000"/>
                <w:sz w:val="17"/>
              </w:rPr>
              <w:t>-6.2%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 RAPPORT D'ANALYSE FINANCIÈRE — FTSC (FILTISAC CI)</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26,23 milliards FCFA, FTSC se situe dans la catégorie des valeurs moyennes de la cote BRVM, reflétant une entreprise industrielle de taille intermédiaire spécialisée dans les emballages. Le BPA s'établit à 33 FCFA par action, un niveau particulièrement faible qui traduit la chute drastique du résultat net 2025 (465,98 MFCFA). Le PER ressort à 56,3x, un niveau extrêmement élevé comparé à la moyenne BRVM (8-12x), signifiant que les investisseurs paient environ 56 fois les bénéfices actuels — une prime injustifiable au regard des fondamentaux dégradés. Le P/B de 1,67x indique que le marché valorise l'action à 67% au-dessus de sa valeur comptable, ce qui reste raisonnable dans l'absolu mais élevé pour une société dont les capitaux propres ont fondu de 43,4 à 15,7 Mds FCFA en un an. Enfin, l'EV/EBITDA de 35,4x (très supérieur au seuil de 15x) signale que la valeur d'entreprise intègre une capacité opérationnelle largement surestimée, confirmant une valorisation tendue sur tous les plans.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FTSC affiche une variation totale de **-17,33%**, avec une dernière séance en repli de -0,53%, confirmant une tendance baissière persistante. Le cours actuel de 1 860 FCFA évolue dans un range de 1 850 à 2 430 FCFA, et se situe dangereusement proche de son plus bas annuel (1 850 FCFA), ce qui traduit une pression vendeuse continue. La moyenne (2 091 FCFA) et la médiane (2 090 FCFA) sont quasi identiques, indiquant une distribution globalement centrée, mais le mode à 1 990 FCFA et le cours actuel bien en dessous suggèrent une cassure récente du support psychologique. L'écart-type de 134 FCFA avec un coefficient de variation de 6,4% révèle une dispersion modérée autour de la moyenne, tandis que le kurtosis de -0,448 (mésokurtique) indique une distribution proche de la normale, sans risque majeur de pics extrêmes. Le skewness de +0,507 (asymétrie positive) signale toutefois davantage de journées sous la moyenne, cohérent avec la tendance baissière. La volatilité annualisée de 36,0% classe le titre dans la catégorie **élevée** (&gt;30%), ce qui implique un risque significatif pour les investisseurs et justifie une prime de risque accrue.</w:t>
      </w:r>
    </w:p>
    <w:p>
      <w:pPr>
        <w:spacing w:after="120" w:line="276" w:lineRule="auto"/>
      </w:pPr>
      <w:r>
        <w:t>---</w:t>
      </w:r>
    </w:p>
    <w:p>
      <w:pPr>
        <w:spacing w:after="120" w:line="276" w:lineRule="auto"/>
      </w:pPr>
      <w:r>
        <w:t>## PARTIE 2 : ANALYSE TECHNIQUE DÉTAILLÉE</w:t>
      </w:r>
    </w:p>
    <w:p>
      <w:pPr>
        <w:spacing w:after="120" w:line="276" w:lineRule="auto"/>
      </w:pPr>
      <w:r>
        <w:t>**Moyennes Mobiles** : La MM20 (1 990,25 FCFA) et la MM50 (2 062,40 FCFA) se situent toutes deux au-dessus du cours actuel (1 860 FCFA), confirmant une configuration baissière avec le prix sous ses moyennes. La MM20 étant elle-même inférieure à la MM50, on observe un croisement baissier (death cross), ce qui justifie pleinement la décision technique de **Vente**.</w:t>
      </w:r>
    </w:p>
    <w:p>
      <w:pPr>
        <w:spacing w:after="120" w:line="276" w:lineRule="auto"/>
      </w:pPr>
      <w:r>
        <w:t>**Bandes de Bollinger** : Le cours (1 860 FCFA) évolue dans la partie basse du canal, entre la borne inférieure (1 820,72 FCFA) et la borne supérieure (2 159,78 FCFA), sans franchir les extrêmes. Cette position proche de la borne basse, sans survente technique, explique la décision **Neutre** — le titre n'est ni en zone d'achat ni en zone de vente forcée.</w:t>
      </w:r>
    </w:p>
    <w:p>
      <w:pPr>
        <w:spacing w:after="120" w:line="276" w:lineRule="auto"/>
      </w:pPr>
      <w:r>
        <w:t>**MACD** : La valeur du MACD (-54,159) est nettement inférieure à son signal (-41,246), avec un histogramme négatif qui traduit un momentum baissier toujours actif. Cette divergence négative persistante confirme la décision de **Vente** et suggère que la pression baissière n'est pas encore épuisée.</w:t>
      </w:r>
    </w:p>
    <w:p>
      <w:pPr>
        <w:spacing w:after="120" w:line="276" w:lineRule="auto"/>
      </w:pPr>
      <w:r>
        <w:t>**RSI** : À 35,821, le RSI se situe dans la zone neutre basse (30-70), sans atteindre le seuil de survente (&lt;30). La décision **Neutre** reflète une absence de signal fort, mais la proximité de la zone de survente indique une faiblesse sous-jacente.</w:t>
      </w:r>
    </w:p>
    <w:p>
      <w:pPr>
        <w:spacing w:after="120" w:line="276" w:lineRule="auto"/>
      </w:pPr>
      <w:r>
        <w:t>**Stochastique** : Avec %K à 6,667 et %D à 8,333, les deux lignes sont en zone de survente extrême (&lt;20), et %K est légèrement sous %D, ce qui pourrait annoncer un croisement haussier imminent. Cette configuration justifie la décision **Achat** — un rebond technique à court terme est possible.</w:t>
      </w:r>
    </w:p>
    <w:p>
      <w:pPr>
        <w:spacing w:after="120" w:line="276" w:lineRule="auto"/>
      </w:pPr>
      <w:r>
        <w:t>**Conclusion technique** : Les indicateurs sont majoritairement baissiers (MM, MACD) avec un RSI neutre et des Bandes de Bollinger sans signal fort, mais le Stochastique en survente extrême suggère un potentiel rebond technique à très court terme. La convergence des signaux négatifs (cours sous MM20/MM50, MACD négatif) domine toutefois, et le signal d'achat du Stochastique apparaît comme un simple répit dans une tendance baissière structurelle.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FTSC a réalisé un chiffre d'affaires de 32,109 Mds FCFA, en progression de +4,61% sur un an, mais son résultat net s'est effondré à 465,98 MFCFA (contre 18,595 Mds FCFA en 2024, soit -97,5%), principalement en raison de l'absence des produits exceptionnels de cession de filiales enregistrés en 2024. Les ratios de rentabilité sont préoccupants : ROE de 2,97% (très loin du seuil de 15% jugé excellent), ROA de 1,19%, et marge nette de seulement 1,45% (contre 60,6% en 2024). La structure financière s'est dégradée avec une trésorerie nette de -11,528 Mds FCFA (contre +18,8 Mds en 2024), un BFR de 11,529 Mds FCFA et un ratio d'endettement de 97,6%. Les délais d'exploitation sont élevés : 213,72 jours pour les clients (risque de trésorerie important) et 214,65 jours de stockage (immobilisation de capital), bien que le délai fournisseurs de 140,71 jours offre un certain coussin. La capacité d'autofinancement (CAF) reste positive à 1,334 Mds FCFA, mais la couverture des intérêts est faible (40,58%).</w:t>
      </w:r>
    </w:p>
    <w:p>
      <w:pPr>
        <w:spacing w:after="120" w:line="276" w:lineRule="auto"/>
      </w:pPr>
      <w:r>
        <w:t>**Estimations basées sur les rapports trimestriels** : Le rapport du **T1 2026 (publié en 2026)** révèle un chiffre d'affaires de 8,901 Mds FCFA, en hausse spectaculaire de +55% sur un an, porté par la forte demande d'emballages cacao. Le résultat d'exploitation redevient positif à 75 MFCFA (contre -78 MFCFA au T1 2025), mais le résultat net reste déficitaire à -154 MFCFA. Sur cette base, on estime que l'exercice 2026 pourrait afficher une nouvelle croissance du CA (potentiellement +20 à +30% si la dynamique cacao se maintient), mais la rentabilité nette restera fragile tant que les charges financières et les coûts logistiques ne se détendent pas. Le rapport **T3 2025 (30/09/2025)** confirmait déjà cette tendance avec un CA de 18,371 Mds FCFA sur 9 mois (-1%) et un résultat courant avant impôts de -216 MFCFA.</w:t>
      </w:r>
    </w:p>
    <w:p>
      <w:pPr>
        <w:spacing w:after="120" w:line="276" w:lineRule="auto"/>
      </w:pPr>
      <w:r>
        <w:t>**Recommandation fondamentale** : La société présente un profil de **retournement opérationnel non confirmé**. La croissance du CA et l'amélioration du résultat d'exploitation sont encourageantes, mais la persistance des pertes nettes, la dégradation de la trésorerie et l'absence de dividende (0% de distribution en 2025 contre 100% en 2024) constituent des risques majeurs. La dépendance à la campagne cacaoyère et aux coûts des matières premières (fibre de jute, fret maritime) reste le principal facteur d'incertitude.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préoccupante** entre les signaux. Sur le plan de la **valorisation (Partie 0)**, le PER de 56,3x et l'EV/EBITDA de 35,4x indiquent une nette surévaluation, bien que le P/B de 1,67x reste modéré. Le **comportement du cours (Partie 1)** est baissier (-17,33% sur 100 jours), avec une volatilité élevée (36%) et une asymétrie positive (skewness +0,507) qui traduit une pression vendeuse persistante. Les **signaux techniques (Partie 2)** sont majoritairement négatifs (cours sous MM20/MM50, MACD baissier), malgré un Stochastique en survente extrême qui pourrait offrir un rebond technique de court terme. Les **fondamentaux (Partie 3)** montrent une amélioration opérationnelle au T1 2026 (CA +55%, résultat d'exploitation positif), mais la rentabilité nette reste négative et la trésorerie dégradée. Enfin, les **prédictions IA (J+1 à J+10)** anticipent une poursuite de la baisse jusqu'à 1 802 FCFA d'ici le 19 octobre 2026, confirmant la tendance baissière.</w:t>
      </w:r>
    </w:p>
    <w:p>
      <w:pPr>
        <w:spacing w:after="120" w:line="276" w:lineRule="auto"/>
      </w:pPr>
      <w:r>
        <w:t>**Recommandation finale : VENTE**</w:t>
      </w:r>
    </w:p>
    <w:p>
      <w:pPr>
        <w:spacing w:after="120" w:line="276" w:lineRule="auto"/>
      </w:pPr>
      <w:r>
        <w:t>Cette recommandation repose sur la convergence des signaux négatifs : surévaluation manifeste (PER 56x), tendance baissière confirmée par les indicateurs techniques et les prédictions IA, et fondamentaux fragiles malgré l'amélioration du T1 2026. Le niveau de confiance est **Moyen** — la survente du Stochastique et l'amélioration opérationnelle pourraient limiter la baisse, mais le risque global est **Élevé** en raison de la volatilité (36%) et de la dépendance aux facteurs exogènes (cacao, fret, géopolitique). L'horizon d'investissement optimal est **court terme (&lt;3 mois)** pour les investisseurs cherchant à sortir avant une nouvelle dégradation, ou **moyen terme (3-12 mois)** pour ceux qui souhaitent surveiller une éventuelle confirmation du redressement opérationnel avant d'envisager une position acheteuse.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19.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78.10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4,666 titres</w:t>
            </w:r>
          </w:p>
        </w:tc>
        <w:tc>
          <w:tcPr>
            <w:tcW w:type="dxa" w:w="2268"/>
            <w:shd w:fill="FFF2CC" w:val="clear"/>
          </w:tcPr>
          <w:p>
            <w:r>
              <w:rPr>
                <w:b/>
                <w:color w:val="503200"/>
                <w:sz w:val="16"/>
              </w:rPr>
              <w:t xml:space="preserve">Cours actuel : </w:t>
            </w:r>
            <w:r>
              <w:rPr>
                <w:color w:val="000000"/>
                <w:sz w:val="17"/>
              </w:rPr>
              <w:t>3,905 FCFA</w:t>
            </w:r>
          </w:p>
          <w:p>
            <w:r>
              <w:rPr>
                <w:b/>
                <w:color w:val="503200"/>
                <w:sz w:val="16"/>
              </w:rPr>
              <w:t xml:space="preserve">Var. 100 jours : </w:t>
            </w:r>
            <w:r>
              <w:rPr>
                <w:b/>
                <w:color w:val="B40000"/>
                <w:sz w:val="17"/>
              </w:rPr>
              <w:t>-2.13%</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3,700 FCFA</w:t>
            </w:r>
          </w:p>
          <w:p>
            <w:r>
              <w:rPr>
                <w:b/>
                <w:color w:val="503200"/>
                <w:sz w:val="16"/>
              </w:rPr>
              <w:t xml:space="preserve">Volatilité ann. : </w:t>
            </w:r>
            <w:r>
              <w:rPr>
                <w:color w:val="000000"/>
                <w:sz w:val="17"/>
              </w:rPr>
              <w:t>41.2%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4.68% (Faible) — μ=4,076 FCFA, σ=191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β=0.6446 (Défensif) — Cov=0.000047, Var(idx)=0.000073, ρ=0.212,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4,666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σ_j=2.60%/j (Stable) — Vol. annualisée≈41.2%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2026-10-13</w:t>
            </w:r>
          </w:p>
        </w:tc>
        <w:tc>
          <w:tcPr>
            <w:tcW w:type="dxa" w:w="1440"/>
            <w:shd w:fill="FAFAFA" w:val="clear"/>
          </w:tcPr>
          <w:p>
            <w:r>
              <w:rPr>
                <w:sz w:val="17"/>
              </w:rPr>
              <w:t>3,763</w:t>
            </w:r>
          </w:p>
        </w:tc>
        <w:tc>
          <w:tcPr>
            <w:tcW w:type="dxa" w:w="1440"/>
            <w:shd w:fill="FAFAFA" w:val="clear"/>
          </w:tcPr>
          <w:p>
            <w:r>
              <w:rPr>
                <w:b/>
                <w:sz w:val="17"/>
              </w:rPr>
              <w:t>3,928</w:t>
            </w:r>
          </w:p>
        </w:tc>
        <w:tc>
          <w:tcPr>
            <w:tcW w:type="dxa" w:w="1440"/>
            <w:shd w:fill="FAFAFA" w:val="clear"/>
          </w:tcPr>
          <w:p>
            <w:r>
              <w:rPr>
                <w:sz w:val="17"/>
              </w:rPr>
              <w:t>4,093</w:t>
            </w:r>
          </w:p>
        </w:tc>
        <w:tc>
          <w:tcPr>
            <w:tcW w:type="dxa" w:w="1440"/>
            <w:shd w:fill="FAFAFA" w:val="clear"/>
          </w:tcPr>
          <w:p>
            <w:r>
              <w:rPr>
                <w:b/>
                <w:color w:val="008000"/>
                <w:sz w:val="17"/>
              </w:rPr>
              <w:t>+0.6%</w:t>
            </w:r>
          </w:p>
        </w:tc>
      </w:tr>
      <w:tr>
        <w:tc>
          <w:tcPr>
            <w:tcW w:type="dxa" w:w="1440"/>
            <w:shd w:fill="FAFAFA" w:val="clear"/>
          </w:tcPr>
          <w:p>
            <w:r>
              <w:rPr>
                <w:sz w:val="17"/>
              </w:rPr>
              <w:t>J+2  Moyenne</w:t>
            </w:r>
          </w:p>
        </w:tc>
        <w:tc>
          <w:tcPr>
            <w:tcW w:type="dxa" w:w="1440"/>
            <w:shd w:fill="FAFAFA" w:val="clear"/>
          </w:tcPr>
          <w:p>
            <w:r>
              <w:rPr>
                <w:sz w:val="17"/>
              </w:rPr>
              <w:t>2026-10-14</w:t>
            </w:r>
          </w:p>
        </w:tc>
        <w:tc>
          <w:tcPr>
            <w:tcW w:type="dxa" w:w="1440"/>
            <w:shd w:fill="FAFAFA" w:val="clear"/>
          </w:tcPr>
          <w:p>
            <w:r>
              <w:rPr>
                <w:sz w:val="17"/>
              </w:rPr>
              <w:t>3,696</w:t>
            </w:r>
          </w:p>
        </w:tc>
        <w:tc>
          <w:tcPr>
            <w:tcW w:type="dxa" w:w="1440"/>
            <w:shd w:fill="FAFAFA" w:val="clear"/>
          </w:tcPr>
          <w:p>
            <w:r>
              <w:rPr>
                <w:b/>
                <w:sz w:val="17"/>
              </w:rPr>
              <w:t>3,929</w:t>
            </w:r>
          </w:p>
        </w:tc>
        <w:tc>
          <w:tcPr>
            <w:tcW w:type="dxa" w:w="1440"/>
            <w:shd w:fill="FAFAFA" w:val="clear"/>
          </w:tcPr>
          <w:p>
            <w:r>
              <w:rPr>
                <w:sz w:val="17"/>
              </w:rPr>
              <w:t>4,162</w:t>
            </w:r>
          </w:p>
        </w:tc>
        <w:tc>
          <w:tcPr>
            <w:tcW w:type="dxa" w:w="1440"/>
            <w:shd w:fill="FAFAFA" w:val="clear"/>
          </w:tcPr>
          <w:p>
            <w:r>
              <w:rPr>
                <w:b/>
                <w:color w:val="008000"/>
                <w:sz w:val="17"/>
              </w:rPr>
              <w:t>+0.6%</w:t>
            </w:r>
          </w:p>
        </w:tc>
      </w:tr>
      <w:tr>
        <w:tc>
          <w:tcPr>
            <w:tcW w:type="dxa" w:w="1440"/>
            <w:shd w:fill="FAFAFA" w:val="clear"/>
          </w:tcPr>
          <w:p>
            <w:r>
              <w:rPr>
                <w:sz w:val="17"/>
              </w:rPr>
              <w:t>J+3  Moyenne</w:t>
            </w:r>
          </w:p>
        </w:tc>
        <w:tc>
          <w:tcPr>
            <w:tcW w:type="dxa" w:w="1440"/>
            <w:shd w:fill="FAFAFA" w:val="clear"/>
          </w:tcPr>
          <w:p>
            <w:r>
              <w:rPr>
                <w:sz w:val="17"/>
              </w:rPr>
              <w:t>2026-10-15</w:t>
            </w:r>
          </w:p>
        </w:tc>
        <w:tc>
          <w:tcPr>
            <w:tcW w:type="dxa" w:w="1440"/>
            <w:shd w:fill="FAFAFA" w:val="clear"/>
          </w:tcPr>
          <w:p>
            <w:r>
              <w:rPr>
                <w:sz w:val="17"/>
              </w:rPr>
              <w:t>3,643</w:t>
            </w:r>
          </w:p>
        </w:tc>
        <w:tc>
          <w:tcPr>
            <w:tcW w:type="dxa" w:w="1440"/>
            <w:shd w:fill="FAFAFA" w:val="clear"/>
          </w:tcPr>
          <w:p>
            <w:r>
              <w:rPr>
                <w:b/>
                <w:sz w:val="17"/>
              </w:rPr>
              <w:t>3,929</w:t>
            </w:r>
          </w:p>
        </w:tc>
        <w:tc>
          <w:tcPr>
            <w:tcW w:type="dxa" w:w="1440"/>
            <w:shd w:fill="FAFAFA" w:val="clear"/>
          </w:tcPr>
          <w:p>
            <w:r>
              <w:rPr>
                <w:sz w:val="17"/>
              </w:rPr>
              <w:t>4,215</w:t>
            </w:r>
          </w:p>
        </w:tc>
        <w:tc>
          <w:tcPr>
            <w:tcW w:type="dxa" w:w="1440"/>
            <w:shd w:fill="FAFAFA" w:val="clear"/>
          </w:tcPr>
          <w:p>
            <w:r>
              <w:rPr>
                <w:b/>
                <w:color w:val="008000"/>
                <w:sz w:val="17"/>
              </w:rPr>
              <w:t>+0.6%</w:t>
            </w:r>
          </w:p>
        </w:tc>
      </w:tr>
      <w:tr>
        <w:tc>
          <w:tcPr>
            <w:tcW w:type="dxa" w:w="1440"/>
            <w:shd w:fill="FAFAFA" w:val="clear"/>
          </w:tcPr>
          <w:p>
            <w:r>
              <w:rPr>
                <w:sz w:val="17"/>
              </w:rPr>
              <w:t>J+4  ⭐</w:t>
            </w:r>
          </w:p>
        </w:tc>
        <w:tc>
          <w:tcPr>
            <w:tcW w:type="dxa" w:w="1440"/>
            <w:shd w:fill="FAFAFA" w:val="clear"/>
          </w:tcPr>
          <w:p>
            <w:r>
              <w:rPr>
                <w:sz w:val="17"/>
              </w:rPr>
              <w:t>2026-10-16</w:t>
            </w:r>
          </w:p>
        </w:tc>
        <w:tc>
          <w:tcPr>
            <w:tcW w:type="dxa" w:w="1440"/>
            <w:shd w:fill="FAFAFA" w:val="clear"/>
          </w:tcPr>
          <w:p>
            <w:r>
              <w:rPr>
                <w:sz w:val="17"/>
              </w:rPr>
              <w:t>3,602</w:t>
            </w:r>
          </w:p>
        </w:tc>
        <w:tc>
          <w:tcPr>
            <w:tcW w:type="dxa" w:w="1440"/>
            <w:shd w:fill="FAFAFA" w:val="clear"/>
          </w:tcPr>
          <w:p>
            <w:r>
              <w:rPr>
                <w:b/>
                <w:sz w:val="17"/>
              </w:rPr>
              <w:t>3,932</w:t>
            </w:r>
          </w:p>
        </w:tc>
        <w:tc>
          <w:tcPr>
            <w:tcW w:type="dxa" w:w="1440"/>
            <w:shd w:fill="FAFAFA" w:val="clear"/>
          </w:tcPr>
          <w:p>
            <w:r>
              <w:rPr>
                <w:sz w:val="17"/>
              </w:rPr>
              <w:t>4,263</w:t>
            </w:r>
          </w:p>
        </w:tc>
        <w:tc>
          <w:tcPr>
            <w:tcW w:type="dxa" w:w="1440"/>
            <w:shd w:fill="FAFAFA" w:val="clear"/>
          </w:tcPr>
          <w:p>
            <w:r>
              <w:rPr>
                <w:b/>
                <w:color w:val="008000"/>
                <w:sz w:val="17"/>
              </w:rPr>
              <w:t>+0.7%</w:t>
            </w:r>
          </w:p>
        </w:tc>
      </w:tr>
      <w:tr>
        <w:tc>
          <w:tcPr>
            <w:tcW w:type="dxa" w:w="1440"/>
            <w:shd w:fill="FAFAFA" w:val="clear"/>
          </w:tcPr>
          <w:p>
            <w:r>
              <w:rPr>
                <w:sz w:val="17"/>
              </w:rPr>
              <w:t>J+5  ⭐</w:t>
            </w:r>
          </w:p>
        </w:tc>
        <w:tc>
          <w:tcPr>
            <w:tcW w:type="dxa" w:w="1440"/>
            <w:shd w:fill="FAFAFA" w:val="clear"/>
          </w:tcPr>
          <w:p>
            <w:r>
              <w:rPr>
                <w:sz w:val="17"/>
              </w:rPr>
              <w:t>2026-10-19</w:t>
            </w:r>
          </w:p>
        </w:tc>
        <w:tc>
          <w:tcPr>
            <w:tcW w:type="dxa" w:w="1440"/>
            <w:shd w:fill="FAFAFA" w:val="clear"/>
          </w:tcPr>
          <w:p>
            <w:r>
              <w:rPr>
                <w:sz w:val="17"/>
              </w:rPr>
              <w:t>3,568</w:t>
            </w:r>
          </w:p>
        </w:tc>
        <w:tc>
          <w:tcPr>
            <w:tcW w:type="dxa" w:w="1440"/>
            <w:shd w:fill="FAFAFA" w:val="clear"/>
          </w:tcPr>
          <w:p>
            <w:r>
              <w:rPr>
                <w:b/>
                <w:sz w:val="17"/>
              </w:rPr>
              <w:t>3,937</w:t>
            </w:r>
          </w:p>
        </w:tc>
        <w:tc>
          <w:tcPr>
            <w:tcW w:type="dxa" w:w="1440"/>
            <w:shd w:fill="FAFAFA" w:val="clear"/>
          </w:tcPr>
          <w:p>
            <w:r>
              <w:rPr>
                <w:sz w:val="17"/>
              </w:rPr>
              <w:t>4,307</w:t>
            </w:r>
          </w:p>
        </w:tc>
        <w:tc>
          <w:tcPr>
            <w:tcW w:type="dxa" w:w="1440"/>
            <w:shd w:fill="FAFAFA" w:val="clear"/>
          </w:tcPr>
          <w:p>
            <w:r>
              <w:rPr>
                <w:b/>
                <w:color w:val="008000"/>
                <w:sz w:val="17"/>
              </w:rPr>
              <w:t>+0.8%</w:t>
            </w:r>
          </w:p>
        </w:tc>
      </w:tr>
      <w:tr>
        <w:tc>
          <w:tcPr>
            <w:tcW w:type="dxa" w:w="1440"/>
            <w:shd w:fill="FAFAFA" w:val="clear"/>
          </w:tcPr>
          <w:p>
            <w:r>
              <w:rPr>
                <w:sz w:val="17"/>
              </w:rPr>
              <w:t>J+6  ⭐</w:t>
            </w:r>
          </w:p>
        </w:tc>
        <w:tc>
          <w:tcPr>
            <w:tcW w:type="dxa" w:w="1440"/>
            <w:shd w:fill="FAFAFA" w:val="clear"/>
          </w:tcPr>
          <w:p>
            <w:r>
              <w:rPr>
                <w:sz w:val="17"/>
              </w:rPr>
              <w:t>2026-10-20</w:t>
            </w:r>
          </w:p>
        </w:tc>
        <w:tc>
          <w:tcPr>
            <w:tcW w:type="dxa" w:w="1440"/>
            <w:shd w:fill="FAFAFA" w:val="clear"/>
          </w:tcPr>
          <w:p>
            <w:r>
              <w:rPr>
                <w:sz w:val="17"/>
              </w:rPr>
              <w:t>3,535</w:t>
            </w:r>
          </w:p>
        </w:tc>
        <w:tc>
          <w:tcPr>
            <w:tcW w:type="dxa" w:w="1440"/>
            <w:shd w:fill="FAFAFA" w:val="clear"/>
          </w:tcPr>
          <w:p>
            <w:r>
              <w:rPr>
                <w:b/>
                <w:sz w:val="17"/>
              </w:rPr>
              <w:t>3,940</w:t>
            </w:r>
          </w:p>
        </w:tc>
        <w:tc>
          <w:tcPr>
            <w:tcW w:type="dxa" w:w="1440"/>
            <w:shd w:fill="FAFAFA" w:val="clear"/>
          </w:tcPr>
          <w:p>
            <w:r>
              <w:rPr>
                <w:sz w:val="17"/>
              </w:rPr>
              <w:t>4,345</w:t>
            </w:r>
          </w:p>
        </w:tc>
        <w:tc>
          <w:tcPr>
            <w:tcW w:type="dxa" w:w="1440"/>
            <w:shd w:fill="FAFAFA" w:val="clear"/>
          </w:tcPr>
          <w:p>
            <w:r>
              <w:rPr>
                <w:b/>
                <w:color w:val="008000"/>
                <w:sz w:val="17"/>
              </w:rPr>
              <w:t>+0.9%</w:t>
            </w:r>
          </w:p>
        </w:tc>
      </w:tr>
      <w:tr>
        <w:tc>
          <w:tcPr>
            <w:tcW w:type="dxa" w:w="1440"/>
            <w:shd w:fill="FAFAFA" w:val="clear"/>
          </w:tcPr>
          <w:p>
            <w:r>
              <w:rPr>
                <w:sz w:val="17"/>
              </w:rPr>
              <w:t>J+7  ⭐</w:t>
            </w:r>
          </w:p>
        </w:tc>
        <w:tc>
          <w:tcPr>
            <w:tcW w:type="dxa" w:w="1440"/>
            <w:shd w:fill="FAFAFA" w:val="clear"/>
          </w:tcPr>
          <w:p>
            <w:r>
              <w:rPr>
                <w:sz w:val="17"/>
              </w:rPr>
              <w:t>2026-10-21</w:t>
            </w:r>
          </w:p>
        </w:tc>
        <w:tc>
          <w:tcPr>
            <w:tcW w:type="dxa" w:w="1440"/>
            <w:shd w:fill="FAFAFA" w:val="clear"/>
          </w:tcPr>
          <w:p>
            <w:r>
              <w:rPr>
                <w:sz w:val="17"/>
              </w:rPr>
              <w:t>3,504</w:t>
            </w:r>
          </w:p>
        </w:tc>
        <w:tc>
          <w:tcPr>
            <w:tcW w:type="dxa" w:w="1440"/>
            <w:shd w:fill="FAFAFA" w:val="clear"/>
          </w:tcPr>
          <w:p>
            <w:r>
              <w:rPr>
                <w:b/>
                <w:sz w:val="17"/>
              </w:rPr>
              <w:t>3,942</w:t>
            </w:r>
          </w:p>
        </w:tc>
        <w:tc>
          <w:tcPr>
            <w:tcW w:type="dxa" w:w="1440"/>
            <w:shd w:fill="FAFAFA" w:val="clear"/>
          </w:tcPr>
          <w:p>
            <w:r>
              <w:rPr>
                <w:sz w:val="17"/>
              </w:rPr>
              <w:t>4,380</w:t>
            </w:r>
          </w:p>
        </w:tc>
        <w:tc>
          <w:tcPr>
            <w:tcW w:type="dxa" w:w="1440"/>
            <w:shd w:fill="FAFAFA" w:val="clear"/>
          </w:tcPr>
          <w:p>
            <w:r>
              <w:rPr>
                <w:b/>
                <w:color w:val="008000"/>
                <w:sz w:val="17"/>
              </w:rPr>
              <w:t>+1.0%</w:t>
            </w:r>
          </w:p>
        </w:tc>
      </w:tr>
      <w:tr>
        <w:tc>
          <w:tcPr>
            <w:tcW w:type="dxa" w:w="1440"/>
            <w:shd w:fill="FAFAFA" w:val="clear"/>
          </w:tcPr>
          <w:p>
            <w:r>
              <w:rPr>
                <w:sz w:val="17"/>
              </w:rPr>
              <w:t>J+8  ⭐</w:t>
            </w:r>
          </w:p>
        </w:tc>
        <w:tc>
          <w:tcPr>
            <w:tcW w:type="dxa" w:w="1440"/>
            <w:shd w:fill="FAFAFA" w:val="clear"/>
          </w:tcPr>
          <w:p>
            <w:r>
              <w:rPr>
                <w:sz w:val="17"/>
              </w:rPr>
              <w:t>2026-10-22</w:t>
            </w:r>
          </w:p>
        </w:tc>
        <w:tc>
          <w:tcPr>
            <w:tcW w:type="dxa" w:w="1440"/>
            <w:shd w:fill="FAFAFA" w:val="clear"/>
          </w:tcPr>
          <w:p>
            <w:r>
              <w:rPr>
                <w:sz w:val="17"/>
              </w:rPr>
              <w:t>3,476</w:t>
            </w:r>
          </w:p>
        </w:tc>
        <w:tc>
          <w:tcPr>
            <w:tcW w:type="dxa" w:w="1440"/>
            <w:shd w:fill="FAFAFA" w:val="clear"/>
          </w:tcPr>
          <w:p>
            <w:r>
              <w:rPr>
                <w:b/>
                <w:sz w:val="17"/>
              </w:rPr>
              <w:t>3,945</w:t>
            </w:r>
          </w:p>
        </w:tc>
        <w:tc>
          <w:tcPr>
            <w:tcW w:type="dxa" w:w="1440"/>
            <w:shd w:fill="FAFAFA" w:val="clear"/>
          </w:tcPr>
          <w:p>
            <w:r>
              <w:rPr>
                <w:sz w:val="17"/>
              </w:rPr>
              <w:t>4,413</w:t>
            </w:r>
          </w:p>
        </w:tc>
        <w:tc>
          <w:tcPr>
            <w:tcW w:type="dxa" w:w="1440"/>
            <w:shd w:fill="FAFAFA" w:val="clear"/>
          </w:tcPr>
          <w:p>
            <w:r>
              <w:rPr>
                <w:b/>
                <w:color w:val="008000"/>
                <w:sz w:val="17"/>
              </w:rPr>
              <w:t>+1.0%</w:t>
            </w:r>
          </w:p>
        </w:tc>
      </w:tr>
      <w:tr>
        <w:tc>
          <w:tcPr>
            <w:tcW w:type="dxa" w:w="1440"/>
            <w:shd w:fill="FAFAFA" w:val="clear"/>
          </w:tcPr>
          <w:p>
            <w:r>
              <w:rPr>
                <w:sz w:val="17"/>
              </w:rPr>
              <w:t>J+9  ⭐</w:t>
            </w:r>
          </w:p>
        </w:tc>
        <w:tc>
          <w:tcPr>
            <w:tcW w:type="dxa" w:w="1440"/>
            <w:shd w:fill="FAFAFA" w:val="clear"/>
          </w:tcPr>
          <w:p>
            <w:r>
              <w:rPr>
                <w:sz w:val="17"/>
              </w:rPr>
              <w:t>2026-10-23</w:t>
            </w:r>
          </w:p>
        </w:tc>
        <w:tc>
          <w:tcPr>
            <w:tcW w:type="dxa" w:w="1440"/>
            <w:shd w:fill="FAFAFA" w:val="clear"/>
          </w:tcPr>
          <w:p>
            <w:r>
              <w:rPr>
                <w:sz w:val="17"/>
              </w:rPr>
              <w:t>3,452</w:t>
            </w:r>
          </w:p>
        </w:tc>
        <w:tc>
          <w:tcPr>
            <w:tcW w:type="dxa" w:w="1440"/>
            <w:shd w:fill="FAFAFA" w:val="clear"/>
          </w:tcPr>
          <w:p>
            <w:r>
              <w:rPr>
                <w:b/>
                <w:sz w:val="17"/>
              </w:rPr>
              <w:t>3,949</w:t>
            </w:r>
          </w:p>
        </w:tc>
        <w:tc>
          <w:tcPr>
            <w:tcW w:type="dxa" w:w="1440"/>
            <w:shd w:fill="FAFAFA" w:val="clear"/>
          </w:tcPr>
          <w:p>
            <w:r>
              <w:rPr>
                <w:sz w:val="17"/>
              </w:rPr>
              <w:t>4,447</w:t>
            </w:r>
          </w:p>
        </w:tc>
        <w:tc>
          <w:tcPr>
            <w:tcW w:type="dxa" w:w="1440"/>
            <w:shd w:fill="FAFAFA" w:val="clear"/>
          </w:tcPr>
          <w:p>
            <w:r>
              <w:rPr>
                <w:b/>
                <w:color w:val="008000"/>
                <w:sz w:val="17"/>
              </w:rPr>
              <w:t>+1.1%</w:t>
            </w:r>
          </w:p>
        </w:tc>
      </w:tr>
      <w:tr>
        <w:tc>
          <w:tcPr>
            <w:tcW w:type="dxa" w:w="1440"/>
            <w:shd w:fill="FAFAFA" w:val="clear"/>
          </w:tcPr>
          <w:p>
            <w:r>
              <w:rPr>
                <w:sz w:val="17"/>
              </w:rPr>
              <w:t>J+10  ⭐</w:t>
            </w:r>
          </w:p>
        </w:tc>
        <w:tc>
          <w:tcPr>
            <w:tcW w:type="dxa" w:w="1440"/>
            <w:shd w:fill="FAFAFA" w:val="clear"/>
          </w:tcPr>
          <w:p>
            <w:r>
              <w:rPr>
                <w:sz w:val="17"/>
              </w:rPr>
              <w:t>2026-10-26</w:t>
            </w:r>
          </w:p>
        </w:tc>
        <w:tc>
          <w:tcPr>
            <w:tcW w:type="dxa" w:w="1440"/>
            <w:shd w:fill="FAFAFA" w:val="clear"/>
          </w:tcPr>
          <w:p>
            <w:r>
              <w:rPr>
                <w:sz w:val="17"/>
              </w:rPr>
              <w:t>3,428</w:t>
            </w:r>
          </w:p>
        </w:tc>
        <w:tc>
          <w:tcPr>
            <w:tcW w:type="dxa" w:w="1440"/>
            <w:shd w:fill="FAFAFA" w:val="clear"/>
          </w:tcPr>
          <w:p>
            <w:r>
              <w:rPr>
                <w:b/>
                <w:sz w:val="17"/>
              </w:rPr>
              <w:t>3,953</w:t>
            </w:r>
          </w:p>
        </w:tc>
        <w:tc>
          <w:tcPr>
            <w:tcW w:type="dxa" w:w="1440"/>
            <w:shd w:fill="FAFAFA" w:val="clear"/>
          </w:tcPr>
          <w:p>
            <w:r>
              <w:rPr>
                <w:sz w:val="17"/>
              </w:rPr>
              <w:t>4,477</w:t>
            </w:r>
          </w:p>
        </w:tc>
        <w:tc>
          <w:tcPr>
            <w:tcW w:type="dxa" w:w="1440"/>
            <w:shd w:fill="FAFAFA" w:val="clear"/>
          </w:tcPr>
          <w:p>
            <w:r>
              <w:rPr>
                <w:b/>
                <w:color w:val="008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 RAPPORT D'ANALYSE FINANCIÈRE — LNBB (Loterie Nationale du Bénin SA)</w:t>
        <w:br/>
        <w:t>**Bourse Régionale des Valeurs Mobilières (BRVM) — Secteur : Entreprise non bancaire (Jeux &amp; Loterie)**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La Loterie Nationale du Bénin affiche une capitalisation boursière de 78,10 milliards FCFA, un niveau significatif à l'échelle de la BRVM qui la positionne parmi les valeurs moyennes-capitalisations de la cote, avec une liquidité quotidienne moyenne de 4 666 titres. Le BPA de 231 FCFA/action signifie que chaque titre génère près de 231 FCFA de bénéfice net, ce qui, rapporté au cours actuel de 3 905 FCFA, donne un PER de 16,9x — soit un multiple nettement supérieur à la moyenne du marché BRVM (8-12x), traduisant une prime de valorisation que les investisseurs accordent à la solidité du dividende et à la position monopolistique historique de l'opérateur. Le P/B de 3,56x confirme cette prime de croissance : le marché valorise l'entreprise à plus de trois fois ses fonds propres comptables (21,95 Mds FCFA), ce qui se justifie par un ROE élevé de 21,05% et une politique de distribution généreuse. Enfin, l'EV/EBITDA de 9,9x se situe dans la fourchette raisonnable (5-10x), indiquant que la valeur d'entreprise reste cohérente avec la capacité opérationnelle de génération de cash-flows, sans exubérance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LNBB a enregistré une variation totale de -2,13%, avec une dernière séance en repli de -0,76%, portant le cours actuel à 3 905 FCFA pour une capitalisation de 78,10 Mds FCFA. Le range de trading s'est établi entre un plus haut de 4 560 FCFA et un plus bas de 3 700 FCFA, soit une amplitude d'environ 23%, ce qui témoigne d'une tendance globalement baissière mais avec des rebonds ponctuels. Les statistiques descriptives révèlent une moyenne de 4 076 FCFA légèrement supérieure à la médiane de 4 050 FCFA, avec un mode à 4 000 FCFA : cet écart modéré entre moyenne et médiane, combiné à un skewness de 0,457 (distribution qualifiée de symétrique dans les données), suggère une légère asymétrie positive sans distorsion majeure. L'écart-type de 192 FCFA pour un CV de seulement 4,7% indique une dispersion relativement contenue du cours autour de sa moyenne, tandis que le kurtosis de -0,764 (mésokurtique, proche d'une distribution normale) signale une absence de pics extrêmes — le risque de mouvements brutaux isolés est donc limité. La volatilité annualisée de 41,2% classe toutefois ce titre dans la catégorie des valeurs à volatilité élevée (&gt;30%), ce qui est cohérent avec la faible liquidité du marché BRVM et la sensibilité du secteur des jeux aux aléas réglementaires et concurrentiels.</w:t>
      </w:r>
    </w:p>
    <w:p>
      <w:pPr>
        <w:spacing w:after="120" w:line="276" w:lineRule="auto"/>
      </w:pPr>
      <w:r>
        <w:t>---</w:t>
      </w:r>
    </w:p>
    <w:p>
      <w:pPr>
        <w:spacing w:after="120" w:line="276" w:lineRule="auto"/>
      </w:pPr>
      <w:r>
        <w:t>## PARTIE 2 : ANALYSE TECHNIQUE DÉTAILLÉE</w:t>
      </w:r>
    </w:p>
    <w:p>
      <w:pPr>
        <w:spacing w:after="120" w:line="276" w:lineRule="auto"/>
      </w:pPr>
      <w:r>
        <w:t>**Moyennes Mobiles** : La MM20 se situe à 3 943,25 FCFA et la MM50 à 4 056,90 FCFA, toutes deux supérieures au cours actuel de 3 905 FCFA. Cette configuration baissière (cours sous ses deux moyennes, avec MM20 &lt; MM50) confirme la pression vendeuse et justifie la décision technique de **Vente** émise par le système.</w:t>
      </w:r>
    </w:p>
    <w:p>
      <w:pPr>
        <w:spacing w:after="120" w:line="276" w:lineRule="auto"/>
      </w:pPr>
      <w:r>
        <w:t>**Bandes de Bollinger** : La borne supérieure est à 4 123,99 FCFA et la borne inférieure à 3 762,51 FCFA, encadrant le cours actuel de 3 905 FCFA qui évolue dans la moitié basse du canal. La décision **Neutre** reflète l'absence de signal extrême : le titre n'est ni en survente technique (proche de la borne basse), ni en surachat, et la volatilité implicite des bandes reste modérée.</w:t>
      </w:r>
    </w:p>
    <w:p>
      <w:pPr>
        <w:spacing w:after="120" w:line="276" w:lineRule="auto"/>
      </w:pPr>
      <w:r>
        <w:t>**MACD** : Le MACD affiche une valeur de -39,015 contre un signal à -46,655, soit un croisement haussier (MACD au-dessus de son signal) bien que les deux restent en territoire négatif. Ce momentum positif naissant justifie la décision d'**Achat** technique, suggérant un essoufflement de la tendance baissière.</w:t>
      </w:r>
    </w:p>
    <w:p>
      <w:pPr>
        <w:spacing w:after="120" w:line="276" w:lineRule="auto"/>
      </w:pPr>
      <w:r>
        <w:t>**RSI** : À 44,809, le RSI se situe en zone neutre (entre 30 et 70), sans signal de surachat ni de survente. La décision **Neutre** confirme l'absence de pression directionnelle forte à court terme.</w:t>
      </w:r>
    </w:p>
    <w:p>
      <w:pPr>
        <w:spacing w:after="120" w:line="276" w:lineRule="auto"/>
      </w:pPr>
      <w:r>
        <w:t>**Stochastique** : Le %K (68,333) est légèrement inférieur au %D (70,819), avec les deux indicateurs en zone haute mais non extrême. La décision **Neutre** traduit un essoufflement possible du rebond récent, sans croisement baissier confirmé.</w:t>
      </w:r>
    </w:p>
    <w:p>
      <w:pPr>
        <w:spacing w:after="120" w:line="276" w:lineRule="auto"/>
      </w:pPr>
      <w:r>
        <w:t>**Conclusion technique** : Les indicateurs présentent un tableau mitigé — les moyennes mobiles restent baissières (Vente), le MACD amorce un retournement haussier (Achat), tandis que Bollinger, RSI et Stochastique demeurent neutres. Cette divergence suggère une phase de consolidation en bas de range, avec un potentiel de rebond technique fragile tant que le cours reste sous la MM50 (4 056,90 FCFA), niveau clé à surveiller pour une confirmation de retournement.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LNB a réalisé un chiffre d'affaires de 98,598 Mds FCFA, en recul de -3,85% sur un an, pour un résultat net de 4,622 Mds FCFA (marge nette de 4,69%). La rentabilité des fonds propres (ROE) s'établit à un niveau excellent de 21,05%, et le ROA à 14,17%, confirmant l'efficacité de l'utilisation des actifs (rotation de 302,37%). La structure financière est très saine : autonomie financière de 67,32%, ratio d'endettement quasi nul (2,57%), liquidité générale de 184,84% et trésorerie nette positive de 7,979 Mds FCFA. En tant qu'entreprise non bancaire, les délais d'exploitation sont remarquables : délai clients de seulement 4,82 jours (très faible risque de trésorerie), délai fournisseurs de 20,41 jours (favorable) et durée de stockage de 1,56 jour. Le BFR ressort à 217,45 M FCFA, un niveau maîtrisé.</w:t>
      </w:r>
    </w:p>
    <w:p>
      <w:pPr>
        <w:spacing w:after="120" w:line="276" w:lineRule="auto"/>
      </w:pPr>
      <w:r>
        <w:t>**Estimations issues des rapports trimestriels** : Le rapport du T1 2026 (publié le 07/05/2026) indique un CA en hausse de +6% à 25,521 Mds FCFA mais un résultat net en chute de -46% à 848 M FCFA, pénalisé par le mix-produit défavorable (pari sportif à 95% de taux de retour). Toutefois, le rapport du S1 2026 (publié le 01/08/2026) marque une nette inversion de tendance : CA de 49,937 Mds FCFA (+4%), résultat net en progression de +60% et résultat d'exploitation en hausse de +40%, grâce à la maîtrise des charges et aux revenus de partenariats B2B. On estime donc que l'exercice 2026 devrait afficher une reprise de la rentabilité, avec un résultat net potentiellement supérieur à celui de 2025, malgré un Produit Brut des Jeux en repli de -9% au S1. Le dividende brut de 173 FCFA/action (net 164 FCFA, payable le 02/08/2026) offre un rendement attractif d'environ 4,2% au cours actuel, avec un taux de distribution d'environ 80% du résultat net — une politique actionnariale généreuse et pérenne.</w:t>
      </w:r>
    </w:p>
    <w:p>
      <w:pPr>
        <w:spacing w:after="120" w:line="276" w:lineRule="auto"/>
      </w:pPr>
      <w:r>
        <w:t>**Recommandation fondamentale** : La solidité bilancielle (capitaux propres de 21,95 Mds FCFA, trésorerie nette de 7,98 Mds FCFA), la rentabilité élevée (ROE &gt;21%) et la dynamique de redressement du S1 2026 constituent des atouts majeurs. Les risques principaux restent la concurrence déloyale des opérateurs illégaux, la pression sur les marges du pari sportif et la dépendance réglementaire. Le profil fondamental est **solide avec des perspectives de redressement**, justifiant une position de conservation.</w:t>
      </w:r>
    </w:p>
    <w:p>
      <w:pPr>
        <w:spacing w:after="120" w:line="276" w:lineRule="auto"/>
      </w:pPr>
      <w:r>
        <w:t>---</w:t>
      </w:r>
    </w:p>
    <w:p>
      <w:pPr>
        <w:spacing w:after="120" w:line="276" w:lineRule="auto"/>
      </w:pPr>
      <w:r>
        <w:t>## PARTIE 4 : CONCLUSION D'INVESTISSEMENT</w:t>
      </w:r>
    </w:p>
    <w:p>
      <w:pPr>
        <w:spacing w:after="120" w:line="276" w:lineRule="auto"/>
      </w:pPr>
      <w:r>
        <w:t>La synthèse globale des quatre dimensions analysées dresse un tableau contrasté mais globalement équilibré. **Sur le plan de la valorisation (Partie 0)**, les ratios PER de 16,9x et P/B de 3,56x indiquent une légère surévaluation par rapport aux standards du marché BRVM, mais cette prime se justifie par un ROE de 21% et un rendement du dividende attractif de 4,2%, tandis que l'EV/EBITDA de 9,9x reste raisonnable. **Le comportement du cours (Partie 1)** révèle une tendance baissière modérée (-2,13%) avec une volatilité élevée (41,2%) mais une distribution statistique saine (kurtosis proche de la normale, skewness symétrique), sans risque de pics extrêmes. **Les signaux techniques (Partie 2)** sont divergents : baissiers sur les moyennes mobiles, haussiers sur le MACD, neutres sur le RSI, le stochastique et les Bollinger — configuration typique d'une phase de consolidation. **Les fondamentaux (Partie 3)** demeurent solides avec un ROE de 21,05%, une structure financière quasi sans dette et une reprise confirmée de la rentabilité au S1 2026 (+60% de résultat net). **Les prédictions IA (J+1 à J+10)** anticipent une trajectoire légèrement haussière vers 3 937 FCFA d'ici le 19 octobre 2026, ce qui confirme le potentiel de rebond technique sans toutefois contredire la tendance de fond.</w:t>
      </w:r>
    </w:p>
    <w:p>
      <w:pPr>
        <w:spacing w:after="120" w:line="276" w:lineRule="auto"/>
      </w:pPr>
      <w:r>
        <w:t>**Recommandation finale : CONSERVER** — Le titre présente un profil équilibré : valorisation légèrement tendue mais justifiée par la qualité des fondamentaux, technique en phase de consolidation avec un biais haussier naissant (MACD), et perspectives de redressement crédibles portées par le plan de déploiement de 1 500 nouveaux terminaux et l'innovation produit au S2 2026. **Niveau de confiance : Moyen** (les signaux techniques divergents et la faible liquidité du titre limitent la visibilité court terme). **Niveau de risque global : Moyen** (volatilité élevée de 41,2%, sensibilité réglementaire et concurrentielle). **Horizon d'investissement optimal : Moyen terme (3-12 mois)**, le temps que les effets du plan de transformation 2026 se matérialisent pleinement dans les résultats annuels et que la tendance technique se confirme au-dessus de la MM50 (4 056,90 FCFA).</w:t>
      </w:r>
    </w:p>
    <w:p>
      <w:pPr>
        <w:spacing w:after="120" w:line="276" w:lineRule="auto"/>
      </w:pPr>
      <w:r>
        <w:t>---</w:t>
      </w:r>
    </w:p>
    <w:p>
      <w:pPr>
        <w:spacing w:after="120" w:line="276" w:lineRule="auto"/>
      </w:pPr>
      <w:r>
        <w:t>*Disclaimer : Cette analyse est fournie à titre informatif et ne constitue pas un conseil en investissement personnalisé. Les investisseurs sont invités à consulter un conseiller financier agréé avant toute décision d'investissement.*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20.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27.32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2,391 titres</w:t>
            </w:r>
          </w:p>
        </w:tc>
        <w:tc>
          <w:tcPr>
            <w:tcW w:type="dxa" w:w="2268"/>
            <w:shd w:fill="FFF2CC" w:val="clear"/>
          </w:tcPr>
          <w:p>
            <w:r>
              <w:rPr>
                <w:b/>
                <w:color w:val="503200"/>
                <w:sz w:val="16"/>
              </w:rPr>
              <w:t xml:space="preserve">Cours actuel : </w:t>
            </w:r>
            <w:r>
              <w:rPr>
                <w:color w:val="000000"/>
                <w:sz w:val="17"/>
              </w:rPr>
              <w:t>2,140 FCFA</w:t>
            </w:r>
          </w:p>
          <w:p>
            <w:r>
              <w:rPr>
                <w:b/>
                <w:color w:val="503200"/>
                <w:sz w:val="16"/>
              </w:rPr>
              <w:t xml:space="preserve">Var. 100 jours : </w:t>
            </w:r>
            <w:r>
              <w:rPr>
                <w:b/>
                <w:color w:val="007800"/>
                <w:sz w:val="17"/>
              </w:rPr>
              <w:t>+10.31%</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1,900 FCFA</w:t>
            </w:r>
          </w:p>
          <w:p>
            <w:r>
              <w:rPr>
                <w:b/>
                <w:color w:val="503200"/>
                <w:sz w:val="16"/>
              </w:rPr>
              <w:t xml:space="preserve">Volatilité ann. : </w:t>
            </w:r>
            <w:r>
              <w:rPr>
                <w:color w:val="000000"/>
                <w:sz w:val="17"/>
              </w:rPr>
              <w:t>52.6%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12.13% (Moyenne) — μ=2,317 FCFA, σ=281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β=0.0698 (Défensif) — Cov=0.000005, Var(idx)=0.000073, ρ=0.018,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2,391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σ_j=3.31%/j (Modérée) — Vol. annualisée≈52.6%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2026-10-13</w:t>
            </w:r>
          </w:p>
        </w:tc>
        <w:tc>
          <w:tcPr>
            <w:tcW w:type="dxa" w:w="1440"/>
            <w:shd w:fill="FAFAFA" w:val="clear"/>
          </w:tcPr>
          <w:p>
            <w:r>
              <w:rPr>
                <w:sz w:val="17"/>
              </w:rPr>
              <w:t>2,023</w:t>
            </w:r>
          </w:p>
        </w:tc>
        <w:tc>
          <w:tcPr>
            <w:tcW w:type="dxa" w:w="1440"/>
            <w:shd w:fill="FAFAFA" w:val="clear"/>
          </w:tcPr>
          <w:p>
            <w:r>
              <w:rPr>
                <w:b/>
                <w:sz w:val="17"/>
              </w:rPr>
              <w:t>2,128</w:t>
            </w:r>
          </w:p>
        </w:tc>
        <w:tc>
          <w:tcPr>
            <w:tcW w:type="dxa" w:w="1440"/>
            <w:shd w:fill="FAFAFA" w:val="clear"/>
          </w:tcPr>
          <w:p>
            <w:r>
              <w:rPr>
                <w:sz w:val="17"/>
              </w:rPr>
              <w:t>2,233</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2026-10-14</w:t>
            </w:r>
          </w:p>
        </w:tc>
        <w:tc>
          <w:tcPr>
            <w:tcW w:type="dxa" w:w="1440"/>
            <w:shd w:fill="FAFAFA" w:val="clear"/>
          </w:tcPr>
          <w:p>
            <w:r>
              <w:rPr>
                <w:sz w:val="17"/>
              </w:rPr>
              <w:t>1,970</w:t>
            </w:r>
          </w:p>
        </w:tc>
        <w:tc>
          <w:tcPr>
            <w:tcW w:type="dxa" w:w="1440"/>
            <w:shd w:fill="FAFAFA" w:val="clear"/>
          </w:tcPr>
          <w:p>
            <w:r>
              <w:rPr>
                <w:b/>
                <w:sz w:val="17"/>
              </w:rPr>
              <w:t>2,118</w:t>
            </w:r>
          </w:p>
        </w:tc>
        <w:tc>
          <w:tcPr>
            <w:tcW w:type="dxa" w:w="1440"/>
            <w:shd w:fill="FAFAFA" w:val="clear"/>
          </w:tcPr>
          <w:p>
            <w:r>
              <w:rPr>
                <w:sz w:val="17"/>
              </w:rPr>
              <w:t>2,265</w:t>
            </w:r>
          </w:p>
        </w:tc>
        <w:tc>
          <w:tcPr>
            <w:tcW w:type="dxa" w:w="1440"/>
            <w:shd w:fill="FAFAFA" w:val="clear"/>
          </w:tcPr>
          <w:p>
            <w:r>
              <w:rPr>
                <w:b/>
                <w:color w:val="C00000"/>
                <w:sz w:val="17"/>
              </w:rPr>
              <w:t>-1.0%</w:t>
            </w:r>
          </w:p>
        </w:tc>
      </w:tr>
      <w:tr>
        <w:tc>
          <w:tcPr>
            <w:tcW w:type="dxa" w:w="1440"/>
            <w:shd w:fill="FAFAFA" w:val="clear"/>
          </w:tcPr>
          <w:p>
            <w:r>
              <w:rPr>
                <w:sz w:val="17"/>
              </w:rPr>
              <w:t>J+3  Moyenne</w:t>
            </w:r>
          </w:p>
        </w:tc>
        <w:tc>
          <w:tcPr>
            <w:tcW w:type="dxa" w:w="1440"/>
            <w:shd w:fill="FAFAFA" w:val="clear"/>
          </w:tcPr>
          <w:p>
            <w:r>
              <w:rPr>
                <w:sz w:val="17"/>
              </w:rPr>
              <w:t>2026-10-15</w:t>
            </w:r>
          </w:p>
        </w:tc>
        <w:tc>
          <w:tcPr>
            <w:tcW w:type="dxa" w:w="1440"/>
            <w:shd w:fill="FAFAFA" w:val="clear"/>
          </w:tcPr>
          <w:p>
            <w:r>
              <w:rPr>
                <w:sz w:val="17"/>
              </w:rPr>
              <w:t>1,928</w:t>
            </w:r>
          </w:p>
        </w:tc>
        <w:tc>
          <w:tcPr>
            <w:tcW w:type="dxa" w:w="1440"/>
            <w:shd w:fill="FAFAFA" w:val="clear"/>
          </w:tcPr>
          <w:p>
            <w:r>
              <w:rPr>
                <w:b/>
                <w:sz w:val="17"/>
              </w:rPr>
              <w:t>2,108</w:t>
            </w:r>
          </w:p>
        </w:tc>
        <w:tc>
          <w:tcPr>
            <w:tcW w:type="dxa" w:w="1440"/>
            <w:shd w:fill="FAFAFA" w:val="clear"/>
          </w:tcPr>
          <w:p>
            <w:r>
              <w:rPr>
                <w:sz w:val="17"/>
              </w:rPr>
              <w:t>2,288</w:t>
            </w:r>
          </w:p>
        </w:tc>
        <w:tc>
          <w:tcPr>
            <w:tcW w:type="dxa" w:w="1440"/>
            <w:shd w:fill="FAFAFA" w:val="clear"/>
          </w:tcPr>
          <w:p>
            <w:r>
              <w:rPr>
                <w:b/>
                <w:color w:val="C00000"/>
                <w:sz w:val="17"/>
              </w:rPr>
              <w:t>-1.5%</w:t>
            </w:r>
          </w:p>
        </w:tc>
      </w:tr>
      <w:tr>
        <w:tc>
          <w:tcPr>
            <w:tcW w:type="dxa" w:w="1440"/>
            <w:shd w:fill="FAFAFA" w:val="clear"/>
          </w:tcPr>
          <w:p>
            <w:r>
              <w:rPr>
                <w:sz w:val="17"/>
              </w:rPr>
              <w:t>J+4  ⭐</w:t>
            </w:r>
          </w:p>
        </w:tc>
        <w:tc>
          <w:tcPr>
            <w:tcW w:type="dxa" w:w="1440"/>
            <w:shd w:fill="FAFAFA" w:val="clear"/>
          </w:tcPr>
          <w:p>
            <w:r>
              <w:rPr>
                <w:sz w:val="17"/>
              </w:rPr>
              <w:t>2026-10-16</w:t>
            </w:r>
          </w:p>
        </w:tc>
        <w:tc>
          <w:tcPr>
            <w:tcW w:type="dxa" w:w="1440"/>
            <w:shd w:fill="FAFAFA" w:val="clear"/>
          </w:tcPr>
          <w:p>
            <w:r>
              <w:rPr>
                <w:sz w:val="17"/>
              </w:rPr>
              <w:t>1,891</w:t>
            </w:r>
          </w:p>
        </w:tc>
        <w:tc>
          <w:tcPr>
            <w:tcW w:type="dxa" w:w="1440"/>
            <w:shd w:fill="FAFAFA" w:val="clear"/>
          </w:tcPr>
          <w:p>
            <w:r>
              <w:rPr>
                <w:b/>
                <w:sz w:val="17"/>
              </w:rPr>
              <w:t>2,098</w:t>
            </w:r>
          </w:p>
        </w:tc>
        <w:tc>
          <w:tcPr>
            <w:tcW w:type="dxa" w:w="1440"/>
            <w:shd w:fill="FAFAFA" w:val="clear"/>
          </w:tcPr>
          <w:p>
            <w:r>
              <w:rPr>
                <w:sz w:val="17"/>
              </w:rPr>
              <w:t>2,305</w:t>
            </w:r>
          </w:p>
        </w:tc>
        <w:tc>
          <w:tcPr>
            <w:tcW w:type="dxa" w:w="1440"/>
            <w:shd w:fill="FAFAFA" w:val="clear"/>
          </w:tcPr>
          <w:p>
            <w:r>
              <w:rPr>
                <w:b/>
                <w:color w:val="C00000"/>
                <w:sz w:val="17"/>
              </w:rPr>
              <w:t>-1.9%</w:t>
            </w:r>
          </w:p>
        </w:tc>
      </w:tr>
      <w:tr>
        <w:tc>
          <w:tcPr>
            <w:tcW w:type="dxa" w:w="1440"/>
            <w:shd w:fill="FFDCE0" w:val="clear"/>
          </w:tcPr>
          <w:p>
            <w:r>
              <w:rPr>
                <w:sz w:val="17"/>
              </w:rPr>
              <w:t>J+5  ⭐</w:t>
            </w:r>
          </w:p>
        </w:tc>
        <w:tc>
          <w:tcPr>
            <w:tcW w:type="dxa" w:w="1440"/>
            <w:shd w:fill="FFDCE0" w:val="clear"/>
          </w:tcPr>
          <w:p>
            <w:r>
              <w:rPr>
                <w:sz w:val="17"/>
              </w:rPr>
              <w:t>2026-10-19</w:t>
            </w:r>
          </w:p>
        </w:tc>
        <w:tc>
          <w:tcPr>
            <w:tcW w:type="dxa" w:w="1440"/>
            <w:shd w:fill="FFDCE0" w:val="clear"/>
          </w:tcPr>
          <w:p>
            <w:r>
              <w:rPr>
                <w:sz w:val="17"/>
              </w:rPr>
              <w:t>1,858</w:t>
            </w:r>
          </w:p>
        </w:tc>
        <w:tc>
          <w:tcPr>
            <w:tcW w:type="dxa" w:w="1440"/>
            <w:shd w:fill="FFDCE0" w:val="clear"/>
          </w:tcPr>
          <w:p>
            <w:r>
              <w:rPr>
                <w:b/>
                <w:sz w:val="17"/>
              </w:rPr>
              <w:t>2,089</w:t>
            </w:r>
          </w:p>
        </w:tc>
        <w:tc>
          <w:tcPr>
            <w:tcW w:type="dxa" w:w="1440"/>
            <w:shd w:fill="FFDCE0" w:val="clear"/>
          </w:tcPr>
          <w:p>
            <w:r>
              <w:rPr>
                <w:sz w:val="17"/>
              </w:rPr>
              <w:t>2,319</w:t>
            </w:r>
          </w:p>
        </w:tc>
        <w:tc>
          <w:tcPr>
            <w:tcW w:type="dxa" w:w="1440"/>
            <w:shd w:fill="FFDCE0" w:val="clear"/>
          </w:tcPr>
          <w:p>
            <w:r>
              <w:rPr>
                <w:b/>
                <w:color w:val="C00000"/>
                <w:sz w:val="17"/>
              </w:rPr>
              <w:t>-2.4%</w:t>
            </w:r>
          </w:p>
        </w:tc>
      </w:tr>
      <w:tr>
        <w:tc>
          <w:tcPr>
            <w:tcW w:type="dxa" w:w="1440"/>
            <w:shd w:fill="FFDCE0" w:val="clear"/>
          </w:tcPr>
          <w:p>
            <w:r>
              <w:rPr>
                <w:sz w:val="17"/>
              </w:rPr>
              <w:t>J+6  ⭐</w:t>
            </w:r>
          </w:p>
        </w:tc>
        <w:tc>
          <w:tcPr>
            <w:tcW w:type="dxa" w:w="1440"/>
            <w:shd w:fill="FFDCE0" w:val="clear"/>
          </w:tcPr>
          <w:p>
            <w:r>
              <w:rPr>
                <w:sz w:val="17"/>
              </w:rPr>
              <w:t>2026-10-20</w:t>
            </w:r>
          </w:p>
        </w:tc>
        <w:tc>
          <w:tcPr>
            <w:tcW w:type="dxa" w:w="1440"/>
            <w:shd w:fill="FFDCE0" w:val="clear"/>
          </w:tcPr>
          <w:p>
            <w:r>
              <w:rPr>
                <w:sz w:val="17"/>
              </w:rPr>
              <w:t>1,828</w:t>
            </w:r>
          </w:p>
        </w:tc>
        <w:tc>
          <w:tcPr>
            <w:tcW w:type="dxa" w:w="1440"/>
            <w:shd w:fill="FFDCE0" w:val="clear"/>
          </w:tcPr>
          <w:p>
            <w:r>
              <w:rPr>
                <w:b/>
                <w:sz w:val="17"/>
              </w:rPr>
              <w:t>2,079</w:t>
            </w:r>
          </w:p>
        </w:tc>
        <w:tc>
          <w:tcPr>
            <w:tcW w:type="dxa" w:w="1440"/>
            <w:shd w:fill="FFDCE0" w:val="clear"/>
          </w:tcPr>
          <w:p>
            <w:r>
              <w:rPr>
                <w:sz w:val="17"/>
              </w:rPr>
              <w:t>2,331</w:t>
            </w:r>
          </w:p>
        </w:tc>
        <w:tc>
          <w:tcPr>
            <w:tcW w:type="dxa" w:w="1440"/>
            <w:shd w:fill="FFDCE0" w:val="clear"/>
          </w:tcPr>
          <w:p>
            <w:r>
              <w:rPr>
                <w:b/>
                <w:color w:val="C00000"/>
                <w:sz w:val="17"/>
              </w:rPr>
              <w:t>-2.8%</w:t>
            </w:r>
          </w:p>
        </w:tc>
      </w:tr>
      <w:tr>
        <w:tc>
          <w:tcPr>
            <w:tcW w:type="dxa" w:w="1440"/>
            <w:shd w:fill="FFDCE0" w:val="clear"/>
          </w:tcPr>
          <w:p>
            <w:r>
              <w:rPr>
                <w:sz w:val="17"/>
              </w:rPr>
              <w:t>J+7  ⭐</w:t>
            </w:r>
          </w:p>
        </w:tc>
        <w:tc>
          <w:tcPr>
            <w:tcW w:type="dxa" w:w="1440"/>
            <w:shd w:fill="FFDCE0" w:val="clear"/>
          </w:tcPr>
          <w:p>
            <w:r>
              <w:rPr>
                <w:sz w:val="17"/>
              </w:rPr>
              <w:t>2026-10-21</w:t>
            </w:r>
          </w:p>
        </w:tc>
        <w:tc>
          <w:tcPr>
            <w:tcW w:type="dxa" w:w="1440"/>
            <w:shd w:fill="FFDCE0" w:val="clear"/>
          </w:tcPr>
          <w:p>
            <w:r>
              <w:rPr>
                <w:sz w:val="17"/>
              </w:rPr>
              <w:t>1,800</w:t>
            </w:r>
          </w:p>
        </w:tc>
        <w:tc>
          <w:tcPr>
            <w:tcW w:type="dxa" w:w="1440"/>
            <w:shd w:fill="FFDCE0" w:val="clear"/>
          </w:tcPr>
          <w:p>
            <w:r>
              <w:rPr>
                <w:b/>
                <w:sz w:val="17"/>
              </w:rPr>
              <w:t>2,071</w:t>
            </w:r>
          </w:p>
        </w:tc>
        <w:tc>
          <w:tcPr>
            <w:tcW w:type="dxa" w:w="1440"/>
            <w:shd w:fill="FFDCE0" w:val="clear"/>
          </w:tcPr>
          <w:p>
            <w:r>
              <w:rPr>
                <w:sz w:val="17"/>
              </w:rPr>
              <w:t>2,341</w:t>
            </w:r>
          </w:p>
        </w:tc>
        <w:tc>
          <w:tcPr>
            <w:tcW w:type="dxa" w:w="1440"/>
            <w:shd w:fill="FFDCE0" w:val="clear"/>
          </w:tcPr>
          <w:p>
            <w:r>
              <w:rPr>
                <w:b/>
                <w:color w:val="C00000"/>
                <w:sz w:val="17"/>
              </w:rPr>
              <w:t>-3.2%</w:t>
            </w:r>
          </w:p>
        </w:tc>
      </w:tr>
      <w:tr>
        <w:tc>
          <w:tcPr>
            <w:tcW w:type="dxa" w:w="1440"/>
            <w:shd w:fill="FFDCE0" w:val="clear"/>
          </w:tcPr>
          <w:p>
            <w:r>
              <w:rPr>
                <w:sz w:val="17"/>
              </w:rPr>
              <w:t>J+8  ⭐</w:t>
            </w:r>
          </w:p>
        </w:tc>
        <w:tc>
          <w:tcPr>
            <w:tcW w:type="dxa" w:w="1440"/>
            <w:shd w:fill="FFDCE0" w:val="clear"/>
          </w:tcPr>
          <w:p>
            <w:r>
              <w:rPr>
                <w:sz w:val="17"/>
              </w:rPr>
              <w:t>2026-10-22</w:t>
            </w:r>
          </w:p>
        </w:tc>
        <w:tc>
          <w:tcPr>
            <w:tcW w:type="dxa" w:w="1440"/>
            <w:shd w:fill="FFDCE0" w:val="clear"/>
          </w:tcPr>
          <w:p>
            <w:r>
              <w:rPr>
                <w:sz w:val="17"/>
              </w:rPr>
              <w:t>1,774</w:t>
            </w:r>
          </w:p>
        </w:tc>
        <w:tc>
          <w:tcPr>
            <w:tcW w:type="dxa" w:w="1440"/>
            <w:shd w:fill="FFDCE0" w:val="clear"/>
          </w:tcPr>
          <w:p>
            <w:r>
              <w:rPr>
                <w:b/>
                <w:sz w:val="17"/>
              </w:rPr>
              <w:t>2,062</w:t>
            </w:r>
          </w:p>
        </w:tc>
        <w:tc>
          <w:tcPr>
            <w:tcW w:type="dxa" w:w="1440"/>
            <w:shd w:fill="FFDCE0" w:val="clear"/>
          </w:tcPr>
          <w:p>
            <w:r>
              <w:rPr>
                <w:sz w:val="17"/>
              </w:rPr>
              <w:t>2,350</w:t>
            </w:r>
          </w:p>
        </w:tc>
        <w:tc>
          <w:tcPr>
            <w:tcW w:type="dxa" w:w="1440"/>
            <w:shd w:fill="FFDCE0" w:val="clear"/>
          </w:tcPr>
          <w:p>
            <w:r>
              <w:rPr>
                <w:b/>
                <w:color w:val="C00000"/>
                <w:sz w:val="17"/>
              </w:rPr>
              <w:t>-3.6%</w:t>
            </w:r>
          </w:p>
        </w:tc>
      </w:tr>
      <w:tr>
        <w:tc>
          <w:tcPr>
            <w:tcW w:type="dxa" w:w="1440"/>
            <w:shd w:fill="FFDCE0" w:val="clear"/>
          </w:tcPr>
          <w:p>
            <w:r>
              <w:rPr>
                <w:sz w:val="17"/>
              </w:rPr>
              <w:t>J+9  ⭐</w:t>
            </w:r>
          </w:p>
        </w:tc>
        <w:tc>
          <w:tcPr>
            <w:tcW w:type="dxa" w:w="1440"/>
            <w:shd w:fill="FFDCE0" w:val="clear"/>
          </w:tcPr>
          <w:p>
            <w:r>
              <w:rPr>
                <w:sz w:val="17"/>
              </w:rPr>
              <w:t>2026-10-23</w:t>
            </w:r>
          </w:p>
        </w:tc>
        <w:tc>
          <w:tcPr>
            <w:tcW w:type="dxa" w:w="1440"/>
            <w:shd w:fill="FFDCE0" w:val="clear"/>
          </w:tcPr>
          <w:p>
            <w:r>
              <w:rPr>
                <w:sz w:val="17"/>
              </w:rPr>
              <w:t>1,750</w:t>
            </w:r>
          </w:p>
        </w:tc>
        <w:tc>
          <w:tcPr>
            <w:tcW w:type="dxa" w:w="1440"/>
            <w:shd w:fill="FFDCE0" w:val="clear"/>
          </w:tcPr>
          <w:p>
            <w:r>
              <w:rPr>
                <w:b/>
                <w:sz w:val="17"/>
              </w:rPr>
              <w:t>2,054</w:t>
            </w:r>
          </w:p>
        </w:tc>
        <w:tc>
          <w:tcPr>
            <w:tcW w:type="dxa" w:w="1440"/>
            <w:shd w:fill="FFDCE0" w:val="clear"/>
          </w:tcPr>
          <w:p>
            <w:r>
              <w:rPr>
                <w:sz w:val="17"/>
              </w:rPr>
              <w:t>2,358</w:t>
            </w:r>
          </w:p>
        </w:tc>
        <w:tc>
          <w:tcPr>
            <w:tcW w:type="dxa" w:w="1440"/>
            <w:shd w:fill="FFDCE0" w:val="clear"/>
          </w:tcPr>
          <w:p>
            <w:r>
              <w:rPr>
                <w:b/>
                <w:color w:val="C00000"/>
                <w:sz w:val="17"/>
              </w:rPr>
              <w:t>-4.0%</w:t>
            </w:r>
          </w:p>
        </w:tc>
      </w:tr>
      <w:tr>
        <w:tc>
          <w:tcPr>
            <w:tcW w:type="dxa" w:w="1440"/>
            <w:shd w:fill="FFDCE0" w:val="clear"/>
          </w:tcPr>
          <w:p>
            <w:r>
              <w:rPr>
                <w:sz w:val="17"/>
              </w:rPr>
              <w:t>J+10  ⭐</w:t>
            </w:r>
          </w:p>
        </w:tc>
        <w:tc>
          <w:tcPr>
            <w:tcW w:type="dxa" w:w="1440"/>
            <w:shd w:fill="FFDCE0" w:val="clear"/>
          </w:tcPr>
          <w:p>
            <w:r>
              <w:rPr>
                <w:sz w:val="17"/>
              </w:rPr>
              <w:t>2026-10-26</w:t>
            </w:r>
          </w:p>
        </w:tc>
        <w:tc>
          <w:tcPr>
            <w:tcW w:type="dxa" w:w="1440"/>
            <w:shd w:fill="FFDCE0" w:val="clear"/>
          </w:tcPr>
          <w:p>
            <w:r>
              <w:rPr>
                <w:sz w:val="17"/>
              </w:rPr>
              <w:t>1,727</w:t>
            </w:r>
          </w:p>
        </w:tc>
        <w:tc>
          <w:tcPr>
            <w:tcW w:type="dxa" w:w="1440"/>
            <w:shd w:fill="FFDCE0" w:val="clear"/>
          </w:tcPr>
          <w:p>
            <w:r>
              <w:rPr>
                <w:b/>
                <w:sz w:val="17"/>
              </w:rPr>
              <w:t>2,046</w:t>
            </w:r>
          </w:p>
        </w:tc>
        <w:tc>
          <w:tcPr>
            <w:tcW w:type="dxa" w:w="1440"/>
            <w:shd w:fill="FFDCE0" w:val="clear"/>
          </w:tcPr>
          <w:p>
            <w:r>
              <w:rPr>
                <w:sz w:val="17"/>
              </w:rPr>
              <w:t>2,365</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 (NEI-CEDA CI)**</w:t>
        <w:br/>
        <w:t>**Bourse Régionale des Valeurs Mobilières (BRVM) — Secteur : Édition &amp; Diffusion**</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27,32 milliards FCFA, NEIC se positionne comme une petite capitalisation sur le marché BRVM, ce qui implique une liquidité limitée et une sensibilité accrue aux mouvements de portefeuille. Le BPA de 160 FCFA/action indique que chaque titre génère 160 FCFA de bénéfice net, un niveau correct qui, rapporté au cours actuel de 2 140 FCFA, donne un PER de 13,4x — légèrement supérieur à la moyenne BRVM (8-12x), suggérant que le marché intègre déjà une prime de croissance ou de qualité. Le P/B de 4,75x traduit une valorisation très supérieure à la valeur comptable (prime &gt;4x), ce qui est exigeant et suppose que les investisseurs anticipent une rentabilité durablement élevée des fonds propres. Enfin, l'EV/EBITDA de 19,8x (&gt;15x) confirme cette exigence : la valeur d'entreprise intègre une prime significative par rapport à la capacité opérationnelle, ce qui laisse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NEIC affiche une variation totale positive de +10,31%, malgré un repli de -0,47% lors de la dernière séance (J-1), signalant une légère consolidation après la progression. Le cours actuel de 2 140 FCFA se situe dans la partie médiane de la fourchette de trading, le plus haut ayant atteint 3 000 FCFA et le plus bas 1 900 FCFA — soit un range de 1 100 FCFA (58% d'amplitude), ce qui témoigne d'une tendance globalement haussière mais ponctuée de corrections marquées. Les statistiques descriptives révèlent une moyenne de 2 317 FCFA supérieure à la médiane de 2 272 FCFA, avec un mode à 2 200 FCFA : cet écart confirme une asymétrie positive (skewness de 1,006), indiquant que le cours a passé plus de journées sous la moyenne, mais que quelques pics haussiers ont tiré la moyenne vers le haut. L'écart-type de 282 FCFA (CV de 12,2%) traduit une dispersion modérée autour de la moyenne, tandis que le kurtosis de 0,501 (mésokurtique) suggère une distribution proche de la normale, sans risque extrême de pics violents. La volatilité annualisée de 52,6% classe le titre dans la catégorie des valeurs très volatiles (&gt;30%), ce qui implique un risque de marché élevé et justifie une approche prudente en termes de sizing.</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(2 384,75 FCFA) et la MM50 (2 473,4 FCFA) se situent toutes deux au-dessus du cours actuel (2 140 FCFA), avec la MM20 sous la MM50 — configuration baissière classique. Le cours évoluant sous ses deux moyennes, la pression vendeuse domine et justifie la décision technique de **Vente**.</w:t>
      </w:r>
    </w:p>
    <w:p>
      <w:pPr>
        <w:spacing w:after="120" w:line="276" w:lineRule="auto"/>
      </w:pPr>
      <w:r>
        <w:t>**Bandes de Bollinger** : Le cours (2 140 FCFA) se situe entre la borne inférieure (1 977,31 FCFA) et la borne supérieure (2 792,19 FCFA), plus proche de la borne basse, ce qui indique une volatilité contenue et une absence de signal directionnel fort. La décision est **Neutre**, le titre n'étant ni en surachat ni en survente selon ce canal.</w:t>
      </w:r>
    </w:p>
    <w:p>
      <w:pPr>
        <w:spacing w:after="120" w:line="276" w:lineRule="auto"/>
      </w:pPr>
      <w:r>
        <w:t>**MACD** : La valeur du MACD (-114,911) est inférieure à son signal (-86,452), avec un histogramme négatif — configuration baissière confirmée. Le momentum reste négatif et la divergence MACD-Signal plaide pour une poursuite de la pression vendeuse à court terme, justifiant la décision de **Vente**.</w:t>
      </w:r>
    </w:p>
    <w:p>
      <w:pPr>
        <w:spacing w:after="120" w:line="276" w:lineRule="auto"/>
      </w:pPr>
      <w:r>
        <w:t>**RSI** : À 21,569, le RSI se situe largement sous le seuil de 30, en zone de **survente** extrême. Cette lecture suggère que le titre a été excessivement vendu et qu'un rebond technique est probable à court terme, justifiant la décision d'**Achat** contrariante.</w:t>
      </w:r>
    </w:p>
    <w:p>
      <w:pPr>
        <w:spacing w:after="120" w:line="276" w:lineRule="auto"/>
      </w:pPr>
      <w:r>
        <w:t>**Stochastique** : Les valeurs %K et %D sont toutes deux à 0,0, confirmant une survente totale et un épuisement des vendeurs. Cette configuration extrême plaide pour un retournement imminent, justifiant la décision d'**Achat**.</w:t>
      </w:r>
    </w:p>
    <w:p>
      <w:pPr>
        <w:spacing w:after="120" w:line="276" w:lineRule="auto"/>
      </w:pPr>
      <w:r>
        <w:t>**Conclusion technique** : Les indicateurs de tendance (MM, MACD) sont baissiers, tandis que les oscillateurs (RSI, Stochastique) sont en survente extrême et signalent un rebond potentiel. Cette divergence classique entre tendance et momentum suggère une phase de consolidation baissière proche de son terme, avec un possible retournement à court terme si le cours se stabilise au-dessus de 2 100 FCFA. La prudence reste de mise tant que le cours n'aura pas réintégré la MM20.</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(source : brvm_donnees_financieres) révèlent une situation financière solide : un chiffre d'affaires de 5,139 milliards FCFA, un résultat net de 2,037 milliards FCFA (marge nette de 39,63%), un ROE exceptionnel de 35,39% (&gt;15% = excellent) et un ROA de 27,25%. La structure financière est très saine avec une autonomie financière de 77,01%, une trésorerie nette de 4,196 milliards FCFA et une liquidité générale de 448,86%. Toutefois, deux points d'attention majeurs émergent : (1) le taux de croissance du CA est négatif à -23,80%, signalant une contraction de l'activité, et (2) le délai clients de 154,72 jours est élevé, ce qui représente un risque de trésorerie significatif malgré un BFR positif de 1,498 milliard FCFA. Le rapport du T3 2025 (daté du 30/09/2025) confirme cette dichotomie : le CA trimestriel chute de 35% à 3 406 millions FCFA, mais le résultat net bondit de 125% à 1 596 millions FCFA grâce à une reprise de provision non récurrente — le bénéfice est donc artificiellement gonflé. Le rapport du T1 2026 (daté de 2026) montre une amélioration encourageante : le CA double à 115,1 millions FCFA (+137%) et la perte nette se réduit à -168,9 millions FCFA (vs -189,9 millions en 2025), mais l'activité reste structurellement déficitaire au niveau opérationnel (-271,5 millions FCFA). Le rapport annuel 2025 (daté de 2025) indique un résultat net de 2,04 milliards FCFA (+169%) et un dividende généreux de 2,04 milliards FCFA (100% du résultat), ce qui limite la capacité d'autofinancement. **En synthèse**, la société présente une rentabilité et une structure financière excellentes, mais la contraction du CA et la dépendance à des éléments non récurrents constituent des risques majeurs. La recommandation fondamentale est **CONSERVER** avec une vigilance accrue sur la reprise commerciale.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exigeante avec un PER de 13,4x, un P/B de 4,75x et un EV/EBITDA de 19,8x, ce qui intègre déjà une prime de qualité et laisse peu de marge de sécurité. Le comportement du cours (Partie 1) est globalement haussier sur 100 jours (+10,31%) mais avec une volatilité très élevée (52,6%) et une asymétrie positive (skewness de 1,006), ce qui indique que les gains sont concentrés sur quelques séances et que le risque de correction est réel. Les signaux techniques (Partie 2) sont divergents : les indicateurs de tendance (MM, MACD) sont baissiers, tandis que les oscillateurs (RSI à 21,57, Stochastique à 0) sont en survente extrême et plaident pour un rebond à court terme. Les fondamentaux (Partie 3) sont solides (ROE de 35,39%, trésorerie de 4,196 milliards FCFA) mais entachés par une contraction du CA (-23,80%) et une dépendance à des éléments non récurrents. Les prédictions IA (J+1 à J+10) anticipent une poursuite de la baisse jusqu'à 2 089 FCFA, ce qui contredit les signaux de rebond technique et suggère que la pression vendeuse pourrait persister à très court terme. **Recommandation finale : CONSERVER**, avec un niveau de confiance **Moyen** et un risque global **Élevé**. La convergence entre la valorisation exigeante, la tendance baissière de court terme et les prédictions IA négatives incite à la prudence, mais la survente extrême et la solidité des fondamentaux justifient de ne pas vendre. L'horizon optimal est **moyen terme (3-12 mois)**, en attendant des signaux clairs de reprise durable du chiffre d'affaires et une confirmation du redressement opérationnel.</w:t>
      </w:r>
    </w:p>
    <w:p>
      <w:pPr>
        <w:spacing w:after="120" w:line="276" w:lineRule="auto"/>
      </w:pPr>
      <w:r>
        <w: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21.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536.62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2,913 titres</w:t>
            </w:r>
          </w:p>
        </w:tc>
        <w:tc>
          <w:tcPr>
            <w:tcW w:type="dxa" w:w="2268"/>
            <w:shd w:fill="FFF2CC" w:val="clear"/>
          </w:tcPr>
          <w:p>
            <w:r>
              <w:rPr>
                <w:b/>
                <w:color w:val="503200"/>
                <w:sz w:val="16"/>
              </w:rPr>
              <w:t xml:space="preserve">Cours actuel : </w:t>
            </w:r>
            <w:r>
              <w:rPr>
                <w:color w:val="000000"/>
                <w:sz w:val="17"/>
              </w:rPr>
              <w:t>21,695 FCFA</w:t>
            </w:r>
          </w:p>
          <w:p>
            <w:r>
              <w:rPr>
                <w:b/>
                <w:color w:val="503200"/>
                <w:sz w:val="16"/>
              </w:rPr>
              <w:t xml:space="preserve">Var. 100 jours : </w:t>
            </w:r>
            <w:r>
              <w:rPr>
                <w:b/>
                <w:color w:val="007800"/>
                <w:sz w:val="17"/>
              </w:rPr>
              <w:t>+29.91%</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16,700 FCFA</w:t>
            </w:r>
          </w:p>
          <w:p>
            <w:r>
              <w:rPr>
                <w:b/>
                <w:color w:val="503200"/>
                <w:sz w:val="16"/>
              </w:rPr>
              <w:t xml:space="preserve">Volatilité ann. : </w:t>
            </w:r>
            <w:r>
              <w:rPr>
                <w:color w:val="000000"/>
                <w:sz w:val="17"/>
              </w:rPr>
              <w:t>39.7%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20.5/100 → Moyen</w:t>
      </w:r>
    </w:p>
    <w:p>
      <w:pPr>
        <w:spacing w:before="40" w:after="80"/>
      </w:pPr>
      <w:r>
        <w:rPr>
          <w:rFonts w:ascii="Courier New" w:hAnsi="Courier New"/>
          <w:color w:val="825A00"/>
          <w:sz w:val="18"/>
        </w:rPr>
        <w:t>████░░░░░░░░░░░░░░░░  20.5/100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9.54% (Moyenne) — μ=21,566 FCFA, σ=2,057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β=1.2434 (Agressif) — Cov=0.000091, Var(idx)=0.000073, ρ=0.427,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2,913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σ_j=2.50%/j (Stable) — Vol. annualisée≈39.7%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2026-10-13</w:t>
            </w:r>
          </w:p>
        </w:tc>
        <w:tc>
          <w:tcPr>
            <w:tcW w:type="dxa" w:w="1440"/>
            <w:shd w:fill="FFDCE0" w:val="clear"/>
          </w:tcPr>
          <w:p>
            <w:r>
              <w:rPr>
                <w:sz w:val="17"/>
              </w:rPr>
              <w:t>20,132</w:t>
            </w:r>
          </w:p>
        </w:tc>
        <w:tc>
          <w:tcPr>
            <w:tcW w:type="dxa" w:w="1440"/>
            <w:shd w:fill="FFDCE0" w:val="clear"/>
          </w:tcPr>
          <w:p>
            <w:r>
              <w:rPr>
                <w:b/>
                <w:sz w:val="17"/>
              </w:rPr>
              <w:t>21,151</w:t>
            </w:r>
          </w:p>
        </w:tc>
        <w:tc>
          <w:tcPr>
            <w:tcW w:type="dxa" w:w="1440"/>
            <w:shd w:fill="FFDCE0" w:val="clear"/>
          </w:tcPr>
          <w:p>
            <w:r>
              <w:rPr>
                <w:sz w:val="17"/>
              </w:rPr>
              <w:t>22,170</w:t>
            </w:r>
          </w:p>
        </w:tc>
        <w:tc>
          <w:tcPr>
            <w:tcW w:type="dxa" w:w="1440"/>
            <w:shd w:fill="FFDCE0" w:val="clear"/>
          </w:tcPr>
          <w:p>
            <w:r>
              <w:rPr>
                <w:b/>
                <w:color w:val="C00000"/>
                <w:sz w:val="17"/>
              </w:rPr>
              <w:t>-2.5%</w:t>
            </w:r>
          </w:p>
        </w:tc>
      </w:tr>
      <w:tr>
        <w:tc>
          <w:tcPr>
            <w:tcW w:type="dxa" w:w="1440"/>
            <w:shd w:fill="FFDCE0" w:val="clear"/>
          </w:tcPr>
          <w:p>
            <w:r>
              <w:rPr>
                <w:sz w:val="17"/>
              </w:rPr>
              <w:t>J+2  Moyenne</w:t>
            </w:r>
          </w:p>
        </w:tc>
        <w:tc>
          <w:tcPr>
            <w:tcW w:type="dxa" w:w="1440"/>
            <w:shd w:fill="FFDCE0" w:val="clear"/>
          </w:tcPr>
          <w:p>
            <w:r>
              <w:rPr>
                <w:sz w:val="17"/>
              </w:rPr>
              <w:t>2026-10-14</w:t>
            </w:r>
          </w:p>
        </w:tc>
        <w:tc>
          <w:tcPr>
            <w:tcW w:type="dxa" w:w="1440"/>
            <w:shd w:fill="FFDCE0" w:val="clear"/>
          </w:tcPr>
          <w:p>
            <w:r>
              <w:rPr>
                <w:sz w:val="17"/>
              </w:rPr>
              <w:t>19,454</w:t>
            </w:r>
          </w:p>
        </w:tc>
        <w:tc>
          <w:tcPr>
            <w:tcW w:type="dxa" w:w="1440"/>
            <w:shd w:fill="FFDCE0" w:val="clear"/>
          </w:tcPr>
          <w:p>
            <w:r>
              <w:rPr>
                <w:b/>
                <w:sz w:val="17"/>
              </w:rPr>
              <w:t>20,876</w:t>
            </w:r>
          </w:p>
        </w:tc>
        <w:tc>
          <w:tcPr>
            <w:tcW w:type="dxa" w:w="1440"/>
            <w:shd w:fill="FFDCE0" w:val="clear"/>
          </w:tcPr>
          <w:p>
            <w:r>
              <w:rPr>
                <w:sz w:val="17"/>
              </w:rPr>
              <w:t>22,299</w:t>
            </w:r>
          </w:p>
        </w:tc>
        <w:tc>
          <w:tcPr>
            <w:tcW w:type="dxa" w:w="1440"/>
            <w:shd w:fill="FFDCE0" w:val="clear"/>
          </w:tcPr>
          <w:p>
            <w:r>
              <w:rPr>
                <w:b/>
                <w:color w:val="C00000"/>
                <w:sz w:val="17"/>
              </w:rPr>
              <w:t>-3.8%</w:t>
            </w:r>
          </w:p>
        </w:tc>
      </w:tr>
      <w:tr>
        <w:tc>
          <w:tcPr>
            <w:tcW w:type="dxa" w:w="1440"/>
            <w:shd w:fill="FFDCE0" w:val="clear"/>
          </w:tcPr>
          <w:p>
            <w:r>
              <w:rPr>
                <w:sz w:val="17"/>
              </w:rPr>
              <w:t>J+3  Moyenne</w:t>
            </w:r>
          </w:p>
        </w:tc>
        <w:tc>
          <w:tcPr>
            <w:tcW w:type="dxa" w:w="1440"/>
            <w:shd w:fill="FFDCE0" w:val="clear"/>
          </w:tcPr>
          <w:p>
            <w:r>
              <w:rPr>
                <w:sz w:val="17"/>
              </w:rPr>
              <w:t>2026-10-15</w:t>
            </w:r>
          </w:p>
        </w:tc>
        <w:tc>
          <w:tcPr>
            <w:tcW w:type="dxa" w:w="1440"/>
            <w:shd w:fill="FFDCE0" w:val="clear"/>
          </w:tcPr>
          <w:p>
            <w:r>
              <w:rPr>
                <w:sz w:val="17"/>
              </w:rPr>
              <w:t>18,904</w:t>
            </w:r>
          </w:p>
        </w:tc>
        <w:tc>
          <w:tcPr>
            <w:tcW w:type="dxa" w:w="1440"/>
            <w:shd w:fill="FFDCE0" w:val="clear"/>
          </w:tcPr>
          <w:p>
            <w:r>
              <w:rPr>
                <w:b/>
                <w:sz w:val="17"/>
              </w:rPr>
              <w:t>20,625</w:t>
            </w:r>
          </w:p>
        </w:tc>
        <w:tc>
          <w:tcPr>
            <w:tcW w:type="dxa" w:w="1440"/>
            <w:shd w:fill="FFDCE0" w:val="clear"/>
          </w:tcPr>
          <w:p>
            <w:r>
              <w:rPr>
                <w:sz w:val="17"/>
              </w:rPr>
              <w:t>22,346</w:t>
            </w:r>
          </w:p>
        </w:tc>
        <w:tc>
          <w:tcPr>
            <w:tcW w:type="dxa" w:w="1440"/>
            <w:shd w:fill="FFDCE0" w:val="clear"/>
          </w:tcPr>
          <w:p>
            <w:r>
              <w:rPr>
                <w:b/>
                <w:color w:val="C00000"/>
                <w:sz w:val="17"/>
              </w:rPr>
              <w:t>-4.9%</w:t>
            </w:r>
          </w:p>
        </w:tc>
      </w:tr>
      <w:tr>
        <w:tc>
          <w:tcPr>
            <w:tcW w:type="dxa" w:w="1440"/>
            <w:shd w:fill="FFDCE0" w:val="clear"/>
          </w:tcPr>
          <w:p>
            <w:r>
              <w:rPr>
                <w:sz w:val="17"/>
              </w:rPr>
              <w:t>J+4  ⭐</w:t>
            </w:r>
          </w:p>
        </w:tc>
        <w:tc>
          <w:tcPr>
            <w:tcW w:type="dxa" w:w="1440"/>
            <w:shd w:fill="FFDCE0" w:val="clear"/>
          </w:tcPr>
          <w:p>
            <w:r>
              <w:rPr>
                <w:sz w:val="17"/>
              </w:rPr>
              <w:t>2026-10-16</w:t>
            </w:r>
          </w:p>
        </w:tc>
        <w:tc>
          <w:tcPr>
            <w:tcW w:type="dxa" w:w="1440"/>
            <w:shd w:fill="FFDCE0" w:val="clear"/>
          </w:tcPr>
          <w:p>
            <w:r>
              <w:rPr>
                <w:sz w:val="17"/>
              </w:rPr>
              <w:t>18,433</w:t>
            </w:r>
          </w:p>
        </w:tc>
        <w:tc>
          <w:tcPr>
            <w:tcW w:type="dxa" w:w="1440"/>
            <w:shd w:fill="FFDCE0" w:val="clear"/>
          </w:tcPr>
          <w:p>
            <w:r>
              <w:rPr>
                <w:b/>
                <w:sz w:val="17"/>
              </w:rPr>
              <w:t>20,399</w:t>
            </w:r>
          </w:p>
        </w:tc>
        <w:tc>
          <w:tcPr>
            <w:tcW w:type="dxa" w:w="1440"/>
            <w:shd w:fill="FFDCE0" w:val="clear"/>
          </w:tcPr>
          <w:p>
            <w:r>
              <w:rPr>
                <w:sz w:val="17"/>
              </w:rPr>
              <w:t>22,365</w:t>
            </w:r>
          </w:p>
        </w:tc>
        <w:tc>
          <w:tcPr>
            <w:tcW w:type="dxa" w:w="1440"/>
            <w:shd w:fill="FFDCE0" w:val="clear"/>
          </w:tcPr>
          <w:p>
            <w:r>
              <w:rPr>
                <w:b/>
                <w:color w:val="C00000"/>
                <w:sz w:val="17"/>
              </w:rPr>
              <w:t>-6.0%</w:t>
            </w:r>
          </w:p>
        </w:tc>
      </w:tr>
      <w:tr>
        <w:tc>
          <w:tcPr>
            <w:tcW w:type="dxa" w:w="1440"/>
            <w:shd w:fill="FFDCE0" w:val="clear"/>
          </w:tcPr>
          <w:p>
            <w:r>
              <w:rPr>
                <w:sz w:val="17"/>
              </w:rPr>
              <w:t>J+5  ⭐</w:t>
            </w:r>
          </w:p>
        </w:tc>
        <w:tc>
          <w:tcPr>
            <w:tcW w:type="dxa" w:w="1440"/>
            <w:shd w:fill="FFDCE0" w:val="clear"/>
          </w:tcPr>
          <w:p>
            <w:r>
              <w:rPr>
                <w:sz w:val="17"/>
              </w:rPr>
              <w:t>2026-10-19</w:t>
            </w:r>
          </w:p>
        </w:tc>
        <w:tc>
          <w:tcPr>
            <w:tcW w:type="dxa" w:w="1440"/>
            <w:shd w:fill="FFDCE0" w:val="clear"/>
          </w:tcPr>
          <w:p>
            <w:r>
              <w:rPr>
                <w:sz w:val="17"/>
              </w:rPr>
              <w:t>18,005</w:t>
            </w:r>
          </w:p>
        </w:tc>
        <w:tc>
          <w:tcPr>
            <w:tcW w:type="dxa" w:w="1440"/>
            <w:shd w:fill="FFDCE0" w:val="clear"/>
          </w:tcPr>
          <w:p>
            <w:r>
              <w:rPr>
                <w:b/>
                <w:sz w:val="17"/>
              </w:rPr>
              <w:t>20,180</w:t>
            </w:r>
          </w:p>
        </w:tc>
        <w:tc>
          <w:tcPr>
            <w:tcW w:type="dxa" w:w="1440"/>
            <w:shd w:fill="FFDCE0" w:val="clear"/>
          </w:tcPr>
          <w:p>
            <w:r>
              <w:rPr>
                <w:sz w:val="17"/>
              </w:rPr>
              <w:t>22,354</w:t>
            </w:r>
          </w:p>
        </w:tc>
        <w:tc>
          <w:tcPr>
            <w:tcW w:type="dxa" w:w="1440"/>
            <w:shd w:fill="FFDCE0" w:val="clear"/>
          </w:tcPr>
          <w:p>
            <w:r>
              <w:rPr>
                <w:b/>
                <w:color w:val="C00000"/>
                <w:sz w:val="17"/>
              </w:rPr>
              <w:t>-7.0%</w:t>
            </w:r>
          </w:p>
        </w:tc>
      </w:tr>
      <w:tr>
        <w:tc>
          <w:tcPr>
            <w:tcW w:type="dxa" w:w="1440"/>
            <w:shd w:fill="FFDCE0" w:val="clear"/>
          </w:tcPr>
          <w:p>
            <w:r>
              <w:rPr>
                <w:sz w:val="17"/>
              </w:rPr>
              <w:t>J+6  ⭐</w:t>
            </w:r>
          </w:p>
        </w:tc>
        <w:tc>
          <w:tcPr>
            <w:tcW w:type="dxa" w:w="1440"/>
            <w:shd w:fill="FFDCE0" w:val="clear"/>
          </w:tcPr>
          <w:p>
            <w:r>
              <w:rPr>
                <w:sz w:val="17"/>
              </w:rPr>
              <w:t>2026-10-20</w:t>
            </w:r>
          </w:p>
        </w:tc>
        <w:tc>
          <w:tcPr>
            <w:tcW w:type="dxa" w:w="1440"/>
            <w:shd w:fill="FFDCE0" w:val="clear"/>
          </w:tcPr>
          <w:p>
            <w:r>
              <w:rPr>
                <w:sz w:val="17"/>
              </w:rPr>
              <w:t>17,609</w:t>
            </w:r>
          </w:p>
        </w:tc>
        <w:tc>
          <w:tcPr>
            <w:tcW w:type="dxa" w:w="1440"/>
            <w:shd w:fill="FFDCE0" w:val="clear"/>
          </w:tcPr>
          <w:p>
            <w:r>
              <w:rPr>
                <w:b/>
                <w:sz w:val="17"/>
              </w:rPr>
              <w:t>19,966</w:t>
            </w:r>
          </w:p>
        </w:tc>
        <w:tc>
          <w:tcPr>
            <w:tcW w:type="dxa" w:w="1440"/>
            <w:shd w:fill="FFDCE0" w:val="clear"/>
          </w:tcPr>
          <w:p>
            <w:r>
              <w:rPr>
                <w:sz w:val="17"/>
              </w:rPr>
              <w:t>22,322</w:t>
            </w:r>
          </w:p>
        </w:tc>
        <w:tc>
          <w:tcPr>
            <w:tcW w:type="dxa" w:w="1440"/>
            <w:shd w:fill="FFDCE0" w:val="clear"/>
          </w:tcPr>
          <w:p>
            <w:r>
              <w:rPr>
                <w:b/>
                <w:color w:val="C00000"/>
                <w:sz w:val="17"/>
              </w:rPr>
              <w:t>-8.0%</w:t>
            </w:r>
          </w:p>
        </w:tc>
      </w:tr>
      <w:tr>
        <w:tc>
          <w:tcPr>
            <w:tcW w:type="dxa" w:w="1440"/>
            <w:shd w:fill="FFDCE0" w:val="clear"/>
          </w:tcPr>
          <w:p>
            <w:r>
              <w:rPr>
                <w:sz w:val="17"/>
              </w:rPr>
              <w:t>J+7  ⭐</w:t>
            </w:r>
          </w:p>
        </w:tc>
        <w:tc>
          <w:tcPr>
            <w:tcW w:type="dxa" w:w="1440"/>
            <w:shd w:fill="FFDCE0" w:val="clear"/>
          </w:tcPr>
          <w:p>
            <w:r>
              <w:rPr>
                <w:sz w:val="17"/>
              </w:rPr>
              <w:t>2026-10-21</w:t>
            </w:r>
          </w:p>
        </w:tc>
        <w:tc>
          <w:tcPr>
            <w:tcW w:type="dxa" w:w="1440"/>
            <w:shd w:fill="FFDCE0" w:val="clear"/>
          </w:tcPr>
          <w:p>
            <w:r>
              <w:rPr>
                <w:sz w:val="17"/>
              </w:rPr>
              <w:t>17,237</w:t>
            </w:r>
          </w:p>
        </w:tc>
        <w:tc>
          <w:tcPr>
            <w:tcW w:type="dxa" w:w="1440"/>
            <w:shd w:fill="FFDCE0" w:val="clear"/>
          </w:tcPr>
          <w:p>
            <w:r>
              <w:rPr>
                <w:b/>
                <w:sz w:val="17"/>
              </w:rPr>
              <w:t>19,756</w:t>
            </w:r>
          </w:p>
        </w:tc>
        <w:tc>
          <w:tcPr>
            <w:tcW w:type="dxa" w:w="1440"/>
            <w:shd w:fill="FFDCE0" w:val="clear"/>
          </w:tcPr>
          <w:p>
            <w:r>
              <w:rPr>
                <w:sz w:val="17"/>
              </w:rPr>
              <w:t>22,275</w:t>
            </w:r>
          </w:p>
        </w:tc>
        <w:tc>
          <w:tcPr>
            <w:tcW w:type="dxa" w:w="1440"/>
            <w:shd w:fill="FFDCE0" w:val="clear"/>
          </w:tcPr>
          <w:p>
            <w:r>
              <w:rPr>
                <w:b/>
                <w:color w:val="C00000"/>
                <w:sz w:val="17"/>
              </w:rPr>
              <w:t>-8.9%</w:t>
            </w:r>
          </w:p>
        </w:tc>
      </w:tr>
      <w:tr>
        <w:tc>
          <w:tcPr>
            <w:tcW w:type="dxa" w:w="1440"/>
            <w:shd w:fill="FFDCE0" w:val="clear"/>
          </w:tcPr>
          <w:p>
            <w:r>
              <w:rPr>
                <w:sz w:val="17"/>
              </w:rPr>
              <w:t>J+8  ⭐</w:t>
            </w:r>
          </w:p>
        </w:tc>
        <w:tc>
          <w:tcPr>
            <w:tcW w:type="dxa" w:w="1440"/>
            <w:shd w:fill="FFDCE0" w:val="clear"/>
          </w:tcPr>
          <w:p>
            <w:r>
              <w:rPr>
                <w:sz w:val="17"/>
              </w:rPr>
              <w:t>2026-10-22</w:t>
            </w:r>
          </w:p>
        </w:tc>
        <w:tc>
          <w:tcPr>
            <w:tcW w:type="dxa" w:w="1440"/>
            <w:shd w:fill="FFDCE0" w:val="clear"/>
          </w:tcPr>
          <w:p>
            <w:r>
              <w:rPr>
                <w:sz w:val="17"/>
              </w:rPr>
              <w:t>16,885</w:t>
            </w:r>
          </w:p>
        </w:tc>
        <w:tc>
          <w:tcPr>
            <w:tcW w:type="dxa" w:w="1440"/>
            <w:shd w:fill="FFDCE0" w:val="clear"/>
          </w:tcPr>
          <w:p>
            <w:r>
              <w:rPr>
                <w:b/>
                <w:sz w:val="17"/>
              </w:rPr>
              <w:t>19,550</w:t>
            </w:r>
          </w:p>
        </w:tc>
        <w:tc>
          <w:tcPr>
            <w:tcW w:type="dxa" w:w="1440"/>
            <w:shd w:fill="FFDCE0" w:val="clear"/>
          </w:tcPr>
          <w:p>
            <w:r>
              <w:rPr>
                <w:sz w:val="17"/>
              </w:rPr>
              <w:t>22,214</w:t>
            </w:r>
          </w:p>
        </w:tc>
        <w:tc>
          <w:tcPr>
            <w:tcW w:type="dxa" w:w="1440"/>
            <w:shd w:fill="FFDCE0" w:val="clear"/>
          </w:tcPr>
          <w:p>
            <w:r>
              <w:rPr>
                <w:b/>
                <w:color w:val="C00000"/>
                <w:sz w:val="17"/>
              </w:rPr>
              <w:t>-9.9%</w:t>
            </w:r>
          </w:p>
        </w:tc>
      </w:tr>
      <w:tr>
        <w:tc>
          <w:tcPr>
            <w:tcW w:type="dxa" w:w="1440"/>
            <w:shd w:fill="FFDCE0" w:val="clear"/>
          </w:tcPr>
          <w:p>
            <w:r>
              <w:rPr>
                <w:sz w:val="17"/>
              </w:rPr>
              <w:t>J+9  ⭐</w:t>
            </w:r>
          </w:p>
        </w:tc>
        <w:tc>
          <w:tcPr>
            <w:tcW w:type="dxa" w:w="1440"/>
            <w:shd w:fill="FFDCE0" w:val="clear"/>
          </w:tcPr>
          <w:p>
            <w:r>
              <w:rPr>
                <w:sz w:val="17"/>
              </w:rPr>
              <w:t>2026-10-23</w:t>
            </w:r>
          </w:p>
        </w:tc>
        <w:tc>
          <w:tcPr>
            <w:tcW w:type="dxa" w:w="1440"/>
            <w:shd w:fill="FFDCE0" w:val="clear"/>
          </w:tcPr>
          <w:p>
            <w:r>
              <w:rPr>
                <w:sz w:val="17"/>
              </w:rPr>
              <w:t>16,550</w:t>
            </w:r>
          </w:p>
        </w:tc>
        <w:tc>
          <w:tcPr>
            <w:tcW w:type="dxa" w:w="1440"/>
            <w:shd w:fill="FFDCE0" w:val="clear"/>
          </w:tcPr>
          <w:p>
            <w:r>
              <w:rPr>
                <w:b/>
                <w:sz w:val="17"/>
              </w:rPr>
              <w:t>19,347</w:t>
            </w:r>
          </w:p>
        </w:tc>
        <w:tc>
          <w:tcPr>
            <w:tcW w:type="dxa" w:w="1440"/>
            <w:shd w:fill="FFDCE0" w:val="clear"/>
          </w:tcPr>
          <w:p>
            <w:r>
              <w:rPr>
                <w:sz w:val="17"/>
              </w:rPr>
              <w:t>22,143</w:t>
            </w:r>
          </w:p>
        </w:tc>
        <w:tc>
          <w:tcPr>
            <w:tcW w:type="dxa" w:w="1440"/>
            <w:shd w:fill="FFDCE0" w:val="clear"/>
          </w:tcPr>
          <w:p>
            <w:r>
              <w:rPr>
                <w:b/>
                <w:color w:val="C00000"/>
                <w:sz w:val="17"/>
              </w:rPr>
              <w:t>-10.8%</w:t>
            </w:r>
          </w:p>
        </w:tc>
      </w:tr>
      <w:tr>
        <w:tc>
          <w:tcPr>
            <w:tcW w:type="dxa" w:w="1440"/>
            <w:shd w:fill="FFDCE0" w:val="clear"/>
          </w:tcPr>
          <w:p>
            <w:r>
              <w:rPr>
                <w:sz w:val="17"/>
              </w:rPr>
              <w:t>J+10  ⭐</w:t>
            </w:r>
          </w:p>
        </w:tc>
        <w:tc>
          <w:tcPr>
            <w:tcW w:type="dxa" w:w="1440"/>
            <w:shd w:fill="FFDCE0" w:val="clear"/>
          </w:tcPr>
          <w:p>
            <w:r>
              <w:rPr>
                <w:sz w:val="17"/>
              </w:rPr>
              <w:t>2026-10-26</w:t>
            </w:r>
          </w:p>
        </w:tc>
        <w:tc>
          <w:tcPr>
            <w:tcW w:type="dxa" w:w="1440"/>
            <w:shd w:fill="FFDCE0" w:val="clear"/>
          </w:tcPr>
          <w:p>
            <w:r>
              <w:rPr>
                <w:sz w:val="17"/>
              </w:rPr>
              <w:t>16,229</w:t>
            </w:r>
          </w:p>
        </w:tc>
        <w:tc>
          <w:tcPr>
            <w:tcW w:type="dxa" w:w="1440"/>
            <w:shd w:fill="FFDCE0" w:val="clear"/>
          </w:tcPr>
          <w:p>
            <w:r>
              <w:rPr>
                <w:b/>
                <w:sz w:val="17"/>
              </w:rPr>
              <w:t>19,146</w:t>
            </w:r>
          </w:p>
        </w:tc>
        <w:tc>
          <w:tcPr>
            <w:tcW w:type="dxa" w:w="1440"/>
            <w:shd w:fill="FFDCE0" w:val="clear"/>
          </w:tcPr>
          <w:p>
            <w:r>
              <w:rPr>
                <w:sz w:val="17"/>
              </w:rPr>
              <w:t>22,064</w:t>
            </w:r>
          </w:p>
        </w:tc>
        <w:tc>
          <w:tcPr>
            <w:tcW w:type="dxa" w:w="1440"/>
            <w:shd w:fill="FFDCE0" w:val="clear"/>
          </w:tcPr>
          <w:p>
            <w:r>
              <w:rPr>
                <w:b/>
                <w:color w:val="C00000"/>
                <w:sz w:val="17"/>
              </w:rPr>
              <w:t>-11.7%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 RAPPORT D'ANALYSE FINANCIÈRE — NSBC (NSIA Banque Côte d'Ivoire)</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536,62 milliards FCFA, NSBC s'impose comme l'une des valeurs bancaires les plus capitalisées de la cote BRVM, ce qui témoigne de sa liquidité relative et de son poids dans l'indice sectoriel. Le BPA de 1 646 FCFA/action signifie que chaque titre génère près de 1 646 FCFA de bénéfice net, un niveau élevé qui traduit la forte rentabilité de la banque. Le PER de 13,2x place le titre légèrement au-dessus de la moyenne du marché BRVM (8-12x), mais reste modéré au regard de la croissance des bénéfices (+53% au T1 2026), ce qui suggère que les investisseurs paient une prime raisonnable pour la qualité de la croissance. Le P/B de 2,30x indique que le marché valorise NSBC à plus du double de sa valeur comptable, une prime de croissance justifiée par un ROE de 17,45% nettement supérieur au coût des fonds propres. En revanche, l'EV/EBITDA de 20,8x apparaît très exigeant (&gt;15x), signalant que la valeur d'entreprise intègre déjà une bonne partie des anticipations de performance future, ce qui limite le potentiel de revalorisation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NSBC affiche une performance remarquable de +29,91%, avec une dernière séance en hausse de +3,41%, confirmant un momentum haussier de court terme. Le cours actuel de 21 695 FCFA se situe dans la partie médiane du range de trading, entre un plus bas de 16 700 FCFA et un plus haut de 24 885 FCFA, soit une amplitude de plus de 8 000 FCFA qui traduit une forte volatilité directionnelle. La tendance générale est donc clairement haussière sur la période, portée par des fondamentaux solides et un intérêt croissant des investisseurs pour le secteur bancaire ivoirien. Les statistiques descriptives révèlent une moyenne de 21 566 FCFA légèrement inférieure à la médiane de 22 000 FCFA, ce qui indique une distribution légèrement asymétrique à gauche, cohérente avec le skewness de -0,361 (distribution quasi-symétrique avec une queue gauche plus épaisse). L'écart-type de 2 068 FCFA et le coefficient de variation de 9,6% traduisent une dispersion modérée du cours autour de sa moyenne, tandis que le kurtosis de -1,077 (distribution platykurtique) signale une faible concentration des rendements et un risque de pics de volatilité moins prononcé qu'une distribution normale. Enfin, la volatilité annualisée de 39,7% classe le titre dans la catégorie des valeurs à volatilité élevée (&gt;30%), ce qui implique un risque de marché significatif mais aussi des opportunités de trading pour les investisseurs actifs.</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22 429,25 FCFA et la MM50 à 23 005,70 FCFA, toutes deux supérieures au cours actuel de 21 695 FCFA. Cette configuration baissière (cours sous les deux moyennes) justifie la décision de vente, car elle indique que la pression vendeuse domine à court et moyen terme, malgré la performance haussière sur 100 jours.</w:t>
      </w:r>
    </w:p>
    <w:p>
      <w:pPr>
        <w:spacing w:after="120" w:line="276" w:lineRule="auto"/>
      </w:pPr>
      <w:r>
        <w:t>**Bandes de Bollinger** : Le cours actuel (21 695 FCFA) se situe entre la borne inférieure (19 708,57 FCFA) et la borne supérieure (25 149,93 FCFA), plus proche de la borne basse que de la borne haute. Cette position médiane-basse, combinée à une volatilité élevée, justifie la décision neutre : le titre n'est ni en zone de survente extrême, ni en zone de surachat, laissant place à une possible consolidation.</w:t>
      </w:r>
    </w:p>
    <w:p>
      <w:pPr>
        <w:spacing w:after="120" w:line="276" w:lineRule="auto"/>
      </w:pPr>
      <w:r>
        <w:t>**MACD** : La valeur du MACD (-572,42) est inférieure à son signal (-458,71), confirmant une divergence baissière et un momentum négatif. Cette configuration justifie la décision de vente, car elle indique que la dynamique haussière des 100 derniers jours s'essouffle et qu'un retournement baissier de court terme est en cours.</w:t>
      </w:r>
    </w:p>
    <w:p>
      <w:pPr>
        <w:spacing w:after="120" w:line="276" w:lineRule="auto"/>
      </w:pPr>
      <w:r>
        <w:t>**RSI** : À 38,44, le RSI se situe dans la zone neutre basse (30-70), sans atteindre la zone de survente (&lt;30). Cette valeur justifie la décision neutre : le titre n'est pas encore survendu, mais la faiblesse relative du RSI suggère que la pression baissière pourrait se poursuivre avant un rebond technique.</w:t>
      </w:r>
    </w:p>
    <w:p>
      <w:pPr>
        <w:spacing w:after="120" w:line="276" w:lineRule="auto"/>
      </w:pPr>
      <w:r>
        <w:t>**Stochastique** : Le %K (52,23) est supérieur au %D (21,13), ce qui pourrait indiquer un début de croisement haussier, mais l'écart important entre les deux lignes et la position basse du %D suggèrent que le signal n'est pas encore confirmé. La décision neutre reflète cette incertitude : le stochastique ne donne pas de signal clair d'achat ou de vente à ce stade.</w:t>
      </w:r>
    </w:p>
    <w:p>
      <w:pPr>
        <w:spacing w:after="120" w:line="276" w:lineRule="auto"/>
      </w:pPr>
      <w:r>
        <w:t>**Conclusion technique** : Les indicateurs techniques sont majoritairement baissiers (MM, MACD) ou neutres (Bollinger, RSI, Stochastique), ce qui contraste avec la performance haussière des 100 derniers jours. Cette divergence suggère que le titre est en phase de correction après une forte hausse, et qu'une consolidation est probable avant une reprise durable. La prudence est donc de mise à court terme, en attendant une confirmation de retournement haussier (croisement MACD, RSI &gt;50, cours au-dessus de la MM20).</w:t>
      </w:r>
    </w:p>
    <w:p>
      <w:pPr>
        <w:spacing w:after="120" w:line="276" w:lineRule="auto"/>
      </w:pPr>
      <w:r>
        <w:t>---</w:t>
      </w:r>
    </w:p>
    <w:p>
      <w:pPr>
        <w:spacing w:after="120" w:line="276" w:lineRule="auto"/>
      </w:pPr>
      <w:r>
        <w:t>## PARTIE 3 : ANALYSE FONDAMENTALE</w:t>
      </w:r>
    </w:p>
    <w:p>
      <w:pPr>
        <w:spacing w:after="120" w:line="276" w:lineRule="auto"/>
      </w:pPr>
      <w:r>
        <w:t>**Données structurées (états financiers annuels 2025)** : En 2025, NSIA Banque CI affiche un Produit Net Bancaire (PNB) de 112,928 milliards FCFA, en croissance de 15,45% par rapport à 2024, porté par une marge d'intérêt en hausse de 26% (rapport annuel 2025, analysé le 13/05/2026). Le résultat net s'établit à 40,712 milliards FCFA, en progression de 7% sur un an, avec une marge nette élevée de 36,05% qui témoigne d'une excellente maîtrise des charges. Le ROE de 17,45% et le ROA de 1,32% confirment la rentabilité supérieure de la banque, tandis que le coefficient d'exploitation de 54,59% (&lt;60%) atteste de son efficacité opérationnelle. Le coût du risque, à 7,54% des charges financières, reste élevé et constitue un point de vigilance, tout comme le ratio d'autonomie financière de 7,59% (faible) et la dépendance financière de 92,41%, typiques du modèle bancaire mais à surveiller. Le ratio dépôts/crédits s'établit à 123% (2 242 Mds FCFA de dépôts pour 1 819 Mds FCFA de créances), reflétant une forte capacité de collecte et une transformation prudente.</w:t>
      </w:r>
    </w:p>
    <w:p>
      <w:pPr>
        <w:spacing w:after="120" w:line="276" w:lineRule="auto"/>
      </w:pPr>
      <w:r>
        <w:t>**Estimations basées sur les rapports trimestriels** : Le rapport du T1 2026 (publié le 01/05/2026) révèle une accélération spectaculaire de la performance, avec un PNB de 28,615 milliards FCFA (+28% sur un an) et un résultat net de 10,912 milliards FCFA (+53%), porté par l'activité titres et la maîtrise du coût du risque. Sur la base de ce rythme, on peut estimer que l'exercice 2026 devrait enregistrer un PNB supérieur à 130 milliards FCFA et un résultat net approchant 50 milliards FCFA, soit une croissance annuelle de 20-25%. Le rapport du T3 2025 (30/09/2025) confirmait déjà cette dynamique avec un PNB de 77,4 milliards FCFA (+7%) et un résultat net de 25,0 milliards FCFA (+6%), tandis que le rapport du S1 2025 (30/06/2025) montrait une amélioration du coefficient d'exploitation à 56,9% et une croissance du PNB de 10,6%. L'évolution temporelle des indicateurs (T1 2025 : PNB +2,5% ; S1 2025 : +10,6% ; T3 2025 : +7% ; T1 2026 : +28%) montre une nette accélération de la croissance, tirée par la digitalisation, la finance durable et les partenariats stratégiques (PND 2026-2030).</w:t>
      </w:r>
    </w:p>
    <w:p>
      <w:pPr>
        <w:spacing w:after="120" w:line="276" w:lineRule="auto"/>
      </w:pPr>
      <w:r>
        <w:t>**Recommandation fondamentale** : NSBC présente une solidité financière robuste, une croissance accélérée et une rentabilité supérieure à la moyenne du secteur. Les risques identifiés (coût du risque élevé, dépendance aux revenus titres, concurrence digitale) sont réels mais gérables, et les perspectives 2026 sont très favorables. La recommandation fondamentale est donc **ACHAT**, avec une surveillance accrue de la qualité du portefeuille de crédits et de l'évolution du coût du risque.</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conduit à une recommandation nuancée. **Valorisation (Partie 0)** : le PER de 13,2x et le P/B de 2,30x indiquent une valorisation raisonnable mais non sous-évaluée, tandis que l'EV/EBITDA de 20,8x suggère une prime de croissance déjà intégrée. **Comportement du cours (Partie 1)** : la performance de +29,91% sur 100 jours et la volatilité élevée (39,7%) traduisent un fort intérêt des investisseurs, mais le kurtosis négatif et le skewness quasi-symétrique indiquent un risque de correction modéré. **Signaux techniques (Partie 2)** : la divergence entre la tendance haussière de long terme et les indicateurs baissiers de court terme (MM, MACD) suggère une phase de consolidation, confirmée par la position médiane-basse du cours dans les bandes de Bollinger. **Fondamentaux (Partie 3)** : la croissance exceptionnelle du T1 2026 (+53% de résultat net) et les perspectives favorables (PND 2026-2030, digitalisation) soutiennent une vision positive à moyen terme. **Prédictions IA (J+1 à J+10)** : la trajectoire baissière anticipée (21 151 FCFA le 13/10/2026 à 20 180 FCFA le 19/10/2026) confirme la correction technique en cours et contredit la tendance haussière de long terme.</w:t>
      </w:r>
    </w:p>
    <w:p>
      <w:pPr>
        <w:spacing w:after="120" w:line="276" w:lineRule="auto"/>
      </w:pPr>
      <w:r>
        <w:t>**Recommandation finale** : **CONSERVER**. La convergence entre la valorisation raisonnable, les fondamentaux solides et la correction technique en cours justifie une position attentiste. Les investisseurs existants peuvent conserver leurs titres pour bénéficier de la croissance à moyen terme, tandis que les nouveaux entrants devraient attendre une confirmation de retournement haussier (cours &gt; MM20, RSI &gt;50, MACD positif) avant d'acheter. **Niveau de confiance** : Moyen (les fondamentaux sont solides mais la technique est baissière à court terme). **Niveau de risque** : Élevé (volatilité de 39,7%, coût du risque élevé, dépendance aux revenus titres). **Horizon d'investissement** : Moyen terme (3-12 mois), en privilégiant une entrée progressive sur repli vers 20 000-21 000 FCFA.</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22.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331.06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1,295 titres</w:t>
            </w:r>
          </w:p>
        </w:tc>
        <w:tc>
          <w:tcPr>
            <w:tcW w:type="dxa" w:w="2268"/>
            <w:shd w:fill="FFF2CC" w:val="clear"/>
          </w:tcPr>
          <w:p>
            <w:r>
              <w:rPr>
                <w:b/>
                <w:color w:val="503200"/>
                <w:sz w:val="16"/>
              </w:rPr>
              <w:t xml:space="preserve">Cours actuel : </w:t>
            </w:r>
            <w:r>
              <w:rPr>
                <w:color w:val="000000"/>
                <w:sz w:val="17"/>
              </w:rPr>
              <w:t>15,000 FCFA</w:t>
            </w:r>
          </w:p>
          <w:p>
            <w:r>
              <w:rPr>
                <w:b/>
                <w:color w:val="503200"/>
                <w:sz w:val="16"/>
              </w:rPr>
              <w:t xml:space="preserve">Var. 100 jours : </w:t>
            </w:r>
            <w:r>
              <w:rPr>
                <w:b/>
                <w:color w:val="007800"/>
                <w:sz w:val="17"/>
              </w:rPr>
              <w:t>+27.12%</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11,800 FCFA</w:t>
            </w:r>
          </w:p>
          <w:p>
            <w:r>
              <w:rPr>
                <w:b/>
                <w:color w:val="503200"/>
                <w:sz w:val="16"/>
              </w:rPr>
              <w:t xml:space="preserve">Volatilité ann. : </w:t>
            </w:r>
            <w:r>
              <w:rPr>
                <w:color w:val="000000"/>
                <w:sz w:val="17"/>
              </w:rPr>
              <w:t>36.4%</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8.69% (Moyenne) — μ=15,637 FCFA, σ=1,359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β=0.4702 (Défensif) — Cov=0.000034, Var(idx)=0.000073, ρ=0.175,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1,295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σ_j=2.29%/j (Stable) — Vol. annualisée≈36.4%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2026-10-13</w:t>
            </w:r>
          </w:p>
        </w:tc>
        <w:tc>
          <w:tcPr>
            <w:tcW w:type="dxa" w:w="1440"/>
            <w:shd w:fill="FAFAFA" w:val="clear"/>
          </w:tcPr>
          <w:p>
            <w:r>
              <w:rPr>
                <w:sz w:val="17"/>
              </w:rPr>
              <w:t>14,494</w:t>
            </w:r>
          </w:p>
        </w:tc>
        <w:tc>
          <w:tcPr>
            <w:tcW w:type="dxa" w:w="1440"/>
            <w:shd w:fill="FAFAFA" w:val="clear"/>
          </w:tcPr>
          <w:p>
            <w:r>
              <w:rPr>
                <w:b/>
                <w:sz w:val="17"/>
              </w:rPr>
              <w:t>15,217</w:t>
            </w:r>
          </w:p>
        </w:tc>
        <w:tc>
          <w:tcPr>
            <w:tcW w:type="dxa" w:w="1440"/>
            <w:shd w:fill="FAFAFA" w:val="clear"/>
          </w:tcPr>
          <w:p>
            <w:r>
              <w:rPr>
                <w:sz w:val="17"/>
              </w:rPr>
              <w:t>15,939</w:t>
            </w:r>
          </w:p>
        </w:tc>
        <w:tc>
          <w:tcPr>
            <w:tcW w:type="dxa" w:w="1440"/>
            <w:shd w:fill="FAFAFA" w:val="clear"/>
          </w:tcPr>
          <w:p>
            <w:r>
              <w:rPr>
                <w:b/>
                <w:color w:val="008000"/>
                <w:sz w:val="17"/>
              </w:rPr>
              <w:t>+1.4%</w:t>
            </w:r>
          </w:p>
        </w:tc>
      </w:tr>
      <w:tr>
        <w:tc>
          <w:tcPr>
            <w:tcW w:type="dxa" w:w="1440"/>
            <w:shd w:fill="FAFAFA" w:val="clear"/>
          </w:tcPr>
          <w:p>
            <w:r>
              <w:rPr>
                <w:sz w:val="17"/>
              </w:rPr>
              <w:t>J+2  ⭐</w:t>
            </w:r>
          </w:p>
        </w:tc>
        <w:tc>
          <w:tcPr>
            <w:tcW w:type="dxa" w:w="1440"/>
            <w:shd w:fill="FAFAFA" w:val="clear"/>
          </w:tcPr>
          <w:p>
            <w:r>
              <w:rPr>
                <w:sz w:val="17"/>
              </w:rPr>
              <w:t>2026-10-14</w:t>
            </w:r>
          </w:p>
        </w:tc>
        <w:tc>
          <w:tcPr>
            <w:tcW w:type="dxa" w:w="1440"/>
            <w:shd w:fill="FAFAFA" w:val="clear"/>
          </w:tcPr>
          <w:p>
            <w:r>
              <w:rPr>
                <w:sz w:val="17"/>
              </w:rPr>
              <w:t>14,163</w:t>
            </w:r>
          </w:p>
        </w:tc>
        <w:tc>
          <w:tcPr>
            <w:tcW w:type="dxa" w:w="1440"/>
            <w:shd w:fill="FAFAFA" w:val="clear"/>
          </w:tcPr>
          <w:p>
            <w:r>
              <w:rPr>
                <w:b/>
                <w:sz w:val="17"/>
              </w:rPr>
              <w:t>15,182</w:t>
            </w:r>
          </w:p>
        </w:tc>
        <w:tc>
          <w:tcPr>
            <w:tcW w:type="dxa" w:w="1440"/>
            <w:shd w:fill="FAFAFA" w:val="clear"/>
          </w:tcPr>
          <w:p>
            <w:r>
              <w:rPr>
                <w:sz w:val="17"/>
              </w:rPr>
              <w:t>16,202</w:t>
            </w:r>
          </w:p>
        </w:tc>
        <w:tc>
          <w:tcPr>
            <w:tcW w:type="dxa" w:w="1440"/>
            <w:shd w:fill="FAFAFA" w:val="clear"/>
          </w:tcPr>
          <w:p>
            <w:r>
              <w:rPr>
                <w:b/>
                <w:color w:val="008000"/>
                <w:sz w:val="17"/>
              </w:rPr>
              <w:t>+1.2%</w:t>
            </w:r>
          </w:p>
        </w:tc>
      </w:tr>
      <w:tr>
        <w:tc>
          <w:tcPr>
            <w:tcW w:type="dxa" w:w="1440"/>
            <w:shd w:fill="FAFAFA" w:val="clear"/>
          </w:tcPr>
          <w:p>
            <w:r>
              <w:rPr>
                <w:sz w:val="17"/>
              </w:rPr>
              <w:t>J+3  ⭐</w:t>
            </w:r>
          </w:p>
        </w:tc>
        <w:tc>
          <w:tcPr>
            <w:tcW w:type="dxa" w:w="1440"/>
            <w:shd w:fill="FAFAFA" w:val="clear"/>
          </w:tcPr>
          <w:p>
            <w:r>
              <w:rPr>
                <w:sz w:val="17"/>
              </w:rPr>
              <w:t>2026-10-15</w:t>
            </w:r>
          </w:p>
        </w:tc>
        <w:tc>
          <w:tcPr>
            <w:tcW w:type="dxa" w:w="1440"/>
            <w:shd w:fill="FAFAFA" w:val="clear"/>
          </w:tcPr>
          <w:p>
            <w:r>
              <w:rPr>
                <w:sz w:val="17"/>
              </w:rPr>
              <w:t>13,924</w:t>
            </w:r>
          </w:p>
        </w:tc>
        <w:tc>
          <w:tcPr>
            <w:tcW w:type="dxa" w:w="1440"/>
            <w:shd w:fill="FAFAFA" w:val="clear"/>
          </w:tcPr>
          <w:p>
            <w:r>
              <w:rPr>
                <w:b/>
                <w:sz w:val="17"/>
              </w:rPr>
              <w:t>15,172</w:t>
            </w:r>
          </w:p>
        </w:tc>
        <w:tc>
          <w:tcPr>
            <w:tcW w:type="dxa" w:w="1440"/>
            <w:shd w:fill="FAFAFA" w:val="clear"/>
          </w:tcPr>
          <w:p>
            <w:r>
              <w:rPr>
                <w:sz w:val="17"/>
              </w:rPr>
              <w:t>16,419</w:t>
            </w:r>
          </w:p>
        </w:tc>
        <w:tc>
          <w:tcPr>
            <w:tcW w:type="dxa" w:w="1440"/>
            <w:shd w:fill="FAFAFA" w:val="clear"/>
          </w:tcPr>
          <w:p>
            <w:r>
              <w:rPr>
                <w:b/>
                <w:color w:val="008000"/>
                <w:sz w:val="17"/>
              </w:rPr>
              <w:t>+1.1%</w:t>
            </w:r>
          </w:p>
        </w:tc>
      </w:tr>
      <w:tr>
        <w:tc>
          <w:tcPr>
            <w:tcW w:type="dxa" w:w="1440"/>
            <w:shd w:fill="FAFAFA" w:val="clear"/>
          </w:tcPr>
          <w:p>
            <w:r>
              <w:rPr>
                <w:sz w:val="17"/>
              </w:rPr>
              <w:t>J+4  ⭐</w:t>
            </w:r>
          </w:p>
        </w:tc>
        <w:tc>
          <w:tcPr>
            <w:tcW w:type="dxa" w:w="1440"/>
            <w:shd w:fill="FAFAFA" w:val="clear"/>
          </w:tcPr>
          <w:p>
            <w:r>
              <w:rPr>
                <w:sz w:val="17"/>
              </w:rPr>
              <w:t>2026-10-16</w:t>
            </w:r>
          </w:p>
        </w:tc>
        <w:tc>
          <w:tcPr>
            <w:tcW w:type="dxa" w:w="1440"/>
            <w:shd w:fill="FAFAFA" w:val="clear"/>
          </w:tcPr>
          <w:p>
            <w:r>
              <w:rPr>
                <w:sz w:val="17"/>
              </w:rPr>
              <w:t>13,727</w:t>
            </w:r>
          </w:p>
        </w:tc>
        <w:tc>
          <w:tcPr>
            <w:tcW w:type="dxa" w:w="1440"/>
            <w:shd w:fill="FAFAFA" w:val="clear"/>
          </w:tcPr>
          <w:p>
            <w:r>
              <w:rPr>
                <w:b/>
                <w:sz w:val="17"/>
              </w:rPr>
              <w:t>15,167</w:t>
            </w:r>
          </w:p>
        </w:tc>
        <w:tc>
          <w:tcPr>
            <w:tcW w:type="dxa" w:w="1440"/>
            <w:shd w:fill="FAFAFA" w:val="clear"/>
          </w:tcPr>
          <w:p>
            <w:r>
              <w:rPr>
                <w:sz w:val="17"/>
              </w:rPr>
              <w:t>16,607</w:t>
            </w:r>
          </w:p>
        </w:tc>
        <w:tc>
          <w:tcPr>
            <w:tcW w:type="dxa" w:w="1440"/>
            <w:shd w:fill="FAFAFA" w:val="clear"/>
          </w:tcPr>
          <w:p>
            <w:r>
              <w:rPr>
                <w:b/>
                <w:color w:val="008000"/>
                <w:sz w:val="17"/>
              </w:rPr>
              <w:t>+1.1%</w:t>
            </w:r>
          </w:p>
        </w:tc>
      </w:tr>
      <w:tr>
        <w:tc>
          <w:tcPr>
            <w:tcW w:type="dxa" w:w="1440"/>
            <w:shd w:fill="FAFAFA" w:val="clear"/>
          </w:tcPr>
          <w:p>
            <w:r>
              <w:rPr>
                <w:sz w:val="17"/>
              </w:rPr>
              <w:t>J+5  ⭐</w:t>
            </w:r>
          </w:p>
        </w:tc>
        <w:tc>
          <w:tcPr>
            <w:tcW w:type="dxa" w:w="1440"/>
            <w:shd w:fill="FAFAFA" w:val="clear"/>
          </w:tcPr>
          <w:p>
            <w:r>
              <w:rPr>
                <w:sz w:val="17"/>
              </w:rPr>
              <w:t>2026-10-19</w:t>
            </w:r>
          </w:p>
        </w:tc>
        <w:tc>
          <w:tcPr>
            <w:tcW w:type="dxa" w:w="1440"/>
            <w:shd w:fill="FAFAFA" w:val="clear"/>
          </w:tcPr>
          <w:p>
            <w:r>
              <w:rPr>
                <w:sz w:val="17"/>
              </w:rPr>
              <w:t>13,554</w:t>
            </w:r>
          </w:p>
        </w:tc>
        <w:tc>
          <w:tcPr>
            <w:tcW w:type="dxa" w:w="1440"/>
            <w:shd w:fill="FAFAFA" w:val="clear"/>
          </w:tcPr>
          <w:p>
            <w:r>
              <w:rPr>
                <w:b/>
                <w:sz w:val="17"/>
              </w:rPr>
              <w:t>15,164</w:t>
            </w:r>
          </w:p>
        </w:tc>
        <w:tc>
          <w:tcPr>
            <w:tcW w:type="dxa" w:w="1440"/>
            <w:shd w:fill="FAFAFA" w:val="clear"/>
          </w:tcPr>
          <w:p>
            <w:r>
              <w:rPr>
                <w:sz w:val="17"/>
              </w:rPr>
              <w:t>16,774</w:t>
            </w:r>
          </w:p>
        </w:tc>
        <w:tc>
          <w:tcPr>
            <w:tcW w:type="dxa" w:w="1440"/>
            <w:shd w:fill="FAFAFA" w:val="clear"/>
          </w:tcPr>
          <w:p>
            <w:r>
              <w:rPr>
                <w:b/>
                <w:color w:val="008000"/>
                <w:sz w:val="17"/>
              </w:rPr>
              <w:t>+1.1%</w:t>
            </w:r>
          </w:p>
        </w:tc>
      </w:tr>
      <w:tr>
        <w:tc>
          <w:tcPr>
            <w:tcW w:type="dxa" w:w="1440"/>
            <w:shd w:fill="FAFAFA" w:val="clear"/>
          </w:tcPr>
          <w:p>
            <w:r>
              <w:rPr>
                <w:sz w:val="17"/>
              </w:rPr>
              <w:t>J+6  ⭐</w:t>
            </w:r>
          </w:p>
        </w:tc>
        <w:tc>
          <w:tcPr>
            <w:tcW w:type="dxa" w:w="1440"/>
            <w:shd w:fill="FAFAFA" w:val="clear"/>
          </w:tcPr>
          <w:p>
            <w:r>
              <w:rPr>
                <w:sz w:val="17"/>
              </w:rPr>
              <w:t>2026-10-20</w:t>
            </w:r>
          </w:p>
        </w:tc>
        <w:tc>
          <w:tcPr>
            <w:tcW w:type="dxa" w:w="1440"/>
            <w:shd w:fill="FAFAFA" w:val="clear"/>
          </w:tcPr>
          <w:p>
            <w:r>
              <w:rPr>
                <w:sz w:val="17"/>
              </w:rPr>
              <w:t>13,397</w:t>
            </w:r>
          </w:p>
        </w:tc>
        <w:tc>
          <w:tcPr>
            <w:tcW w:type="dxa" w:w="1440"/>
            <w:shd w:fill="FAFAFA" w:val="clear"/>
          </w:tcPr>
          <w:p>
            <w:r>
              <w:rPr>
                <w:b/>
                <w:sz w:val="17"/>
              </w:rPr>
              <w:t>15,160</w:t>
            </w:r>
          </w:p>
        </w:tc>
        <w:tc>
          <w:tcPr>
            <w:tcW w:type="dxa" w:w="1440"/>
            <w:shd w:fill="FAFAFA" w:val="clear"/>
          </w:tcPr>
          <w:p>
            <w:r>
              <w:rPr>
                <w:sz w:val="17"/>
              </w:rPr>
              <w:t>16,923</w:t>
            </w:r>
          </w:p>
        </w:tc>
        <w:tc>
          <w:tcPr>
            <w:tcW w:type="dxa" w:w="1440"/>
            <w:shd w:fill="FAFAFA" w:val="clear"/>
          </w:tcPr>
          <w:p>
            <w:r>
              <w:rPr>
                <w:b/>
                <w:color w:val="008000"/>
                <w:sz w:val="17"/>
              </w:rPr>
              <w:t>+1.1%</w:t>
            </w:r>
          </w:p>
        </w:tc>
      </w:tr>
      <w:tr>
        <w:tc>
          <w:tcPr>
            <w:tcW w:type="dxa" w:w="1440"/>
            <w:shd w:fill="FAFAFA" w:val="clear"/>
          </w:tcPr>
          <w:p>
            <w:r>
              <w:rPr>
                <w:sz w:val="17"/>
              </w:rPr>
              <w:t>J+7  ⭐</w:t>
            </w:r>
          </w:p>
        </w:tc>
        <w:tc>
          <w:tcPr>
            <w:tcW w:type="dxa" w:w="1440"/>
            <w:shd w:fill="FAFAFA" w:val="clear"/>
          </w:tcPr>
          <w:p>
            <w:r>
              <w:rPr>
                <w:sz w:val="17"/>
              </w:rPr>
              <w:t>2026-10-21</w:t>
            </w:r>
          </w:p>
        </w:tc>
        <w:tc>
          <w:tcPr>
            <w:tcW w:type="dxa" w:w="1440"/>
            <w:shd w:fill="FAFAFA" w:val="clear"/>
          </w:tcPr>
          <w:p>
            <w:r>
              <w:rPr>
                <w:sz w:val="17"/>
              </w:rPr>
              <w:t>13,253</w:t>
            </w:r>
          </w:p>
        </w:tc>
        <w:tc>
          <w:tcPr>
            <w:tcW w:type="dxa" w:w="1440"/>
            <w:shd w:fill="FAFAFA" w:val="clear"/>
          </w:tcPr>
          <w:p>
            <w:r>
              <w:rPr>
                <w:b/>
                <w:sz w:val="17"/>
              </w:rPr>
              <w:t>15,157</w:t>
            </w:r>
          </w:p>
        </w:tc>
        <w:tc>
          <w:tcPr>
            <w:tcW w:type="dxa" w:w="1440"/>
            <w:shd w:fill="FAFAFA" w:val="clear"/>
          </w:tcPr>
          <w:p>
            <w:r>
              <w:rPr>
                <w:sz w:val="17"/>
              </w:rPr>
              <w:t>17,060</w:t>
            </w:r>
          </w:p>
        </w:tc>
        <w:tc>
          <w:tcPr>
            <w:tcW w:type="dxa" w:w="1440"/>
            <w:shd w:fill="FAFAFA" w:val="clear"/>
          </w:tcPr>
          <w:p>
            <w:r>
              <w:rPr>
                <w:b/>
                <w:color w:val="008000"/>
                <w:sz w:val="17"/>
              </w:rPr>
              <w:t>+1.0%</w:t>
            </w:r>
          </w:p>
        </w:tc>
      </w:tr>
      <w:tr>
        <w:tc>
          <w:tcPr>
            <w:tcW w:type="dxa" w:w="1440"/>
            <w:shd w:fill="FAFAFA" w:val="clear"/>
          </w:tcPr>
          <w:p>
            <w:r>
              <w:rPr>
                <w:sz w:val="17"/>
              </w:rPr>
              <w:t>J+8  ⭐</w:t>
            </w:r>
          </w:p>
        </w:tc>
        <w:tc>
          <w:tcPr>
            <w:tcW w:type="dxa" w:w="1440"/>
            <w:shd w:fill="FAFAFA" w:val="clear"/>
          </w:tcPr>
          <w:p>
            <w:r>
              <w:rPr>
                <w:sz w:val="17"/>
              </w:rPr>
              <w:t>2026-10-22</w:t>
            </w:r>
          </w:p>
        </w:tc>
        <w:tc>
          <w:tcPr>
            <w:tcW w:type="dxa" w:w="1440"/>
            <w:shd w:fill="FAFAFA" w:val="clear"/>
          </w:tcPr>
          <w:p>
            <w:r>
              <w:rPr>
                <w:sz w:val="17"/>
              </w:rPr>
              <w:t>13,118</w:t>
            </w:r>
          </w:p>
        </w:tc>
        <w:tc>
          <w:tcPr>
            <w:tcW w:type="dxa" w:w="1440"/>
            <w:shd w:fill="FAFAFA" w:val="clear"/>
          </w:tcPr>
          <w:p>
            <w:r>
              <w:rPr>
                <w:b/>
                <w:sz w:val="17"/>
              </w:rPr>
              <w:t>15,153</w:t>
            </w:r>
          </w:p>
        </w:tc>
        <w:tc>
          <w:tcPr>
            <w:tcW w:type="dxa" w:w="1440"/>
            <w:shd w:fill="FAFAFA" w:val="clear"/>
          </w:tcPr>
          <w:p>
            <w:r>
              <w:rPr>
                <w:sz w:val="17"/>
              </w:rPr>
              <w:t>17,187</w:t>
            </w:r>
          </w:p>
        </w:tc>
        <w:tc>
          <w:tcPr>
            <w:tcW w:type="dxa" w:w="1440"/>
            <w:shd w:fill="FAFAFA" w:val="clear"/>
          </w:tcPr>
          <w:p>
            <w:r>
              <w:rPr>
                <w:b/>
                <w:color w:val="008000"/>
                <w:sz w:val="17"/>
              </w:rPr>
              <w:t>+1.0%</w:t>
            </w:r>
          </w:p>
        </w:tc>
      </w:tr>
      <w:tr>
        <w:tc>
          <w:tcPr>
            <w:tcW w:type="dxa" w:w="1440"/>
            <w:shd w:fill="FAFAFA" w:val="clear"/>
          </w:tcPr>
          <w:p>
            <w:r>
              <w:rPr>
                <w:sz w:val="17"/>
              </w:rPr>
              <w:t>J+9  ⭐</w:t>
            </w:r>
          </w:p>
        </w:tc>
        <w:tc>
          <w:tcPr>
            <w:tcW w:type="dxa" w:w="1440"/>
            <w:shd w:fill="FAFAFA" w:val="clear"/>
          </w:tcPr>
          <w:p>
            <w:r>
              <w:rPr>
                <w:sz w:val="17"/>
              </w:rPr>
              <w:t>2026-10-23</w:t>
            </w:r>
          </w:p>
        </w:tc>
        <w:tc>
          <w:tcPr>
            <w:tcW w:type="dxa" w:w="1440"/>
            <w:shd w:fill="FAFAFA" w:val="clear"/>
          </w:tcPr>
          <w:p>
            <w:r>
              <w:rPr>
                <w:sz w:val="17"/>
              </w:rPr>
              <w:t>12,991</w:t>
            </w:r>
          </w:p>
        </w:tc>
        <w:tc>
          <w:tcPr>
            <w:tcW w:type="dxa" w:w="1440"/>
            <w:shd w:fill="FAFAFA" w:val="clear"/>
          </w:tcPr>
          <w:p>
            <w:r>
              <w:rPr>
                <w:b/>
                <w:sz w:val="17"/>
              </w:rPr>
              <w:t>15,149</w:t>
            </w:r>
          </w:p>
        </w:tc>
        <w:tc>
          <w:tcPr>
            <w:tcW w:type="dxa" w:w="1440"/>
            <w:shd w:fill="FAFAFA" w:val="clear"/>
          </w:tcPr>
          <w:p>
            <w:r>
              <w:rPr>
                <w:sz w:val="17"/>
              </w:rPr>
              <w:t>17,306</w:t>
            </w:r>
          </w:p>
        </w:tc>
        <w:tc>
          <w:tcPr>
            <w:tcW w:type="dxa" w:w="1440"/>
            <w:shd w:fill="FAFAFA" w:val="clear"/>
          </w:tcPr>
          <w:p>
            <w:r>
              <w:rPr>
                <w:b/>
                <w:color w:val="008000"/>
                <w:sz w:val="17"/>
              </w:rPr>
              <w:t>+1.0%</w:t>
            </w:r>
          </w:p>
        </w:tc>
      </w:tr>
      <w:tr>
        <w:tc>
          <w:tcPr>
            <w:tcW w:type="dxa" w:w="1440"/>
            <w:shd w:fill="FAFAFA" w:val="clear"/>
          </w:tcPr>
          <w:p>
            <w:r>
              <w:rPr>
                <w:sz w:val="17"/>
              </w:rPr>
              <w:t>J+10  ⭐</w:t>
            </w:r>
          </w:p>
        </w:tc>
        <w:tc>
          <w:tcPr>
            <w:tcW w:type="dxa" w:w="1440"/>
            <w:shd w:fill="FAFAFA" w:val="clear"/>
          </w:tcPr>
          <w:p>
            <w:r>
              <w:rPr>
                <w:sz w:val="17"/>
              </w:rPr>
              <w:t>2026-10-26</w:t>
            </w:r>
          </w:p>
        </w:tc>
        <w:tc>
          <w:tcPr>
            <w:tcW w:type="dxa" w:w="1440"/>
            <w:shd w:fill="FAFAFA" w:val="clear"/>
          </w:tcPr>
          <w:p>
            <w:r>
              <w:rPr>
                <w:sz w:val="17"/>
              </w:rPr>
              <w:t>12,872</w:t>
            </w:r>
          </w:p>
        </w:tc>
        <w:tc>
          <w:tcPr>
            <w:tcW w:type="dxa" w:w="1440"/>
            <w:shd w:fill="FAFAFA" w:val="clear"/>
          </w:tcPr>
          <w:p>
            <w:r>
              <w:rPr>
                <w:b/>
                <w:sz w:val="17"/>
              </w:rPr>
              <w:t>15,145</w:t>
            </w:r>
          </w:p>
        </w:tc>
        <w:tc>
          <w:tcPr>
            <w:tcW w:type="dxa" w:w="1440"/>
            <w:shd w:fill="FAFAFA" w:val="clear"/>
          </w:tcPr>
          <w:p>
            <w:r>
              <w:rPr>
                <w:sz w:val="17"/>
              </w:rPr>
              <w:t>17,419</w:t>
            </w:r>
          </w:p>
        </w:tc>
        <w:tc>
          <w:tcPr>
            <w:tcW w:type="dxa" w:w="1440"/>
            <w:shd w:fill="FAFAFA" w:val="clear"/>
          </w:tcPr>
          <w:p>
            <w:r>
              <w:rPr>
                <w:b/>
                <w:color w:val="008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 RAPPORT D'ANALYSE FINANCIÈRE — NESTLÉ CÔTE D'IVOIRE (NTLC)</w:t>
        <w:br/>
        <w:t>**Bourse Régionale des Valeurs Mobilières (BRVM) — Secteur : Biens de consommation / Agroalimentaire**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331,06 milliards FCFA, NTLC figure parmi les valeurs les plus capitalisées de la BRVM, ce qui en fait un pilier de l'indice BRVM Composite et un titre de référence pour les investisseurs institutionnels. Le BPA de 835 FCFA/action signifie que chaque titre génère près de 835 FCFA de bénéfice net, un niveau confortable qui traduit la forte rentabilité intrinsèque de l'entreprise. Le PER de 18,0x se situe nettement au-dessus de la moyenne du marché BRVM (généralement comprise entre 8x et 12x), ce qui indique que les investisseurs acceptent de payer une prime significative pour cette valeur défensive et de qualité — une prime justifiée par la solidité de la marque Nestlé, mais qui limite le potentiel de revalorisation à court terme. Le P/B de 11,19x est particulièrement élevé (largement supérieur au seuil de 4x), signe que le marché valorise très fortement les actifs immatériels (marques, savoir-faire, réseau de distribution) qui ne figurent pas au bilan comptable — cette prime exigeante constitue un risque de correction en cas de déception sur les résultats. Enfin, l'EV/EBITDA de 9,1x, situé dans la fourchette raisonnable de 5-10x, montre que la valeur totale de l'entreprise (dette incluse) reste cohérente avec sa capacité opérationnelle à générer des flux, offrant un contrepoids rassurant aux deux ratios précédents.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NTLC a enregistré une progression totale de +27,12%, avec un cours actuel de 15 000 FCFA et une variation nulle en dernière séance (J-1 : +0,00%), signe d'une stabilisation après le mouvement haussier. Le range de trading s'établit entre un plus bas de 11 800 FCFA et un plus haut de 18 000 FCFA, soit une amplitude de 6 200 FCFA (52% du plus bas), ce qui témoigne d'une volatilité intra-période significative malgré la tendance globalement haussière. La moyenne du cours sur la période (15 637 FCFA) est inférieure à la médiane (15 995 FCFA), un écart qui confirme l'asymétrie négative révélée par le skewness de -0,989 : le cours a passé davantage de séances au-dessus de sa moyenne, mais quelques journées de forte baisse ont tiré la moyenne vers le bas — un profil typique d'un titre ayant subi une correction ponctuelle après un pic. L'écart-type de 1 366 FCFA avec un coefficient de variation de 8,7% indique une dispersion modérée du cours autour de sa moyenne, tandis que le kurtosis de 0,365 (mésokurtique) suggère une distribution proche de la normale, sans risque excessif de pics extrêmes. La volatilité annualisée de 36,4% classe ce titre dans la catégorie des valeurs à volatilité élevée (&gt;30%), ce qui est cohérent avec la nature défensive mais néanmoins sensible aux annonces de résultats de NTLC. Le mode à 16 900 FCFA, nettement supérieur au cours actuel, suggère que le titre évoluait récemment dans une zone de prix plus élevée avant de se replier vers 15 000 FCFA, ce qui pourrait indiquer une opportunité de rebond ou au contraire une poursuite de la correction.</w:t>
      </w:r>
    </w:p>
    <w:p>
      <w:pPr>
        <w:spacing w:after="120" w:line="276" w:lineRule="auto"/>
      </w:pPr>
      <w:r>
        <w:t>---</w:t>
      </w:r>
    </w:p>
    <w:p>
      <w:pPr>
        <w:spacing w:after="120" w:line="276" w:lineRule="auto"/>
      </w:pPr>
      <w:r>
        <w:t>## PARTIE 2 : ANALYSE TECHNIQUE DÉTAILLÉE</w:t>
      </w:r>
    </w:p>
    <w:p>
      <w:pPr>
        <w:spacing w:after="120" w:line="276" w:lineRule="auto"/>
      </w:pPr>
      <w:r>
        <w:t>**Moyennes Mobiles** : La MM20 (15 501,5 FCFA) et la MM50 (16 326,4 FCFA) encadrent le cours actuel de 15 000 FCFA, qui se situe en dessous des deux moyennes — configuration baissière caractéristique. La MM20 étant elle-même inférieure à la MM50, on observe un croisement baissier (death cross) qui confirme la pression vendeuse de moyen terme. La décision technique qui en résulte est logiquement **Vente**, le cours n'ayant pas encore trouvé de support durable pour inverser cette dynamique.</w:t>
      </w:r>
    </w:p>
    <w:p>
      <w:pPr>
        <w:spacing w:after="120" w:line="276" w:lineRule="auto"/>
      </w:pPr>
      <w:r>
        <w:t>**Bandes de Bollinger** : Le cours actuel (15 000 FCFA) se situe dans la partie basse de la bande, entre la borne inférieure (14 193,13 FCFA) et la borne supérieure (16 809,87 FCFA), sans avoir atteint la borne basse — ce qui traduit une pression baissière modérée mais non extrême. L'amplitude de la bande (2 616,74 FCFA) reflète une volatilité encore présente, et la décision **Neutre** indique que le titre n'est ni en zone de survente technique (qui déclencherait un signal d'achat) ni en zone de surachat, laissant la porte ouverte à une poursuite de la consolidation.</w:t>
      </w:r>
    </w:p>
    <w:p>
      <w:pPr>
        <w:spacing w:after="120" w:line="276" w:lineRule="auto"/>
      </w:pPr>
      <w:r>
        <w:t>**MACD** : La valeur du MACD (-348,293) est supérieure à son signal (-363,865), formant un croisement haussier (la ligne MACD repasse au-dessus de sa ligne de signal) bien que les deux restent en territoire négatif. Ce croisement, bien que précoce, suggère un essoufflement de la dynamique baissière et un possible retournement du momentum à court terme, justifiant la décision **Achat** — mais ce signal doit être confirmé par un passage en territoire positif pour être pleinement validé.</w:t>
      </w:r>
    </w:p>
    <w:p>
      <w:pPr>
        <w:spacing w:after="120" w:line="276" w:lineRule="auto"/>
      </w:pPr>
      <w:r>
        <w:t>**RSI** : À 39,474, le RSI se situe dans la zone neutre basse (30-70), sans atteindre le seuil de survente (&lt;30) qui déclencherait un signal d'achat fort. Cette position indique que le titre n'est pas encore survendu et conserve un potentiel de baisse résiduel, mais la proximité de la zone de survente suggère que la pression vendeuse s'épuise progressivement — d'où la décision **Neutre**.</w:t>
      </w:r>
    </w:p>
    <w:p>
      <w:pPr>
        <w:spacing w:after="120" w:line="276" w:lineRule="auto"/>
      </w:pPr>
      <w:r>
        <w:t>**Stochastique** : Le %K (50,0) et le %D (51,598) évoluent tous deux autour de la zone médiane (50), avec un %K légèrement inférieur au %D — configuration neutre sans croisement significatif. L'absence de divergence claire et la position centrale des deux lignes confirment l'absence de signal directionnel fort, justifiant la décision **Neutre**.</w:t>
      </w:r>
    </w:p>
    <w:p>
      <w:pPr>
        <w:spacing w:after="120" w:line="276" w:lineRule="auto"/>
      </w:pPr>
      <w:r>
        <w:t>**Conclusion technique** : Les indicateurs techniques présentent un tableau mitigé, avec une majorité de signaux neutres (Bollinger, RSI, Stochastique) et une divergence entre les signaux baissiers (Moyennes Mobiles) et haussiers (MACD). Le titre se trouve dans une phase de consolidation après sa correction depuis le pic de 18 000 FCFA, avec un momentum baissier qui s'essouffle (MACD haussier) mais sans confirmation d'un retournement durable (RSI et Stochastique neutres). La prudence reste de mise tant que le cours n'aura pas reconquis la MM20 (15 501 FCFA) avec conviction.</w:t>
      </w:r>
    </w:p>
    <w:p>
      <w:pPr>
        <w:spacing w:after="120" w:line="276" w:lineRule="auto"/>
      </w:pPr>
      <w:r>
        <w:t>---</w:t>
      </w:r>
    </w:p>
    <w:p>
      <w:pPr>
        <w:spacing w:after="120" w:line="276" w:lineRule="auto"/>
      </w:pPr>
      <w:r>
        <w:t>## PARTIE 3 : ANALYSE FONDAMENTALE</w:t>
      </w:r>
    </w:p>
    <w:p>
      <w:pPr>
        <w:spacing w:after="120" w:line="276" w:lineRule="auto"/>
      </w:pPr>
      <w:r>
        <w:t>**Données structurées (états financiers annuels 2025)** : En 2025, Nestlé Côte d'Ivoire a réalisé un chiffre d'affaires de 233,261 milliards FCFA, en croissance de 5,97% par rapport à 2024, portée par la progression des ventes de produits fabriqués (+6,3%). Le résultat net s'établit à 18,427 milliards FCFA, en légère hausse de 1,53%, avec une marge nette de 7,90% (contre 8,25% en 2024), traduisant une compression modérée de la rentabilité sous l'effet de la hausse des charges (impôts et taxes ayant presque doublé, passant de 4 à 7,5 milliards FCFA). Le ROE atteint un niveau exceptionnel de 62,28%, bien au-dessus du seuil de 15% considéré comme excellent, tandis que le ROA de 9,70% reflète la forte rotation des actifs (122,80%). Sur le plan de la structure financière, l'autonomie financière est faible (15,58%), avec un ratio d'endettement de 135,85% et une trésorerie nette négative de -46,831 milliards FCFA — un point de vigilance majeur. Le BFR est positif à 22,625 milliards FCFA (défavorable pour une entreprise), avec des délais clients élevés de 74,30 jours et une durée de stockage de 59,39 jours, ce qui immobilise du capital et pèse sur la trésorerie. La couverture des intérêts reste confortable à 473,63%, mais le coût du risque (3,41%) et la liquidité générale (79,86%, inférieure à 1) signalent une tension sur la liquidité à court terme.</w:t>
      </w:r>
    </w:p>
    <w:p>
      <w:pPr>
        <w:spacing w:after="120" w:line="276" w:lineRule="auto"/>
      </w:pPr>
      <w:r>
        <w:t>**Estimations basées sur les rapports trimestriels** : Le rapport du T1 2026 (arrêté au 31 mars 2026, analysé le 1er mai 2026) révèle une accélération spectaculaire de l'activité, avec un chiffre d'affaires de 70,82 milliards FCFA en hausse de +31% sur un an et un résultat net de 7,53 milliards FCFA en progression de +37%, portant la marge nette à 10,6% (contre 10,1% au T1 2025). Sur la base de cette dynamique, on peut estimer que l'exercice 2026 devrait afficher une croissance du chiffre d'affaires nettement supérieure à celle de 2025 (potentiellement +15% à +20% si la tendance se maintient), avec une amélioration de la marge nette vers 9-10%. Le rapport annuel 2025 (analysé le 1er mai 2026) confirme la stratégie de réinvestissement avec une réduction du dividende distribué (9,27 milliards FCFA contre 18,10 milliards en 2024, soit un payout de 50,3% contre 99,7%), et un report à nouveau massif de 9,22 milliards FCFA destiné à financer la croissance future. Les rapports antérieurs (T3 2025, S1 2025, T1 2025) montrent une dégradation de la rentabilité en 2025 (marge nette de 6,9% à fin septembre 2025), suivie d'un redressement remarquable au T1 2026 — confirmant la capacité de l'entreprise à surmonter les pressions inflationnistes sur les matières premières (café vert +60% au S1 2025). **Recommandation fondamentale** : la solidité du modèle Nestlé (marque, distribution, rentabilité) est indéniable, mais les risques liés à l'endettement élevé, à la trésorerie négative et à la dépendance aux matières premières incitent à la prudence — la dynamique du T1 2026 est encourageante et pourrait justifier une revalorisation du titre si elle se confirme sur l'ensemble de l'exercice.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**Sur le plan de la valorisation (Partie 0)**, le PER de 18,0x et le P/B de 11,19x indiquent une surévaluation relative par rapport au marché BRVM, bien que l'EV/EBITDA de 9,1x reste raisonnable — le titre intègre déjà une prime de qualité qui limite le potentiel de hausse à court terme. **Le comportement du cours (Partie 1)** montre une tendance haussière sur 100 jours (+27,12%) mais une correction récente depuis le pic de 18 000 FCFA, avec une volatilité élevée (36,4%) et une asymétrie négative (skewness -0,989) qui suggèrent que le titre pourrait encore subir des pressions baissières avant de retrouver son élan. **Les signaux techniques (Partie 2)** sont mitigés : les moyennes mobiles sont baissières (death cross), mais le MACD haussier et les indicateurs neutres (RSI, Stochastique, Bollinger) dessinent une possible zone de retournement — la convergence n'est pas encore établie. **Les fondamentaux (Partie 3)** sont solides avec un ROE exceptionnel de 62,28% et une accélération spectaculaire au T1 2026 (+31% de CA, +37% de résultat net), mais les risques de trésorerie (trésorerie nette négative de -46,8 milliards FCFA) et d'endettement (135,85%) tempèrent l'optimisme. **Les prédictions IA (J+1 à J+10)** anticipent une légère baisse du cours vers 15 164-15 217 FCFA, confirmant la phase de consolidation actuelle sans effondrement. **Recommandation finale : CONSERVER** — le titre offre une qualité fondamentale indéniable et une dynamique trimestrielle prometteuse, mais la surévaluation relative (PER 18x, P/B 11,19x) et les signaux techniques baissiers à court terme ne justifient pas un achat agressif à 15 000 FCFA. Les investisseurs déjà positionnés peuvent conserver leurs titres en attendant la confirmation de la tendance haussière (reconquête de la MM20 à 15 501 FCFA) et la publication des résultats semestriels 2026, qui devraient valider ou infirmer l'accélération du T1. **Niveau de confiance : Moyen** — la convergence entre fondamentaux solides et technique baissière crée une incertitude qui nécessite une surveillance active. **Niveau de risque global : Moyen à Élevé** — la volatilité du titre (36,4%) et les tensions de trésorerie de l'entreprise constituent des facteurs de risque non négligeables. **Horizon d'investissement optimal : Moyen terme (3-12 mois)** — le temps que la dynamique du T1 2026 se confirme et que les indicateurs techniques se retournent durablement à la hausse.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23.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204.00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6,184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007800"/>
                <w:sz w:val="17"/>
              </w:rPr>
              <w:t>+5.08%</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2,675 FCFA</w:t>
            </w:r>
          </w:p>
          <w:p>
            <w:r>
              <w:rPr>
                <w:b/>
                <w:color w:val="503200"/>
                <w:sz w:val="16"/>
              </w:rPr>
              <w:t xml:space="preserve">Volatilité ann. : </w:t>
            </w:r>
            <w:r>
              <w:rPr>
                <w:color w:val="000000"/>
                <w:sz w:val="17"/>
              </w:rPr>
              <w:t>34.6%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2.82% (Faible) — μ=2,860 FCFA, σ=81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β=0.3757 (Défensif) — Cov=0.000028, Var(idx)=0.000073, ρ=0.147,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6,184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σ_j=2.18%/j (Stable) — Vol. annualisée≈34.6%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2026-10-13</w:t>
            </w:r>
          </w:p>
        </w:tc>
        <w:tc>
          <w:tcPr>
            <w:tcW w:type="dxa" w:w="1440"/>
            <w:shd w:fill="FAFAFA" w:val="clear"/>
          </w:tcPr>
          <w:p>
            <w:r>
              <w:rPr>
                <w:sz w:val="17"/>
              </w:rPr>
              <w:t>2,847</w:t>
            </w:r>
          </w:p>
        </w:tc>
        <w:tc>
          <w:tcPr>
            <w:tcW w:type="dxa" w:w="1440"/>
            <w:shd w:fill="FAFAFA" w:val="clear"/>
          </w:tcPr>
          <w:p>
            <w:r>
              <w:rPr>
                <w:b/>
                <w:sz w:val="17"/>
              </w:rPr>
              <w:t>2,975</w:t>
            </w:r>
          </w:p>
        </w:tc>
        <w:tc>
          <w:tcPr>
            <w:tcW w:type="dxa" w:w="1440"/>
            <w:shd w:fill="FAFAFA" w:val="clear"/>
          </w:tcPr>
          <w:p>
            <w:r>
              <w:rPr>
                <w:sz w:val="17"/>
              </w:rPr>
              <w:t>3,104</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2026-10-14</w:t>
            </w:r>
          </w:p>
        </w:tc>
        <w:tc>
          <w:tcPr>
            <w:tcW w:type="dxa" w:w="1440"/>
            <w:shd w:fill="FAFAFA" w:val="clear"/>
          </w:tcPr>
          <w:p>
            <w:r>
              <w:rPr>
                <w:sz w:val="17"/>
              </w:rPr>
              <w:t>2,789</w:t>
            </w:r>
          </w:p>
        </w:tc>
        <w:tc>
          <w:tcPr>
            <w:tcW w:type="dxa" w:w="1440"/>
            <w:shd w:fill="FAFAFA" w:val="clear"/>
          </w:tcPr>
          <w:p>
            <w:r>
              <w:rPr>
                <w:b/>
                <w:sz w:val="17"/>
              </w:rPr>
              <w:t>2,970</w:t>
            </w:r>
          </w:p>
        </w:tc>
        <w:tc>
          <w:tcPr>
            <w:tcW w:type="dxa" w:w="1440"/>
            <w:shd w:fill="FAFAFA" w:val="clear"/>
          </w:tcPr>
          <w:p>
            <w:r>
              <w:rPr>
                <w:sz w:val="17"/>
              </w:rPr>
              <w:t>3,152</w:t>
            </w:r>
          </w:p>
        </w:tc>
        <w:tc>
          <w:tcPr>
            <w:tcW w:type="dxa" w:w="1440"/>
            <w:shd w:fill="FAFAFA" w:val="clear"/>
          </w:tcPr>
          <w:p>
            <w:r>
              <w:rPr>
                <w:b/>
                <w:color w:val="C00000"/>
                <w:sz w:val="17"/>
              </w:rPr>
              <w:t>-1.0%</w:t>
            </w:r>
          </w:p>
        </w:tc>
      </w:tr>
      <w:tr>
        <w:tc>
          <w:tcPr>
            <w:tcW w:type="dxa" w:w="1440"/>
            <w:shd w:fill="FAFAFA" w:val="clear"/>
          </w:tcPr>
          <w:p>
            <w:r>
              <w:rPr>
                <w:sz w:val="17"/>
              </w:rPr>
              <w:t>J+3  Moyenne</w:t>
            </w:r>
          </w:p>
        </w:tc>
        <w:tc>
          <w:tcPr>
            <w:tcW w:type="dxa" w:w="1440"/>
            <w:shd w:fill="FAFAFA" w:val="clear"/>
          </w:tcPr>
          <w:p>
            <w:r>
              <w:rPr>
                <w:sz w:val="17"/>
              </w:rPr>
              <w:t>2026-10-15</w:t>
            </w:r>
          </w:p>
        </w:tc>
        <w:tc>
          <w:tcPr>
            <w:tcW w:type="dxa" w:w="1440"/>
            <w:shd w:fill="FAFAFA" w:val="clear"/>
          </w:tcPr>
          <w:p>
            <w:r>
              <w:rPr>
                <w:sz w:val="17"/>
              </w:rPr>
              <w:t>2,741</w:t>
            </w:r>
          </w:p>
        </w:tc>
        <w:tc>
          <w:tcPr>
            <w:tcW w:type="dxa" w:w="1440"/>
            <w:shd w:fill="FAFAFA" w:val="clear"/>
          </w:tcPr>
          <w:p>
            <w:r>
              <w:rPr>
                <w:b/>
                <w:sz w:val="17"/>
              </w:rPr>
              <w:t>2,963</w:t>
            </w:r>
          </w:p>
        </w:tc>
        <w:tc>
          <w:tcPr>
            <w:tcW w:type="dxa" w:w="1440"/>
            <w:shd w:fill="FAFAFA" w:val="clear"/>
          </w:tcPr>
          <w:p>
            <w:r>
              <w:rPr>
                <w:sz w:val="17"/>
              </w:rPr>
              <w:t>3,185</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2026-10-16</w:t>
            </w:r>
          </w:p>
        </w:tc>
        <w:tc>
          <w:tcPr>
            <w:tcW w:type="dxa" w:w="1440"/>
            <w:shd w:fill="FAFAFA" w:val="clear"/>
          </w:tcPr>
          <w:p>
            <w:r>
              <w:rPr>
                <w:sz w:val="17"/>
              </w:rPr>
              <w:t>2,699</w:t>
            </w:r>
          </w:p>
        </w:tc>
        <w:tc>
          <w:tcPr>
            <w:tcW w:type="dxa" w:w="1440"/>
            <w:shd w:fill="FAFAFA" w:val="clear"/>
          </w:tcPr>
          <w:p>
            <w:r>
              <w:rPr>
                <w:b/>
                <w:sz w:val="17"/>
              </w:rPr>
              <w:t>2,955</w:t>
            </w:r>
          </w:p>
        </w:tc>
        <w:tc>
          <w:tcPr>
            <w:tcW w:type="dxa" w:w="1440"/>
            <w:shd w:fill="FAFAFA" w:val="clear"/>
          </w:tcPr>
          <w:p>
            <w:r>
              <w:rPr>
                <w:sz w:val="17"/>
              </w:rPr>
              <w:t>3,210</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2026-10-19</w:t>
            </w:r>
          </w:p>
        </w:tc>
        <w:tc>
          <w:tcPr>
            <w:tcW w:type="dxa" w:w="1440"/>
            <w:shd w:fill="FAFAFA" w:val="clear"/>
          </w:tcPr>
          <w:p>
            <w:r>
              <w:rPr>
                <w:sz w:val="17"/>
              </w:rPr>
              <w:t>2,662</w:t>
            </w:r>
          </w:p>
        </w:tc>
        <w:tc>
          <w:tcPr>
            <w:tcW w:type="dxa" w:w="1440"/>
            <w:shd w:fill="FAFAFA" w:val="clear"/>
          </w:tcPr>
          <w:p>
            <w:r>
              <w:rPr>
                <w:b/>
                <w:sz w:val="17"/>
              </w:rPr>
              <w:t>2,947</w:t>
            </w:r>
          </w:p>
        </w:tc>
        <w:tc>
          <w:tcPr>
            <w:tcW w:type="dxa" w:w="1440"/>
            <w:shd w:fill="FAFAFA" w:val="clear"/>
          </w:tcPr>
          <w:p>
            <w:r>
              <w:rPr>
                <w:sz w:val="17"/>
              </w:rPr>
              <w:t>3,232</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2026-10-20</w:t>
            </w:r>
          </w:p>
        </w:tc>
        <w:tc>
          <w:tcPr>
            <w:tcW w:type="dxa" w:w="1440"/>
            <w:shd w:fill="FFDCE0" w:val="clear"/>
          </w:tcPr>
          <w:p>
            <w:r>
              <w:rPr>
                <w:sz w:val="17"/>
              </w:rPr>
              <w:t>2,628</w:t>
            </w:r>
          </w:p>
        </w:tc>
        <w:tc>
          <w:tcPr>
            <w:tcW w:type="dxa" w:w="1440"/>
            <w:shd w:fill="FFDCE0" w:val="clear"/>
          </w:tcPr>
          <w:p>
            <w:r>
              <w:rPr>
                <w:b/>
                <w:sz w:val="17"/>
              </w:rPr>
              <w:t>2,940</w:t>
            </w:r>
          </w:p>
        </w:tc>
        <w:tc>
          <w:tcPr>
            <w:tcW w:type="dxa" w:w="1440"/>
            <w:shd w:fill="FFDCE0" w:val="clear"/>
          </w:tcPr>
          <w:p>
            <w:r>
              <w:rPr>
                <w:sz w:val="17"/>
              </w:rPr>
              <w:t>3,251</w:t>
            </w:r>
          </w:p>
        </w:tc>
        <w:tc>
          <w:tcPr>
            <w:tcW w:type="dxa" w:w="1440"/>
            <w:shd w:fill="FFDCE0" w:val="clear"/>
          </w:tcPr>
          <w:p>
            <w:r>
              <w:rPr>
                <w:b/>
                <w:color w:val="C00000"/>
                <w:sz w:val="17"/>
              </w:rPr>
              <w:t>-2.0%</w:t>
            </w:r>
          </w:p>
        </w:tc>
      </w:tr>
      <w:tr>
        <w:tc>
          <w:tcPr>
            <w:tcW w:type="dxa" w:w="1440"/>
            <w:shd w:fill="FFDCE0" w:val="clear"/>
          </w:tcPr>
          <w:p>
            <w:r>
              <w:rPr>
                <w:sz w:val="17"/>
              </w:rPr>
              <w:t>J+7  ⭐</w:t>
            </w:r>
          </w:p>
        </w:tc>
        <w:tc>
          <w:tcPr>
            <w:tcW w:type="dxa" w:w="1440"/>
            <w:shd w:fill="FFDCE0" w:val="clear"/>
          </w:tcPr>
          <w:p>
            <w:r>
              <w:rPr>
                <w:sz w:val="17"/>
              </w:rPr>
              <w:t>2026-10-21</w:t>
            </w:r>
          </w:p>
        </w:tc>
        <w:tc>
          <w:tcPr>
            <w:tcW w:type="dxa" w:w="1440"/>
            <w:shd w:fill="FFDCE0" w:val="clear"/>
          </w:tcPr>
          <w:p>
            <w:r>
              <w:rPr>
                <w:sz w:val="17"/>
              </w:rPr>
              <w:t>2,597</w:t>
            </w:r>
          </w:p>
        </w:tc>
        <w:tc>
          <w:tcPr>
            <w:tcW w:type="dxa" w:w="1440"/>
            <w:shd w:fill="FFDCE0" w:val="clear"/>
          </w:tcPr>
          <w:p>
            <w:r>
              <w:rPr>
                <w:b/>
                <w:sz w:val="17"/>
              </w:rPr>
              <w:t>2,932</w:t>
            </w:r>
          </w:p>
        </w:tc>
        <w:tc>
          <w:tcPr>
            <w:tcW w:type="dxa" w:w="1440"/>
            <w:shd w:fill="FFDCE0" w:val="clear"/>
          </w:tcPr>
          <w:p>
            <w:r>
              <w:rPr>
                <w:sz w:val="17"/>
              </w:rPr>
              <w:t>3,268</w:t>
            </w:r>
          </w:p>
        </w:tc>
        <w:tc>
          <w:tcPr>
            <w:tcW w:type="dxa" w:w="1440"/>
            <w:shd w:fill="FFDCE0" w:val="clear"/>
          </w:tcPr>
          <w:p>
            <w:r>
              <w:rPr>
                <w:b/>
                <w:color w:val="C00000"/>
                <w:sz w:val="17"/>
              </w:rPr>
              <w:t>-2.3%</w:t>
            </w:r>
          </w:p>
        </w:tc>
      </w:tr>
      <w:tr>
        <w:tc>
          <w:tcPr>
            <w:tcW w:type="dxa" w:w="1440"/>
            <w:shd w:fill="FFDCE0" w:val="clear"/>
          </w:tcPr>
          <w:p>
            <w:r>
              <w:rPr>
                <w:sz w:val="17"/>
              </w:rPr>
              <w:t>J+8  ⭐</w:t>
            </w:r>
          </w:p>
        </w:tc>
        <w:tc>
          <w:tcPr>
            <w:tcW w:type="dxa" w:w="1440"/>
            <w:shd w:fill="FFDCE0" w:val="clear"/>
          </w:tcPr>
          <w:p>
            <w:r>
              <w:rPr>
                <w:sz w:val="17"/>
              </w:rPr>
              <w:t>2026-10-22</w:t>
            </w:r>
          </w:p>
        </w:tc>
        <w:tc>
          <w:tcPr>
            <w:tcW w:type="dxa" w:w="1440"/>
            <w:shd w:fill="FFDCE0" w:val="clear"/>
          </w:tcPr>
          <w:p>
            <w:r>
              <w:rPr>
                <w:sz w:val="17"/>
              </w:rPr>
              <w:t>2,567</w:t>
            </w:r>
          </w:p>
        </w:tc>
        <w:tc>
          <w:tcPr>
            <w:tcW w:type="dxa" w:w="1440"/>
            <w:shd w:fill="FFDCE0" w:val="clear"/>
          </w:tcPr>
          <w:p>
            <w:r>
              <w:rPr>
                <w:b/>
                <w:sz w:val="17"/>
              </w:rPr>
              <w:t>2,925</w:t>
            </w:r>
          </w:p>
        </w:tc>
        <w:tc>
          <w:tcPr>
            <w:tcW w:type="dxa" w:w="1440"/>
            <w:shd w:fill="FFDCE0" w:val="clear"/>
          </w:tcPr>
          <w:p>
            <w:r>
              <w:rPr>
                <w:sz w:val="17"/>
              </w:rPr>
              <w:t>3,283</w:t>
            </w:r>
          </w:p>
        </w:tc>
        <w:tc>
          <w:tcPr>
            <w:tcW w:type="dxa" w:w="1440"/>
            <w:shd w:fill="FFDCE0" w:val="clear"/>
          </w:tcPr>
          <w:p>
            <w:r>
              <w:rPr>
                <w:b/>
                <w:color w:val="C00000"/>
                <w:sz w:val="17"/>
              </w:rPr>
              <w:t>-2.5%</w:t>
            </w:r>
          </w:p>
        </w:tc>
      </w:tr>
      <w:tr>
        <w:tc>
          <w:tcPr>
            <w:tcW w:type="dxa" w:w="1440"/>
            <w:shd w:fill="FFDCE0" w:val="clear"/>
          </w:tcPr>
          <w:p>
            <w:r>
              <w:rPr>
                <w:sz w:val="17"/>
              </w:rPr>
              <w:t>J+9  ⭐</w:t>
            </w:r>
          </w:p>
        </w:tc>
        <w:tc>
          <w:tcPr>
            <w:tcW w:type="dxa" w:w="1440"/>
            <w:shd w:fill="FFDCE0" w:val="clear"/>
          </w:tcPr>
          <w:p>
            <w:r>
              <w:rPr>
                <w:sz w:val="17"/>
              </w:rPr>
              <w:t>2026-10-23</w:t>
            </w:r>
          </w:p>
        </w:tc>
        <w:tc>
          <w:tcPr>
            <w:tcW w:type="dxa" w:w="1440"/>
            <w:shd w:fill="FFDCE0" w:val="clear"/>
          </w:tcPr>
          <w:p>
            <w:r>
              <w:rPr>
                <w:sz w:val="17"/>
              </w:rPr>
              <w:t>2,539</w:t>
            </w:r>
          </w:p>
        </w:tc>
        <w:tc>
          <w:tcPr>
            <w:tcW w:type="dxa" w:w="1440"/>
            <w:shd w:fill="FFDCE0" w:val="clear"/>
          </w:tcPr>
          <w:p>
            <w:r>
              <w:rPr>
                <w:b/>
                <w:sz w:val="17"/>
              </w:rPr>
              <w:t>2,918</w:t>
            </w:r>
          </w:p>
        </w:tc>
        <w:tc>
          <w:tcPr>
            <w:tcW w:type="dxa" w:w="1440"/>
            <w:shd w:fill="FFDCE0" w:val="clear"/>
          </w:tcPr>
          <w:p>
            <w:r>
              <w:rPr>
                <w:sz w:val="17"/>
              </w:rPr>
              <w:t>3,296</w:t>
            </w:r>
          </w:p>
        </w:tc>
        <w:tc>
          <w:tcPr>
            <w:tcW w:type="dxa" w:w="1440"/>
            <w:shd w:fill="FFDCE0" w:val="clear"/>
          </w:tcPr>
          <w:p>
            <w:r>
              <w:rPr>
                <w:b/>
                <w:color w:val="C00000"/>
                <w:sz w:val="17"/>
              </w:rPr>
              <w:t>-2.7%</w:t>
            </w:r>
          </w:p>
        </w:tc>
      </w:tr>
      <w:tr>
        <w:tc>
          <w:tcPr>
            <w:tcW w:type="dxa" w:w="1440"/>
            <w:shd w:fill="FFDCE0" w:val="clear"/>
          </w:tcPr>
          <w:p>
            <w:r>
              <w:rPr>
                <w:sz w:val="17"/>
              </w:rPr>
              <w:t>J+10  ⭐</w:t>
            </w:r>
          </w:p>
        </w:tc>
        <w:tc>
          <w:tcPr>
            <w:tcW w:type="dxa" w:w="1440"/>
            <w:shd w:fill="FFDCE0" w:val="clear"/>
          </w:tcPr>
          <w:p>
            <w:r>
              <w:rPr>
                <w:sz w:val="17"/>
              </w:rPr>
              <w:t>2026-10-26</w:t>
            </w:r>
          </w:p>
        </w:tc>
        <w:tc>
          <w:tcPr>
            <w:tcW w:type="dxa" w:w="1440"/>
            <w:shd w:fill="FFDCE0" w:val="clear"/>
          </w:tcPr>
          <w:p>
            <w:r>
              <w:rPr>
                <w:sz w:val="17"/>
              </w:rPr>
              <w:t>2,513</w:t>
            </w:r>
          </w:p>
        </w:tc>
        <w:tc>
          <w:tcPr>
            <w:tcW w:type="dxa" w:w="1440"/>
            <w:shd w:fill="FFDCE0" w:val="clear"/>
          </w:tcPr>
          <w:p>
            <w:r>
              <w:rPr>
                <w:b/>
                <w:sz w:val="17"/>
              </w:rPr>
              <w:t>2,911</w:t>
            </w:r>
          </w:p>
        </w:tc>
        <w:tc>
          <w:tcPr>
            <w:tcW w:type="dxa" w:w="1440"/>
            <w:shd w:fill="FFDCE0" w:val="clear"/>
          </w:tcPr>
          <w:p>
            <w:r>
              <w:rPr>
                <w:sz w:val="17"/>
              </w:rPr>
              <w:t>3,309</w:t>
            </w:r>
          </w:p>
        </w:tc>
        <w:tc>
          <w:tcPr>
            <w:tcW w:type="dxa" w:w="1440"/>
            <w:shd w:fill="FFDCE0" w:val="clear"/>
          </w:tcPr>
          <w:p>
            <w:r>
              <w:rPr>
                <w:b/>
                <w:color w:val="C00000"/>
                <w:sz w:val="17"/>
              </w:rPr>
              <w:t>-3.0%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 RAPPORT D'ANALYSE FINANCIÈRE — ONTBF (ONATEL Burkina Faso)</w:t>
        <w:br/>
        <w:t>**Bourse Régionale des Valeurs Mobilières (BRVM) — Secteur Télécommunications**</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204,00 Mds FCFA pour un cours de 3 000 FCFA, ONTBF se positionne comme une valeur de premier plan de la cote BRVM, représentant l'un des fleurons du compartiment télécoms aux côtés de Sonatel. Le BPA de 234 FCFA/action signifie que chaque titre génère près de 234 FCFA de bénéfice net, ce qui confère au titre un PER de 12,8x — un niveau modéré, légèrement supérieur à la moyenne BRVM (8-12x) mais justifié par la qualité de l'émetteur et son statut de leader télécom. Le P/B de 3,55x traduit une prime de croissance significative accordée par le marché (valorisation à 3,55 fois la valeur comptable), typique des valeurs à forte rentabilité des fonds propres (ROE de 27,6%). Enfin, l'EV/EBITDA de 5,3x apparaît particulièrement raisonnable, voire attractif, dans la fourchette sectorielle (5-10x), suggérant que la valeur d'entreprise reste contenue par rapport à la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d'ONTBF a progressé de +5,08%, clôturant à 3 000 FCFA après une légère contraction de -0,17% lors de la dernière séance. Le titre a évolué dans un range de trading de 395 FCFA, entre un plus bas de 2 675 FCFA et un plus haut de 3 070 FCFA, ce qui témoigne d'une tendance globalement haussière mais avec des phases de consolidation. Les statistiques descriptives révèlent une distribution remarquablement symétrique : la moyenne (2 860 FCFA) et la médiane (2 870 FCFA) sont quasi confondues, tandis que le skewness de -0,104 confirme cette symétrie (absence de biais directionnel marqué). L'écart-type de 81 FCFA, soit un coefficient de variation de seulement 2,8%, indique une dispersion très faible du cours autour de sa moyenne — signe d'une certaine stabilité. Le kurtosis de -0,298 (mésokurtique) suggère une distribution proche de la normale, sans risque excessif de pics extrêmes. Toutefois, la volatilité annualisée de 34,6% classe le titre dans la catégorie des valeurs à volatilité élevée (&gt;30%), ce qui contraste avec la faible dispersion observée sur 100 jours et implique une prudence quant aux mouvements futurs.</w:t>
      </w:r>
    </w:p>
    <w:p>
      <w:pPr>
        <w:spacing w:after="120" w:line="276" w:lineRule="auto"/>
      </w:pPr>
      <w:r>
        <w:t>---</w:t>
      </w:r>
    </w:p>
    <w:p>
      <w:pPr>
        <w:spacing w:after="120" w:line="276" w:lineRule="auto"/>
      </w:pPr>
      <w:r>
        <w:t>## PARTIE 2 : ANALYSE TECHNIQUE DÉTAILLÉE</w:t>
      </w:r>
    </w:p>
    <w:p>
      <w:pPr>
        <w:spacing w:after="120" w:line="276" w:lineRule="auto"/>
      </w:pPr>
      <w:r>
        <w:t>**Moyennes Mobiles** : La MM20 (2 908,75 FCFA) et la MM50 (2 901,50 FCFA) se situent toutes deux en dessous du cours actuel (3 000 FCFA), avec la MM20 légèrement au-dessus de la MM50 — configuration haussière classique. Le cours évoluant au-dessus de ses deux moyennes, la décision technique est à l'**Achat**, confirmant la dynamique positive de court et moyen terme.</w:t>
      </w:r>
    </w:p>
    <w:p>
      <w:pPr>
        <w:spacing w:after="120" w:line="276" w:lineRule="auto"/>
      </w:pPr>
      <w:r>
        <w:t>**Bandes de Bollinger** : Le cours (3 000 FCFA) se situe dans la partie haute de la bande, entre la borne inférieure (2 762,79 FCFA) et la borne supérieure (3 054,71 FCFA), sans la franchir. Cette position proche de la borne haute, sans breakout, traduit une volatilité modérée et une décision **Neutre** — le titre n'est ni suracheté ni survendu selon ce seul indicateur.</w:t>
      </w:r>
    </w:p>
    <w:p>
      <w:pPr>
        <w:spacing w:after="120" w:line="276" w:lineRule="auto"/>
      </w:pPr>
      <w:r>
        <w:t>**MACD** : La ligne MACD (20,691) est nettement supérieure à sa ligne de signal (12,764), avec un histogramme positif et croissant. Cette divergence positive confirme un momentum haussier en cours de renforcement, justifiant une décision d'**Achat**.</w:t>
      </w:r>
    </w:p>
    <w:p>
      <w:pPr>
        <w:spacing w:after="120" w:line="276" w:lineRule="auto"/>
      </w:pPr>
      <w:r>
        <w:t>**RSI** : À 50,0, le RSI se situe exactement au point d'équilibre entre surachat (&gt;70) et survente (&lt;30). Cette valeur neutre indique que le titre n'est ni surétendu ni survendu, laissant une marge de progression sans risque immédiat de correction — décision **Neutre**.</w:t>
      </w:r>
    </w:p>
    <w:p>
      <w:pPr>
        <w:spacing w:after="120" w:line="276" w:lineRule="auto"/>
      </w:pPr>
      <w:r>
        <w:t>**Stochastique** : Avec un %K à 97,959 et un %D à 91,681, les deux lignes évoluent en zone de surachat extrême (&gt;80), et le %K surplombe le %D. Cette configuration signale un risque imminent de correction baissière à court terme, justifiant une décision de **Vente** sur cet indicateur.</w:t>
      </w:r>
    </w:p>
    <w:p>
      <w:pPr>
        <w:spacing w:after="120" w:line="276" w:lineRule="auto"/>
      </w:pPr>
      <w:r>
        <w:t>**Conclusion technique** : Les indicateurs présentent un tableau mitigé mais globalement constructif. Les moyennes mobiles et le MACD plaident pour une poursuite de la hausse, tandis que le RSI neutre laisse du potentiel. Cependant, le stochastique en surachat extrême constitue un signal d'alerte à court terme, suggérant qu'une consolidation pourrait précéder toute nouvelle progression. La convergence haussière des MM et du MACD l'emporte sur le signal de vente stochastique, mais appelle à la prudence sur les points d'entrée.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ONTBF (classée dans le secteur BANQUE dans la base de données, bien qu'opérant dans les télécoms) affiche un chiffre d'affaires/PNB de 146,177 Mds FCFA, en croissance de +3,06% sur un an. Le résultat net s'établit à 15,887 Mds FCFA, en recul de -26% par rapport aux 21,47 Mds FCFA de 2024. La rentabilité des fonds propres (ROE) reste excellente à 27,61%, bien supérieure au seuil de 15%, tandis que le ROA de 4,89% reflète l'intensité capitalistique du secteur. Le coefficient d'exploitation de 67,07% (charges/PNB) dépasse le seuil de 60% d'efficacité, signalant une pression sur les coûts. Le coût du risque de 3,57% (provisions/charges financières) demeure contenu. La structure financière montre une autonomie financière de 17,71% (capitaux propres/total bilan), inférieure au seuil de 30% considéré comme sain, et un ratio d'endettement élevé de 186,99%. La capacité de remboursement de 2,29 années (dettes financières/CAF) reste acceptable, et la couverture des intérêts par le résultat d'exploitation est très confortable (491,55%).</w:t>
      </w:r>
    </w:p>
    <w:p>
      <w:pPr>
        <w:spacing w:after="120" w:line="276" w:lineRule="auto"/>
      </w:pPr>
      <w:r>
        <w:t>**Estimations basées sur les rapports trimestriels** : Selon le rapport T1 2026 (publié le 09/04/2026), le chiffre d'affaires progresse de +2,7% à 37,1 Mds FCFA, avec un taux de marge EBITDA maintenu à 41,3% et un résultat net de 3,577 Mds FCFA (marge nette de 9,6%). Le rapport S1 2026 (attestation des CAC du 25/09/2026) confirme la conformité des comptes sans réserve. Sur la base de ces tendances, on estime que l'exercice 2026 devrait enregistrer une croissance du CA de l'ordre de +3%, avec un résultat net potentiellement stabilisé autour de 15-16 Mds FCFA si les efforts d'optimisation des coûts portent leurs fruits. Le dividende proposé de 166,0816 FCFA/action (rendement de ~5,5% au cours actuel de 3 000 FCFA) reste attractif malgré la baisse du bénéfice.</w:t>
      </w:r>
    </w:p>
    <w:p>
      <w:pPr>
        <w:spacing w:after="120" w:line="276" w:lineRule="auto"/>
      </w:pPr>
      <w:r>
        <w:t>**Recommandation fondamentale** : ONTBF présente des fondamentaux solides (ROE élevé, génération de cash robuste avec une CAF de 46,95 Mds FCFA, notation GCR A+(WU)), mais fait face à une érosion de sa rentabilité (-26% de résultat net en 2025) et à un endettement croissant pour financer ses investissements (CAPEX de 45,2 Mds FCFA). Le titre demeure une valeur défensive de qualité, à conserver pour son dividende et son exposition aux segments porteurs (FTTH +33%, Mobile Money +14%), mais nécessite une surveillance étroite de la trajectoire des marges.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équilibré mais contrasté. **En termes de valorisation (Partie 0)**, les ratios PER (12,8x), P/B (3,55x) et EV/EBITDA (5,3x) indiquent une valorisation raisonnable, sans excès manifeste, bien que la prime sur la valeur comptable soit significative. **Le comportement du cours (Partie 1)** est globalement favorable (+5,08% sur 100 jours), avec une distribution symétrique et une faible dispersion, mais la volatilité annualisée de 34,6% appelle à la prudence. **Les signaux techniques (Partie 2)** sont mitigés : convergence haussière des MM et du MACD, mais stochastique en surachat extrême et RSI neutre, suggérant une consolidation possible à court terme. **Les fondamentaux (Partie 3)** demeurent solides (ROE de 27,6%, CAF de 47 Mds FCFA, dividende attractif), mais la baisse de -26% du résultat net en 2025 et la pression sur les marges constituent des points de vigilance. **Les prédictions IA (J+1 à J+10)** anticipent une légère correction baissière (de 2 975 à 2 947 FCFA), ce qui contredit la dynamique haussière récente et confirme le signal de surachat stochastique.</w:t>
      </w:r>
    </w:p>
    <w:p>
      <w:pPr>
        <w:spacing w:after="120" w:line="276" w:lineRule="auto"/>
      </w:pPr>
      <w:r>
        <w:t>**Recommandation finale : CONSERVER**</w:t>
        <w:br/>
        <w:t>La convergence entre une valorisation raisonnable, des fondamentaux solides mais en deterioration, et des signaux techniques mitigés plaide pour une position attentiste. Le titre n'est ni sous-évalué de manière flagrante (justifiant un ACHAT), ni en situation de détresse (justifiant une VENTE). Les prédictions IA baissières à court terme et le stochastique en surachat suggèrent d'éviter les achats agressifs, tandis que le dividende attractif et la qualité de l'émetteur justifient de conserver la position pour les investisseurs déjà exposés.</w:t>
      </w:r>
    </w:p>
    <w:p>
      <w:pPr>
        <w:spacing w:after="120" w:line="276" w:lineRule="auto"/>
      </w:pPr>
      <w:r>
        <w:t>**Niveau de confiance : Moyen** — Les signaux sont divergents (technique haussier vs stochastique baissier ; fondamentaux solides vs rentabilité en baisse).</w:t>
        <w:br/>
        <w:t>**Niveau de risque global : Moyen** — Volatilité élevée (34,6%), endettement croissant, mais notation solide et génération de cash robuste.</w:t>
        <w:br/>
        <w:t>**Horizon d'investissement optimal : Moyen terme (3-12 mois)** — Le temps nécessaire pour que les efforts d'optimisation des coûts se matérialisent et que la tendance baissière des marges s'inverse.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est une attestation d'audit sans r\u00e9serve qui confirme la r\u00e9gularit\u00e9 des comptes semestriels, mais il ne fournit aucune donn\u00e9e financi\u00e8re permettant d'\u00e9valuer la performance ou la valorisation. En l'absence d'informations chiffr\u00e9es, aucune d\u00e9cision d'achat ou de vente ne peut \u00eatre justifi\u00e9e."}</w:t>
      </w:r>
    </w:p>
    <w:p>
      <w:pPr>
        <w:spacing w:before="40"/>
        <w:ind w:left="400"/>
      </w:pPr>
      <w:r>
        <w:rPr>
          <w:sz w:val="18"/>
        </w:rPr>
        <w:t>Le document est une attestation des commissaires aux comptes (SOFIDEC Audit &amp; Conseil et AUREC Afrique-BF) portant sur l'examen limité des comptes semestriels d'ONATEL SA pour la période du 1er janvier au 30 juin 2026. Les auditeurs concluent, sur la base de leur examen limité, qu'ils n'ont pas relevé de faits remettant en cause la sincérité du tableau d'activités et de résultat ni du rapport semestriel d'activités. Les comptes ont été établis conformément aux articles 850 et 851 de l'Acte uniforme OHADA et à la Circulaire n°004-2010 de l'AMF-UMOA. Le document ne contient aucune donnée chiffrée sur l'activité, le résultat ou la situation financière de la société. Il s'agit donc d'une attesta</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{'type_document': 'Attestation des commissaires aux comptes sur examen limité', 'capital_social': '34 000 000 000 FCFA', 'periode_couverte': '1er janvier au 30 juin 2026', 'opinion_auditeurs': 'Sans réserve (aucun fait significatif relevé)'}</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les comptes semestriels d'ONATEL SA au 30 juin 2026.</w:t>
      </w:r>
    </w:p>
    <w:p>
      <w:pPr>
        <w:pStyle w:val="ListBullet"/>
        <w:spacing w:before="20" w:after="20"/>
        <w:ind w:left="700"/>
      </w:pPr>
      <w:r>
        <w:rPr>
          <w:sz w:val="18"/>
        </w:rPr>
        <w:t>Examen limité réalisé conformément au Règlement N°01/2017/CM/OHADA.</w:t>
      </w:r>
    </w:p>
    <w:p>
      <w:pPr>
        <w:pStyle w:val="ListBullet"/>
        <w:spacing w:before="20" w:after="20"/>
        <w:ind w:left="700"/>
      </w:pPr>
      <w:r>
        <w:rPr>
          <w:sz w:val="18"/>
        </w:rPr>
        <w:t>Conclusion sans réserve : aucun fait significatif remettant en cause la sincérité des comptes n'a été relevé.</w:t>
      </w:r>
    </w:p>
    <w:p>
      <w:pPr>
        <w:pStyle w:val="ListBullet"/>
        <w:spacing w:before="20" w:after="20"/>
        <w:ind w:left="700"/>
      </w:pPr>
      <w:r>
        <w:rPr>
          <w:sz w:val="18"/>
        </w:rPr>
        <w:t>Comptes établis selon les articles 850 et 851 de l'Acte uniforme OHADA.</w:t>
      </w:r>
    </w:p>
    <w:p>
      <w:pPr>
        <w:pStyle w:val="ListBullet"/>
        <w:spacing w:before="20" w:after="20"/>
        <w:ind w:left="700"/>
      </w:pPr>
      <w:r>
        <w:rPr>
          <w:sz w:val="18"/>
        </w:rPr>
        <w:t>Conformité à la Circulaire n°004-2010 de l'AMF-UMOA sur les informations diffusées par les émetteurs.</w:t>
      </w:r>
    </w:p>
    <w:p>
      <w:pPr>
        <w:pStyle w:val="ListBullet"/>
        <w:spacing w:before="20" w:after="20"/>
        <w:ind w:left="700"/>
      </w:pPr>
      <w:r>
        <w:rPr>
          <w:sz w:val="18"/>
        </w:rPr>
        <w:t>Document signé à Ouagadougou le 25 septembre 2026 par AUREC Afrique-BF et SOFIDEC-AC SARL.</w:t>
      </w:r>
    </w:p>
    <w:p>
      <w:pPr>
        <w:spacing w:before="40"/>
        <w:ind w:left="400"/>
      </w:pPr>
      <w:r>
        <w:rPr>
          <w:b/>
          <w:color w:val="C05000"/>
          <w:sz w:val="18"/>
        </w:rPr>
        <w:t xml:space="preserve">⚠️ Risques : </w:t>
      </w:r>
      <w:r>
        <w:rPr>
          <w:sz w:val="18"/>
        </w:rPr>
        <w:t>["Absence de donn\u00e9es financi\u00e8res chiffr\u00e9es emp\u00eachant toute analyse de performance et de valorisation.", "Risque li\u00e9 au caract\u00e8re limit\u00e9 de l'examen (pas d'opinion d'audit compl\u00e8te selon les normes ISA).", "Risque de change et de r\u00e9glementation t\u00e9l\u0</w:t>
      </w:r>
    </w:p>
    <w:p>
      <w:pPr>
        <w:spacing w:before="40"/>
        <w:ind w:left="400"/>
      </w:pPr>
      <w:r>
        <w:rPr>
          <w:b/>
          <w:color w:val="0064A0"/>
          <w:sz w:val="18"/>
        </w:rPr>
        <w:t xml:space="preserve">🔮 Perspectives : </w:t>
      </w:r>
      <w:r>
        <w:rPr>
          <w:sz w:val="18"/>
        </w:rPr>
        <w:t>Le document ne permet pas de formuler un outlook financier précis pour l'exercice suivant, faute de données sur l'activité et les résultats. La conclusion sans réserve des commissaires aux comptes suggère néanmoins une gouvernance et un reporting conformes aux exigences de l'AMF-UMOA. Pour une analy</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
      <w:r>
        <w:t>════════════════════════════════════════════════════════════════════════════════</w:t>
      </w:r>
    </w:p>
    <w:p>
      <w:r>
        <w:br w:type="page"/>
      </w:r>
    </w:p>
    <w:p>
      <w:pPr>
        <w:pStyle w:val="Heading2"/>
        <w:spacing w:before="360"/>
      </w:pPr>
      <w:r>
        <w:rPr>
          <w:color w:val="0066CC"/>
        </w:rPr>
        <w:t>24.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3299.35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3,539 titres</w:t>
            </w:r>
          </w:p>
        </w:tc>
        <w:tc>
          <w:tcPr>
            <w:tcW w:type="dxa" w:w="2268"/>
            <w:shd w:fill="FFF2CC" w:val="clear"/>
          </w:tcPr>
          <w:p>
            <w:r>
              <w:rPr>
                <w:b/>
                <w:color w:val="503200"/>
                <w:sz w:val="16"/>
              </w:rPr>
              <w:t xml:space="preserve">Cours actuel : </w:t>
            </w:r>
            <w:r>
              <w:rPr>
                <w:color w:val="000000"/>
                <w:sz w:val="17"/>
              </w:rPr>
              <w:t>21,900 FCFA</w:t>
            </w:r>
          </w:p>
          <w:p>
            <w:r>
              <w:rPr>
                <w:b/>
                <w:color w:val="503200"/>
                <w:sz w:val="16"/>
              </w:rPr>
              <w:t xml:space="preserve">Var. 100 jours : </w:t>
            </w:r>
            <w:r>
              <w:rPr>
                <w:b/>
                <w:color w:val="007800"/>
                <w:sz w:val="17"/>
              </w:rPr>
              <w:t>+39.94%</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15,505 FCFA</w:t>
            </w:r>
          </w:p>
          <w:p>
            <w:r>
              <w:rPr>
                <w:b/>
                <w:color w:val="503200"/>
                <w:sz w:val="16"/>
              </w:rPr>
              <w:t xml:space="preserve">Volatilité ann. : </w:t>
            </w:r>
            <w:r>
              <w:rPr>
                <w:color w:val="000000"/>
                <w:sz w:val="17"/>
              </w:rPr>
              <w:t>35.6%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13.71% (Moyenne) — μ=18,298 FCFA, σ=2,509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β=1.4693 (Agressif) — Cov=0.000108, Var(idx)=0.000073, ρ=0.559,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3,539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σ_j=2.24%/j (Stable) — Vol. annualisée≈35.6%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2026-10-13</w:t>
            </w:r>
          </w:p>
        </w:tc>
        <w:tc>
          <w:tcPr>
            <w:tcW w:type="dxa" w:w="1440"/>
            <w:shd w:fill="FAFAFA" w:val="clear"/>
          </w:tcPr>
          <w:p>
            <w:r>
              <w:rPr>
                <w:sz w:val="17"/>
              </w:rPr>
              <w:t>20,726</w:t>
            </w:r>
          </w:p>
        </w:tc>
        <w:tc>
          <w:tcPr>
            <w:tcW w:type="dxa" w:w="1440"/>
            <w:shd w:fill="FAFAFA" w:val="clear"/>
          </w:tcPr>
          <w:p>
            <w:r>
              <w:rPr>
                <w:b/>
                <w:sz w:val="17"/>
              </w:rPr>
              <w:t>21,782</w:t>
            </w:r>
          </w:p>
        </w:tc>
        <w:tc>
          <w:tcPr>
            <w:tcW w:type="dxa" w:w="1440"/>
            <w:shd w:fill="FAFAFA" w:val="clear"/>
          </w:tcPr>
          <w:p>
            <w:r>
              <w:rPr>
                <w:sz w:val="17"/>
              </w:rPr>
              <w:t>22,837</w:t>
            </w:r>
          </w:p>
        </w:tc>
        <w:tc>
          <w:tcPr>
            <w:tcW w:type="dxa" w:w="1440"/>
            <w:shd w:fill="FAFAFA" w:val="clear"/>
          </w:tcPr>
          <w:p>
            <w:r>
              <w:rPr>
                <w:b/>
                <w:color w:val="C00000"/>
                <w:sz w:val="17"/>
              </w:rPr>
              <w:t>-0.5%</w:t>
            </w:r>
          </w:p>
        </w:tc>
      </w:tr>
      <w:tr>
        <w:tc>
          <w:tcPr>
            <w:tcW w:type="dxa" w:w="1440"/>
            <w:shd w:fill="FAFAFA" w:val="clear"/>
          </w:tcPr>
          <w:p>
            <w:r>
              <w:rPr>
                <w:sz w:val="17"/>
              </w:rPr>
              <w:t>J+2  ⭐</w:t>
            </w:r>
          </w:p>
        </w:tc>
        <w:tc>
          <w:tcPr>
            <w:tcW w:type="dxa" w:w="1440"/>
            <w:shd w:fill="FAFAFA" w:val="clear"/>
          </w:tcPr>
          <w:p>
            <w:r>
              <w:rPr>
                <w:sz w:val="17"/>
              </w:rPr>
              <w:t>2026-10-14</w:t>
            </w:r>
          </w:p>
        </w:tc>
        <w:tc>
          <w:tcPr>
            <w:tcW w:type="dxa" w:w="1440"/>
            <w:shd w:fill="FAFAFA" w:val="clear"/>
          </w:tcPr>
          <w:p>
            <w:r>
              <w:rPr>
                <w:sz w:val="17"/>
              </w:rPr>
              <w:t>20,271</w:t>
            </w:r>
          </w:p>
        </w:tc>
        <w:tc>
          <w:tcPr>
            <w:tcW w:type="dxa" w:w="1440"/>
            <w:shd w:fill="FAFAFA" w:val="clear"/>
          </w:tcPr>
          <w:p>
            <w:r>
              <w:rPr>
                <w:b/>
                <w:sz w:val="17"/>
              </w:rPr>
              <w:t>21,763</w:t>
            </w:r>
          </w:p>
        </w:tc>
        <w:tc>
          <w:tcPr>
            <w:tcW w:type="dxa" w:w="1440"/>
            <w:shd w:fill="FAFAFA" w:val="clear"/>
          </w:tcPr>
          <w:p>
            <w:r>
              <w:rPr>
                <w:sz w:val="17"/>
              </w:rPr>
              <w:t>23,254</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2026-10-15</w:t>
            </w:r>
          </w:p>
        </w:tc>
        <w:tc>
          <w:tcPr>
            <w:tcW w:type="dxa" w:w="1440"/>
            <w:shd w:fill="FAFAFA" w:val="clear"/>
          </w:tcPr>
          <w:p>
            <w:r>
              <w:rPr>
                <w:sz w:val="17"/>
              </w:rPr>
              <w:t>19,907</w:t>
            </w:r>
          </w:p>
        </w:tc>
        <w:tc>
          <w:tcPr>
            <w:tcW w:type="dxa" w:w="1440"/>
            <w:shd w:fill="FAFAFA" w:val="clear"/>
          </w:tcPr>
          <w:p>
            <w:r>
              <w:rPr>
                <w:b/>
                <w:sz w:val="17"/>
              </w:rPr>
              <w:t>21,731</w:t>
            </w:r>
          </w:p>
        </w:tc>
        <w:tc>
          <w:tcPr>
            <w:tcW w:type="dxa" w:w="1440"/>
            <w:shd w:fill="FAFAFA" w:val="clear"/>
          </w:tcPr>
          <w:p>
            <w:r>
              <w:rPr>
                <w:sz w:val="17"/>
              </w:rPr>
              <w:t>23,556</w:t>
            </w:r>
          </w:p>
        </w:tc>
        <w:tc>
          <w:tcPr>
            <w:tcW w:type="dxa" w:w="1440"/>
            <w:shd w:fill="FAFAFA" w:val="clear"/>
          </w:tcPr>
          <w:p>
            <w:r>
              <w:rPr>
                <w:b/>
                <w:color w:val="C00000"/>
                <w:sz w:val="17"/>
              </w:rPr>
              <w:t>-0.8%</w:t>
            </w:r>
          </w:p>
        </w:tc>
      </w:tr>
      <w:tr>
        <w:tc>
          <w:tcPr>
            <w:tcW w:type="dxa" w:w="1440"/>
            <w:shd w:fill="FAFAFA" w:val="clear"/>
          </w:tcPr>
          <w:p>
            <w:r>
              <w:rPr>
                <w:sz w:val="17"/>
              </w:rPr>
              <w:t>J+4  ⭐</w:t>
            </w:r>
          </w:p>
        </w:tc>
        <w:tc>
          <w:tcPr>
            <w:tcW w:type="dxa" w:w="1440"/>
            <w:shd w:fill="FAFAFA" w:val="clear"/>
          </w:tcPr>
          <w:p>
            <w:r>
              <w:rPr>
                <w:sz w:val="17"/>
              </w:rPr>
              <w:t>2026-10-16</w:t>
            </w:r>
          </w:p>
        </w:tc>
        <w:tc>
          <w:tcPr>
            <w:tcW w:type="dxa" w:w="1440"/>
            <w:shd w:fill="FAFAFA" w:val="clear"/>
          </w:tcPr>
          <w:p>
            <w:r>
              <w:rPr>
                <w:sz w:val="17"/>
              </w:rPr>
              <w:t>19,596</w:t>
            </w:r>
          </w:p>
        </w:tc>
        <w:tc>
          <w:tcPr>
            <w:tcW w:type="dxa" w:w="1440"/>
            <w:shd w:fill="FAFAFA" w:val="clear"/>
          </w:tcPr>
          <w:p>
            <w:r>
              <w:rPr>
                <w:b/>
                <w:sz w:val="17"/>
              </w:rPr>
              <w:t>21,699</w:t>
            </w:r>
          </w:p>
        </w:tc>
        <w:tc>
          <w:tcPr>
            <w:tcW w:type="dxa" w:w="1440"/>
            <w:shd w:fill="FAFAFA" w:val="clear"/>
          </w:tcPr>
          <w:p>
            <w:r>
              <w:rPr>
                <w:sz w:val="17"/>
              </w:rPr>
              <w:t>23,803</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2026-10-19</w:t>
            </w:r>
          </w:p>
        </w:tc>
        <w:tc>
          <w:tcPr>
            <w:tcW w:type="dxa" w:w="1440"/>
            <w:shd w:fill="FAFAFA" w:val="clear"/>
          </w:tcPr>
          <w:p>
            <w:r>
              <w:rPr>
                <w:sz w:val="17"/>
              </w:rPr>
              <w:t>19,320</w:t>
            </w:r>
          </w:p>
        </w:tc>
        <w:tc>
          <w:tcPr>
            <w:tcW w:type="dxa" w:w="1440"/>
            <w:shd w:fill="FAFAFA" w:val="clear"/>
          </w:tcPr>
          <w:p>
            <w:r>
              <w:rPr>
                <w:b/>
                <w:sz w:val="17"/>
              </w:rPr>
              <w:t>21,669</w:t>
            </w:r>
          </w:p>
        </w:tc>
        <w:tc>
          <w:tcPr>
            <w:tcW w:type="dxa" w:w="1440"/>
            <w:shd w:fill="FAFAFA" w:val="clear"/>
          </w:tcPr>
          <w:p>
            <w:r>
              <w:rPr>
                <w:sz w:val="17"/>
              </w:rPr>
              <w:t>24,017</w:t>
            </w:r>
          </w:p>
        </w:tc>
        <w:tc>
          <w:tcPr>
            <w:tcW w:type="dxa" w:w="1440"/>
            <w:shd w:fill="FAFAFA" w:val="clear"/>
          </w:tcPr>
          <w:p>
            <w:r>
              <w:rPr>
                <w:b/>
                <w:color w:val="C00000"/>
                <w:sz w:val="17"/>
              </w:rPr>
              <w:t>-1.1%</w:t>
            </w:r>
          </w:p>
        </w:tc>
      </w:tr>
      <w:tr>
        <w:tc>
          <w:tcPr>
            <w:tcW w:type="dxa" w:w="1440"/>
            <w:shd w:fill="FAFAFA" w:val="clear"/>
          </w:tcPr>
          <w:p>
            <w:r>
              <w:rPr>
                <w:sz w:val="17"/>
              </w:rPr>
              <w:t>J+6  ⭐</w:t>
            </w:r>
          </w:p>
        </w:tc>
        <w:tc>
          <w:tcPr>
            <w:tcW w:type="dxa" w:w="1440"/>
            <w:shd w:fill="FAFAFA" w:val="clear"/>
          </w:tcPr>
          <w:p>
            <w:r>
              <w:rPr>
                <w:sz w:val="17"/>
              </w:rPr>
              <w:t>2026-10-20</w:t>
            </w:r>
          </w:p>
        </w:tc>
        <w:tc>
          <w:tcPr>
            <w:tcW w:type="dxa" w:w="1440"/>
            <w:shd w:fill="FAFAFA" w:val="clear"/>
          </w:tcPr>
          <w:p>
            <w:r>
              <w:rPr>
                <w:sz w:val="17"/>
              </w:rPr>
              <w:t>19,070</w:t>
            </w:r>
          </w:p>
        </w:tc>
        <w:tc>
          <w:tcPr>
            <w:tcW w:type="dxa" w:w="1440"/>
            <w:shd w:fill="FAFAFA" w:val="clear"/>
          </w:tcPr>
          <w:p>
            <w:r>
              <w:rPr>
                <w:b/>
                <w:sz w:val="17"/>
              </w:rPr>
              <w:t>21,639</w:t>
            </w:r>
          </w:p>
        </w:tc>
        <w:tc>
          <w:tcPr>
            <w:tcW w:type="dxa" w:w="1440"/>
            <w:shd w:fill="FAFAFA" w:val="clear"/>
          </w:tcPr>
          <w:p>
            <w:r>
              <w:rPr>
                <w:sz w:val="17"/>
              </w:rPr>
              <w:t>24,208</w:t>
            </w:r>
          </w:p>
        </w:tc>
        <w:tc>
          <w:tcPr>
            <w:tcW w:type="dxa" w:w="1440"/>
            <w:shd w:fill="FAFAFA" w:val="clear"/>
          </w:tcPr>
          <w:p>
            <w:r>
              <w:rPr>
                <w:b/>
                <w:color w:val="C00000"/>
                <w:sz w:val="17"/>
              </w:rPr>
              <w:t>-1.2%</w:t>
            </w:r>
          </w:p>
        </w:tc>
      </w:tr>
      <w:tr>
        <w:tc>
          <w:tcPr>
            <w:tcW w:type="dxa" w:w="1440"/>
            <w:shd w:fill="FAFAFA" w:val="clear"/>
          </w:tcPr>
          <w:p>
            <w:r>
              <w:rPr>
                <w:sz w:val="17"/>
              </w:rPr>
              <w:t>J+7  ⭐</w:t>
            </w:r>
          </w:p>
        </w:tc>
        <w:tc>
          <w:tcPr>
            <w:tcW w:type="dxa" w:w="1440"/>
            <w:shd w:fill="FAFAFA" w:val="clear"/>
          </w:tcPr>
          <w:p>
            <w:r>
              <w:rPr>
                <w:sz w:val="17"/>
              </w:rPr>
              <w:t>2026-10-21</w:t>
            </w:r>
          </w:p>
        </w:tc>
        <w:tc>
          <w:tcPr>
            <w:tcW w:type="dxa" w:w="1440"/>
            <w:shd w:fill="FAFAFA" w:val="clear"/>
          </w:tcPr>
          <w:p>
            <w:r>
              <w:rPr>
                <w:sz w:val="17"/>
              </w:rPr>
              <w:t>18,838</w:t>
            </w:r>
          </w:p>
        </w:tc>
        <w:tc>
          <w:tcPr>
            <w:tcW w:type="dxa" w:w="1440"/>
            <w:shd w:fill="FAFAFA" w:val="clear"/>
          </w:tcPr>
          <w:p>
            <w:r>
              <w:rPr>
                <w:b/>
                <w:sz w:val="17"/>
              </w:rPr>
              <w:t>21,610</w:t>
            </w:r>
          </w:p>
        </w:tc>
        <w:tc>
          <w:tcPr>
            <w:tcW w:type="dxa" w:w="1440"/>
            <w:shd w:fill="FAFAFA" w:val="clear"/>
          </w:tcPr>
          <w:p>
            <w:r>
              <w:rPr>
                <w:sz w:val="17"/>
              </w:rPr>
              <w:t>24,381</w:t>
            </w:r>
          </w:p>
        </w:tc>
        <w:tc>
          <w:tcPr>
            <w:tcW w:type="dxa" w:w="1440"/>
            <w:shd w:fill="FAFAFA" w:val="clear"/>
          </w:tcPr>
          <w:p>
            <w:r>
              <w:rPr>
                <w:b/>
                <w:color w:val="C00000"/>
                <w:sz w:val="17"/>
              </w:rPr>
              <w:t>-1.3%</w:t>
            </w:r>
          </w:p>
        </w:tc>
      </w:tr>
      <w:tr>
        <w:tc>
          <w:tcPr>
            <w:tcW w:type="dxa" w:w="1440"/>
            <w:shd w:fill="FAFAFA" w:val="clear"/>
          </w:tcPr>
          <w:p>
            <w:r>
              <w:rPr>
                <w:sz w:val="17"/>
              </w:rPr>
              <w:t>J+8  ⭐</w:t>
            </w:r>
          </w:p>
        </w:tc>
        <w:tc>
          <w:tcPr>
            <w:tcW w:type="dxa" w:w="1440"/>
            <w:shd w:fill="FAFAFA" w:val="clear"/>
          </w:tcPr>
          <w:p>
            <w:r>
              <w:rPr>
                <w:sz w:val="17"/>
              </w:rPr>
              <w:t>2026-10-22</w:t>
            </w:r>
          </w:p>
        </w:tc>
        <w:tc>
          <w:tcPr>
            <w:tcW w:type="dxa" w:w="1440"/>
            <w:shd w:fill="FAFAFA" w:val="clear"/>
          </w:tcPr>
          <w:p>
            <w:r>
              <w:rPr>
                <w:sz w:val="17"/>
              </w:rPr>
              <w:t>18,622</w:t>
            </w:r>
          </w:p>
        </w:tc>
        <w:tc>
          <w:tcPr>
            <w:tcW w:type="dxa" w:w="1440"/>
            <w:shd w:fill="FAFAFA" w:val="clear"/>
          </w:tcPr>
          <w:p>
            <w:r>
              <w:rPr>
                <w:b/>
                <w:sz w:val="17"/>
              </w:rPr>
              <w:t>21,581</w:t>
            </w:r>
          </w:p>
        </w:tc>
        <w:tc>
          <w:tcPr>
            <w:tcW w:type="dxa" w:w="1440"/>
            <w:shd w:fill="FAFAFA" w:val="clear"/>
          </w:tcPr>
          <w:p>
            <w:r>
              <w:rPr>
                <w:sz w:val="17"/>
              </w:rPr>
              <w:t>24,540</w:t>
            </w:r>
          </w:p>
        </w:tc>
        <w:tc>
          <w:tcPr>
            <w:tcW w:type="dxa" w:w="1440"/>
            <w:shd w:fill="FAFAFA" w:val="clear"/>
          </w:tcPr>
          <w:p>
            <w:r>
              <w:rPr>
                <w:b/>
                <w:color w:val="C00000"/>
                <w:sz w:val="17"/>
              </w:rPr>
              <w:t>-1.5%</w:t>
            </w:r>
          </w:p>
        </w:tc>
      </w:tr>
      <w:tr>
        <w:tc>
          <w:tcPr>
            <w:tcW w:type="dxa" w:w="1440"/>
            <w:shd w:fill="FAFAFA" w:val="clear"/>
          </w:tcPr>
          <w:p>
            <w:r>
              <w:rPr>
                <w:sz w:val="17"/>
              </w:rPr>
              <w:t>J+9  ⭐</w:t>
            </w:r>
          </w:p>
        </w:tc>
        <w:tc>
          <w:tcPr>
            <w:tcW w:type="dxa" w:w="1440"/>
            <w:shd w:fill="FAFAFA" w:val="clear"/>
          </w:tcPr>
          <w:p>
            <w:r>
              <w:rPr>
                <w:sz w:val="17"/>
              </w:rPr>
              <w:t>2026-10-23</w:t>
            </w:r>
          </w:p>
        </w:tc>
        <w:tc>
          <w:tcPr>
            <w:tcW w:type="dxa" w:w="1440"/>
            <w:shd w:fill="FAFAFA" w:val="clear"/>
          </w:tcPr>
          <w:p>
            <w:r>
              <w:rPr>
                <w:sz w:val="17"/>
              </w:rPr>
              <w:t>18,419</w:t>
            </w:r>
          </w:p>
        </w:tc>
        <w:tc>
          <w:tcPr>
            <w:tcW w:type="dxa" w:w="1440"/>
            <w:shd w:fill="FAFAFA" w:val="clear"/>
          </w:tcPr>
          <w:p>
            <w:r>
              <w:rPr>
                <w:b/>
                <w:sz w:val="17"/>
              </w:rPr>
              <w:t>21,553</w:t>
            </w:r>
          </w:p>
        </w:tc>
        <w:tc>
          <w:tcPr>
            <w:tcW w:type="dxa" w:w="1440"/>
            <w:shd w:fill="FAFAFA" w:val="clear"/>
          </w:tcPr>
          <w:p>
            <w:r>
              <w:rPr>
                <w:sz w:val="17"/>
              </w:rPr>
              <w:t>24,687</w:t>
            </w:r>
          </w:p>
        </w:tc>
        <w:tc>
          <w:tcPr>
            <w:tcW w:type="dxa" w:w="1440"/>
            <w:shd w:fill="FAFAFA" w:val="clear"/>
          </w:tcPr>
          <w:p>
            <w:r>
              <w:rPr>
                <w:b/>
                <w:color w:val="C00000"/>
                <w:sz w:val="17"/>
              </w:rPr>
              <w:t>-1.6%</w:t>
            </w:r>
          </w:p>
        </w:tc>
      </w:tr>
      <w:tr>
        <w:tc>
          <w:tcPr>
            <w:tcW w:type="dxa" w:w="1440"/>
            <w:shd w:fill="FAFAFA" w:val="clear"/>
          </w:tcPr>
          <w:p>
            <w:r>
              <w:rPr>
                <w:sz w:val="17"/>
              </w:rPr>
              <w:t>J+10  ⭐</w:t>
            </w:r>
          </w:p>
        </w:tc>
        <w:tc>
          <w:tcPr>
            <w:tcW w:type="dxa" w:w="1440"/>
            <w:shd w:fill="FAFAFA" w:val="clear"/>
          </w:tcPr>
          <w:p>
            <w:r>
              <w:rPr>
                <w:sz w:val="17"/>
              </w:rPr>
              <w:t>2026-10-26</w:t>
            </w:r>
          </w:p>
        </w:tc>
        <w:tc>
          <w:tcPr>
            <w:tcW w:type="dxa" w:w="1440"/>
            <w:shd w:fill="FAFAFA" w:val="clear"/>
          </w:tcPr>
          <w:p>
            <w:r>
              <w:rPr>
                <w:sz w:val="17"/>
              </w:rPr>
              <w:t>18,226</w:t>
            </w:r>
          </w:p>
        </w:tc>
        <w:tc>
          <w:tcPr>
            <w:tcW w:type="dxa" w:w="1440"/>
            <w:shd w:fill="FAFAFA" w:val="clear"/>
          </w:tcPr>
          <w:p>
            <w:r>
              <w:rPr>
                <w:b/>
                <w:sz w:val="17"/>
              </w:rPr>
              <w:t>21,526</w:t>
            </w:r>
          </w:p>
        </w:tc>
        <w:tc>
          <w:tcPr>
            <w:tcW w:type="dxa" w:w="1440"/>
            <w:shd w:fill="FAFAFA" w:val="clear"/>
          </w:tcPr>
          <w:p>
            <w:r>
              <w:rPr>
                <w:sz w:val="17"/>
              </w:rPr>
              <w:t>24,825</w:t>
            </w:r>
          </w:p>
        </w:tc>
        <w:tc>
          <w:tcPr>
            <w:tcW w:type="dxa" w:w="1440"/>
            <w:shd w:fill="FAFAFA" w:val="clear"/>
          </w:tcPr>
          <w:p>
            <w:r>
              <w:rPr>
                <w:b/>
                <w:color w:val="C00000"/>
                <w:sz w:val="17"/>
              </w:rPr>
              <w:t>-1.7%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**RAPPORT D'ANALYSE FINANCIÈRE — ORANGE CÔTE D'IVOIRE (ORAC)**</w:t>
        <w:br/>
        <w:t>*Bourse Régionale des Valeurs Mobilières (BRVM) — Secteur : Télécommunications*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3 299,35 milliards FCFA, ORAC s'impose comme l'une des toutes premières capitalisations de la BRVM, représentant à elle seule une part significative de la capitalisation totale du marché régional. Le BPA de 1 114 FCFA/action signifie que chaque titre génère un peu plus d'un millier de francs de bénéfice, ce qui, rapporté au cours actuel de 21 900 FCFA, donne un PER de 19,7x — nettement supérieur à la moyenne du marché BRVM (8-12x), traduisant une prime de qualité que les investisseurs acceptent de payer pour ce leader télécom. Le P/B de 4,66x confirme cette valorisation exigeante : le marché valorise ORAC à près de cinq fois sa valeur comptable, ce qui est cohérent avec la forte rentabilité des fonds propres (ROE de 23,7%) mais laisse peu de marge d'erreur. Enfin, l'EV/EBITDA de 7,8x, dans la fourchette raisonnable de 5-10x, suggère que la valeur d'entreprise reste correctement corrélée à la capacité opérationnelle de génération de cash-flows, offrant un contrepoids rassurant à la cherté relative du PER et du P/B.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ORAC affiche une performance remarquable de +39,94%, portant le cours à 21 900 FCFA, malgré un léger repli de -0,43% lors de la dernière séance. Le titre a évolué dans un range large de 15 505 FCFA (plus bas) à 22 500 FCFA (plus haut), soit une amplitude de près de 45%, confirmant une tendance nettement haussière soutenue par la dynamique fondamentale du groupe. Les statistiques descriptives révèlent une moyenne de 18 298 FCFA supérieure à la médiane de 16 830 FCFA, signe d'une distribution asymétrique tirée vers le haut par les récentes poussées ; le mode à 16 000 FCFA indique que le cours a longtemps stagné autour de ce palier avant l'accélération récente. L'écart-type de 2 522 FCFA (CV de 13,8%) traduit une dispersion modérée autour de la moyenne, tandis que le kurtosis négatif (-1,514, distribution platykurtique) signale une faible concentration des rendements et un risque de pics extrêmes limité. Le skewness de 0,495, bien que qualifié de « symétrique » dans les données, penche légèrement vers une asymétrie positive, cohérente avec la tendance haussière. Enfin, la volatilité annualisée de 35,6% positionne ORAC dans la catégorie des titres à volatilité élevée (&gt;30%), ce qui est typique des valeurs de croissance à forte capitalisation sur la BRVM.</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(21 621 FCFA) et la MM50 (20 405 FCFA) se situent toutes deux sous le cours actuel (21 900 FCFA), avec la MM20 au-dessus de la MM50 — configuration haussière classique (golden cross). Le cours évoluant au-dessus de ses deux moyennes, la décision technique est logiquement « Achat », confirmant la dynamique positive de court et moyen terme.</w:t>
      </w:r>
    </w:p>
    <w:p>
      <w:pPr>
        <w:spacing w:after="120" w:line="276" w:lineRule="auto"/>
      </w:pPr>
      <w:r>
        <w:t>**Bandes de Bollinger** : Le cours (21 900 FCFA) se situe entre la borne inférieure (20 223 FCFA) et la borne supérieure (23 019 FCFA), plus proche de la borne haute sans l'atteindre. Cette position médiane-haute traduit une volatilité contenue et une absence de signal extrême, justifiant la décision « Neutre » — le titre n'est ni en surachat technique ni en survente.</w:t>
      </w:r>
    </w:p>
    <w:p>
      <w:pPr>
        <w:spacing w:after="120" w:line="276" w:lineRule="auto"/>
      </w:pPr>
      <w:r>
        <w:t>**MACD** : La valeur du MACD (312,764) est inférieure à son signal (353,425), générant un croisement baissier (MACD sous signal) qui indique un essoufflement du momentum haussier. La décision « Vente » suggère une possible consolidation à court terme, bien que la valeur reste positive, ce qui tempère la portée baissière du signal.</w:t>
      </w:r>
    </w:p>
    <w:p>
      <w:pPr>
        <w:spacing w:after="120" w:line="276" w:lineRule="auto"/>
      </w:pPr>
      <w:r>
        <w:t>**RSI** : À 56,401, le RSI se situe en zone neutre (30-70), sans signal de surachat (&gt;70) ni de survente (&lt;30). La décision « Neutre » reflète un équilibre entre acheteurs et vendeurs, avec une légère prédominance haussière (RSI &gt; 50) qui reste compatible avec la tendance de fond.</w:t>
      </w:r>
    </w:p>
    <w:p>
      <w:pPr>
        <w:spacing w:after="120" w:line="276" w:lineRule="auto"/>
      </w:pPr>
      <w:r>
        <w:t>**Stochastique** : Le %K (95,238) et le %D (95,29) sont tous deux en zone de surachat extrême (&gt;80), avec un croisement quasi-identique (%K légèrement sous %D). La décision « Vente » est cohérente : le titre est techniquement survendu à court terme, ce qui préfigure souvent une correction ou une pause dans la tendance haussière.</w:t>
      </w:r>
    </w:p>
    <w:p>
      <w:pPr>
        <w:spacing w:after="120" w:line="276" w:lineRule="auto"/>
      </w:pPr>
      <w:r>
        <w:t>**Conclusion technique** : Les indicateurs sont divergents — les moyennes mobiles confirment la tendance haussière de fond, tandis que le MACD et le stochastique signalent un essoufflement à court terme, et le RSI/Bollinger restent neutres. Cette configuration suggère une consolidation probable avant une reprise éventuelle, avec un support dynamique à surveiller autour de la MM20 (21 621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consolidés d'ORAC (exercice clos le 31 décembre 2025) affichent un chiffre d'affaires de 1 197,1 milliards FCFA, en croissance de +10,4% sur un an, porté par la data mobile, la fibre (+59,9% d'abonnés) et Orange Money (+10,2% de clients à 40,4 millions). Le résultat net consolidé s'établit à 167,8 milliards FCFA (+6,1%), tandis que le résultat net part du groupe atteint 129,1 milliards FCFA (+14,5%), avec une marge nette de 14,0% et un ROE de 23,7% — niveau excellent (&gt;15%) qui témoigne d'une rentabilité des fonds propres très solide. Le ROA de 6,57% et la rotation des actifs de 46,87% confirment l'efficacité de l'utilisation du bilan (2 554,1 milliards FCFA de total actif). Sur le plan de la structure financière, l'autonomie financière de 27,7% (légèrement sous le seuil de 30% considéré comme sain) et le ratio d'endettement de 47,5% restent maîtrisés, avec une capacité de remboursement de 0,99 an (dette financière/CAF) et une couverture des intérêts de 1 018% — largement suffisante. Le BFR est négatif (-198,0 milliards FCFA), ce qui est favorable pour une entreprise non bancaire, et le délai fournisseurs élevé (210,87 jours) compense le délai clients de 52,26 jours, générant un cycle d'exploitation favorable à la trésorerie. Les rapports trimestriels récents confirment l'accélération : le T1 2026 (rapport du 31 mars 2026) affiche un CA de 325,6 milliards FCFA (+14,8%) et un résultat net de 48,3 milliards FCFA (+25,2%), tandis que le S1 2026 (rapport du 30 juin 2026) enregistre un CA de 672,8 milliards FCFA (+16,1%) et un résultat net de 90,3 milliards FCFA (+18,3%), avec une marge nette de 13,4% et un EBITDAaL de 239,3 milliards FCFA (+19,2%). Sur la base de ces tendances, on peut estimer que l'exercice 2026 devrait afficher un CA supérieur à 1 300 milliards FCFA et un résultat net en progression à deux chiffres, sous réserve de la pression fiscale (+35% d'impôts au S1 2026) et des charges financières. La politique de dividende, avec un DPA brut de 800 FCFA (rendement d'environ 3,65% au cours actuel), reste attractive mais en retrait par rapport au dividende de 1 278 FCFA versé en 2025 (sur le résultat 2024), traduisant un recentrage vers l'autofinancement des investissements (184,2 milliards FCFA de Capex en 2025). En synthèse, les fondamentaux d'ORAC sont solides et en amélioration, portés par une croissance à deux chiffres et une rentabilité élevée, mais la valorisation exigeante et la pression fiscale constituent des points de vigilance.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La valorisation (Partie 0) est exigeante : PER de 19,7x (bien au-dessus de la moyenne BRVM de 8-12x) et P/B de 4,66x traduisent une prime de qualité, mais l'EV/EBITDA de 7,8x reste raisonnable, suggérant que la cherté relative est justifiée par la solidité opérationnelle. Le comportement du cours (Partie 1) est nettement haussier (+39,94% sur 100 jours) avec une volatilité élevée (35,6%) et une distribution platykurtique (faible risque de pics), mais le skewness légèrement positif et la moyenne supérieure à la médiane indiquent une dynamique favorable. Les signaux techniques (Partie 2) sont divergents : les moyennes mobiles confirment la tendance haussière, mais le MACD et le stochastique en zone de surachat extrême (%K=95,2) signalent un essoufflement à court terme, plaidant pour une consolidation. Les fondamentaux (Partie 3) sont excellents : croissance du CA de +10,4% en 2025, ROE de 23,7%, BFR négatif, et accélération confirmée par les rapports T1 2026 (+14,8% de CA) et S1 2026 (+16,1% de CA, +18,3% de résultat net). Les prédictions IA (J+1 à J+10) anticipent une légère correction baissière (21 782 FCFA à 21 669 FCFA), ce qui contredit la tendance haussière de fond mais confirme les signaux techniques de surachat à court terme. **Recommandation finale : CONSERVER**, avec un biais haussier à moyen terme. La convergence entre fondamentaux solides et valorisation exigeante, tempérée par des signaux techniques de court terme baissiers, justifie une position attentiste. Le niveau de confiance est **Moyen** (les fondamentaux sont robustes mais la valorisation limite le potentiel de hausse immédiat), et le niveau de risque global est **Moyen** (volatilité élevée mais fondamentaux défensifs). L'horizon d'investissement optimal est le **moyen terme (3-12 mois)**, en attendant une consolidation qui offrirait un point d'entrée plus attractif, avec un objectif de cours à 23 000-24 000 FCFA si la croissance se maintient.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d'\u00e9valuer la performance ou la valorisation de la soci\u00e9t\u00e9. En l'absence d'informations chiffr\u00e9es, aucune d\u00e9cision d'achat ou de vente ne peut \u00eatre justifi\u00e9e."}</w:t>
      </w:r>
    </w:p>
    <w:p>
      <w:pPr>
        <w:spacing w:before="40"/>
        <w:ind w:left="400"/>
      </w:pPr>
      <w:r>
        <w:rPr>
          <w:sz w:val="18"/>
        </w:rPr>
        <w:t>Le document est une attestation des commissaires aux comptes (KPMG Côte d'Ivoire UNICONSEIL et UNICONSEIL) sur les informations semestrielles consolidées d'Orange Côte d'Ivoire S.A. pour la période du 1er janvier 2026 au 30 juin 2026. Il s'agit d'une attestation établie en application de l'article 849 de l'Acte uniforme de l'OHADA, et non d'un rapport d'analyse financière détaillé. Les commissaires aux comptes ont mis en œuvre des diligences professionnelles qui ne constituent ni un audit ni un examen limité. Le document ne contient aucune donnée chiffrée sur les résultats, le bilan ou la trésorerie de la société. Par conséquent, aucune analyse financière approfondie ni recommandation d'inve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'1er janvier 2026 au 30 juin 2026', 'capital_social': '6 026 214 000 FCFA', 'referentiel_comptable': 'IFRS', 'commissaires_aux_comptes': "KPMG Côte d'Ivoire UNICONSEIL et UNICONSEIL"}</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les informations semestrielles consolidées d'Orange Côte d'Ivoire S.A.</w:t>
      </w:r>
    </w:p>
    <w:p>
      <w:pPr>
        <w:pStyle w:val="ListBullet"/>
        <w:spacing w:before="20" w:after="20"/>
        <w:ind w:left="700"/>
      </w:pPr>
      <w:r>
        <w:rPr>
          <w:sz w:val="18"/>
        </w:rPr>
        <w:t>Période couverte : 1er janvier 2026 au 30 juin 2026</w:t>
      </w:r>
    </w:p>
    <w:p>
      <w:pPr>
        <w:pStyle w:val="ListBullet"/>
        <w:spacing w:before="20" w:after="20"/>
        <w:ind w:left="700"/>
      </w:pPr>
      <w:r>
        <w:rPr>
          <w:sz w:val="18"/>
        </w:rPr>
        <w:t>Établie en application de l'article 849 de l'Acte uniforme de l'OHADA relatif au droit des sociétés commerciales et du GIE</w:t>
      </w:r>
    </w:p>
    <w:p>
      <w:pPr>
        <w:pStyle w:val="ListBullet"/>
        <w:spacing w:before="20" w:after="20"/>
        <w:ind w:left="700"/>
      </w:pPr>
      <w:r>
        <w:rPr>
          <w:sz w:val="18"/>
        </w:rPr>
        <w:t>Les informations ont été établies sous la responsabilité de la direction générale, à partir de la comptabilité générale tenue selon le référentiel IFRS</w:t>
      </w:r>
    </w:p>
    <w:p>
      <w:pPr>
        <w:pStyle w:val="ListBullet"/>
        <w:spacing w:before="20" w:after="20"/>
        <w:ind w:left="700"/>
      </w:pPr>
      <w:r>
        <w:rPr>
          <w:sz w:val="18"/>
        </w:rPr>
        <w:t>Les diligences mises en œuvre ne constituent ni un audit ni un examen limité</w:t>
      </w:r>
    </w:p>
    <w:p>
      <w:pPr>
        <w:pStyle w:val="ListBullet"/>
        <w:spacing w:before="20" w:after="20"/>
        <w:ind w:left="700"/>
      </w:pPr>
      <w:r>
        <w:rPr>
          <w:sz w:val="18"/>
        </w:rPr>
        <w:t>Le document ne contient aucune donnée financière chiffrée (chiffre d'affaires, résultat net, actif, capitaux propres)</w:t>
      </w:r>
    </w:p>
    <w:p>
      <w:pPr>
        <w:spacing w:before="40"/>
        <w:ind w:left="400"/>
      </w:pPr>
      <w:r>
        <w:rPr>
          <w:b/>
          <w:color w:val="C05000"/>
          <w:sz w:val="18"/>
        </w:rPr>
        <w:t xml:space="preserve">⚠️ Risques : </w:t>
      </w:r>
      <w:r>
        <w:rPr>
          <w:sz w:val="18"/>
        </w:rPr>
        <w:t>["Absence de donn\u00e9es financi\u00e8res chiffr\u00e9es dans le document, emp\u00eachant toute \u00e9valuation des risques financiers", "Le document est une simple attestation de commissaires aux comptes, sans analyse de la situation financi\u00e8re", "Les diligences effectu\u00e9es ne constituent</w:t>
      </w:r>
    </w:p>
    <w:p>
      <w:pPr>
        <w:spacing w:before="40"/>
        <w:ind w:left="400"/>
      </w:pPr>
      <w:r>
        <w:rPr>
          <w:b/>
          <w:color w:val="0064A0"/>
          <w:sz w:val="18"/>
        </w:rPr>
        <w:t xml:space="preserve">🔮 Perspectives : </w:t>
      </w:r>
      <w:r>
        <w:rPr>
          <w:sz w:val="18"/>
        </w:rPr>
        <w:t>Aucune perspective financière ne peut être dégagée de ce document, qui se limite à une attestation de conformité des informations semestrielles. Pour formuler un outlook, il serait nécessaire de consulter les états financiers semestriels complets (bilan, compte de résultat, tableau des flux de tréso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croissance \u00e0 deux chiffres du chiffre d'affaires (+16,1%) et du r\u00e9sultat net (+18,3%) t\u00e9moigne d'une dynamique op\u00e9rationnelle solide sur les trois march\u00e9s. La progression de l'EBITDAaL et l'am\u00e9lioration du r\u00e9sultat financier renforcent la qualit\u00e9 des r\u00e9sultats et la g\u00e9n\u00e9ration de cash-flow."}</w:t>
      </w:r>
    </w:p>
    <w:p>
      <w:pPr>
        <w:spacing w:before="40"/>
        <w:ind w:left="400"/>
      </w:pPr>
      <w:r>
        <w:rPr>
          <w:sz w:val="18"/>
        </w:rPr>
        <w:t>Orange Côte d'Ivoire publie des résultats consolidés en forte croissance pour le premier semestre 2026, avec un chiffre d'affaires de 672,8 milliards FCFA en hausse de 16,1% sur un an. Cette performance est portée par les trois filiales du groupe (Côte d'Ivoire, Burkina Faso et Liberia), tirées par la data mobile, la fibre et Orange Money. L'EBITDAaL progresse de 19,2% à 239,3 milliards FCFA, traduisant une bonne maîtrise des coûts d'exploitation. Le résultat net consolidé atteint 90,3 milliards FCFA, en croissance de 18,3% par rapport au S1 2025. La dynamique commerciale et l'expansion des usages confirment la solidité du modèle économique du groupe sur l'ensemble de ses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'109,3 milliards FCFA', 'ebitdaal': '239,3 milliards FCFA', 'parc_fmi': '37 364 milliers', 'resultat_financier': '-12,8 milliards FCFA', 'resultat_exploitation': '159,6 milliards FCFA', 'impots_sur_le_resultat': '-56,6 milliards FCFA', 'resultat_activites_ordinaires': '146,8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672,8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de 672,8 milliards FCFA au S1 2026, en hausse de 16,1% (+93,4 milliards FCFA) sur un an.</w:t>
      </w:r>
    </w:p>
    <w:p>
      <w:pPr>
        <w:pStyle w:val="ListBullet"/>
        <w:spacing w:before="20" w:after="20"/>
        <w:ind w:left="700"/>
      </w:pPr>
      <w:r>
        <w:rPr>
          <w:sz w:val="18"/>
        </w:rPr>
        <w:t>EBITDAaL de 239,3 milliards FCFA, en progression de 19,2%, avec une marge d'EBITDAaL d'environ 35,6%.</w:t>
      </w:r>
    </w:p>
    <w:p>
      <w:pPr>
        <w:pStyle w:val="ListBullet"/>
        <w:spacing w:before="20" w:after="20"/>
        <w:ind w:left="700"/>
      </w:pPr>
      <w:r>
        <w:rPr>
          <w:sz w:val="18"/>
        </w:rPr>
        <w:t>Résultat d'exploitation de 159,6 milliards FCFA, en hausse de 21,1% par rapport au S1 2025.</w:t>
      </w:r>
    </w:p>
    <w:p>
      <w:pPr>
        <w:pStyle w:val="ListBullet"/>
        <w:spacing w:before="20" w:after="20"/>
        <w:ind w:left="700"/>
      </w:pPr>
      <w:r>
        <w:rPr>
          <w:sz w:val="18"/>
        </w:rPr>
        <w:t>Résultat net consolidé de 90,3 milliards FCFA, en croissance de 18,3%, soit une marge nette d'environ 13,4%.</w:t>
      </w:r>
    </w:p>
    <w:p>
      <w:pPr>
        <w:pStyle w:val="ListBullet"/>
        <w:spacing w:before="20" w:after="20"/>
        <w:ind w:left="700"/>
      </w:pPr>
      <w:r>
        <w:rPr>
          <w:sz w:val="18"/>
        </w:rPr>
        <w:t>Résultat financier négatif de -12,8 milliards FCFA, mais en amélioration de 5,9% sur un an.</w:t>
      </w:r>
    </w:p>
    <w:p>
      <w:pPr>
        <w:pStyle w:val="ListBullet"/>
        <w:spacing w:before="20" w:after="20"/>
        <w:ind w:left="700"/>
      </w:pPr>
      <w:r>
        <w:rPr>
          <w:sz w:val="18"/>
        </w:rPr>
        <w:t>Charge d'impôts en hausse de 35,0% à 56,6 milliards FCFA, pesant sur la croissance du résultat net.</w:t>
      </w:r>
    </w:p>
    <w:p>
      <w:pPr>
        <w:spacing w:before="40"/>
        <w:ind w:left="400"/>
      </w:pPr>
      <w:r>
        <w:rPr>
          <w:b/>
          <w:color w:val="C05000"/>
          <w:sz w:val="18"/>
        </w:rPr>
        <w:t xml:space="preserve">⚠️ Risques : </w:t>
      </w:r>
      <w:r>
        <w:rPr>
          <w:sz w:val="18"/>
        </w:rPr>
        <w:t>["Hausse marqu\u00e9e des charges commerciales et fiscales (+35% d'imp\u00f4ts) pouvant peser sur la rentabilit\u00e9 future.", "Exposition au risque de change et \u00e0 l'environnement macro\u00e9conomique des trois pays (C\u00f4te d'Ivoire, Burkina Faso, Liberia).", "Intensification de la concurre</w:t>
      </w:r>
    </w:p>
    <w:p>
      <w:pPr>
        <w:spacing w:before="40"/>
        <w:ind w:left="400"/>
      </w:pPr>
      <w:r>
        <w:rPr>
          <w:b/>
          <w:color w:val="0064A0"/>
          <w:sz w:val="18"/>
        </w:rPr>
        <w:t xml:space="preserve">🔮 Perspectives : </w:t>
      </w:r>
      <w:r>
        <w:rPr>
          <w:sz w:val="18"/>
        </w:rPr>
        <w:t>Le groupe devrait poursuivre sa trajectoire de croissance au second semestre 2026, soutenu par l'expansion de la data mobile, de la fibre et d'Orange Money sur ses trois marchés. La maîtrise des coûts et l'amélioration continue du résultat financier devraient permettre de maintenir la dynamique béné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
      <w:r>
        <w:t>════════════════════════════════════════════════════════════════════════════════</w:t>
      </w:r>
    </w:p>
    <w:p>
      <w:r>
        <w:br w:type="page"/>
      </w:r>
    </w:p>
    <w:p>
      <w:pPr>
        <w:pStyle w:val="Heading2"/>
        <w:spacing w:before="360"/>
      </w:pPr>
      <w:r>
        <w:rPr>
          <w:color w:val="0066CC"/>
        </w:rPr>
        <w:t>25.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195.75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4,267 titres</w:t>
            </w:r>
          </w:p>
        </w:tc>
        <w:tc>
          <w:tcPr>
            <w:tcW w:type="dxa" w:w="2268"/>
            <w:shd w:fill="FFF2CC" w:val="clear"/>
          </w:tcPr>
          <w:p>
            <w:r>
              <w:rPr>
                <w:b/>
                <w:color w:val="503200"/>
                <w:sz w:val="16"/>
              </w:rPr>
              <w:t xml:space="preserve">Cours actuel : </w:t>
            </w:r>
            <w:r>
              <w:rPr>
                <w:color w:val="000000"/>
                <w:sz w:val="17"/>
              </w:rPr>
              <w:t>2,820 FCFA</w:t>
            </w:r>
          </w:p>
          <w:p>
            <w:r>
              <w:rPr>
                <w:b/>
                <w:color w:val="503200"/>
                <w:sz w:val="16"/>
              </w:rPr>
              <w:t xml:space="preserve">Var. 100 jours : </w:t>
            </w:r>
            <w:r>
              <w:rPr>
                <w:b/>
                <w:color w:val="007800"/>
                <w:sz w:val="17"/>
              </w:rPr>
              <w:t>+12.80%</w:t>
            </w:r>
          </w:p>
          <w:p>
            <w:r>
              <w:rPr>
                <w:b/>
                <w:color w:val="503200"/>
                <w:sz w:val="16"/>
              </w:rPr>
              <w:t xml:space="preserve">Plus haut 100j : </w:t>
            </w:r>
            <w:r>
              <w:rPr>
                <w:color w:val="000000"/>
                <w:sz w:val="17"/>
              </w:rPr>
              <w:t>3,400 FCFA</w:t>
            </w:r>
          </w:p>
          <w:p>
            <w:r>
              <w:rPr>
                <w:b/>
                <w:color w:val="503200"/>
                <w:sz w:val="16"/>
              </w:rPr>
              <w:t xml:space="preserve">Plus bas 100j : </w:t>
            </w:r>
            <w:r>
              <w:rPr>
                <w:color w:val="000000"/>
                <w:sz w:val="17"/>
              </w:rPr>
              <w:t>2,500 FCFA</w:t>
            </w:r>
          </w:p>
          <w:p>
            <w:r>
              <w:rPr>
                <w:b/>
                <w:color w:val="503200"/>
                <w:sz w:val="16"/>
              </w:rPr>
              <w:t xml:space="preserve">Volatilité ann. : </w:t>
            </w:r>
            <w:r>
              <w:rPr>
                <w:color w:val="000000"/>
                <w:sz w:val="17"/>
              </w:rPr>
              <w:t>37.0%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8.00% (Moyenne) — μ=2,908 FCFA, σ=233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β=0.8016 (Neutre (suit le marché)) — Cov=0.000059, Var(idx)=0.000073, ρ=0.304,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4,267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σ_j=2.33%/j (Stable) — Vol. annualisée≈37.0%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2026-10-13</w:t>
            </w:r>
          </w:p>
        </w:tc>
        <w:tc>
          <w:tcPr>
            <w:tcW w:type="dxa" w:w="1440"/>
            <w:shd w:fill="C6EFCE" w:val="clear"/>
          </w:tcPr>
          <w:p>
            <w:r>
              <w:rPr>
                <w:sz w:val="17"/>
              </w:rPr>
              <w:t>2,746</w:t>
            </w:r>
          </w:p>
        </w:tc>
        <w:tc>
          <w:tcPr>
            <w:tcW w:type="dxa" w:w="1440"/>
            <w:shd w:fill="C6EFCE" w:val="clear"/>
          </w:tcPr>
          <w:p>
            <w:r>
              <w:rPr>
                <w:b/>
                <w:sz w:val="17"/>
              </w:rPr>
              <w:t>2,886</w:t>
            </w:r>
          </w:p>
        </w:tc>
        <w:tc>
          <w:tcPr>
            <w:tcW w:type="dxa" w:w="1440"/>
            <w:shd w:fill="C6EFCE" w:val="clear"/>
          </w:tcPr>
          <w:p>
            <w:r>
              <w:rPr>
                <w:sz w:val="17"/>
              </w:rPr>
              <w:t>3,026</w:t>
            </w:r>
          </w:p>
        </w:tc>
        <w:tc>
          <w:tcPr>
            <w:tcW w:type="dxa" w:w="1440"/>
            <w:shd w:fill="C6EFCE" w:val="clear"/>
          </w:tcPr>
          <w:p>
            <w:r>
              <w:rPr>
                <w:b/>
                <w:color w:val="008000"/>
                <w:sz w:val="17"/>
              </w:rPr>
              <w:t>+2.4%</w:t>
            </w:r>
          </w:p>
        </w:tc>
      </w:tr>
      <w:tr>
        <w:tc>
          <w:tcPr>
            <w:tcW w:type="dxa" w:w="1440"/>
            <w:shd w:fill="C6EFCE" w:val="clear"/>
          </w:tcPr>
          <w:p>
            <w:r>
              <w:rPr>
                <w:sz w:val="17"/>
              </w:rPr>
              <w:t>J+2  Moyenne</w:t>
            </w:r>
          </w:p>
        </w:tc>
        <w:tc>
          <w:tcPr>
            <w:tcW w:type="dxa" w:w="1440"/>
            <w:shd w:fill="C6EFCE" w:val="clear"/>
          </w:tcPr>
          <w:p>
            <w:r>
              <w:rPr>
                <w:sz w:val="17"/>
              </w:rPr>
              <w:t>2026-10-14</w:t>
            </w:r>
          </w:p>
        </w:tc>
        <w:tc>
          <w:tcPr>
            <w:tcW w:type="dxa" w:w="1440"/>
            <w:shd w:fill="C6EFCE" w:val="clear"/>
          </w:tcPr>
          <w:p>
            <w:r>
              <w:rPr>
                <w:sz w:val="17"/>
              </w:rPr>
              <w:t>2,681</w:t>
            </w:r>
          </w:p>
        </w:tc>
        <w:tc>
          <w:tcPr>
            <w:tcW w:type="dxa" w:w="1440"/>
            <w:shd w:fill="C6EFCE" w:val="clear"/>
          </w:tcPr>
          <w:p>
            <w:r>
              <w:rPr>
                <w:b/>
                <w:sz w:val="17"/>
              </w:rPr>
              <w:t>2,878</w:t>
            </w:r>
          </w:p>
        </w:tc>
        <w:tc>
          <w:tcPr>
            <w:tcW w:type="dxa" w:w="1440"/>
            <w:shd w:fill="C6EFCE" w:val="clear"/>
          </w:tcPr>
          <w:p>
            <w:r>
              <w:rPr>
                <w:sz w:val="17"/>
              </w:rPr>
              <w:t>3,076</w:t>
            </w:r>
          </w:p>
        </w:tc>
        <w:tc>
          <w:tcPr>
            <w:tcW w:type="dxa" w:w="1440"/>
            <w:shd w:fill="C6EFCE" w:val="clear"/>
          </w:tcPr>
          <w:p>
            <w:r>
              <w:rPr>
                <w:b/>
                <w:color w:val="008000"/>
                <w:sz w:val="17"/>
              </w:rPr>
              <w:t>+2.1%</w:t>
            </w:r>
          </w:p>
        </w:tc>
      </w:tr>
      <w:tr>
        <w:tc>
          <w:tcPr>
            <w:tcW w:type="dxa" w:w="1440"/>
            <w:shd w:fill="C6EFCE" w:val="clear"/>
          </w:tcPr>
          <w:p>
            <w:r>
              <w:rPr>
                <w:sz w:val="17"/>
              </w:rPr>
              <w:t>J+3  Moyenne</w:t>
            </w:r>
          </w:p>
        </w:tc>
        <w:tc>
          <w:tcPr>
            <w:tcW w:type="dxa" w:w="1440"/>
            <w:shd w:fill="C6EFCE" w:val="clear"/>
          </w:tcPr>
          <w:p>
            <w:r>
              <w:rPr>
                <w:sz w:val="17"/>
              </w:rPr>
              <w:t>2026-10-15</w:t>
            </w:r>
          </w:p>
        </w:tc>
        <w:tc>
          <w:tcPr>
            <w:tcW w:type="dxa" w:w="1440"/>
            <w:shd w:fill="C6EFCE" w:val="clear"/>
          </w:tcPr>
          <w:p>
            <w:r>
              <w:rPr>
                <w:sz w:val="17"/>
              </w:rPr>
              <w:t>2,635</w:t>
            </w:r>
          </w:p>
        </w:tc>
        <w:tc>
          <w:tcPr>
            <w:tcW w:type="dxa" w:w="1440"/>
            <w:shd w:fill="C6EFCE" w:val="clear"/>
          </w:tcPr>
          <w:p>
            <w:r>
              <w:rPr>
                <w:b/>
                <w:sz w:val="17"/>
              </w:rPr>
              <w:t>2,877</w:t>
            </w:r>
          </w:p>
        </w:tc>
        <w:tc>
          <w:tcPr>
            <w:tcW w:type="dxa" w:w="1440"/>
            <w:shd w:fill="C6EFCE" w:val="clear"/>
          </w:tcPr>
          <w:p>
            <w:r>
              <w:rPr>
                <w:sz w:val="17"/>
              </w:rPr>
              <w:t>3,119</w:t>
            </w:r>
          </w:p>
        </w:tc>
        <w:tc>
          <w:tcPr>
            <w:tcW w:type="dxa" w:w="1440"/>
            <w:shd w:fill="C6EFCE" w:val="clear"/>
          </w:tcPr>
          <w:p>
            <w:r>
              <w:rPr>
                <w:b/>
                <w:color w:val="008000"/>
                <w:sz w:val="17"/>
              </w:rPr>
              <w:t>+2.0%</w:t>
            </w:r>
          </w:p>
        </w:tc>
      </w:tr>
      <w:tr>
        <w:tc>
          <w:tcPr>
            <w:tcW w:type="dxa" w:w="1440"/>
            <w:shd w:fill="FAFAFA" w:val="clear"/>
          </w:tcPr>
          <w:p>
            <w:r>
              <w:rPr>
                <w:sz w:val="17"/>
              </w:rPr>
              <w:t>J+4  ⭐</w:t>
            </w:r>
          </w:p>
        </w:tc>
        <w:tc>
          <w:tcPr>
            <w:tcW w:type="dxa" w:w="1440"/>
            <w:shd w:fill="FAFAFA" w:val="clear"/>
          </w:tcPr>
          <w:p>
            <w:r>
              <w:rPr>
                <w:sz w:val="17"/>
              </w:rPr>
              <w:t>2026-10-16</w:t>
            </w:r>
          </w:p>
        </w:tc>
        <w:tc>
          <w:tcPr>
            <w:tcW w:type="dxa" w:w="1440"/>
            <w:shd w:fill="FAFAFA" w:val="clear"/>
          </w:tcPr>
          <w:p>
            <w:r>
              <w:rPr>
                <w:sz w:val="17"/>
              </w:rPr>
              <w:t>2,597</w:t>
            </w:r>
          </w:p>
        </w:tc>
        <w:tc>
          <w:tcPr>
            <w:tcW w:type="dxa" w:w="1440"/>
            <w:shd w:fill="FAFAFA" w:val="clear"/>
          </w:tcPr>
          <w:p>
            <w:r>
              <w:rPr>
                <w:b/>
                <w:sz w:val="17"/>
              </w:rPr>
              <w:t>2,876</w:t>
            </w:r>
          </w:p>
        </w:tc>
        <w:tc>
          <w:tcPr>
            <w:tcW w:type="dxa" w:w="1440"/>
            <w:shd w:fill="FAFAFA" w:val="clear"/>
          </w:tcPr>
          <w:p>
            <w:r>
              <w:rPr>
                <w:sz w:val="17"/>
              </w:rPr>
              <w:t>3,155</w:t>
            </w:r>
          </w:p>
        </w:tc>
        <w:tc>
          <w:tcPr>
            <w:tcW w:type="dxa" w:w="1440"/>
            <w:shd w:fill="FAFAFA" w:val="clear"/>
          </w:tcPr>
          <w:p>
            <w:r>
              <w:rPr>
                <w:b/>
                <w:color w:val="008000"/>
                <w:sz w:val="17"/>
              </w:rPr>
              <w:t>+2.0%</w:t>
            </w:r>
          </w:p>
        </w:tc>
      </w:tr>
      <w:tr>
        <w:tc>
          <w:tcPr>
            <w:tcW w:type="dxa" w:w="1440"/>
            <w:shd w:fill="FAFAFA" w:val="clear"/>
          </w:tcPr>
          <w:p>
            <w:r>
              <w:rPr>
                <w:sz w:val="17"/>
              </w:rPr>
              <w:t>J+5  ⭐</w:t>
            </w:r>
          </w:p>
        </w:tc>
        <w:tc>
          <w:tcPr>
            <w:tcW w:type="dxa" w:w="1440"/>
            <w:shd w:fill="FAFAFA" w:val="clear"/>
          </w:tcPr>
          <w:p>
            <w:r>
              <w:rPr>
                <w:sz w:val="17"/>
              </w:rPr>
              <w:t>2026-10-19</w:t>
            </w:r>
          </w:p>
        </w:tc>
        <w:tc>
          <w:tcPr>
            <w:tcW w:type="dxa" w:w="1440"/>
            <w:shd w:fill="FAFAFA" w:val="clear"/>
          </w:tcPr>
          <w:p>
            <w:r>
              <w:rPr>
                <w:sz w:val="17"/>
              </w:rPr>
              <w:t>2,562</w:t>
            </w:r>
          </w:p>
        </w:tc>
        <w:tc>
          <w:tcPr>
            <w:tcW w:type="dxa" w:w="1440"/>
            <w:shd w:fill="FAFAFA" w:val="clear"/>
          </w:tcPr>
          <w:p>
            <w:r>
              <w:rPr>
                <w:b/>
                <w:sz w:val="17"/>
              </w:rPr>
              <w:t>2,874</w:t>
            </w:r>
          </w:p>
        </w:tc>
        <w:tc>
          <w:tcPr>
            <w:tcW w:type="dxa" w:w="1440"/>
            <w:shd w:fill="FAFAFA" w:val="clear"/>
          </w:tcPr>
          <w:p>
            <w:r>
              <w:rPr>
                <w:sz w:val="17"/>
              </w:rPr>
              <w:t>3,186</w:t>
            </w:r>
          </w:p>
        </w:tc>
        <w:tc>
          <w:tcPr>
            <w:tcW w:type="dxa" w:w="1440"/>
            <w:shd w:fill="FAFAFA" w:val="clear"/>
          </w:tcPr>
          <w:p>
            <w:r>
              <w:rPr>
                <w:b/>
                <w:color w:val="008000"/>
                <w:sz w:val="17"/>
              </w:rPr>
              <w:t>+1.9%</w:t>
            </w:r>
          </w:p>
        </w:tc>
      </w:tr>
      <w:tr>
        <w:tc>
          <w:tcPr>
            <w:tcW w:type="dxa" w:w="1440"/>
            <w:shd w:fill="FAFAFA" w:val="clear"/>
          </w:tcPr>
          <w:p>
            <w:r>
              <w:rPr>
                <w:sz w:val="17"/>
              </w:rPr>
              <w:t>J+6  ⭐</w:t>
            </w:r>
          </w:p>
        </w:tc>
        <w:tc>
          <w:tcPr>
            <w:tcW w:type="dxa" w:w="1440"/>
            <w:shd w:fill="FAFAFA" w:val="clear"/>
          </w:tcPr>
          <w:p>
            <w:r>
              <w:rPr>
                <w:sz w:val="17"/>
              </w:rPr>
              <w:t>2026-10-20</w:t>
            </w:r>
          </w:p>
        </w:tc>
        <w:tc>
          <w:tcPr>
            <w:tcW w:type="dxa" w:w="1440"/>
            <w:shd w:fill="FAFAFA" w:val="clear"/>
          </w:tcPr>
          <w:p>
            <w:r>
              <w:rPr>
                <w:sz w:val="17"/>
              </w:rPr>
              <w:t>2,531</w:t>
            </w:r>
          </w:p>
        </w:tc>
        <w:tc>
          <w:tcPr>
            <w:tcW w:type="dxa" w:w="1440"/>
            <w:shd w:fill="FAFAFA" w:val="clear"/>
          </w:tcPr>
          <w:p>
            <w:r>
              <w:rPr>
                <w:b/>
                <w:sz w:val="17"/>
              </w:rPr>
              <w:t>2,873</w:t>
            </w:r>
          </w:p>
        </w:tc>
        <w:tc>
          <w:tcPr>
            <w:tcW w:type="dxa" w:w="1440"/>
            <w:shd w:fill="FAFAFA" w:val="clear"/>
          </w:tcPr>
          <w:p>
            <w:r>
              <w:rPr>
                <w:sz w:val="17"/>
              </w:rPr>
              <w:t>3,214</w:t>
            </w:r>
          </w:p>
        </w:tc>
        <w:tc>
          <w:tcPr>
            <w:tcW w:type="dxa" w:w="1440"/>
            <w:shd w:fill="FAFAFA" w:val="clear"/>
          </w:tcPr>
          <w:p>
            <w:r>
              <w:rPr>
                <w:b/>
                <w:color w:val="008000"/>
                <w:sz w:val="17"/>
              </w:rPr>
              <w:t>+1.9%</w:t>
            </w:r>
          </w:p>
        </w:tc>
      </w:tr>
      <w:tr>
        <w:tc>
          <w:tcPr>
            <w:tcW w:type="dxa" w:w="1440"/>
            <w:shd w:fill="FAFAFA" w:val="clear"/>
          </w:tcPr>
          <w:p>
            <w:r>
              <w:rPr>
                <w:sz w:val="17"/>
              </w:rPr>
              <w:t>J+7  ⭐</w:t>
            </w:r>
          </w:p>
        </w:tc>
        <w:tc>
          <w:tcPr>
            <w:tcW w:type="dxa" w:w="1440"/>
            <w:shd w:fill="FAFAFA" w:val="clear"/>
          </w:tcPr>
          <w:p>
            <w:r>
              <w:rPr>
                <w:sz w:val="17"/>
              </w:rPr>
              <w:t>2026-10-21</w:t>
            </w:r>
          </w:p>
        </w:tc>
        <w:tc>
          <w:tcPr>
            <w:tcW w:type="dxa" w:w="1440"/>
            <w:shd w:fill="FAFAFA" w:val="clear"/>
          </w:tcPr>
          <w:p>
            <w:r>
              <w:rPr>
                <w:sz w:val="17"/>
              </w:rPr>
              <w:t>2,502</w:t>
            </w:r>
          </w:p>
        </w:tc>
        <w:tc>
          <w:tcPr>
            <w:tcW w:type="dxa" w:w="1440"/>
            <w:shd w:fill="FAFAFA" w:val="clear"/>
          </w:tcPr>
          <w:p>
            <w:r>
              <w:rPr>
                <w:b/>
                <w:sz w:val="17"/>
              </w:rPr>
              <w:t>2,871</w:t>
            </w:r>
          </w:p>
        </w:tc>
        <w:tc>
          <w:tcPr>
            <w:tcW w:type="dxa" w:w="1440"/>
            <w:shd w:fill="FAFAFA" w:val="clear"/>
          </w:tcPr>
          <w:p>
            <w:r>
              <w:rPr>
                <w:sz w:val="17"/>
              </w:rPr>
              <w:t>3,239</w:t>
            </w:r>
          </w:p>
        </w:tc>
        <w:tc>
          <w:tcPr>
            <w:tcW w:type="dxa" w:w="1440"/>
            <w:shd w:fill="FAFAFA" w:val="clear"/>
          </w:tcPr>
          <w:p>
            <w:r>
              <w:rPr>
                <w:b/>
                <w:color w:val="008000"/>
                <w:sz w:val="17"/>
              </w:rPr>
              <w:t>+1.8%</w:t>
            </w:r>
          </w:p>
        </w:tc>
      </w:tr>
      <w:tr>
        <w:tc>
          <w:tcPr>
            <w:tcW w:type="dxa" w:w="1440"/>
            <w:shd w:fill="FAFAFA" w:val="clear"/>
          </w:tcPr>
          <w:p>
            <w:r>
              <w:rPr>
                <w:sz w:val="17"/>
              </w:rPr>
              <w:t>J+8  ⭐</w:t>
            </w:r>
          </w:p>
        </w:tc>
        <w:tc>
          <w:tcPr>
            <w:tcW w:type="dxa" w:w="1440"/>
            <w:shd w:fill="FAFAFA" w:val="clear"/>
          </w:tcPr>
          <w:p>
            <w:r>
              <w:rPr>
                <w:sz w:val="17"/>
              </w:rPr>
              <w:t>2026-10-22</w:t>
            </w:r>
          </w:p>
        </w:tc>
        <w:tc>
          <w:tcPr>
            <w:tcW w:type="dxa" w:w="1440"/>
            <w:shd w:fill="FAFAFA" w:val="clear"/>
          </w:tcPr>
          <w:p>
            <w:r>
              <w:rPr>
                <w:sz w:val="17"/>
              </w:rPr>
              <w:t>2,475</w:t>
            </w:r>
          </w:p>
        </w:tc>
        <w:tc>
          <w:tcPr>
            <w:tcW w:type="dxa" w:w="1440"/>
            <w:shd w:fill="FAFAFA" w:val="clear"/>
          </w:tcPr>
          <w:p>
            <w:r>
              <w:rPr>
                <w:b/>
                <w:sz w:val="17"/>
              </w:rPr>
              <w:t>2,869</w:t>
            </w:r>
          </w:p>
        </w:tc>
        <w:tc>
          <w:tcPr>
            <w:tcW w:type="dxa" w:w="1440"/>
            <w:shd w:fill="FAFAFA" w:val="clear"/>
          </w:tcPr>
          <w:p>
            <w:r>
              <w:rPr>
                <w:sz w:val="17"/>
              </w:rPr>
              <w:t>3,262</w:t>
            </w:r>
          </w:p>
        </w:tc>
        <w:tc>
          <w:tcPr>
            <w:tcW w:type="dxa" w:w="1440"/>
            <w:shd w:fill="FAFAFA" w:val="clear"/>
          </w:tcPr>
          <w:p>
            <w:r>
              <w:rPr>
                <w:b/>
                <w:color w:val="008000"/>
                <w:sz w:val="17"/>
              </w:rPr>
              <w:t>+1.7%</w:t>
            </w:r>
          </w:p>
        </w:tc>
      </w:tr>
      <w:tr>
        <w:tc>
          <w:tcPr>
            <w:tcW w:type="dxa" w:w="1440"/>
            <w:shd w:fill="FAFAFA" w:val="clear"/>
          </w:tcPr>
          <w:p>
            <w:r>
              <w:rPr>
                <w:sz w:val="17"/>
              </w:rPr>
              <w:t>J+9  ⭐</w:t>
            </w:r>
          </w:p>
        </w:tc>
        <w:tc>
          <w:tcPr>
            <w:tcW w:type="dxa" w:w="1440"/>
            <w:shd w:fill="FAFAFA" w:val="clear"/>
          </w:tcPr>
          <w:p>
            <w:r>
              <w:rPr>
                <w:sz w:val="17"/>
              </w:rPr>
              <w:t>2026-10-23</w:t>
            </w:r>
          </w:p>
        </w:tc>
        <w:tc>
          <w:tcPr>
            <w:tcW w:type="dxa" w:w="1440"/>
            <w:shd w:fill="FAFAFA" w:val="clear"/>
          </w:tcPr>
          <w:p>
            <w:r>
              <w:rPr>
                <w:sz w:val="17"/>
              </w:rPr>
              <w:t>2,449</w:t>
            </w:r>
          </w:p>
        </w:tc>
        <w:tc>
          <w:tcPr>
            <w:tcW w:type="dxa" w:w="1440"/>
            <w:shd w:fill="FAFAFA" w:val="clear"/>
          </w:tcPr>
          <w:p>
            <w:r>
              <w:rPr>
                <w:b/>
                <w:sz w:val="17"/>
              </w:rPr>
              <w:t>2,867</w:t>
            </w:r>
          </w:p>
        </w:tc>
        <w:tc>
          <w:tcPr>
            <w:tcW w:type="dxa" w:w="1440"/>
            <w:shd w:fill="FAFAFA" w:val="clear"/>
          </w:tcPr>
          <w:p>
            <w:r>
              <w:rPr>
                <w:sz w:val="17"/>
              </w:rPr>
              <w:t>3,284</w:t>
            </w:r>
          </w:p>
        </w:tc>
        <w:tc>
          <w:tcPr>
            <w:tcW w:type="dxa" w:w="1440"/>
            <w:shd w:fill="FAFAFA" w:val="clear"/>
          </w:tcPr>
          <w:p>
            <w:r>
              <w:rPr>
                <w:b/>
                <w:color w:val="008000"/>
                <w:sz w:val="17"/>
              </w:rPr>
              <w:t>+1.7%</w:t>
            </w:r>
          </w:p>
        </w:tc>
      </w:tr>
      <w:tr>
        <w:tc>
          <w:tcPr>
            <w:tcW w:type="dxa" w:w="1440"/>
            <w:shd w:fill="FAFAFA" w:val="clear"/>
          </w:tcPr>
          <w:p>
            <w:r>
              <w:rPr>
                <w:sz w:val="17"/>
              </w:rPr>
              <w:t>J+10  ⭐</w:t>
            </w:r>
          </w:p>
        </w:tc>
        <w:tc>
          <w:tcPr>
            <w:tcW w:type="dxa" w:w="1440"/>
            <w:shd w:fill="FAFAFA" w:val="clear"/>
          </w:tcPr>
          <w:p>
            <w:r>
              <w:rPr>
                <w:sz w:val="17"/>
              </w:rPr>
              <w:t>2026-10-26</w:t>
            </w:r>
          </w:p>
        </w:tc>
        <w:tc>
          <w:tcPr>
            <w:tcW w:type="dxa" w:w="1440"/>
            <w:shd w:fill="FAFAFA" w:val="clear"/>
          </w:tcPr>
          <w:p>
            <w:r>
              <w:rPr>
                <w:sz w:val="17"/>
              </w:rPr>
              <w:t>2,425</w:t>
            </w:r>
          </w:p>
        </w:tc>
        <w:tc>
          <w:tcPr>
            <w:tcW w:type="dxa" w:w="1440"/>
            <w:shd w:fill="FAFAFA" w:val="clear"/>
          </w:tcPr>
          <w:p>
            <w:r>
              <w:rPr>
                <w:b/>
                <w:sz w:val="17"/>
              </w:rPr>
              <w:t>2,865</w:t>
            </w:r>
          </w:p>
        </w:tc>
        <w:tc>
          <w:tcPr>
            <w:tcW w:type="dxa" w:w="1440"/>
            <w:shd w:fill="FAFAFA" w:val="clear"/>
          </w:tcPr>
          <w:p>
            <w:r>
              <w:rPr>
                <w:sz w:val="17"/>
              </w:rPr>
              <w:t>3,304</w:t>
            </w:r>
          </w:p>
        </w:tc>
        <w:tc>
          <w:tcPr>
            <w:tcW w:type="dxa" w:w="1440"/>
            <w:shd w:fill="FAFAFA" w:val="clear"/>
          </w:tcPr>
          <w:p>
            <w:r>
              <w:rPr>
                <w:b/>
                <w:color w:val="008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 RAPPORT D'ANALYSE FINANCIÈRE — ORAGROUP (ORGT)</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195,75 milliards FCFA, ORGT se positionne parmi les valeurs bancaires de taille intermédiaire à significative de la cote BRVM, ce qui lui confère une certaine liquidité relative mais aussi une sensibilité aux mouvements des investisseurs institutionnels. Le BPA de 312 FCFA par action signifie que chaque titre génère un bénéfice net de 312 FCFA, ce qui, rapporté au cours actuel de 2 820 FCFA, donne un PER de 9,0x — un niveau modéré, légèrement inférieur à la moyenne du marché BRVM (8-12x), suggérant une valorisation raisonnable voire légèrement sous-évaluée au regard des bénéfices. Le ratio P/B de 1,73x indique que le marché valorise l'action à 73% au-dessus de sa valeur comptable, ce qui reste dans une fourchette raisonnable (1-2x) et traduit une confiance modérée dans la qualité des actifs. En revanche, l'EV/EBITDA de 19,4x apparaît très exigeant (&gt;15x), signalant que la valeur d'entreprise intègre déjà une prime importante par rapport à la capacité opérationnelle — un point de vigilance pour les investisseurs value. Globalement, le profil de valorisation est mitigé : bon marché sur les bénéfices (PER) et le book (P/B), mais cher sur la valeur d'entreprise, ce qui invite à la prudence.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ORGT affiche une progression totale de +12,80%, mais la dernière séance (J-1) enregistre un repli marqué de -6,00%, signalant une pression vendeuse récente qui contraste avec la tendance haussière de fond. Le titre a évolué dans un range de 900 FCFA, entre un plus bas de 2 500 FCFA et un plus haut de 3 400 FCFA, ce qui témoigne d'une amplitude de trading significative et d'une certaine nervosité du marché. La moyenne du cours s'établit à 2 908 FCFA, légèrement supérieure à la médiane de 2 875 FCFA, tandis que le mode se situe à 2 680 FCFA — cet écart modéré entre moyenne et médiane, couplé à un skewness de 0,278 (distribution quasi-symétrique), indique une répartition équilibrée des cours sans biais directionnel marqué. L'écart-type de 234 FCFA avec un coefficient de variation de 8,0% traduit une dispersion modérée du cours autour de sa moyenne, ce qui est rassurant pour la stabilité relative du titre. Le kurtosis de -1,219 (distribution platykurtique) signale une faible concentration des valeurs extrêmes, donc un risque de pics de volatilité moins prononcé qu'une distribution normale — un élément favorable pour la gestion du risque. Enfin, la volatilité annualisée de 37,0% classe ORGT dans la catégorie des titres à volatilité élevée (&gt;30%), ce qui implique un risque de marché non négligeable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(3 027,25 FCFA) et la MM50 (3 111,30 FCFA) se situent toutes deux au-dessus du cours actuel (2 820 FCFA), ce qui place le titre en position baissière à court et moyen terme. La MM20 étant inférieure à la MM50, on observe une configuration de croisement baissier (death cross), confirmant la décision de **Vente** émise par cet indicateur. Le cours évoluant sous ses deux moyennes, la pression vendeuse reste dominante.</w:t>
      </w:r>
    </w:p>
    <w:p>
      <w:pPr>
        <w:spacing w:after="120" w:line="276" w:lineRule="auto"/>
      </w:pPr>
      <w:r>
        <w:t>**Bandes de Bollinger** : Le cours actuel (2 820 FCFA) se situe dans la moitié inférieure de la bande, entre la borne inférieure (2 725,74 FCFA) et la borne supérieure (3 328,76 FCFA), sans franchir aucune limite. Cette position centrale-basse, couplée à une largeur de bande importante (603 FCFA), traduit une volatilité élevée mais sans signal de survente extrême. La décision **Neutre** est justifiée par l'absence de rupture significative des bornes.</w:t>
      </w:r>
    </w:p>
    <w:p>
      <w:pPr>
        <w:spacing w:after="120" w:line="276" w:lineRule="auto"/>
      </w:pPr>
      <w:r>
        <w:t>**MACD** : La valeur du MACD (-62,463) est inférieure à son signal (-47,729), et les deux sont en territoire négatif, ce qui confirme un momentum baissier persistant. La divergence négative entre MACD et signal indique que la dynamique de baisse s'accentue, justifiant pleinement la décision de **Vente**.</w:t>
      </w:r>
    </w:p>
    <w:p>
      <w:pPr>
        <w:spacing w:after="120" w:line="276" w:lineRule="auto"/>
      </w:pPr>
      <w:r>
        <w:t>**RSI** : À 39,007, le RSI se situe dans la zone neutre basse (30-70), sans atteindre le seuil de survente (30). Cela suggère que le titre n'est pas encore techniquement survendu, mais la proximité de la zone basse indique une faiblesse relative. La décision **Neutre** reflète cette absence de signal extrême.</w:t>
      </w:r>
    </w:p>
    <w:p>
      <w:pPr>
        <w:spacing w:after="120" w:line="276" w:lineRule="auto"/>
      </w:pPr>
      <w:r>
        <w:t>**Stochastique** : Le %K (8,0) est très inférieur au %D (30,276), et se situe en zone de survente profonde (&lt;20), ce qui constitue un signal d'achat potentiel par anticipation d'un rebond technique. La décision **Achat** émise par cet indicateur contraste avec les autres signaux, suggérant une possible inflexion à court terme.</w:t>
      </w:r>
    </w:p>
    <w:p>
      <w:pPr>
        <w:spacing w:after="120" w:line="276" w:lineRule="auto"/>
      </w:pPr>
      <w:r>
        <w:t>**Conclusion technique** : Les indicateurs techniques sont majoritairement baissiers (MM, MACD) ou neutres (Bollinger, RSI), à l'exception du stochastique qui émet un signal d'achat contrarien. Cette divergence crée une configuration incertaine : la tendance de fond reste baissière, mais la survente du stochastique pourrait provoquer un rebond technique à court terme. La prudence est de mise, car aucun signal fort de retournement n'est confirmé par les autres indicateurs.</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ORGT affiche un Produit Net Bancaire (PNB) de 186,609 milliards FCFA, en baisse de -4,52% par rapport à 2024 (195,436 milliards FCFA), reflétant une contraction de l'activité commerciale. Le résultat net s'établit à 21,643 milliards FCFA, en net redressement après la perte de -44,363 milliards FCFA en 2024, grâce à une réduction drastique du coût du risque (-90%, passant de -69,056 à -6,971 milliards FCFA) et une baisse des frais généraux de -12%. Le ROE atteint 19,13% (&gt;15% = excellent), signe d'une rentabilité des fonds propres solide, tandis que le ROA reste faible à 0,54%, typique du secteur bancaire. Le coefficient d'exploitation de 42,85% (&lt;60%) confirme une excellente efficacité opérationnelle. Le ratio de dépendance financière de 97,18% et l'autonomie financière de 2,82% sont structurels pour une banque, mais le ratio d'endettement de 444,94% et la solvabilité générale de 102,90% (juste au-dessus de 1) appellent à la vigilance. Le coût du risque/charges financières de 3,74% reste modéré mais non négligeable.</w:t>
      </w:r>
    </w:p>
    <w:p>
      <w:pPr>
        <w:spacing w:after="120" w:line="276" w:lineRule="auto"/>
      </w:pPr>
      <w:r>
        <w:t>**Estimations basées sur les rapports trimestriels** : Le rapport T1 2026 (publié en 2026) indique un PNB de 50,124 milliards FCFA (-2% sur un an) et un résultat net de 6,555 milliards FCFA (+37%), avec une amélioration du coût du risque (-10%) et une maîtrise des frais généraux (-44%). Les dépôts clientèle progressent de +14% à 3 343 milliards FCFA, tandis que les crédits nets reculent de -12% à 1 434 milliards FCFA, confirmant la stratégie de sélectivité. Sur cette base, on peut estimer que l'exercice 2026 devrait maintenir la trajectoire de redressement, avec un résultat net annualisé potentiellement supérieur à 25 milliards FCFA si la dynamique se poursuit. Le rapport S1 2025 (daté du 30 juin 2025) confirmait déjà un bénéfice net de 18,3 milliards FCFA (+232%), et le T3 2025 (30 septembre 2025) un résultat de 19,6 milliards FCFA (+248%), validant la solidité du redressement.</w:t>
      </w:r>
    </w:p>
    <w:p>
      <w:pPr>
        <w:spacing w:after="120" w:line="276" w:lineRule="auto"/>
      </w:pPr>
      <w:r>
        <w:t>**Évolution et perspectives** : La comparaison 2024-2025 montre une amélioration spectaculaire de la rentabilité (ROE passant de négatif à 19,13%) et un renforcement des capitaux propres (+17% à 113,165 milliards FCFA). Cependant, la baisse du PNB et la contraction des crédits (-12% au T1 2026) constituent des risques pour la croissance future. La recommandation fondamentale est de **CONSERVER** : la solidité financière est restaurée, mais la dynamique commerciale reste fragile et l'absence de dividende (aucune distribution en 2025) limite l'attrait pour les investisseurs de rendement.</w:t>
      </w:r>
    </w:p>
    <w:p>
      <w:pPr>
        <w:spacing w:after="120" w:line="276" w:lineRule="auto"/>
      </w:pPr>
      <w:r>
        <w:t>---</w:t>
      </w:r>
    </w:p>
    <w:p>
      <w:pPr>
        <w:spacing w:after="120" w:line="276" w:lineRule="auto"/>
      </w:pPr>
      <w:r>
        <w:t>## PARTIE 4 : CONCLUSION D'INVESTISSEMENT</w:t>
      </w:r>
    </w:p>
    <w:p>
      <w:pPr>
        <w:spacing w:after="120" w:line="276" w:lineRule="auto"/>
      </w:pPr>
      <w:r>
        <w:t>La valorisation (Partie 0) présente un profil mitigé : un PER de 9,0x et un P/B de 1,73x suggèrent une sous-évaluation modérée sur les bénéfices et le book, mais l'EV/EBITDA de 19,4x traduit une prime excessive sur la valeur d'entreprise, ce qui tempère l'enthousiasme. Le comportement du cours (Partie 1) est préoccupant à court terme : malgré une progression de +12,80% sur 100 jours, la chute de -6,00% en J-1 et la volatilité élevée (37%) signalent une pression vendeuse récente, bien que la distribution platykurtique (kurtosis -1,219) et symétrique (skewness 0,278) limitent le risque de pics extrêmes. Les signaux techniques (Partie 2) sont majoritairement baissiers (MM, MACD) ou neutres (Bollinger, RSI), avec un seul signal d'achat contrarien (stochastique en survente), ce qui crée une divergence et une incertitude sur la direction à court terme. Les fondamentaux (Partie 3) sont solides : retour à la rentabilité en 2025 (ROE 19,13%, résultat net 21,6 milliards FCFA), efficacité opérationnelle (coefficient d'exploitation 42,85%), et estimations positives pour 2026 (T1 2026 : résultat net +37%), mais la baisse du PNB et l'absence de dividende limitent le potentiel de revalorisation. Les prédictions IA (J+1 à J+10) anticipent une légère hausse vers 2 886 FCFA (13 octobre) puis une stabilisation autour de 2 874-2 878 FCFA, ce qui contredit la tendance baissière immédiate mais reste cohérent avec un rebond technique modéré.</w:t>
      </w:r>
    </w:p>
    <w:p>
      <w:pPr>
        <w:spacing w:after="120" w:line="276" w:lineRule="auto"/>
      </w:pPr>
      <w:r>
        <w:t>**Recommandation finale : CONSERVER**</w:t>
        <w:br/>
        <w:t>Justification : La convergence entre des fondamentaux en redressement (ROE 19,13%, résultat net positif) et une valorisation raisonnable (PER 9,0x) soutient le titre à moyen terme, mais la divergence des signaux techniques (majoritairement baissiers) et la pression vendeuse récente (J-1 : -6,00%) incitent à la prudence. Les prédictions IA d'une stabilisation autour de 2 874-2 886 FCFA confirment l'absence de catalyseur haussier immédiat. Le niveau de confiance est **Moyen**, car les fondamentaux sont solides mais la dynamique commerciale (PNB en baisse) et l'absence de dividende pèsent sur l'attrait. Le risque global est **Moyen** (volatilité élevée mais distribution des cours équilibrée). L'horizon d'investissement optimal est **moyen terme (3-12 mois)**, en attendant la confirmation d'une reprise durable du PNB et d'une éventuelle distribution de dividende en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26.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119.81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4,362 titres</w:t>
            </w:r>
          </w:p>
        </w:tc>
        <w:tc>
          <w:tcPr>
            <w:tcW w:type="dxa" w:w="2268"/>
            <w:shd w:fill="FFF2CC" w:val="clear"/>
          </w:tcPr>
          <w:p>
            <w:r>
              <w:rPr>
                <w:b/>
                <w:color w:val="503200"/>
                <w:sz w:val="16"/>
              </w:rPr>
              <w:t xml:space="preserve">Cours actuel : </w:t>
            </w:r>
            <w:r>
              <w:rPr>
                <w:color w:val="000000"/>
                <w:sz w:val="17"/>
              </w:rPr>
              <w:t>7,750 FCFA</w:t>
            </w:r>
          </w:p>
          <w:p>
            <w:r>
              <w:rPr>
                <w:b/>
                <w:color w:val="503200"/>
                <w:sz w:val="16"/>
              </w:rPr>
              <w:t xml:space="preserve">Var. 100 jours : </w:t>
            </w:r>
            <w:r>
              <w:rPr>
                <w:b/>
                <w:color w:val="007800"/>
                <w:sz w:val="17"/>
              </w:rPr>
              <w:t>+0.78%</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7,680 FCFA</w:t>
            </w:r>
          </w:p>
          <w:p>
            <w:r>
              <w:rPr>
                <w:b/>
                <w:color w:val="503200"/>
                <w:sz w:val="16"/>
              </w:rPr>
              <w:t xml:space="preserve">Volatilité ann. : </w:t>
            </w:r>
            <w:r>
              <w:rPr>
                <w:color w:val="000000"/>
                <w:sz w:val="17"/>
              </w:rPr>
              <w:t>34.1%</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5.38% (Moyenne) — μ=8,630 FCFA, σ=464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β=0.0649 (Défensif) — Cov=0.000005, Var(idx)=0.000073, ρ=0.026,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4,362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σ_j=2.15%/j (Stable) — Vol. annualisée≈34.1%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2026-10-13</w:t>
            </w:r>
          </w:p>
        </w:tc>
        <w:tc>
          <w:tcPr>
            <w:tcW w:type="dxa" w:w="1440"/>
            <w:shd w:fill="FAFAFA" w:val="clear"/>
          </w:tcPr>
          <w:p>
            <w:r>
              <w:rPr>
                <w:sz w:val="17"/>
              </w:rPr>
              <w:t>7,486</w:t>
            </w:r>
          </w:p>
        </w:tc>
        <w:tc>
          <w:tcPr>
            <w:tcW w:type="dxa" w:w="1440"/>
            <w:shd w:fill="FAFAFA" w:val="clear"/>
          </w:tcPr>
          <w:p>
            <w:r>
              <w:rPr>
                <w:b/>
                <w:sz w:val="17"/>
              </w:rPr>
              <w:t>7,727</w:t>
            </w:r>
          </w:p>
        </w:tc>
        <w:tc>
          <w:tcPr>
            <w:tcW w:type="dxa" w:w="1440"/>
            <w:shd w:fill="FAFAFA" w:val="clear"/>
          </w:tcPr>
          <w:p>
            <w:r>
              <w:rPr>
                <w:sz w:val="17"/>
              </w:rPr>
              <w:t>7,969</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2026-10-14</w:t>
            </w:r>
          </w:p>
        </w:tc>
        <w:tc>
          <w:tcPr>
            <w:tcW w:type="dxa" w:w="1440"/>
            <w:shd w:fill="FAFAFA" w:val="clear"/>
          </w:tcPr>
          <w:p>
            <w:r>
              <w:rPr>
                <w:sz w:val="17"/>
              </w:rPr>
              <w:t>7,352</w:t>
            </w:r>
          </w:p>
        </w:tc>
        <w:tc>
          <w:tcPr>
            <w:tcW w:type="dxa" w:w="1440"/>
            <w:shd w:fill="FAFAFA" w:val="clear"/>
          </w:tcPr>
          <w:p>
            <w:r>
              <w:rPr>
                <w:b/>
                <w:sz w:val="17"/>
              </w:rPr>
              <w:t>7,692</w:t>
            </w:r>
          </w:p>
        </w:tc>
        <w:tc>
          <w:tcPr>
            <w:tcW w:type="dxa" w:w="1440"/>
            <w:shd w:fill="FAFAFA" w:val="clear"/>
          </w:tcPr>
          <w:p>
            <w:r>
              <w:rPr>
                <w:sz w:val="17"/>
              </w:rPr>
              <w:t>8,032</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2026-10-15</w:t>
            </w:r>
          </w:p>
        </w:tc>
        <w:tc>
          <w:tcPr>
            <w:tcW w:type="dxa" w:w="1440"/>
            <w:shd w:fill="FAFAFA" w:val="clear"/>
          </w:tcPr>
          <w:p>
            <w:r>
              <w:rPr>
                <w:sz w:val="17"/>
              </w:rPr>
              <w:t>7,248</w:t>
            </w:r>
          </w:p>
        </w:tc>
        <w:tc>
          <w:tcPr>
            <w:tcW w:type="dxa" w:w="1440"/>
            <w:shd w:fill="FAFAFA" w:val="clear"/>
          </w:tcPr>
          <w:p>
            <w:r>
              <w:rPr>
                <w:b/>
                <w:sz w:val="17"/>
              </w:rPr>
              <w:t>7,663</w:t>
            </w:r>
          </w:p>
        </w:tc>
        <w:tc>
          <w:tcPr>
            <w:tcW w:type="dxa" w:w="1440"/>
            <w:shd w:fill="FAFAFA" w:val="clear"/>
          </w:tcPr>
          <w:p>
            <w:r>
              <w:rPr>
                <w:sz w:val="17"/>
              </w:rPr>
              <w:t>8,077</w:t>
            </w:r>
          </w:p>
        </w:tc>
        <w:tc>
          <w:tcPr>
            <w:tcW w:type="dxa" w:w="1440"/>
            <w:shd w:fill="FAFAFA" w:val="clear"/>
          </w:tcPr>
          <w:p>
            <w:r>
              <w:rPr>
                <w:b/>
                <w:color w:val="C00000"/>
                <w:sz w:val="17"/>
              </w:rPr>
              <w:t>-1.1%</w:t>
            </w:r>
          </w:p>
        </w:tc>
      </w:tr>
      <w:tr>
        <w:tc>
          <w:tcPr>
            <w:tcW w:type="dxa" w:w="1440"/>
            <w:shd w:fill="FAFAFA" w:val="clear"/>
          </w:tcPr>
          <w:p>
            <w:r>
              <w:rPr>
                <w:sz w:val="17"/>
              </w:rPr>
              <w:t>J+4  Moyenne</w:t>
            </w:r>
          </w:p>
        </w:tc>
        <w:tc>
          <w:tcPr>
            <w:tcW w:type="dxa" w:w="1440"/>
            <w:shd w:fill="FAFAFA" w:val="clear"/>
          </w:tcPr>
          <w:p>
            <w:r>
              <w:rPr>
                <w:sz w:val="17"/>
              </w:rPr>
              <w:t>2026-10-16</w:t>
            </w:r>
          </w:p>
        </w:tc>
        <w:tc>
          <w:tcPr>
            <w:tcW w:type="dxa" w:w="1440"/>
            <w:shd w:fill="FAFAFA" w:val="clear"/>
          </w:tcPr>
          <w:p>
            <w:r>
              <w:rPr>
                <w:sz w:val="17"/>
              </w:rPr>
              <w:t>7,156</w:t>
            </w:r>
          </w:p>
        </w:tc>
        <w:tc>
          <w:tcPr>
            <w:tcW w:type="dxa" w:w="1440"/>
            <w:shd w:fill="FAFAFA" w:val="clear"/>
          </w:tcPr>
          <w:p>
            <w:r>
              <w:rPr>
                <w:b/>
                <w:sz w:val="17"/>
              </w:rPr>
              <w:t>7,633</w:t>
            </w:r>
          </w:p>
        </w:tc>
        <w:tc>
          <w:tcPr>
            <w:tcW w:type="dxa" w:w="1440"/>
            <w:shd w:fill="FAFAFA" w:val="clear"/>
          </w:tcPr>
          <w:p>
            <w:r>
              <w:rPr>
                <w:sz w:val="17"/>
              </w:rPr>
              <w:t>8,111</w:t>
            </w:r>
          </w:p>
        </w:tc>
        <w:tc>
          <w:tcPr>
            <w:tcW w:type="dxa" w:w="1440"/>
            <w:shd w:fill="FAFAFA" w:val="clear"/>
          </w:tcPr>
          <w:p>
            <w:r>
              <w:rPr>
                <w:b/>
                <w:color w:val="C00000"/>
                <w:sz w:val="17"/>
              </w:rPr>
              <w:t>-1.5%</w:t>
            </w:r>
          </w:p>
        </w:tc>
      </w:tr>
      <w:tr>
        <w:tc>
          <w:tcPr>
            <w:tcW w:type="dxa" w:w="1440"/>
            <w:shd w:fill="FAFAFA" w:val="clear"/>
          </w:tcPr>
          <w:p>
            <w:r>
              <w:rPr>
                <w:sz w:val="17"/>
              </w:rPr>
              <w:t>J+5  Moyenne</w:t>
            </w:r>
          </w:p>
        </w:tc>
        <w:tc>
          <w:tcPr>
            <w:tcW w:type="dxa" w:w="1440"/>
            <w:shd w:fill="FAFAFA" w:val="clear"/>
          </w:tcPr>
          <w:p>
            <w:r>
              <w:rPr>
                <w:sz w:val="17"/>
              </w:rPr>
              <w:t>2026-10-19</w:t>
            </w:r>
          </w:p>
        </w:tc>
        <w:tc>
          <w:tcPr>
            <w:tcW w:type="dxa" w:w="1440"/>
            <w:shd w:fill="FAFAFA" w:val="clear"/>
          </w:tcPr>
          <w:p>
            <w:r>
              <w:rPr>
                <w:sz w:val="17"/>
              </w:rPr>
              <w:t>7,074</w:t>
            </w:r>
          </w:p>
        </w:tc>
        <w:tc>
          <w:tcPr>
            <w:tcW w:type="dxa" w:w="1440"/>
            <w:shd w:fill="FAFAFA" w:val="clear"/>
          </w:tcPr>
          <w:p>
            <w:r>
              <w:rPr>
                <w:b/>
                <w:sz w:val="17"/>
              </w:rPr>
              <w:t>7,605</w:t>
            </w:r>
          </w:p>
        </w:tc>
        <w:tc>
          <w:tcPr>
            <w:tcW w:type="dxa" w:w="1440"/>
            <w:shd w:fill="FAFAFA" w:val="clear"/>
          </w:tcPr>
          <w:p>
            <w:r>
              <w:rPr>
                <w:sz w:val="17"/>
              </w:rPr>
              <w:t>8,137</w:t>
            </w:r>
          </w:p>
        </w:tc>
        <w:tc>
          <w:tcPr>
            <w:tcW w:type="dxa" w:w="1440"/>
            <w:shd w:fill="FAFAFA" w:val="clear"/>
          </w:tcPr>
          <w:p>
            <w:r>
              <w:rPr>
                <w:b/>
                <w:color w:val="C00000"/>
                <w:sz w:val="17"/>
              </w:rPr>
              <w:t>-1.9%</w:t>
            </w:r>
          </w:p>
        </w:tc>
      </w:tr>
      <w:tr>
        <w:tc>
          <w:tcPr>
            <w:tcW w:type="dxa" w:w="1440"/>
            <w:shd w:fill="FFDCE0" w:val="clear"/>
          </w:tcPr>
          <w:p>
            <w:r>
              <w:rPr>
                <w:sz w:val="17"/>
              </w:rPr>
              <w:t>J+6  Moyenne</w:t>
            </w:r>
          </w:p>
        </w:tc>
        <w:tc>
          <w:tcPr>
            <w:tcW w:type="dxa" w:w="1440"/>
            <w:shd w:fill="FFDCE0" w:val="clear"/>
          </w:tcPr>
          <w:p>
            <w:r>
              <w:rPr>
                <w:sz w:val="17"/>
              </w:rPr>
              <w:t>2026-10-20</w:t>
            </w:r>
          </w:p>
        </w:tc>
        <w:tc>
          <w:tcPr>
            <w:tcW w:type="dxa" w:w="1440"/>
            <w:shd w:fill="FFDCE0" w:val="clear"/>
          </w:tcPr>
          <w:p>
            <w:r>
              <w:rPr>
                <w:sz w:val="17"/>
              </w:rPr>
              <w:t>6,998</w:t>
            </w:r>
          </w:p>
        </w:tc>
        <w:tc>
          <w:tcPr>
            <w:tcW w:type="dxa" w:w="1440"/>
            <w:shd w:fill="FFDCE0" w:val="clear"/>
          </w:tcPr>
          <w:p>
            <w:r>
              <w:rPr>
                <w:b/>
                <w:sz w:val="17"/>
              </w:rPr>
              <w:t>7,578</w:t>
            </w:r>
          </w:p>
        </w:tc>
        <w:tc>
          <w:tcPr>
            <w:tcW w:type="dxa" w:w="1440"/>
            <w:shd w:fill="FFDCE0" w:val="clear"/>
          </w:tcPr>
          <w:p>
            <w:r>
              <w:rPr>
                <w:sz w:val="17"/>
              </w:rPr>
              <w:t>8,159</w:t>
            </w:r>
          </w:p>
        </w:tc>
        <w:tc>
          <w:tcPr>
            <w:tcW w:type="dxa" w:w="1440"/>
            <w:shd w:fill="FFDCE0" w:val="clear"/>
          </w:tcPr>
          <w:p>
            <w:r>
              <w:rPr>
                <w:b/>
                <w:color w:val="C00000"/>
                <w:sz w:val="17"/>
              </w:rPr>
              <w:t>-2.2%</w:t>
            </w:r>
          </w:p>
        </w:tc>
      </w:tr>
      <w:tr>
        <w:tc>
          <w:tcPr>
            <w:tcW w:type="dxa" w:w="1440"/>
            <w:shd w:fill="FFDCE0" w:val="clear"/>
          </w:tcPr>
          <w:p>
            <w:r>
              <w:rPr>
                <w:sz w:val="17"/>
              </w:rPr>
              <w:t>J+7  Moyenne</w:t>
            </w:r>
          </w:p>
        </w:tc>
        <w:tc>
          <w:tcPr>
            <w:tcW w:type="dxa" w:w="1440"/>
            <w:shd w:fill="FFDCE0" w:val="clear"/>
          </w:tcPr>
          <w:p>
            <w:r>
              <w:rPr>
                <w:sz w:val="17"/>
              </w:rPr>
              <w:t>2026-10-21</w:t>
            </w:r>
          </w:p>
        </w:tc>
        <w:tc>
          <w:tcPr>
            <w:tcW w:type="dxa" w:w="1440"/>
            <w:shd w:fill="FFDCE0" w:val="clear"/>
          </w:tcPr>
          <w:p>
            <w:r>
              <w:rPr>
                <w:sz w:val="17"/>
              </w:rPr>
              <w:t>6,928</w:t>
            </w:r>
          </w:p>
        </w:tc>
        <w:tc>
          <w:tcPr>
            <w:tcW w:type="dxa" w:w="1440"/>
            <w:shd w:fill="FFDCE0" w:val="clear"/>
          </w:tcPr>
          <w:p>
            <w:r>
              <w:rPr>
                <w:b/>
                <w:sz w:val="17"/>
              </w:rPr>
              <w:t>7,553</w:t>
            </w:r>
          </w:p>
        </w:tc>
        <w:tc>
          <w:tcPr>
            <w:tcW w:type="dxa" w:w="1440"/>
            <w:shd w:fill="FFDCE0" w:val="clear"/>
          </w:tcPr>
          <w:p>
            <w:r>
              <w:rPr>
                <w:sz w:val="17"/>
              </w:rPr>
              <w:t>8,177</w:t>
            </w:r>
          </w:p>
        </w:tc>
        <w:tc>
          <w:tcPr>
            <w:tcW w:type="dxa" w:w="1440"/>
            <w:shd w:fill="FFDCE0" w:val="clear"/>
          </w:tcPr>
          <w:p>
            <w:r>
              <w:rPr>
                <w:b/>
                <w:color w:val="C00000"/>
                <w:sz w:val="17"/>
              </w:rPr>
              <w:t>-2.5%</w:t>
            </w:r>
          </w:p>
        </w:tc>
      </w:tr>
      <w:tr>
        <w:tc>
          <w:tcPr>
            <w:tcW w:type="dxa" w:w="1440"/>
            <w:shd w:fill="FFDCE0" w:val="clear"/>
          </w:tcPr>
          <w:p>
            <w:r>
              <w:rPr>
                <w:sz w:val="17"/>
              </w:rPr>
              <w:t>J+8  Moyenne</w:t>
            </w:r>
          </w:p>
        </w:tc>
        <w:tc>
          <w:tcPr>
            <w:tcW w:type="dxa" w:w="1440"/>
            <w:shd w:fill="FFDCE0" w:val="clear"/>
          </w:tcPr>
          <w:p>
            <w:r>
              <w:rPr>
                <w:sz w:val="17"/>
              </w:rPr>
              <w:t>2026-10-22</w:t>
            </w:r>
          </w:p>
        </w:tc>
        <w:tc>
          <w:tcPr>
            <w:tcW w:type="dxa" w:w="1440"/>
            <w:shd w:fill="FFDCE0" w:val="clear"/>
          </w:tcPr>
          <w:p>
            <w:r>
              <w:rPr>
                <w:sz w:val="17"/>
              </w:rPr>
              <w:t>6,863</w:t>
            </w:r>
          </w:p>
        </w:tc>
        <w:tc>
          <w:tcPr>
            <w:tcW w:type="dxa" w:w="1440"/>
            <w:shd w:fill="FFDCE0" w:val="clear"/>
          </w:tcPr>
          <w:p>
            <w:r>
              <w:rPr>
                <w:b/>
                <w:sz w:val="17"/>
              </w:rPr>
              <w:t>7,528</w:t>
            </w:r>
          </w:p>
        </w:tc>
        <w:tc>
          <w:tcPr>
            <w:tcW w:type="dxa" w:w="1440"/>
            <w:shd w:fill="FFDCE0" w:val="clear"/>
          </w:tcPr>
          <w:p>
            <w:r>
              <w:rPr>
                <w:sz w:val="17"/>
              </w:rPr>
              <w:t>8,194</w:t>
            </w:r>
          </w:p>
        </w:tc>
        <w:tc>
          <w:tcPr>
            <w:tcW w:type="dxa" w:w="1440"/>
            <w:shd w:fill="FFDCE0" w:val="clear"/>
          </w:tcPr>
          <w:p>
            <w:r>
              <w:rPr>
                <w:b/>
                <w:color w:val="C00000"/>
                <w:sz w:val="17"/>
              </w:rPr>
              <w:t>-2.9%</w:t>
            </w:r>
          </w:p>
        </w:tc>
      </w:tr>
      <w:tr>
        <w:tc>
          <w:tcPr>
            <w:tcW w:type="dxa" w:w="1440"/>
            <w:shd w:fill="FFDCE0" w:val="clear"/>
          </w:tcPr>
          <w:p>
            <w:r>
              <w:rPr>
                <w:sz w:val="17"/>
              </w:rPr>
              <w:t>J+9  Moyenne</w:t>
            </w:r>
          </w:p>
        </w:tc>
        <w:tc>
          <w:tcPr>
            <w:tcW w:type="dxa" w:w="1440"/>
            <w:shd w:fill="FFDCE0" w:val="clear"/>
          </w:tcPr>
          <w:p>
            <w:r>
              <w:rPr>
                <w:sz w:val="17"/>
              </w:rPr>
              <w:t>2026-10-23</w:t>
            </w:r>
          </w:p>
        </w:tc>
        <w:tc>
          <w:tcPr>
            <w:tcW w:type="dxa" w:w="1440"/>
            <w:shd w:fill="FFDCE0" w:val="clear"/>
          </w:tcPr>
          <w:p>
            <w:r>
              <w:rPr>
                <w:sz w:val="17"/>
              </w:rPr>
              <w:t>6,801</w:t>
            </w:r>
          </w:p>
        </w:tc>
        <w:tc>
          <w:tcPr>
            <w:tcW w:type="dxa" w:w="1440"/>
            <w:shd w:fill="FFDCE0" w:val="clear"/>
          </w:tcPr>
          <w:p>
            <w:r>
              <w:rPr>
                <w:b/>
                <w:sz w:val="17"/>
              </w:rPr>
              <w:t>7,505</w:t>
            </w:r>
          </w:p>
        </w:tc>
        <w:tc>
          <w:tcPr>
            <w:tcW w:type="dxa" w:w="1440"/>
            <w:shd w:fill="FFDCE0" w:val="clear"/>
          </w:tcPr>
          <w:p>
            <w:r>
              <w:rPr>
                <w:sz w:val="17"/>
              </w:rPr>
              <w:t>8,209</w:t>
            </w:r>
          </w:p>
        </w:tc>
        <w:tc>
          <w:tcPr>
            <w:tcW w:type="dxa" w:w="1440"/>
            <w:shd w:fill="FFDCE0" w:val="clear"/>
          </w:tcPr>
          <w:p>
            <w:r>
              <w:rPr>
                <w:b/>
                <w:color w:val="C00000"/>
                <w:sz w:val="17"/>
              </w:rPr>
              <w:t>-3.2%</w:t>
            </w:r>
          </w:p>
        </w:tc>
      </w:tr>
      <w:tr>
        <w:tc>
          <w:tcPr>
            <w:tcW w:type="dxa" w:w="1440"/>
            <w:shd w:fill="FFDCE0" w:val="clear"/>
          </w:tcPr>
          <w:p>
            <w:r>
              <w:rPr>
                <w:sz w:val="17"/>
              </w:rPr>
              <w:t>J+10  Moyenne</w:t>
            </w:r>
          </w:p>
        </w:tc>
        <w:tc>
          <w:tcPr>
            <w:tcW w:type="dxa" w:w="1440"/>
            <w:shd w:fill="FFDCE0" w:val="clear"/>
          </w:tcPr>
          <w:p>
            <w:r>
              <w:rPr>
                <w:sz w:val="17"/>
              </w:rPr>
              <w:t>2026-10-26</w:t>
            </w:r>
          </w:p>
        </w:tc>
        <w:tc>
          <w:tcPr>
            <w:tcW w:type="dxa" w:w="1440"/>
            <w:shd w:fill="FFDCE0" w:val="clear"/>
          </w:tcPr>
          <w:p>
            <w:r>
              <w:rPr>
                <w:sz w:val="17"/>
              </w:rPr>
              <w:t>6,743</w:t>
            </w:r>
          </w:p>
        </w:tc>
        <w:tc>
          <w:tcPr>
            <w:tcW w:type="dxa" w:w="1440"/>
            <w:shd w:fill="FFDCE0" w:val="clear"/>
          </w:tcPr>
          <w:p>
            <w:r>
              <w:rPr>
                <w:b/>
                <w:sz w:val="17"/>
              </w:rPr>
              <w:t>7,483</w:t>
            </w:r>
          </w:p>
        </w:tc>
        <w:tc>
          <w:tcPr>
            <w:tcW w:type="dxa" w:w="1440"/>
            <w:shd w:fill="FFDCE0" w:val="clear"/>
          </w:tcPr>
          <w:p>
            <w:r>
              <w:rPr>
                <w:sz w:val="17"/>
              </w:rPr>
              <w:t>8,222</w:t>
            </w:r>
          </w:p>
        </w:tc>
        <w:tc>
          <w:tcPr>
            <w:tcW w:type="dxa" w:w="1440"/>
            <w:shd w:fill="FFDCE0" w:val="clear"/>
          </w:tcPr>
          <w:p>
            <w:r>
              <w:rPr>
                <w:b/>
                <w:color w:val="C00000"/>
                <w:sz w:val="17"/>
              </w:rPr>
              <w:t>-3.4%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PALMCI S.A. (PALC)**</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119,81 milliards FCFA, PALC se positionne comme une valeur de taille intermédiaire à supérieure sur le compartiment agro-industriel de la BRVM, représentant un poids significatif dans l'indice BRVM-Composite. Le BPA de 1 003 FCFA/action signifie que chaque titre génère un peu plus d'un millier de francs de bénéfice net, ce qui, rapporté au cours actuel de 7 750 FCFA, confère un PER de 7,7x — nettement inférieur à la moyenne BRVM (8-12x), signalant une décote potentielle par rapport au marché régional. Le ratio P/B de 0,84x est particulièrement révélateur : le marché valorise PALC à 16% en dessous de sa valeur comptable (capitaux propres de 142,6 Mds FCFA pour une capitalisation de 119,8 Mds), ce qui constitue historiquement une zone d'opportunité pour les investisseurs value. Enfin, l'EV/EBITDA de 3,8x, très en dessous du seuil de 5x généralement considéré comme "bon marché", indique que la valeur d'entreprise (capitalisation + dette nette) ne représente que 3,8 fois la capacité opérationnelle de génération de cash — un niveau qui traduit une sous-évaluation manifeste si la rentabilité se maintient.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PALC affiche une variation quasi-nulle de +0,78%, mais la dernière séance (J-1) enregistre un repli de -0,64%, portant le cours à 7 750 FCFA. Le range de trading est particulièrement large, avec un plus haut à 9 640 FCFA et un plus bas à 7 680 FCFA — soit un écart de près de 2 000 FCFA (25,5%) entre les extrêmes — ce qui témoigne d'une forte amplitude de mouvement. La tendance générale est baissière sur la période, le cours actuel (7 750 FCFA) se situant à seulement 0,9% au-dessus de son plus bas, et très loin du sommet de 9 640 FCFA. Les statistiques descriptives révèlent une distribution quasi-symétrique : la moyenne (8 630 FCFA) et la médiane (8 690 FCFA) sont très proches, confirmant l'absence de biais directionnel marqué, tandis que le skewness de -0,189 (distribution symétrique) et le kurtosis de -0,248 (mésokurtique, proche d'une loi normale) indiquent un comportement de cours sans excès de pics ni d'asymétrie — un profil rassurant pour la modélisation. L'écart-type de 467 FCFA avec un coefficient de variation de 5,4% traduit une dispersion modérée autour de la moyenne, mais la volatilité annualisée de 34,1% classe PALC dans la catégorie des titres à volatilité élevée (&gt;30%), ce qui implique un risque de prix significatif à court terme. Le volume moyen de 4 362 titres/jour reste modeste, ce qui peut amplifier les mouvements en cas de flux acheteurs ou vendeurs importants.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(8 243,25 FCFA) et la MM50 (8 734,0 FCFA) sont toutes deux nettement supérieures au cours actuel (7 750 FCFA), avec un écart respectif de -6,0% et -11,3%. Cette configuration baissière — cours sous les deux moyennes, et MM20 sous MM50 — confirme la pression vendeuse et justifie la décision "Vente" des indicateurs. Le croisement baissier (death cross) entre MM20 et MM50 est un signal de continuation de la tendance négative à moyen terme.</w:t>
      </w:r>
    </w:p>
    <w:p>
      <w:pPr>
        <w:spacing w:after="120" w:line="276" w:lineRule="auto"/>
      </w:pPr>
      <w:r>
        <w:t>**Bandes de Bollinger** : Le cours (7 750 FCFA) évolue très près de la borne inférieure (7 723,74 FCFA), à seulement 0,3% de celle-ci, tandis que la borne supérieure se situe à 8 762,76 FCFA. Cette position quasi-collée à la bande basse traduit une pression vendeuse intense, mais la décision "Neutre" suggère que le titre pourrait être en zone de survente technique, avec un potentiel de rebond vers la moyenne mobile des bandes (8 243 FCFA). L'amplitude des bandes (1 039 FCFA) reflète la volatilité élevée déjà signalée.</w:t>
      </w:r>
    </w:p>
    <w:p>
      <w:pPr>
        <w:spacing w:after="120" w:line="276" w:lineRule="auto"/>
      </w:pPr>
      <w:r>
        <w:t>**MACD** : La valeur du MACD (-223,79) est inférieure à son signal (-195,79), avec un histogramme négatif — configuration baissière classique. Le momentum reste clairement négatif, la divergence entre MACD et signal s'étant creusée récemment, ce qui justifie la décision "Vente". Aucun signe de retournement (croisement haussier) n'est visible à ce stade.</w:t>
      </w:r>
    </w:p>
    <w:p>
      <w:pPr>
        <w:spacing w:after="120" w:line="276" w:lineRule="auto"/>
      </w:pPr>
      <w:r>
        <w:t>**RSI** : À 29,02, le RSI est en zone de survente (&lt;30), ce qui déclenche une décision "Achat" selon les règles classiques. Cette lecture suggère que la pression vendeuse pourrait s'épuiser à court terme et qu'un rebond technique est probable, surtout si le cours se maintient au-dessus du support des 7 680 FCFA. C'est le seul indicateur clairement haussier du tableau.</w:t>
      </w:r>
    </w:p>
    <w:p>
      <w:pPr>
        <w:spacing w:after="120" w:line="276" w:lineRule="auto"/>
      </w:pPr>
      <w:r>
        <w:t>**Stochastique** : Le %K (0,0) et le %D (2,667) sont tous deux en zone extrême de survente, avec un %K au plancher absolu — signal d'achat fort selon cet indicateur. Le croisement éventuel du %K au-dessus du %D serait un déclencheur de rebond, mais pour l'instant, la configuration reflète une capitulation des vendeurs.</w:t>
      </w:r>
    </w:p>
    <w:p>
      <w:pPr>
        <w:spacing w:after="120" w:line="276" w:lineRule="auto"/>
      </w:pPr>
      <w:r>
        <w:t>**Conclusion technique** : Les indicateurs sont majoritairement baissiers (MM, MACD) mais deux oscillateurs (RSI, Stochastique) signalent une survente extrême, créant une divergence classique. Cette configuration suggère que la tendance baissière pourrait s'essouffler à court terme, avec un potentiel de rebond technique vers 8 000-8 200 FCFA, mais la tendance de fond reste négative tant que le cours n'aura pas reconquis la MM20 (8 243 FCFA). Le signal global est donc "Neutre à légèrement haussier" à court terme, avec une prudence recommandée.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PALMCI a réalisé un chiffre d'affaires de 197,63 milliards FCFA (contre 172,2 Mds en 2024, soit +14,8%), pour un résultat net de 15,51 milliards FCFA (en léger recul de -2,2% vs 15,9 Mds en 2024). Les ratios de rentabilité restent solides : ROE de 10,87% (rentabilité des fonds propres correcte mais en dessous du seuil d'excellence de 15%), ROA de 7,79%, et marge nette de 7,85% — supérieure à la moyenne du secteur agro-industriel ouest-africain (5-7%). La structure financière est remarquablement saine : autonomie financière de 71,64% (capitaux propres de 142,6 Mds FCFA pour un total bilan de 199,1 Mds), ratio d'endettement de seulement 0,56%, et dettes financières réduites à 796,6 millions FCFA (contre 4,0 Mds en 2024). Cependant, deux points de vigilance majeurs émergent : (1) le délai clients de 142,58 jours — très élevé — qui immobilise 78,27 Mds FCFA de créances et constitue un risque de trésorerie significatif, et (2) la trésorerie nette négative de -4,56 Mds FCFA, bien que couverte par une CAFG de 30,57 Mds FCFA. Le BFR de 44,62 Mds FCFA (positif, donc défavorable) pèse sur la liquidité. Les rapports trimestriels récents (T1 2026, S1 2026) révèlent une dégradation conjoncturelle préoccupante : au S1 2026 (rapport du 7 octobre 2026), le CA chute de -15% à 114,7 Mds FCFA et le résultat net de -41% à 13,5 Mds FCFA, avec une marge nette ramenée à 11,8% (vs 17,0% au S1 2025). Le T1 2026 (rapport du 30 avril 2026) avait déjà montré un effondrement de -86% du résultat net à 1,6 Mds FCFA. Le management attribue cette contre-performance à un décalage temporel des ventes (stocks de produits finis en cours d'écoulement) et anticipe un résultat net annuel 2026 positif, proche de celui de 2025. La politique de dividende, bien que généreuse (502 FCFA/action en 2025, soit un rendement de ~6,5% au cours actuel), a été réduite de -19% vs 2024 (620 FCFA), reflétant la priorité donnée à la trésorerie. En synthèse, PALC reste un acteur solide et sous-évalué, mais fait face à une dégradation cyclique de ses marges et à un risque d'exécution sur l'écoulement des stocks au S2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intéressante : la valorisation (Partie 0) est manifestement attractive (PER 7,7x, P/B 0,84x, EV/EBITDA 3,8x), signalant une sous-évaluation par rapport aux fondamentaux historiques et au marché BRVM. Le comportement du cours (Partie 1) est préoccupant à court terme — tendance baissière, cours proche du plus bas, volatilité élevée (34,1%) — mais les statistiques descriptives (distribution symétrique, kurtosis normal) indiquent l'absence de risque de queue épaisse, ce qui est rassurant. Les signaux techniques (Partie 2) sont mitigés : majoritairement baissiers (MM, MACD) mais avec une survente extrême (RSI 29, Stochastique 0) qui plaide pour un rebond technique imminent. Les fondamentaux (Partie 3) sont solides mais en dégradation cyclique : la structure financière est excellente (autonomie 71,6%, endettement quasi-nul), mais la rentabilité se comprime (marge nette 7,85% en 2025, 11,8% au S1 2026 vs 17% un an plus tôt) et le délai clients de 142 jours constitue un risque de trésorerie. Les prédictions IA (J+1 à J+10) anticipent une poursuite de la baisse vers 7 605 FCFA (-1,9% vs cours actuel), ce qui contredit les signaux de survente technique et suggère que la pression vendeuse pourrait persister à très court terme. **Recommandation finale : CONSERVER** — avec un biais haussier à moyen terme. La convergence entre la sous-évaluation manifeste (P/B &lt; 1, PER faible), la solidité financière et le potentiel de rebond technique (survente) l'emporte sur les risques conjoncturels (baisse des volumes, pression sur les marges). Un passage à l'ACHAT serait justifié après confirmation de la reprise des volumes au S2 2026 et stabilisation du cours au-dessus de 7 680 FCFA. **Niveau de confiance : Moyen** (les données fondamentales sont solides mais les perspectives à court terme restent incertaines). **Niveau de risque : Moyen** (volatilité élevée, dépendance aux cours de l'huile de palme, mais structure financière très saine). **Horizon d'investissement optimal : Moyen terme (3-12 mois)**, le temps que l'écoulement des stocks se matérialise et que la rentabilité se redresse, avec un objectif de cours à 8 500-9 000 FCFA si les marges se normalisent.</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est une simple attestation d'examen limit\u00e9 sans aucune donn\u00e9e financi\u00e8re chiffr\u00e9e, ne permettant pas d'\u00e9valuer la performance ou la valorisation de PALMCI. En l'absence d'informations quantitatives, aucune d\u00e9cision d'achat ou de vente ne peut \u00eatre justifi\u00e9e."}</w:t>
      </w:r>
    </w:p>
    <w:p>
      <w:pPr>
        <w:spacing w:before="40"/>
        <w:ind w:left="400"/>
      </w:pPr>
      <w:r>
        <w:rPr>
          <w:sz w:val="18"/>
        </w:rPr>
        <w:t>Le document est une attestation des commissaires aux comptes (Forvis Mazars et Eritedge Côte d'Ivoire) portant sur le tableau d'activités et de résultat ainsi que le rapport d'activité semestriel de PALMCI, S.A. pour la période du 1er janvier au 30 juin 2026. Les auditeurs ont réalisé un examen limité selon la norme ISRE 2410, et non un audit complet. Sur la base de cet examen limité, ils n'ont pas relevé de faits remettant en cause la conformité des documents aux articles 850 et 851 de l'Acte Uniforme OHADA et à la Circulaire n° 004-2010 de l'AMF-UMOA. L'attestation a été signée à Abidjan le 07 octobre 2026. Le document ne contient aucune donnée financière chiffrée (chiffre d'affaires, résu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 tableau d'activités et de résultat semestriel de PALMCI, S.A.</w:t>
      </w:r>
    </w:p>
    <w:p>
      <w:pPr>
        <w:pStyle w:val="ListBullet"/>
        <w:spacing w:before="20" w:after="20"/>
        <w:ind w:left="700"/>
      </w:pPr>
      <w:r>
        <w:rPr>
          <w:sz w:val="18"/>
        </w:rPr>
        <w:t>Période couverte : 1er janvier au 30 juin 2026 (arrêté semestriel au 30 juin 2026)</w:t>
      </w:r>
    </w:p>
    <w:p>
      <w:pPr>
        <w:pStyle w:val="ListBullet"/>
        <w:spacing w:before="20" w:after="20"/>
        <w:ind w:left="700"/>
      </w:pPr>
      <w:r>
        <w:rPr>
          <w:sz w:val="18"/>
        </w:rPr>
        <w:t>Examen limité effectué selon la norme ISRE 2410, offrant une assurance modérée et non une opinion d'audit</w:t>
      </w:r>
    </w:p>
    <w:p>
      <w:pPr>
        <w:pStyle w:val="ListBullet"/>
        <w:spacing w:before="20" w:after="20"/>
        <w:ind w:left="700"/>
      </w:pPr>
      <w:r>
        <w:rPr>
          <w:sz w:val="18"/>
        </w:rPr>
        <w:t>Conclusion sans réserve : aucun fait remettant en cause la conformité des documents n'a été relevé</w:t>
      </w:r>
    </w:p>
    <w:p>
      <w:pPr>
        <w:pStyle w:val="ListBullet"/>
        <w:spacing w:before="20" w:after="20"/>
        <w:ind w:left="700"/>
      </w:pPr>
      <w:r>
        <w:rPr>
          <w:sz w:val="18"/>
        </w:rPr>
        <w:t>Référentiel appliqué : articles 850 et 851 de l'Acte Uniforme OHADA et Circulaire n° 004-2010 de l'AMF-UMOA</w:t>
      </w:r>
    </w:p>
    <w:p>
      <w:pPr>
        <w:pStyle w:val="ListBullet"/>
        <w:spacing w:before="20" w:after="20"/>
        <w:ind w:left="700"/>
      </w:pPr>
      <w:r>
        <w:rPr>
          <w:sz w:val="18"/>
        </w:rPr>
        <w:t>Commissaires aux comptes : Forvis Mazars, S.A. et Eritedge Côte d'Ivoire</w:t>
      </w:r>
    </w:p>
    <w:p>
      <w:pPr>
        <w:spacing w:before="40"/>
        <w:ind w:left="400"/>
      </w:pPr>
      <w:r>
        <w:rPr>
          <w:b/>
          <w:color w:val="C05000"/>
          <w:sz w:val="18"/>
        </w:rPr>
        <w:t xml:space="preserve">⚠️ Risques : </w:t>
      </w:r>
      <w:r>
        <w:rPr>
          <w:sz w:val="18"/>
        </w:rPr>
        <w:t>["Absence de donn\u00e9es financi\u00e8res chiffr\u00e9es dans le document, emp\u00eachant toute \u00e9valuation quantitative des risques", "Assurance mod\u00e9r\u00e9e li\u00e9e \u00e0 un examen limit\u00e9 (ISRE 2410) et non \u00e0 un audit complet, pouvant ne pas d\u00e9tecter toutes les anomalie</w:t>
      </w:r>
    </w:p>
    <w:p>
      <w:pPr>
        <w:spacing w:before="40"/>
        <w:ind w:left="400"/>
      </w:pPr>
      <w:r>
        <w:rPr>
          <w:b/>
          <w:color w:val="0064A0"/>
          <w:sz w:val="18"/>
        </w:rPr>
        <w:t xml:space="preserve">🔮 Perspectives : </w:t>
      </w:r>
      <w:r>
        <w:rPr>
          <w:sz w:val="18"/>
        </w:rPr>
        <w:t>Le document ne fournit aucune projection ni donnée financière permettant d'établir un outlook chiffré pour l'exercice suivant. La conclusion sans réserve des commissaires aux comptes suggère une présentation conforme des comptes semestriels, mais l'analyse des perspectives réelles nécessiterait la c</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reste rentable avec une marge nette de 11,8 % et pr\u00e9voit un r\u00e9sultat net positif sur l'ensemble de 2026, mais la forte baisse des volumes vendus et des r\u00e9sultats au S1 2026 invite \u00e0 la prudence. Le titre pr\u00e9sente un profil d\u00e9fensif \u00e0 conserver en attendant la confirmation de la reprise de l'\u00e9coulement des stocks."}</w:t>
      </w:r>
    </w:p>
    <w:p>
      <w:pPr>
        <w:spacing w:before="40"/>
        <w:ind w:left="400"/>
      </w:pPr>
      <w:r>
        <w:rPr>
          <w:sz w:val="18"/>
        </w:rPr>
        <w:t>PALM CI a enregistré au premier semestre 2026 un chiffre d'affaires de 114 725 millions de F CFA, en baisse de 15 % par rapport au premier semestre 2025, en raison de quantités vendues plus faibles d'huiles brutes de palme et de palmiste sur le marché local. Le résultat d'exploitation s'établit à 17 622 millions de F CFA, en recul de 41 %, et le résultat net à 13 527 millions de F CFA, également en baisse de 41 %. La société dispose encore d'un stock de produits finis dont l'écoulement, entamé en avril 2026, se poursuivra jusqu'à la fin de l'année. Malgré cette contraction, la direction prévoit un résultat net positif pour l'exercice 2026, dans la même tendance que celui de 2025. La rentabil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'20,4 milliards de F CFA', 'resultat_financier': '673 574 milliers de F CFA (S1 2026)', 'resultat_exploitation': '17 621 502 milliers de F CFA (S1 2026)', 'impots_sur_le_resultat': '-4 777 607 milliers de F CFA (S1 2026)', 'resultat_net_annuel_2025': '15 508 655 milliers de F CFA', 'chiffre_affaires_annuel_2025': '197 629 996 milliers de F CFA', 'resultat_activites_ordinaires': '18 295 076 milliers de F CFA (S1 2026)'}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11,8 %</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13 526 883 milliers de F CFA (S1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114 725 471 milliers de F CFA (S1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du S1 2026 de 114 725 millions de F CFA, en baisse de 15 % sur un an</w:t>
      </w:r>
    </w:p>
    <w:p>
      <w:pPr>
        <w:pStyle w:val="ListBullet"/>
        <w:spacing w:before="20" w:after="20"/>
        <w:ind w:left="700"/>
      </w:pPr>
      <w:r>
        <w:rPr>
          <w:sz w:val="18"/>
        </w:rPr>
        <w:t>Résultat net de 13 527 millions de F CFA, en recul de 41 % par rapport au S1 2025</w:t>
      </w:r>
    </w:p>
    <w:p>
      <w:pPr>
        <w:pStyle w:val="ListBullet"/>
        <w:spacing w:before="20" w:after="20"/>
        <w:ind w:left="700"/>
      </w:pPr>
      <w:r>
        <w:rPr>
          <w:sz w:val="18"/>
        </w:rPr>
        <w:t>Résultat d'exploitation de 17 622 millions de F CFA, en baisse de 41 %</w:t>
      </w:r>
    </w:p>
    <w:p>
      <w:pPr>
        <w:pStyle w:val="ListBullet"/>
        <w:spacing w:before="20" w:after="20"/>
        <w:ind w:left="700"/>
      </w:pPr>
      <w:r>
        <w:rPr>
          <w:sz w:val="18"/>
        </w:rPr>
        <w:t>Résultat financier de 674 millions de F CFA, en recul de 47 %</w:t>
      </w:r>
    </w:p>
    <w:p>
      <w:pPr>
        <w:pStyle w:val="ListBullet"/>
        <w:spacing w:before="20" w:after="20"/>
        <w:ind w:left="700"/>
      </w:pPr>
      <w:r>
        <w:rPr>
          <w:sz w:val="18"/>
        </w:rPr>
        <w:t>Baisse des volumes vendus d'huiles brutes de palme et de palmiste sur le marché local</w:t>
      </w:r>
    </w:p>
    <w:p>
      <w:pPr>
        <w:pStyle w:val="ListBullet"/>
        <w:spacing w:before="20" w:after="20"/>
        <w:ind w:left="700"/>
      </w:pPr>
      <w:r>
        <w:rPr>
          <w:sz w:val="18"/>
        </w:rPr>
        <w:t>Stock de produits finis en cours d'écoulement depuis avril 2026 jusqu'à fin 2026</w:t>
      </w:r>
    </w:p>
    <w:p>
      <w:pPr>
        <w:spacing w:before="40"/>
        <w:ind w:left="400"/>
      </w:pPr>
      <w:r>
        <w:rPr>
          <w:b/>
          <w:color w:val="C05000"/>
          <w:sz w:val="18"/>
        </w:rPr>
        <w:t xml:space="preserve">⚠️ Risques : </w:t>
      </w:r>
      <w:r>
        <w:rPr>
          <w:sz w:val="18"/>
        </w:rPr>
        <w:t xml:space="preserve">["Poursuite de la baisse des volumes vendus d'huiles brutes de palme et de palmiste sur le march\u00e9 local", "Volatilit\u00e9 des prix internationaux des huiles de palme et de palmiste affectant les marges", "Risque d'\u00e9coulement plus lent que pr\u00e9vu du stock de produits finis, pesant sur </w:t>
      </w:r>
    </w:p>
    <w:p>
      <w:pPr>
        <w:spacing w:before="40"/>
        <w:ind w:left="400"/>
      </w:pPr>
      <w:r>
        <w:rPr>
          <w:b/>
          <w:color w:val="0064A0"/>
          <w:sz w:val="18"/>
        </w:rPr>
        <w:t xml:space="preserve">🔮 Perspectives : </w:t>
      </w:r>
      <w:r>
        <w:rPr>
          <w:sz w:val="18"/>
        </w:rPr>
        <w:t>PALM CI devrait clôturer l'exercice 2026 avec un résultat net positif, dans la même tendance que celui de 2025, porté par l'écoulement progressif du stock de produits finis entamé en avril 2026. La production des régimes issus des plantations industrielles et les achats auprès des planteurs villageo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
      <w:r>
        <w:t>════════════════════════════════════════════════════════════════════════════════</w:t>
      </w:r>
    </w:p>
    <w:p>
      <w:r>
        <w:br w:type="page"/>
      </w:r>
    </w:p>
    <w:p>
      <w:pPr>
        <w:pStyle w:val="Heading2"/>
        <w:spacing w:before="360"/>
      </w:pPr>
      <w:r>
        <w:rPr>
          <w:color w:val="0066CC"/>
        </w:rPr>
        <w:t>27.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42.50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1,103 titres</w:t>
            </w:r>
          </w:p>
        </w:tc>
        <w:tc>
          <w:tcPr>
            <w:tcW w:type="dxa" w:w="2268"/>
            <w:shd w:fill="FFF2CC" w:val="clear"/>
          </w:tcPr>
          <w:p>
            <w:r>
              <w:rPr>
                <w:b/>
                <w:color w:val="503200"/>
                <w:sz w:val="16"/>
              </w:rPr>
              <w:t xml:space="preserve">Cours actuel : </w:t>
            </w:r>
            <w:r>
              <w:rPr>
                <w:color w:val="000000"/>
                <w:sz w:val="17"/>
              </w:rPr>
              <w:t>4,150 FCFA</w:t>
            </w:r>
          </w:p>
          <w:p>
            <w:r>
              <w:rPr>
                <w:b/>
                <w:color w:val="503200"/>
                <w:sz w:val="16"/>
              </w:rPr>
              <w:t xml:space="preserve">Var. 100 jours : </w:t>
            </w:r>
            <w:r>
              <w:rPr>
                <w:b/>
                <w:color w:val="007800"/>
                <w:sz w:val="17"/>
              </w:rPr>
              <w:t>+12.31%</w:t>
            </w:r>
          </w:p>
          <w:p>
            <w:r>
              <w:rPr>
                <w:b/>
                <w:color w:val="503200"/>
                <w:sz w:val="16"/>
              </w:rPr>
              <w:t xml:space="preserve">Plus haut 100j : </w:t>
            </w:r>
            <w:r>
              <w:rPr>
                <w:color w:val="000000"/>
                <w:sz w:val="17"/>
              </w:rPr>
              <w:t>4,740 FCFA</w:t>
            </w:r>
          </w:p>
          <w:p>
            <w:r>
              <w:rPr>
                <w:b/>
                <w:color w:val="503200"/>
                <w:sz w:val="16"/>
              </w:rPr>
              <w:t xml:space="preserve">Plus bas 100j : </w:t>
            </w:r>
            <w:r>
              <w:rPr>
                <w:color w:val="000000"/>
                <w:sz w:val="17"/>
              </w:rPr>
              <w:t>3,695 FCFA</w:t>
            </w:r>
          </w:p>
          <w:p>
            <w:r>
              <w:rPr>
                <w:b/>
                <w:color w:val="503200"/>
                <w:sz w:val="16"/>
              </w:rPr>
              <w:t xml:space="preserve">Volatilité ann. : </w:t>
            </w:r>
            <w:r>
              <w:rPr>
                <w:color w:val="000000"/>
                <w:sz w:val="17"/>
              </w:rPr>
              <w:t>40.2%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4.76% (Faible) — μ=4,375 FCFA, σ=208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β=-0.1139 (Contre-cyclique) — Cov=-0.000008, Var(idx)=0.000073, ρ=-0.038,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1,103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σ_j=2.53%/j (Stable) — Vol. annualisée≈40.2%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2026-10-13</w:t>
            </w:r>
          </w:p>
        </w:tc>
        <w:tc>
          <w:tcPr>
            <w:tcW w:type="dxa" w:w="1440"/>
            <w:shd w:fill="FAFAFA" w:val="clear"/>
          </w:tcPr>
          <w:p>
            <w:r>
              <w:rPr>
                <w:sz w:val="17"/>
              </w:rPr>
              <w:t>3,961</w:t>
            </w:r>
          </w:p>
        </w:tc>
        <w:tc>
          <w:tcPr>
            <w:tcW w:type="dxa" w:w="1440"/>
            <w:shd w:fill="FAFAFA" w:val="clear"/>
          </w:tcPr>
          <w:p>
            <w:r>
              <w:rPr>
                <w:b/>
                <w:sz w:val="17"/>
              </w:rPr>
              <w:t>4,158</w:t>
            </w:r>
          </w:p>
        </w:tc>
        <w:tc>
          <w:tcPr>
            <w:tcW w:type="dxa" w:w="1440"/>
            <w:shd w:fill="FAFAFA" w:val="clear"/>
          </w:tcPr>
          <w:p>
            <w:r>
              <w:rPr>
                <w:sz w:val="17"/>
              </w:rPr>
              <w:t>4,355</w:t>
            </w:r>
          </w:p>
        </w:tc>
        <w:tc>
          <w:tcPr>
            <w:tcW w:type="dxa" w:w="1440"/>
            <w:shd w:fill="FAFAFA" w:val="clear"/>
          </w:tcPr>
          <w:p>
            <w:r>
              <w:rPr>
                <w:b/>
                <w:color w:val="008000"/>
                <w:sz w:val="17"/>
              </w:rPr>
              <w:t>+0.2%</w:t>
            </w:r>
          </w:p>
        </w:tc>
      </w:tr>
      <w:tr>
        <w:tc>
          <w:tcPr>
            <w:tcW w:type="dxa" w:w="1440"/>
            <w:shd w:fill="FAFAFA" w:val="clear"/>
          </w:tcPr>
          <w:p>
            <w:r>
              <w:rPr>
                <w:sz w:val="17"/>
              </w:rPr>
              <w:t>J+2  Moyenne</w:t>
            </w:r>
          </w:p>
        </w:tc>
        <w:tc>
          <w:tcPr>
            <w:tcW w:type="dxa" w:w="1440"/>
            <w:shd w:fill="FAFAFA" w:val="clear"/>
          </w:tcPr>
          <w:p>
            <w:r>
              <w:rPr>
                <w:sz w:val="17"/>
              </w:rPr>
              <w:t>2026-10-14</w:t>
            </w:r>
          </w:p>
        </w:tc>
        <w:tc>
          <w:tcPr>
            <w:tcW w:type="dxa" w:w="1440"/>
            <w:shd w:fill="FAFAFA" w:val="clear"/>
          </w:tcPr>
          <w:p>
            <w:r>
              <w:rPr>
                <w:sz w:val="17"/>
              </w:rPr>
              <w:t>3,869</w:t>
            </w:r>
          </w:p>
        </w:tc>
        <w:tc>
          <w:tcPr>
            <w:tcW w:type="dxa" w:w="1440"/>
            <w:shd w:fill="FAFAFA" w:val="clear"/>
          </w:tcPr>
          <w:p>
            <w:r>
              <w:rPr>
                <w:b/>
                <w:sz w:val="17"/>
              </w:rPr>
              <w:t>4,146</w:t>
            </w:r>
          </w:p>
        </w:tc>
        <w:tc>
          <w:tcPr>
            <w:tcW w:type="dxa" w:w="1440"/>
            <w:shd w:fill="FAFAFA" w:val="clear"/>
          </w:tcPr>
          <w:p>
            <w:r>
              <w:rPr>
                <w:sz w:val="17"/>
              </w:rPr>
              <w:t>4,424</w:t>
            </w:r>
          </w:p>
        </w:tc>
        <w:tc>
          <w:tcPr>
            <w:tcW w:type="dxa" w:w="1440"/>
            <w:shd w:fill="FAFAFA" w:val="clear"/>
          </w:tcPr>
          <w:p>
            <w:r>
              <w:rPr>
                <w:b/>
                <w:color w:val="C00000"/>
                <w:sz w:val="17"/>
              </w:rPr>
              <w:t>-0.1%</w:t>
            </w:r>
          </w:p>
        </w:tc>
      </w:tr>
      <w:tr>
        <w:tc>
          <w:tcPr>
            <w:tcW w:type="dxa" w:w="1440"/>
            <w:shd w:fill="FAFAFA" w:val="clear"/>
          </w:tcPr>
          <w:p>
            <w:r>
              <w:rPr>
                <w:sz w:val="17"/>
              </w:rPr>
              <w:t>J+3  Moyenne</w:t>
            </w:r>
          </w:p>
        </w:tc>
        <w:tc>
          <w:tcPr>
            <w:tcW w:type="dxa" w:w="1440"/>
            <w:shd w:fill="FAFAFA" w:val="clear"/>
          </w:tcPr>
          <w:p>
            <w:r>
              <w:rPr>
                <w:sz w:val="17"/>
              </w:rPr>
              <w:t>2026-10-15</w:t>
            </w:r>
          </w:p>
        </w:tc>
        <w:tc>
          <w:tcPr>
            <w:tcW w:type="dxa" w:w="1440"/>
            <w:shd w:fill="FAFAFA" w:val="clear"/>
          </w:tcPr>
          <w:p>
            <w:r>
              <w:rPr>
                <w:sz w:val="17"/>
              </w:rPr>
              <w:t>3,805</w:t>
            </w:r>
          </w:p>
        </w:tc>
        <w:tc>
          <w:tcPr>
            <w:tcW w:type="dxa" w:w="1440"/>
            <w:shd w:fill="FAFAFA" w:val="clear"/>
          </w:tcPr>
          <w:p>
            <w:r>
              <w:rPr>
                <w:b/>
                <w:sz w:val="17"/>
              </w:rPr>
              <w:t>4,145</w:t>
            </w:r>
          </w:p>
        </w:tc>
        <w:tc>
          <w:tcPr>
            <w:tcW w:type="dxa" w:w="1440"/>
            <w:shd w:fill="FAFAFA" w:val="clear"/>
          </w:tcPr>
          <w:p>
            <w:r>
              <w:rPr>
                <w:sz w:val="17"/>
              </w:rPr>
              <w:t>4,485</w:t>
            </w:r>
          </w:p>
        </w:tc>
        <w:tc>
          <w:tcPr>
            <w:tcW w:type="dxa" w:w="1440"/>
            <w:shd w:fill="FAFAFA" w:val="clear"/>
          </w:tcPr>
          <w:p>
            <w:r>
              <w:rPr>
                <w:b/>
                <w:color w:val="C00000"/>
                <w:sz w:val="17"/>
              </w:rPr>
              <w:t>-0.1%</w:t>
            </w:r>
          </w:p>
        </w:tc>
      </w:tr>
      <w:tr>
        <w:tc>
          <w:tcPr>
            <w:tcW w:type="dxa" w:w="1440"/>
            <w:shd w:fill="FAFAFA" w:val="clear"/>
          </w:tcPr>
          <w:p>
            <w:r>
              <w:rPr>
                <w:sz w:val="17"/>
              </w:rPr>
              <w:t>J+4  ⭐</w:t>
            </w:r>
          </w:p>
        </w:tc>
        <w:tc>
          <w:tcPr>
            <w:tcW w:type="dxa" w:w="1440"/>
            <w:shd w:fill="FAFAFA" w:val="clear"/>
          </w:tcPr>
          <w:p>
            <w:r>
              <w:rPr>
                <w:sz w:val="17"/>
              </w:rPr>
              <w:t>2026-10-16</w:t>
            </w:r>
          </w:p>
        </w:tc>
        <w:tc>
          <w:tcPr>
            <w:tcW w:type="dxa" w:w="1440"/>
            <w:shd w:fill="FAFAFA" w:val="clear"/>
          </w:tcPr>
          <w:p>
            <w:r>
              <w:rPr>
                <w:sz w:val="17"/>
              </w:rPr>
              <w:t>3,751</w:t>
            </w:r>
          </w:p>
        </w:tc>
        <w:tc>
          <w:tcPr>
            <w:tcW w:type="dxa" w:w="1440"/>
            <w:shd w:fill="FAFAFA" w:val="clear"/>
          </w:tcPr>
          <w:p>
            <w:r>
              <w:rPr>
                <w:b/>
                <w:sz w:val="17"/>
              </w:rPr>
              <w:t>4,143</w:t>
            </w:r>
          </w:p>
        </w:tc>
        <w:tc>
          <w:tcPr>
            <w:tcW w:type="dxa" w:w="1440"/>
            <w:shd w:fill="FAFAFA" w:val="clear"/>
          </w:tcPr>
          <w:p>
            <w:r>
              <w:rPr>
                <w:sz w:val="17"/>
              </w:rPr>
              <w:t>4,535</w:t>
            </w:r>
          </w:p>
        </w:tc>
        <w:tc>
          <w:tcPr>
            <w:tcW w:type="dxa" w:w="1440"/>
            <w:shd w:fill="FAFAFA" w:val="clear"/>
          </w:tcPr>
          <w:p>
            <w:r>
              <w:rPr>
                <w:b/>
                <w:color w:val="C00000"/>
                <w:sz w:val="17"/>
              </w:rPr>
              <w:t>-0.2%</w:t>
            </w:r>
          </w:p>
        </w:tc>
      </w:tr>
      <w:tr>
        <w:tc>
          <w:tcPr>
            <w:tcW w:type="dxa" w:w="1440"/>
            <w:shd w:fill="FAFAFA" w:val="clear"/>
          </w:tcPr>
          <w:p>
            <w:r>
              <w:rPr>
                <w:sz w:val="17"/>
              </w:rPr>
              <w:t>J+5  ⭐</w:t>
            </w:r>
          </w:p>
        </w:tc>
        <w:tc>
          <w:tcPr>
            <w:tcW w:type="dxa" w:w="1440"/>
            <w:shd w:fill="FAFAFA" w:val="clear"/>
          </w:tcPr>
          <w:p>
            <w:r>
              <w:rPr>
                <w:sz w:val="17"/>
              </w:rPr>
              <w:t>2026-10-19</w:t>
            </w:r>
          </w:p>
        </w:tc>
        <w:tc>
          <w:tcPr>
            <w:tcW w:type="dxa" w:w="1440"/>
            <w:shd w:fill="FAFAFA" w:val="clear"/>
          </w:tcPr>
          <w:p>
            <w:r>
              <w:rPr>
                <w:sz w:val="17"/>
              </w:rPr>
              <w:t>3,702</w:t>
            </w:r>
          </w:p>
        </w:tc>
        <w:tc>
          <w:tcPr>
            <w:tcW w:type="dxa" w:w="1440"/>
            <w:shd w:fill="FAFAFA" w:val="clear"/>
          </w:tcPr>
          <w:p>
            <w:r>
              <w:rPr>
                <w:b/>
                <w:sz w:val="17"/>
              </w:rPr>
              <w:t>4,141</w:t>
            </w:r>
          </w:p>
        </w:tc>
        <w:tc>
          <w:tcPr>
            <w:tcW w:type="dxa" w:w="1440"/>
            <w:shd w:fill="FAFAFA" w:val="clear"/>
          </w:tcPr>
          <w:p>
            <w:r>
              <w:rPr>
                <w:sz w:val="17"/>
              </w:rPr>
              <w:t>4,579</w:t>
            </w:r>
          </w:p>
        </w:tc>
        <w:tc>
          <w:tcPr>
            <w:tcW w:type="dxa" w:w="1440"/>
            <w:shd w:fill="FAFAFA" w:val="clear"/>
          </w:tcPr>
          <w:p>
            <w:r>
              <w:rPr>
                <w:b/>
                <w:color w:val="C00000"/>
                <w:sz w:val="17"/>
              </w:rPr>
              <w:t>-0.2%</w:t>
            </w:r>
          </w:p>
        </w:tc>
      </w:tr>
      <w:tr>
        <w:tc>
          <w:tcPr>
            <w:tcW w:type="dxa" w:w="1440"/>
            <w:shd w:fill="FAFAFA" w:val="clear"/>
          </w:tcPr>
          <w:p>
            <w:r>
              <w:rPr>
                <w:sz w:val="17"/>
              </w:rPr>
              <w:t>J+6  ⭐</w:t>
            </w:r>
          </w:p>
        </w:tc>
        <w:tc>
          <w:tcPr>
            <w:tcW w:type="dxa" w:w="1440"/>
            <w:shd w:fill="FAFAFA" w:val="clear"/>
          </w:tcPr>
          <w:p>
            <w:r>
              <w:rPr>
                <w:sz w:val="17"/>
              </w:rPr>
              <w:t>2026-10-20</w:t>
            </w:r>
          </w:p>
        </w:tc>
        <w:tc>
          <w:tcPr>
            <w:tcW w:type="dxa" w:w="1440"/>
            <w:shd w:fill="FAFAFA" w:val="clear"/>
          </w:tcPr>
          <w:p>
            <w:r>
              <w:rPr>
                <w:sz w:val="17"/>
              </w:rPr>
              <w:t>3,658</w:t>
            </w:r>
          </w:p>
        </w:tc>
        <w:tc>
          <w:tcPr>
            <w:tcW w:type="dxa" w:w="1440"/>
            <w:shd w:fill="FAFAFA" w:val="clear"/>
          </w:tcPr>
          <w:p>
            <w:r>
              <w:rPr>
                <w:b/>
                <w:sz w:val="17"/>
              </w:rPr>
              <w:t>4,138</w:t>
            </w:r>
          </w:p>
        </w:tc>
        <w:tc>
          <w:tcPr>
            <w:tcW w:type="dxa" w:w="1440"/>
            <w:shd w:fill="FAFAFA" w:val="clear"/>
          </w:tcPr>
          <w:p>
            <w:r>
              <w:rPr>
                <w:sz w:val="17"/>
              </w:rPr>
              <w:t>4,618</w:t>
            </w:r>
          </w:p>
        </w:tc>
        <w:tc>
          <w:tcPr>
            <w:tcW w:type="dxa" w:w="1440"/>
            <w:shd w:fill="FAFAFA" w:val="clear"/>
          </w:tcPr>
          <w:p>
            <w:r>
              <w:rPr>
                <w:b/>
                <w:color w:val="C00000"/>
                <w:sz w:val="17"/>
              </w:rPr>
              <w:t>-0.3%</w:t>
            </w:r>
          </w:p>
        </w:tc>
      </w:tr>
      <w:tr>
        <w:tc>
          <w:tcPr>
            <w:tcW w:type="dxa" w:w="1440"/>
            <w:shd w:fill="FAFAFA" w:val="clear"/>
          </w:tcPr>
          <w:p>
            <w:r>
              <w:rPr>
                <w:sz w:val="17"/>
              </w:rPr>
              <w:t>J+7  ⭐</w:t>
            </w:r>
          </w:p>
        </w:tc>
        <w:tc>
          <w:tcPr>
            <w:tcW w:type="dxa" w:w="1440"/>
            <w:shd w:fill="FAFAFA" w:val="clear"/>
          </w:tcPr>
          <w:p>
            <w:r>
              <w:rPr>
                <w:sz w:val="17"/>
              </w:rPr>
              <w:t>2026-10-21</w:t>
            </w:r>
          </w:p>
        </w:tc>
        <w:tc>
          <w:tcPr>
            <w:tcW w:type="dxa" w:w="1440"/>
            <w:shd w:fill="FAFAFA" w:val="clear"/>
          </w:tcPr>
          <w:p>
            <w:r>
              <w:rPr>
                <w:sz w:val="17"/>
              </w:rPr>
              <w:t>3,617</w:t>
            </w:r>
          </w:p>
        </w:tc>
        <w:tc>
          <w:tcPr>
            <w:tcW w:type="dxa" w:w="1440"/>
            <w:shd w:fill="FAFAFA" w:val="clear"/>
          </w:tcPr>
          <w:p>
            <w:r>
              <w:rPr>
                <w:b/>
                <w:sz w:val="17"/>
              </w:rPr>
              <w:t>4,135</w:t>
            </w:r>
          </w:p>
        </w:tc>
        <w:tc>
          <w:tcPr>
            <w:tcW w:type="dxa" w:w="1440"/>
            <w:shd w:fill="FAFAFA" w:val="clear"/>
          </w:tcPr>
          <w:p>
            <w:r>
              <w:rPr>
                <w:sz w:val="17"/>
              </w:rPr>
              <w:t>4,653</w:t>
            </w:r>
          </w:p>
        </w:tc>
        <w:tc>
          <w:tcPr>
            <w:tcW w:type="dxa" w:w="1440"/>
            <w:shd w:fill="FAFAFA" w:val="clear"/>
          </w:tcPr>
          <w:p>
            <w:r>
              <w:rPr>
                <w:b/>
                <w:color w:val="C00000"/>
                <w:sz w:val="17"/>
              </w:rPr>
              <w:t>-0.4%</w:t>
            </w:r>
          </w:p>
        </w:tc>
      </w:tr>
      <w:tr>
        <w:tc>
          <w:tcPr>
            <w:tcW w:type="dxa" w:w="1440"/>
            <w:shd w:fill="FAFAFA" w:val="clear"/>
          </w:tcPr>
          <w:p>
            <w:r>
              <w:rPr>
                <w:sz w:val="17"/>
              </w:rPr>
              <w:t>J+8  ⭐</w:t>
            </w:r>
          </w:p>
        </w:tc>
        <w:tc>
          <w:tcPr>
            <w:tcW w:type="dxa" w:w="1440"/>
            <w:shd w:fill="FAFAFA" w:val="clear"/>
          </w:tcPr>
          <w:p>
            <w:r>
              <w:rPr>
                <w:sz w:val="17"/>
              </w:rPr>
              <w:t>2026-10-22</w:t>
            </w:r>
          </w:p>
        </w:tc>
        <w:tc>
          <w:tcPr>
            <w:tcW w:type="dxa" w:w="1440"/>
            <w:shd w:fill="FAFAFA" w:val="clear"/>
          </w:tcPr>
          <w:p>
            <w:r>
              <w:rPr>
                <w:sz w:val="17"/>
              </w:rPr>
              <w:t>3,579</w:t>
            </w:r>
          </w:p>
        </w:tc>
        <w:tc>
          <w:tcPr>
            <w:tcW w:type="dxa" w:w="1440"/>
            <w:shd w:fill="FAFAFA" w:val="clear"/>
          </w:tcPr>
          <w:p>
            <w:r>
              <w:rPr>
                <w:b/>
                <w:sz w:val="17"/>
              </w:rPr>
              <w:t>4,133</w:t>
            </w:r>
          </w:p>
        </w:tc>
        <w:tc>
          <w:tcPr>
            <w:tcW w:type="dxa" w:w="1440"/>
            <w:shd w:fill="FAFAFA" w:val="clear"/>
          </w:tcPr>
          <w:p>
            <w:r>
              <w:rPr>
                <w:sz w:val="17"/>
              </w:rPr>
              <w:t>4,686</w:t>
            </w:r>
          </w:p>
        </w:tc>
        <w:tc>
          <w:tcPr>
            <w:tcW w:type="dxa" w:w="1440"/>
            <w:shd w:fill="FAFAFA" w:val="clear"/>
          </w:tcPr>
          <w:p>
            <w:r>
              <w:rPr>
                <w:b/>
                <w:color w:val="C00000"/>
                <w:sz w:val="17"/>
              </w:rPr>
              <w:t>-0.4%</w:t>
            </w:r>
          </w:p>
        </w:tc>
      </w:tr>
      <w:tr>
        <w:tc>
          <w:tcPr>
            <w:tcW w:type="dxa" w:w="1440"/>
            <w:shd w:fill="FAFAFA" w:val="clear"/>
          </w:tcPr>
          <w:p>
            <w:r>
              <w:rPr>
                <w:sz w:val="17"/>
              </w:rPr>
              <w:t>J+9  ⭐</w:t>
            </w:r>
          </w:p>
        </w:tc>
        <w:tc>
          <w:tcPr>
            <w:tcW w:type="dxa" w:w="1440"/>
            <w:shd w:fill="FAFAFA" w:val="clear"/>
          </w:tcPr>
          <w:p>
            <w:r>
              <w:rPr>
                <w:sz w:val="17"/>
              </w:rPr>
              <w:t>2026-10-23</w:t>
            </w:r>
          </w:p>
        </w:tc>
        <w:tc>
          <w:tcPr>
            <w:tcW w:type="dxa" w:w="1440"/>
            <w:shd w:fill="FAFAFA" w:val="clear"/>
          </w:tcPr>
          <w:p>
            <w:r>
              <w:rPr>
                <w:sz w:val="17"/>
              </w:rPr>
              <w:t>3,543</w:t>
            </w:r>
          </w:p>
        </w:tc>
        <w:tc>
          <w:tcPr>
            <w:tcW w:type="dxa" w:w="1440"/>
            <w:shd w:fill="FAFAFA" w:val="clear"/>
          </w:tcPr>
          <w:p>
            <w:r>
              <w:rPr>
                <w:b/>
                <w:sz w:val="17"/>
              </w:rPr>
              <w:t>4,130</w:t>
            </w:r>
          </w:p>
        </w:tc>
        <w:tc>
          <w:tcPr>
            <w:tcW w:type="dxa" w:w="1440"/>
            <w:shd w:fill="FAFAFA" w:val="clear"/>
          </w:tcPr>
          <w:p>
            <w:r>
              <w:rPr>
                <w:sz w:val="17"/>
              </w:rPr>
              <w:t>4,717</w:t>
            </w:r>
          </w:p>
        </w:tc>
        <w:tc>
          <w:tcPr>
            <w:tcW w:type="dxa" w:w="1440"/>
            <w:shd w:fill="FAFAFA" w:val="clear"/>
          </w:tcPr>
          <w:p>
            <w:r>
              <w:rPr>
                <w:b/>
                <w:color w:val="C00000"/>
                <w:sz w:val="17"/>
              </w:rPr>
              <w:t>-0.5%</w:t>
            </w:r>
          </w:p>
        </w:tc>
      </w:tr>
      <w:tr>
        <w:tc>
          <w:tcPr>
            <w:tcW w:type="dxa" w:w="1440"/>
            <w:shd w:fill="FAFAFA" w:val="clear"/>
          </w:tcPr>
          <w:p>
            <w:r>
              <w:rPr>
                <w:sz w:val="17"/>
              </w:rPr>
              <w:t>J+10  ⭐</w:t>
            </w:r>
          </w:p>
        </w:tc>
        <w:tc>
          <w:tcPr>
            <w:tcW w:type="dxa" w:w="1440"/>
            <w:shd w:fill="FAFAFA" w:val="clear"/>
          </w:tcPr>
          <w:p>
            <w:r>
              <w:rPr>
                <w:sz w:val="17"/>
              </w:rPr>
              <w:t>2026-10-26</w:t>
            </w:r>
          </w:p>
        </w:tc>
        <w:tc>
          <w:tcPr>
            <w:tcW w:type="dxa" w:w="1440"/>
            <w:shd w:fill="FAFAFA" w:val="clear"/>
          </w:tcPr>
          <w:p>
            <w:r>
              <w:rPr>
                <w:sz w:val="17"/>
              </w:rPr>
              <w:t>3,510</w:t>
            </w:r>
          </w:p>
        </w:tc>
        <w:tc>
          <w:tcPr>
            <w:tcW w:type="dxa" w:w="1440"/>
            <w:shd w:fill="FAFAFA" w:val="clear"/>
          </w:tcPr>
          <w:p>
            <w:r>
              <w:rPr>
                <w:b/>
                <w:sz w:val="17"/>
              </w:rPr>
              <w:t>4,128</w:t>
            </w:r>
          </w:p>
        </w:tc>
        <w:tc>
          <w:tcPr>
            <w:tcW w:type="dxa" w:w="1440"/>
            <w:shd w:fill="FAFAFA" w:val="clear"/>
          </w:tcPr>
          <w:p>
            <w:r>
              <w:rPr>
                <w:sz w:val="17"/>
              </w:rPr>
              <w:t>4,746</w:t>
            </w:r>
          </w:p>
        </w:tc>
        <w:tc>
          <w:tcPr>
            <w:tcW w:type="dxa" w:w="1440"/>
            <w:shd w:fill="FAFAFA" w:val="clear"/>
          </w:tcPr>
          <w:p>
            <w:r>
              <w:rPr>
                <w:b/>
                <w:color w:val="C00000"/>
                <w:sz w:val="17"/>
              </w:rPr>
              <w:t>-0.5%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42,50 milliards FCFA, PRSC se situe dans la catégorie des valeurs moyennes de la BRVM, ce qui lui confère une certaine liquidité mais la rend vulnérable aux mouvements de portefeuille des investisseurs institutionnels. Le BPA de 231 FCFA par action signifie que chaque titre génère près de 231 FCFA de bénéfice net, un niveau correct qui traduit la capacité bénéficiaire de la société. Le PER de 18,0x indique que les investisseurs paient 18 fois les bénéfices annuels, ce qui est nettement supérieur à la moyenne du marché BRVM (généralement comprise entre 8x et 12x), suggérant une valorisation tendue et une prime de croissance déjà intégrée dans le cours. Le P/B de 3,69x montre que le marché valorise l'entreprise à près de 3,7 fois sa valeur comptable, une prime significative qui n'est justifiée que si la rentabilité future reste soutenue. Enfin, l'EV/EBITDA de 9,3x, situé dans la fourchette raisonnable de 5-10x, indique que la valeur totale de l'entreprise (dette incluse) reste cohérente avec sa capacité opérationnelle, ce qui nuance le tableau et évite de conclure à une surévaluation excessive.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PRSC affiche une variation totale positive de +12,31%, avec un cours actuel de 4 150 FCFA et une variation nulle lors de la dernière séance (J-1 : +0,00%), signalant une pause dans le mouvement haussier. Le range de trading est relativement large, avec un plus haut à 4 740 FCFA et un plus bas à 3 695 FCFA, soit un écart de plus de 1 000 FCFA qui témoigne d'une réelle volatilité intra-période. La tendance générale est haussière sur la période, mais le cours actuel (4 150 FCFA) se situe en dessous de la moyenne (4 375 FCFA) et de la médiane (4 402 FCFA), ce qui indique un essoufflement récent du momentum. Les statistiques descriptives révèlent une distribution asymétrique négative (skewness de -1,033), signifiant que les journées de hausse ont été plus fréquentes mais que les baisses, moins nombreuses, ont été plus amples — un profil typique de correction après un pic. L'écart-type de 209 FCFA avec un coefficient de variation de 4,8% indique une dispersion modérée du cours autour de sa moyenne, tandis que le kurtosis de 1,229 (leptokurtique) signale des queues épaisses, donc un risque de pics de volatilité brutaux. La volatilité annualisée de 40,2% classe le titre dans la catégorie des valeurs à volatilité élevée (&gt;30%), ce qui implique un risque de marché significatif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4 201 FCFA et la MM50 à 4 348,5 FCFA, toutes deux supérieures au cours actuel de 4 150 FCFA. Cette configuration baissière (cours sous les deux moyennes) justifie pleinement la décision de vente émise par le système, car elle indique que la pression vendeuse domine à court et moyen terme.</w:t>
      </w:r>
    </w:p>
    <w:p>
      <w:pPr>
        <w:spacing w:after="120" w:line="276" w:lineRule="auto"/>
      </w:pPr>
      <w:r>
        <w:t>**Bandes de Bollinger** : La borne supérieure est à 4 560,57 FCFA et la borne inférieure à 3 841,43 FCFA, avec un cours actuel de 4 150 FCFA qui se situe dans la moitié inférieure du canal. La décision est neutre car le cours n'est ni en surachat ni en survente, mais la position basse dans le canal suggère une faiblesse relative et un potentiel de retour vers la borne inférieure en cas de pression baissière.</w:t>
      </w:r>
    </w:p>
    <w:p>
      <w:pPr>
        <w:spacing w:after="120" w:line="276" w:lineRule="auto"/>
      </w:pPr>
      <w:r>
        <w:t>**MACD** : La valeur du MACD est de -62,235 contre un signal à -79,619, ce qui place le MACD au-dessus de sa ligne de signal. Cette configuration génère une décision d'achat, car elle indique un croisement haussier potentiel et un ralentissement de la dynamique baissière, bien que les deux valeurs restent en territoire négatif.</w:t>
      </w:r>
    </w:p>
    <w:p>
      <w:pPr>
        <w:spacing w:after="120" w:line="276" w:lineRule="auto"/>
      </w:pPr>
      <w:r>
        <w:t>**RSI** : À 45,609, le RSI se situe dans la zone neutre (30-70), sans signal de surachat ni de survente. La décision neutre reflète l'absence de pression directionnelle claire, le titre évoluant dans un équilibre précaire entre acheteurs et vendeurs.</w:t>
      </w:r>
    </w:p>
    <w:p>
      <w:pPr>
        <w:spacing w:after="120" w:line="276" w:lineRule="auto"/>
      </w:pPr>
      <w:r>
        <w:t>**Stochastique** : Le %K est à 61,224 et le %D à 73,469, avec un %K inférieur au %D, ce qui constitue un signal baissier potentiel (croisement à la baisse). La décision neutre du système masque cette divergence, mais la position du %K sous le %D suggère que le momentum haussier s'essouffle.</w:t>
      </w:r>
    </w:p>
    <w:p>
      <w:pPr>
        <w:spacing w:after="120" w:line="276" w:lineRule="auto"/>
      </w:pPr>
      <w:r>
        <w:t>**Conclusion technique** : Les indicateurs techniques présentent un tableau mitigé, avec une majorité de signaux neutres (Bollinger, RSI, Stochastique) et une divergence entre la décision de vente des moyennes mobiles et l'achat du MACD. Cette absence de convergence directionnelle traduit une phase d'incertitude, où le titre pourrait soit rebondir sur la borne inférieure des Bollinger, soit poursuivre sa correction vers les 3 841 FCFA. La prudence est de mise tant que le cours reste sous la MM20.</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TRACTAFRIC MOTORS CÔTE D'IVOIRE (PRSC) affiche un chiffre d'affaires de 81,127 milliards FCFA, en croissance de 9,5% par rapport à 2024, porté par la dynamique du marché automobile ivoirien et la diversification réussie dans les pneumatiques Michelin (+62,6% au S1 2025). Le résultat net s'établit à 2,367 milliards FCFA, stable par rapport aux 2,35 milliards de 2024, avec une marge nette de 2,92% — un niveau faible qui traduit la pression sur les coûts dans un secteur de distribution à forte intensité capitalistique. Le ROE de 20,53% est excellent (&gt;15%), démontrant une remarquable efficacité dans l'utilisation des fonds propres, tandis que le ROA de 4,95% reste modeste en raison de la rotation élevée des actifs (169,6%). La structure financière présente des signaux contrastés : l'autonomie financière de 24,1% est inférieure au seuil de 30% considéré comme sain, et le ratio d'endettement de 314,9% est élevé, mais la solvabilité générale de 131,8% et la couverture des intérêts de 1 585% rassurent sur la capacité de remboursement. Les délais d'exploitation révèlent un BFR de 11,267 milliards FCFA (positif, donc défavorable), avec un délai client de 46 jours (risque de trésorerie modéré) et un délai fournisseur de 102,65 jours (favorable à la trésorerie), mais une durée de stockage de 150,51 jours qui immobilise du capital. Le rapport d'activité du S1 2025 (daté du 30 juin 2025) indique un CA de 39,968 milliards FCFA (+15,1%) et un résultat net de 1,436 milliard FCFA (×28 vs S1 2024), avec une marge nette de 3,6% — une amélioration spectaculaire qui suggère que l'exercice 2025 devrait dépasser les attentes, bien que la direction anticipe un ralentissement au S2 en raison du contexte électoral. Le rapport annuel 2025 (publié en 2026) confirme un dividende de 209 FCFA par action, soit un rendement de 5,04% au cours actuel de 4 150 FCFA, un niveau attractif qui soutient la thèse d'investissement. La recommandation fondamentale est de **CONSERVER** le titre : la solidité du ROE, la croissance du CA et le dividende attractif compensent la faible marge nette et l'endettement élevé, mais l'absence de catalyseur majeur à court terme et les risques sectoriels (concurrence low-cost, dépendance au marché ivoirien) invitent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PRSC apparaît tendue, avec un PER de 18,0x nettement supérieur à la moyenne BRVM (8-12x) et un P/B de 3,69x qui intègre une prime de croissance significative, bien que l'EV/EBITDA de 9,3x reste raisonnable. Le comportement du cours sur 100 jours est haussier (+12,31%) mais montre des signes d'essoufflement, avec un cours sous la moyenne et la médiane, une asymétrie négative (skewness de -1,033) et une volatilité élevée (40,2%) qui exposent l'investisseur à des pics brutaux (kurtosis de 1,229). Les signaux techniques sont divergents : les moyennes mobiles émettent une décision de vente, le MACD un achat, et les autres indicateurs (Bollinger, RSI, Stochastique) restent neutres, ce qui traduit une incertitude directionnelle et plaide pour une absence de signal fort. Les fondamentaux sont solides mais perfectibles : le ROE de 20,53% et la croissance du CA de 9,5% en 2025 sont des atouts majeurs, le dividende de 209 FCFA (rendement de 5,04%) est attractif, mais la marge nette de 2,92% et l'endettement de 314,9% constituent des vulnérabilités. Les prédictions IA pour les 10 prochains jours (4 158 FCFA le 13/10, puis une lente érosion jusqu'à 4 141 FCFA le 19/10) confirment une trajectoire baissière modérée, en ligne avec la décision de vente des moyennes mobiles et l'essoufflement du momentum. Sur la base de cette synthèse, la recommandation finale est **CONSERVER**, avec un niveau de confiance **Moyen** et un risque global **Élevé** en raison de la volatilité du titre et de la valorisation tendue. L'horizon d'investissement optimal est le **moyen terme (3-12 mois)**, en attendant la publication des résultats annuels 2026 et une clarification de la trajectoire bénéficiaire, avec un point d'entrée plus favorable vers 3 900-4 000 FCFA (borne inférieure des Bollinger) pour les investisseurs souhaitant renforcer leur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28.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49.20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8,010 titres</w:t>
            </w:r>
          </w:p>
        </w:tc>
        <w:tc>
          <w:tcPr>
            <w:tcW w:type="dxa" w:w="2268"/>
            <w:shd w:fill="FFF2CC" w:val="clear"/>
          </w:tcPr>
          <w:p>
            <w:r>
              <w:rPr>
                <w:b/>
                <w:color w:val="503200"/>
                <w:sz w:val="16"/>
              </w:rPr>
              <w:t xml:space="preserve">Cours actuel : </w:t>
            </w:r>
            <w:r>
              <w:rPr>
                <w:color w:val="000000"/>
                <w:sz w:val="17"/>
              </w:rPr>
              <w:t>4,145 FCFA</w:t>
            </w:r>
          </w:p>
          <w:p>
            <w:r>
              <w:rPr>
                <w:b/>
                <w:color w:val="503200"/>
                <w:sz w:val="16"/>
              </w:rPr>
              <w:t xml:space="preserve">Var. 100 jours : </w:t>
            </w:r>
            <w:r>
              <w:rPr>
                <w:b/>
                <w:color w:val="007800"/>
                <w:sz w:val="17"/>
              </w:rPr>
              <w:t>+3.88%</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3,595 FCFA</w:t>
            </w:r>
          </w:p>
          <w:p>
            <w:r>
              <w:rPr>
                <w:b/>
                <w:color w:val="503200"/>
                <w:sz w:val="16"/>
              </w:rPr>
              <w:t xml:space="preserve">Volatilité ann. : </w:t>
            </w:r>
            <w:r>
              <w:rPr>
                <w:color w:val="000000"/>
                <w:sz w:val="17"/>
              </w:rPr>
              <w:t>61.3%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31.0/100 → Moyen</w:t>
      </w:r>
    </w:p>
    <w:p>
      <w:pPr>
        <w:spacing w:before="40" w:after="80"/>
      </w:pPr>
      <w:r>
        <w:rPr>
          <w:rFonts w:ascii="Courier New" w:hAnsi="Courier New"/>
          <w:color w:val="825A00"/>
          <w:sz w:val="18"/>
        </w:rPr>
        <w:t>██████░░░░░░░░░░░░░░  31.0/100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15.23% (Élevée) — μ=4,674 FCFA, σ=712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β=1.3013 (Agressif) — Cov=0.000095, Var(idx)=0.000073, ρ=0.287,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8,010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σ_j=3.86%/j (Modérée) — Vol. annualisée≈61.3%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2026-10-13</w:t>
            </w:r>
          </w:p>
        </w:tc>
        <w:tc>
          <w:tcPr>
            <w:tcW w:type="dxa" w:w="1440"/>
            <w:shd w:fill="FAFAFA" w:val="clear"/>
          </w:tcPr>
          <w:p>
            <w:r>
              <w:rPr>
                <w:sz w:val="17"/>
              </w:rPr>
              <w:t>3,865</w:t>
            </w:r>
          </w:p>
        </w:tc>
        <w:tc>
          <w:tcPr>
            <w:tcW w:type="dxa" w:w="1440"/>
            <w:shd w:fill="FAFAFA" w:val="clear"/>
          </w:tcPr>
          <w:p>
            <w:r>
              <w:rPr>
                <w:b/>
                <w:sz w:val="17"/>
              </w:rPr>
              <w:t>4,177</w:t>
            </w:r>
          </w:p>
        </w:tc>
        <w:tc>
          <w:tcPr>
            <w:tcW w:type="dxa" w:w="1440"/>
            <w:shd w:fill="FAFAFA" w:val="clear"/>
          </w:tcPr>
          <w:p>
            <w:r>
              <w:rPr>
                <w:sz w:val="17"/>
              </w:rPr>
              <w:t>4,488</w:t>
            </w:r>
          </w:p>
        </w:tc>
        <w:tc>
          <w:tcPr>
            <w:tcW w:type="dxa" w:w="1440"/>
            <w:shd w:fill="FAFAFA" w:val="clear"/>
          </w:tcPr>
          <w:p>
            <w:r>
              <w:rPr>
                <w:b/>
                <w:color w:val="008000"/>
                <w:sz w:val="17"/>
              </w:rPr>
              <w:t>+0.8%</w:t>
            </w:r>
          </w:p>
        </w:tc>
      </w:tr>
      <w:tr>
        <w:tc>
          <w:tcPr>
            <w:tcW w:type="dxa" w:w="1440"/>
            <w:shd w:fill="FAFAFA" w:val="clear"/>
          </w:tcPr>
          <w:p>
            <w:r>
              <w:rPr>
                <w:sz w:val="17"/>
              </w:rPr>
              <w:t>J+2  ⭐</w:t>
            </w:r>
          </w:p>
        </w:tc>
        <w:tc>
          <w:tcPr>
            <w:tcW w:type="dxa" w:w="1440"/>
            <w:shd w:fill="FAFAFA" w:val="clear"/>
          </w:tcPr>
          <w:p>
            <w:r>
              <w:rPr>
                <w:sz w:val="17"/>
              </w:rPr>
              <w:t>2026-10-14</w:t>
            </w:r>
          </w:p>
        </w:tc>
        <w:tc>
          <w:tcPr>
            <w:tcW w:type="dxa" w:w="1440"/>
            <w:shd w:fill="FAFAFA" w:val="clear"/>
          </w:tcPr>
          <w:p>
            <w:r>
              <w:rPr>
                <w:sz w:val="17"/>
              </w:rPr>
              <w:t>3,755</w:t>
            </w:r>
          </w:p>
        </w:tc>
        <w:tc>
          <w:tcPr>
            <w:tcW w:type="dxa" w:w="1440"/>
            <w:shd w:fill="FAFAFA" w:val="clear"/>
          </w:tcPr>
          <w:p>
            <w:r>
              <w:rPr>
                <w:b/>
                <w:sz w:val="17"/>
              </w:rPr>
              <w:t>4,199</w:t>
            </w:r>
          </w:p>
        </w:tc>
        <w:tc>
          <w:tcPr>
            <w:tcW w:type="dxa" w:w="1440"/>
            <w:shd w:fill="FAFAFA" w:val="clear"/>
          </w:tcPr>
          <w:p>
            <w:r>
              <w:rPr>
                <w:sz w:val="17"/>
              </w:rPr>
              <w:t>4,642</w:t>
            </w:r>
          </w:p>
        </w:tc>
        <w:tc>
          <w:tcPr>
            <w:tcW w:type="dxa" w:w="1440"/>
            <w:shd w:fill="FAFAFA" w:val="clear"/>
          </w:tcPr>
          <w:p>
            <w:r>
              <w:rPr>
                <w:b/>
                <w:color w:val="008000"/>
                <w:sz w:val="17"/>
              </w:rPr>
              <w:t>+1.3%</w:t>
            </w:r>
          </w:p>
        </w:tc>
      </w:tr>
      <w:tr>
        <w:tc>
          <w:tcPr>
            <w:tcW w:type="dxa" w:w="1440"/>
            <w:shd w:fill="FAFAFA" w:val="clear"/>
          </w:tcPr>
          <w:p>
            <w:r>
              <w:rPr>
                <w:sz w:val="17"/>
              </w:rPr>
              <w:t>J+3  ⭐</w:t>
            </w:r>
          </w:p>
        </w:tc>
        <w:tc>
          <w:tcPr>
            <w:tcW w:type="dxa" w:w="1440"/>
            <w:shd w:fill="FAFAFA" w:val="clear"/>
          </w:tcPr>
          <w:p>
            <w:r>
              <w:rPr>
                <w:sz w:val="17"/>
              </w:rPr>
              <w:t>2026-10-15</w:t>
            </w:r>
          </w:p>
        </w:tc>
        <w:tc>
          <w:tcPr>
            <w:tcW w:type="dxa" w:w="1440"/>
            <w:shd w:fill="FAFAFA" w:val="clear"/>
          </w:tcPr>
          <w:p>
            <w:r>
              <w:rPr>
                <w:sz w:val="17"/>
              </w:rPr>
              <w:t>3,658</w:t>
            </w:r>
          </w:p>
        </w:tc>
        <w:tc>
          <w:tcPr>
            <w:tcW w:type="dxa" w:w="1440"/>
            <w:shd w:fill="FAFAFA" w:val="clear"/>
          </w:tcPr>
          <w:p>
            <w:r>
              <w:rPr>
                <w:b/>
                <w:sz w:val="17"/>
              </w:rPr>
              <w:t>4,201</w:t>
            </w:r>
          </w:p>
        </w:tc>
        <w:tc>
          <w:tcPr>
            <w:tcW w:type="dxa" w:w="1440"/>
            <w:shd w:fill="FAFAFA" w:val="clear"/>
          </w:tcPr>
          <w:p>
            <w:r>
              <w:rPr>
                <w:sz w:val="17"/>
              </w:rPr>
              <w:t>4,744</w:t>
            </w:r>
          </w:p>
        </w:tc>
        <w:tc>
          <w:tcPr>
            <w:tcW w:type="dxa" w:w="1440"/>
            <w:shd w:fill="FAFAFA" w:val="clear"/>
          </w:tcPr>
          <w:p>
            <w:r>
              <w:rPr>
                <w:b/>
                <w:color w:val="008000"/>
                <w:sz w:val="17"/>
              </w:rPr>
              <w:t>+1.3%</w:t>
            </w:r>
          </w:p>
        </w:tc>
      </w:tr>
      <w:tr>
        <w:tc>
          <w:tcPr>
            <w:tcW w:type="dxa" w:w="1440"/>
            <w:shd w:fill="FAFAFA" w:val="clear"/>
          </w:tcPr>
          <w:p>
            <w:r>
              <w:rPr>
                <w:sz w:val="17"/>
              </w:rPr>
              <w:t>J+4  ⭐</w:t>
            </w:r>
          </w:p>
        </w:tc>
        <w:tc>
          <w:tcPr>
            <w:tcW w:type="dxa" w:w="1440"/>
            <w:shd w:fill="FAFAFA" w:val="clear"/>
          </w:tcPr>
          <w:p>
            <w:r>
              <w:rPr>
                <w:sz w:val="17"/>
              </w:rPr>
              <w:t>2026-10-16</w:t>
            </w:r>
          </w:p>
        </w:tc>
        <w:tc>
          <w:tcPr>
            <w:tcW w:type="dxa" w:w="1440"/>
            <w:shd w:fill="FAFAFA" w:val="clear"/>
          </w:tcPr>
          <w:p>
            <w:r>
              <w:rPr>
                <w:sz w:val="17"/>
              </w:rPr>
              <w:t>3,572</w:t>
            </w:r>
          </w:p>
        </w:tc>
        <w:tc>
          <w:tcPr>
            <w:tcW w:type="dxa" w:w="1440"/>
            <w:shd w:fill="FAFAFA" w:val="clear"/>
          </w:tcPr>
          <w:p>
            <w:r>
              <w:rPr>
                <w:b/>
                <w:sz w:val="17"/>
              </w:rPr>
              <w:t>4,199</w:t>
            </w:r>
          </w:p>
        </w:tc>
        <w:tc>
          <w:tcPr>
            <w:tcW w:type="dxa" w:w="1440"/>
            <w:shd w:fill="FAFAFA" w:val="clear"/>
          </w:tcPr>
          <w:p>
            <w:r>
              <w:rPr>
                <w:sz w:val="17"/>
              </w:rPr>
              <w:t>4,826</w:t>
            </w:r>
          </w:p>
        </w:tc>
        <w:tc>
          <w:tcPr>
            <w:tcW w:type="dxa" w:w="1440"/>
            <w:shd w:fill="FAFAFA" w:val="clear"/>
          </w:tcPr>
          <w:p>
            <w:r>
              <w:rPr>
                <w:b/>
                <w:color w:val="008000"/>
                <w:sz w:val="17"/>
              </w:rPr>
              <w:t>+1.3%</w:t>
            </w:r>
          </w:p>
        </w:tc>
      </w:tr>
      <w:tr>
        <w:tc>
          <w:tcPr>
            <w:tcW w:type="dxa" w:w="1440"/>
            <w:shd w:fill="FAFAFA" w:val="clear"/>
          </w:tcPr>
          <w:p>
            <w:r>
              <w:rPr>
                <w:sz w:val="17"/>
              </w:rPr>
              <w:t>J+5  ⭐</w:t>
            </w:r>
          </w:p>
        </w:tc>
        <w:tc>
          <w:tcPr>
            <w:tcW w:type="dxa" w:w="1440"/>
            <w:shd w:fill="FAFAFA" w:val="clear"/>
          </w:tcPr>
          <w:p>
            <w:r>
              <w:rPr>
                <w:sz w:val="17"/>
              </w:rPr>
              <w:t>2026-10-19</w:t>
            </w:r>
          </w:p>
        </w:tc>
        <w:tc>
          <w:tcPr>
            <w:tcW w:type="dxa" w:w="1440"/>
            <w:shd w:fill="FAFAFA" w:val="clear"/>
          </w:tcPr>
          <w:p>
            <w:r>
              <w:rPr>
                <w:sz w:val="17"/>
              </w:rPr>
              <w:t>3,497</w:t>
            </w:r>
          </w:p>
        </w:tc>
        <w:tc>
          <w:tcPr>
            <w:tcW w:type="dxa" w:w="1440"/>
            <w:shd w:fill="FAFAFA" w:val="clear"/>
          </w:tcPr>
          <w:p>
            <w:r>
              <w:rPr>
                <w:b/>
                <w:sz w:val="17"/>
              </w:rPr>
              <w:t>4,198</w:t>
            </w:r>
          </w:p>
        </w:tc>
        <w:tc>
          <w:tcPr>
            <w:tcW w:type="dxa" w:w="1440"/>
            <w:shd w:fill="FAFAFA" w:val="clear"/>
          </w:tcPr>
          <w:p>
            <w:r>
              <w:rPr>
                <w:sz w:val="17"/>
              </w:rPr>
              <w:t>4,898</w:t>
            </w:r>
          </w:p>
        </w:tc>
        <w:tc>
          <w:tcPr>
            <w:tcW w:type="dxa" w:w="1440"/>
            <w:shd w:fill="FAFAFA" w:val="clear"/>
          </w:tcPr>
          <w:p>
            <w:r>
              <w:rPr>
                <w:b/>
                <w:color w:val="008000"/>
                <w:sz w:val="17"/>
              </w:rPr>
              <w:t>+1.3%</w:t>
            </w:r>
          </w:p>
        </w:tc>
      </w:tr>
      <w:tr>
        <w:tc>
          <w:tcPr>
            <w:tcW w:type="dxa" w:w="1440"/>
            <w:shd w:fill="FAFAFA" w:val="clear"/>
          </w:tcPr>
          <w:p>
            <w:r>
              <w:rPr>
                <w:sz w:val="17"/>
              </w:rPr>
              <w:t>J+6  ⭐</w:t>
            </w:r>
          </w:p>
        </w:tc>
        <w:tc>
          <w:tcPr>
            <w:tcW w:type="dxa" w:w="1440"/>
            <w:shd w:fill="FAFAFA" w:val="clear"/>
          </w:tcPr>
          <w:p>
            <w:r>
              <w:rPr>
                <w:sz w:val="17"/>
              </w:rPr>
              <w:t>2026-10-20</w:t>
            </w:r>
          </w:p>
        </w:tc>
        <w:tc>
          <w:tcPr>
            <w:tcW w:type="dxa" w:w="1440"/>
            <w:shd w:fill="FAFAFA" w:val="clear"/>
          </w:tcPr>
          <w:p>
            <w:r>
              <w:rPr>
                <w:sz w:val="17"/>
              </w:rPr>
              <w:t>3,429</w:t>
            </w:r>
          </w:p>
        </w:tc>
        <w:tc>
          <w:tcPr>
            <w:tcW w:type="dxa" w:w="1440"/>
            <w:shd w:fill="FAFAFA" w:val="clear"/>
          </w:tcPr>
          <w:p>
            <w:r>
              <w:rPr>
                <w:b/>
                <w:sz w:val="17"/>
              </w:rPr>
              <w:t>4,196</w:t>
            </w:r>
          </w:p>
        </w:tc>
        <w:tc>
          <w:tcPr>
            <w:tcW w:type="dxa" w:w="1440"/>
            <w:shd w:fill="FAFAFA" w:val="clear"/>
          </w:tcPr>
          <w:p>
            <w:r>
              <w:rPr>
                <w:sz w:val="17"/>
              </w:rPr>
              <w:t>4,963</w:t>
            </w:r>
          </w:p>
        </w:tc>
        <w:tc>
          <w:tcPr>
            <w:tcW w:type="dxa" w:w="1440"/>
            <w:shd w:fill="FAFAFA" w:val="clear"/>
          </w:tcPr>
          <w:p>
            <w:r>
              <w:rPr>
                <w:b/>
                <w:color w:val="008000"/>
                <w:sz w:val="17"/>
              </w:rPr>
              <w:t>+1.2%</w:t>
            </w:r>
          </w:p>
        </w:tc>
      </w:tr>
      <w:tr>
        <w:tc>
          <w:tcPr>
            <w:tcW w:type="dxa" w:w="1440"/>
            <w:shd w:fill="FAFAFA" w:val="clear"/>
          </w:tcPr>
          <w:p>
            <w:r>
              <w:rPr>
                <w:sz w:val="17"/>
              </w:rPr>
              <w:t>J+7  ⭐</w:t>
            </w:r>
          </w:p>
        </w:tc>
        <w:tc>
          <w:tcPr>
            <w:tcW w:type="dxa" w:w="1440"/>
            <w:shd w:fill="FAFAFA" w:val="clear"/>
          </w:tcPr>
          <w:p>
            <w:r>
              <w:rPr>
                <w:sz w:val="17"/>
              </w:rPr>
              <w:t>2026-10-21</w:t>
            </w:r>
          </w:p>
        </w:tc>
        <w:tc>
          <w:tcPr>
            <w:tcW w:type="dxa" w:w="1440"/>
            <w:shd w:fill="FAFAFA" w:val="clear"/>
          </w:tcPr>
          <w:p>
            <w:r>
              <w:rPr>
                <w:sz w:val="17"/>
              </w:rPr>
              <w:t>3,367</w:t>
            </w:r>
          </w:p>
        </w:tc>
        <w:tc>
          <w:tcPr>
            <w:tcW w:type="dxa" w:w="1440"/>
            <w:shd w:fill="FAFAFA" w:val="clear"/>
          </w:tcPr>
          <w:p>
            <w:r>
              <w:rPr>
                <w:b/>
                <w:sz w:val="17"/>
              </w:rPr>
              <w:t>4,195</w:t>
            </w:r>
          </w:p>
        </w:tc>
        <w:tc>
          <w:tcPr>
            <w:tcW w:type="dxa" w:w="1440"/>
            <w:shd w:fill="FAFAFA" w:val="clear"/>
          </w:tcPr>
          <w:p>
            <w:r>
              <w:rPr>
                <w:sz w:val="17"/>
              </w:rPr>
              <w:t>5,024</w:t>
            </w:r>
          </w:p>
        </w:tc>
        <w:tc>
          <w:tcPr>
            <w:tcW w:type="dxa" w:w="1440"/>
            <w:shd w:fill="FAFAFA" w:val="clear"/>
          </w:tcPr>
          <w:p>
            <w:r>
              <w:rPr>
                <w:b/>
                <w:color w:val="008000"/>
                <w:sz w:val="17"/>
              </w:rPr>
              <w:t>+1.2%</w:t>
            </w:r>
          </w:p>
        </w:tc>
      </w:tr>
      <w:tr>
        <w:tc>
          <w:tcPr>
            <w:tcW w:type="dxa" w:w="1440"/>
            <w:shd w:fill="FAFAFA" w:val="clear"/>
          </w:tcPr>
          <w:p>
            <w:r>
              <w:rPr>
                <w:sz w:val="17"/>
              </w:rPr>
              <w:t>J+8  ⭐</w:t>
            </w:r>
          </w:p>
        </w:tc>
        <w:tc>
          <w:tcPr>
            <w:tcW w:type="dxa" w:w="1440"/>
            <w:shd w:fill="FAFAFA" w:val="clear"/>
          </w:tcPr>
          <w:p>
            <w:r>
              <w:rPr>
                <w:sz w:val="17"/>
              </w:rPr>
              <w:t>2026-10-22</w:t>
            </w:r>
          </w:p>
        </w:tc>
        <w:tc>
          <w:tcPr>
            <w:tcW w:type="dxa" w:w="1440"/>
            <w:shd w:fill="FAFAFA" w:val="clear"/>
          </w:tcPr>
          <w:p>
            <w:r>
              <w:rPr>
                <w:sz w:val="17"/>
              </w:rPr>
              <w:t>3,309</w:t>
            </w:r>
          </w:p>
        </w:tc>
        <w:tc>
          <w:tcPr>
            <w:tcW w:type="dxa" w:w="1440"/>
            <w:shd w:fill="FAFAFA" w:val="clear"/>
          </w:tcPr>
          <w:p>
            <w:r>
              <w:rPr>
                <w:b/>
                <w:sz w:val="17"/>
              </w:rPr>
              <w:t>4,194</w:t>
            </w:r>
          </w:p>
        </w:tc>
        <w:tc>
          <w:tcPr>
            <w:tcW w:type="dxa" w:w="1440"/>
            <w:shd w:fill="FAFAFA" w:val="clear"/>
          </w:tcPr>
          <w:p>
            <w:r>
              <w:rPr>
                <w:sz w:val="17"/>
              </w:rPr>
              <w:t>5,080</w:t>
            </w:r>
          </w:p>
        </w:tc>
        <w:tc>
          <w:tcPr>
            <w:tcW w:type="dxa" w:w="1440"/>
            <w:shd w:fill="FAFAFA" w:val="clear"/>
          </w:tcPr>
          <w:p>
            <w:r>
              <w:rPr>
                <w:b/>
                <w:color w:val="008000"/>
                <w:sz w:val="17"/>
              </w:rPr>
              <w:t>+1.2%</w:t>
            </w:r>
          </w:p>
        </w:tc>
      </w:tr>
      <w:tr>
        <w:tc>
          <w:tcPr>
            <w:tcW w:type="dxa" w:w="1440"/>
            <w:shd w:fill="FAFAFA" w:val="clear"/>
          </w:tcPr>
          <w:p>
            <w:r>
              <w:rPr>
                <w:sz w:val="17"/>
              </w:rPr>
              <w:t>J+9  ⭐</w:t>
            </w:r>
          </w:p>
        </w:tc>
        <w:tc>
          <w:tcPr>
            <w:tcW w:type="dxa" w:w="1440"/>
            <w:shd w:fill="FAFAFA" w:val="clear"/>
          </w:tcPr>
          <w:p>
            <w:r>
              <w:rPr>
                <w:sz w:val="17"/>
              </w:rPr>
              <w:t>2026-10-23</w:t>
            </w:r>
          </w:p>
        </w:tc>
        <w:tc>
          <w:tcPr>
            <w:tcW w:type="dxa" w:w="1440"/>
            <w:shd w:fill="FAFAFA" w:val="clear"/>
          </w:tcPr>
          <w:p>
            <w:r>
              <w:rPr>
                <w:sz w:val="17"/>
              </w:rPr>
              <w:t>3,254</w:t>
            </w:r>
          </w:p>
        </w:tc>
        <w:tc>
          <w:tcPr>
            <w:tcW w:type="dxa" w:w="1440"/>
            <w:shd w:fill="FAFAFA" w:val="clear"/>
          </w:tcPr>
          <w:p>
            <w:r>
              <w:rPr>
                <w:b/>
                <w:sz w:val="17"/>
              </w:rPr>
              <w:t>4,193</w:t>
            </w:r>
          </w:p>
        </w:tc>
        <w:tc>
          <w:tcPr>
            <w:tcW w:type="dxa" w:w="1440"/>
            <w:shd w:fill="FAFAFA" w:val="clear"/>
          </w:tcPr>
          <w:p>
            <w:r>
              <w:rPr>
                <w:sz w:val="17"/>
              </w:rPr>
              <w:t>5,132</w:t>
            </w:r>
          </w:p>
        </w:tc>
        <w:tc>
          <w:tcPr>
            <w:tcW w:type="dxa" w:w="1440"/>
            <w:shd w:fill="FAFAFA" w:val="clear"/>
          </w:tcPr>
          <w:p>
            <w:r>
              <w:rPr>
                <w:b/>
                <w:color w:val="008000"/>
                <w:sz w:val="17"/>
              </w:rPr>
              <w:t>+1.2%</w:t>
            </w:r>
          </w:p>
        </w:tc>
      </w:tr>
      <w:tr>
        <w:tc>
          <w:tcPr>
            <w:tcW w:type="dxa" w:w="1440"/>
            <w:shd w:fill="FAFAFA" w:val="clear"/>
          </w:tcPr>
          <w:p>
            <w:r>
              <w:rPr>
                <w:sz w:val="17"/>
              </w:rPr>
              <w:t>J+10  ⭐</w:t>
            </w:r>
          </w:p>
        </w:tc>
        <w:tc>
          <w:tcPr>
            <w:tcW w:type="dxa" w:w="1440"/>
            <w:shd w:fill="FAFAFA" w:val="clear"/>
          </w:tcPr>
          <w:p>
            <w:r>
              <w:rPr>
                <w:sz w:val="17"/>
              </w:rPr>
              <w:t>2026-10-26</w:t>
            </w:r>
          </w:p>
        </w:tc>
        <w:tc>
          <w:tcPr>
            <w:tcW w:type="dxa" w:w="1440"/>
            <w:shd w:fill="FAFAFA" w:val="clear"/>
          </w:tcPr>
          <w:p>
            <w:r>
              <w:rPr>
                <w:sz w:val="17"/>
              </w:rPr>
              <w:t>3,203</w:t>
            </w:r>
          </w:p>
        </w:tc>
        <w:tc>
          <w:tcPr>
            <w:tcW w:type="dxa" w:w="1440"/>
            <w:shd w:fill="FAFAFA" w:val="clear"/>
          </w:tcPr>
          <w:p>
            <w:r>
              <w:rPr>
                <w:b/>
                <w:sz w:val="17"/>
              </w:rPr>
              <w:t>4,192</w:t>
            </w:r>
          </w:p>
        </w:tc>
        <w:tc>
          <w:tcPr>
            <w:tcW w:type="dxa" w:w="1440"/>
            <w:shd w:fill="FAFAFA" w:val="clear"/>
          </w:tcPr>
          <w:p>
            <w:r>
              <w:rPr>
                <w:sz w:val="17"/>
              </w:rPr>
              <w:t>5,182</w:t>
            </w:r>
          </w:p>
        </w:tc>
        <w:tc>
          <w:tcPr>
            <w:tcW w:type="dxa" w:w="1440"/>
            <w:shd w:fill="FAFAFA" w:val="clear"/>
          </w:tcPr>
          <w:p>
            <w:r>
              <w:rPr>
                <w:b/>
                <w:color w:val="008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 RAPPORT D'ANALYSE FINANCIÈRE — SAFC (ALIOS FINANCE CÔTE D'IVOIRE)</w:t>
        <w:br/>
        <w:t>**Bourse Régionale des Valeurs Mobilières (BRVM) — Secteur : Banque / Crédit à la consommation**</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49,20 Mds FCFA, SAFC se positionne comme une petite capitalisation au sein de la cote BRVM, ce qui la rend sensible aux mouvements de faible volume et aux rotations sectorielles. Le BPA de 59 FCFA/action signifie que chaque titre génère théoriquement 59 FCFA de bénéfice net, un niveau modeste qui, rapporté au cours actuel de 4 145 FCFA, aboutit à un PER de 70,2x — très largement supérieur à la moyenne BRVM (8-12x), ce qui traduit une anticipation forte de croissance future de la part du marché plutôt qu'une valorisation sur les bénéfices présents. Le P/B de 8,32x confirme cette prime exigeante : le marché valorise SAFC à plus de huit fois ses fonds propres comptables (5,916 Mds FCFA), un niveau qui n'est justifiable que par la perspective d'une rentabilité future nettement supérieure. Enfin, l'EV/EBITDA de 82,8x (très au-delà du seuil de 15x) signale que la valeur d'entreprise intègre une prime spéculative considérable par rapport à la capacité opérationnelle actuelle, ce qui impose une prudence accrue et une exigence de confirmation des résultats trimestriels.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SAFC affiche une variation totale de +3,88%, avec une dernière séance en hausse de +0,97% à 4 145 FCFA, témoignant d'un léger rebond de court terme. Le range de trading est particulièrement large, oscillant entre un plus haut de 6 200 FCFA et un plus bas de 3 595 FCFA, soit un écart de plus de 72% entre les extrêmes — signe d'une forte instabilité et d'une sensibilité marquée aux annonces (notamment l'augmentation de capital d'avril 2026). La tendance générale reste baissière sur la période malgré la variation positive affichée, car le cours actuel (4 145 FCFA) se situe bien en dessous de la moyenne (4 674 FCFA) et de la médiane (4 580 FCFA), ce qui indique une distribution asymétrique avec une prédominance des niveaux élevés dans le passé récent. L'écart-type de 715 FCFA et le coefficient de variation de 15,3% confirment une dispersion modérée à élevée du cours autour de sa moyenne. Le kurtosis de -0,869 (mésokurtique) suggère une distribution proche de la normale, donc sans risque de pics extrêmes fréquents, tandis que le skewness de 0,357 indique une légère asymétrie positive (queue de distribution étirée vers les hausses). Enfin, la volatilité annualisée de 61,3% classe SAFC dans la catégorie des titres à volatilité élevée (&gt;30%), ce qui implique un risque de perte en capital significatif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(4 483 FCFA) et la MM50 (5 124,8 FCFA) se situent toutes deux au-dessus du cours actuel (4 145 FCFA), avec une MM20 inférieure à la MM50 — configuration baissière typique. Le cours évoluant sous ses deux moyennes, la pression vendeuse domine et justifie la décision technique de **Vente**.</w:t>
      </w:r>
    </w:p>
    <w:p>
      <w:pPr>
        <w:spacing w:after="120" w:line="276" w:lineRule="auto"/>
      </w:pPr>
      <w:r>
        <w:t>**Bandes de Bollinger** : La borne supérieure est à 5 238,38 FCFA et la borne inférieure à 3 727,62 FCFA, avec un cours actuel de 4 145 FCFA qui se situe dans la moitié basse du canal, sans atteindre la borne inférieure. Cette position médiane-basse traduit une volatilité contenue mais une absence de signal directionnel fort, d'où la décision **Neutre**.</w:t>
      </w:r>
    </w:p>
    <w:p>
      <w:pPr>
        <w:spacing w:after="120" w:line="276" w:lineRule="auto"/>
      </w:pPr>
      <w:r>
        <w:t>**MACD** : La valeur du MACD (-294,385) est inférieure à son signal (-276,821), avec un histogramme négatif — configuration baissière confirmée. Le momentum reste négatif et la divergence négative entre les deux lignes justifie la décision de **Vente**.</w:t>
      </w:r>
    </w:p>
    <w:p>
      <w:pPr>
        <w:spacing w:after="120" w:line="276" w:lineRule="auto"/>
      </w:pPr>
      <w:r>
        <w:t>**RSI** : À 40,644, le RSI se situe dans la zone neutre (30-70), sans atteindre la zone de survente (&lt;30) ni de surachat (&gt;70). Cette position médiane indique un équilibre relatif entre acheteurs et vendeurs, justifiant la décision **Neutre**.</w:t>
      </w:r>
    </w:p>
    <w:p>
      <w:pPr>
        <w:spacing w:after="120" w:line="276" w:lineRule="auto"/>
      </w:pPr>
      <w:r>
        <w:t>**Stochastique** : Le %K (20,122) et le %D (14,122) sont tous deux en zone basse, proches de la zone de survente (&lt;20), avec un %K légèrement supérieur au %D — configuration qui pourrait annoncer un croisement haussier imminent. Toutefois, la prudence reste de mise car les deux lignes restent faibles, d'où la décision **Neutre**.</w:t>
      </w:r>
    </w:p>
    <w:p>
      <w:pPr>
        <w:spacing w:after="120" w:line="276" w:lineRule="auto"/>
      </w:pPr>
      <w:r>
        <w:t>**Conclusion technique** : Les indicateurs convergent majoritairement vers un signal baissier (MM, MACD) ou neutre (Bollinger, RSI, Stochastique), sans divergence haussière franche. Le cours évolue sous ses moyennes mobiles avec un momentum négatif, mais le RSI et le stochastique en zone basse suggèrent qu'une capitulation pourrait être proche. La configuration globale reste défavorable à court terme, avec un potentiel de rebond technique limité tant que le cours ne repasse pas au-dessus de la MM20 (4 483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SAFC a enregistré un Produit Net Bancaire (PNB) de 5 735 M FCFA, en hausse spectaculaire de +44,1% par rapport à 2024 (3 980 M FCFA), porté par la progression des intérêts et produits assimilés (8 236 M FCFA) et des commissions (686 M FCFA). Le résultat net s'établit à 701 M FCFA, marquant un retournement majeur après une perte de -165 M FCFA en 2024. La marge nette ressort à 12,22%, le ROE à 11,85% (en dessous du seuil d'excellence de 15%) et le ROA à seulement 0,88%, reflétant la faible rentabilité des actifs. Le coefficient d'exploitation de 77,63% est élevé (norme bancaire &lt;60% pour une banque efficace), ce qui indique une structure de coûts encore lourde. Le coût du risque rapporté aux charges financières s'élève à 6,57%, un niveau qui reste significatif et traduit un portefeuille de crédits encore fragile. La structure financière présente des fragilités : l'autonomie financière n'est que de 7,44% (norme &gt;30%), le ratio d'endettement atteint 856,36%, et la trésorerie nette est négative à -35,324 Mds FCFA, signe d'une dépendance élevée aux dettes interbancaires (35,747 Mds FCFA) pour financer les créances clientèle (60,476 Mds FCFA).</w:t>
      </w:r>
    </w:p>
    <w:p>
      <w:pPr>
        <w:spacing w:after="120" w:line="276" w:lineRule="auto"/>
      </w:pPr>
      <w:r>
        <w:t>**Estimations basées sur les rapports trimestriels** : Le rapport du T1 2026 (publié le 12/05/2026) indique un PNB de 1 395 M FCFA (+29%) et un résultat net de 151 M FCFA (+1 062%), avec une marge nette de 10,82% et un coût du risque en baisse de 75%. Le rapport du S1 2026 (publié le 04/09/2026) confirme cette dynamique avec un PNB de 2 907 M FCFA (+37%) et un résultat net de 731 M FCFA (+231%), soit une marge nette de 25,1% — nettement supérieure à celle de 2025. Sur la base de ces tendances, on peut estimer que l'exercice 2026 devrait afficher un PNB annuel compris entre 5,8 et 6,2 Mds FCFA et un résultat net potentiellement supérieur à 1,2 Md FCFA, soutenu par l'amélioration de la qualité du portefeuille (reprise nette de 261 M FCFA au S1 2026 contre une charge de 93 M FCFA un an plus tôt). Le renforcement des fonds propres (capitaux propres à 6 647 M FCFA au S1 2026, +22%) et l'augmentation de capital de 1,5 Md FCFA (avis BRVM du 14/04/2026) devraient améliorer les ratios prudentiels (CET1 à 11,49% au S1 2026 contre 9,65% un an plus tôt).</w:t>
      </w:r>
    </w:p>
    <w:p>
      <w:pPr>
        <w:spacing w:after="120" w:line="276" w:lineRule="auto"/>
      </w:pPr>
      <w:r>
        <w:t>**Recommandation fondamentale** : La dynamique de redressement est indéniable, portée par l'intégration au sein de CREDAF GROUP (avril 2025) et une meilleure maîtrise du risque. Toutefois, les fragilités structurelles persistent : fonds propres encore modestes, dépendance aux dettes interbancaires, et valorisation boursière extrêmement exigeante (PER 70,2x). La solidité financière s'améliore mais reste perfectible, et les risques de crédit et de liquidité demeurent des points de vigilance majeurs.</w:t>
      </w:r>
    </w:p>
    <w:p>
      <w:pPr>
        <w:spacing w:after="120" w:line="276" w:lineRule="auto"/>
      </w:pPr>
      <w:r>
        <w:t>---</w:t>
      </w:r>
    </w:p>
    <w:p>
      <w:pPr>
        <w:spacing w:after="120" w:line="276" w:lineRule="auto"/>
      </w:pPr>
      <w:r>
        <w:t>## PARTIE 4 : CONCLUSION D'INVESTISSEMENT</w:t>
      </w:r>
    </w:p>
    <w:p>
      <w:pPr>
        <w:spacing w:after="120" w:line="276" w:lineRule="auto"/>
      </w:pPr>
      <w:r>
        <w:t>La valorisation de SAFC (Partie 0) apparaît nettement surévaluée au regard des ratios actuels : PER de 70,2x, P/B de 8,32x et EV/EBITDA de 82,8x intègrent déjà une anticipation très optimiste de la croissance future, ce qui limite le potentiel de revalorisation à court terme. Le comportement du cours (Partie 1) est préoccupant : malgré une variation positive de +3,88% sur 100 jours, le titre évolue sous sa moyenne et sa médiane, avec une volatilité annualisée de 61,3% et un skewness positif qui suggère une asymétrie haussière fragile. Les signaux techniques (Partie 2) sont majoritairement baissiers (MM, MACD) ou neutres (Bollinger, RSI, Stochastique), sans convergence haussière claire, ce qui plaide pour une prudence à court terme. Les fondamentaux (Partie 3) montrent une amélioration spectaculaire en 2025 (PNB +44%, résultat net de 701 M FCFA) et confirmée par les rapports T1 2026 (résultat net +1 062%) et S1 2026 (résultat net +231%), mais la structure financière reste fragile (autonomie financière de 7,44%, trésorerie nette négative). Les prédictions IA (J+1 à J+10) tablent sur une légère hausse vers 4 177-4 201 FCFA, ce qui contredit partiellement les signaux techniques baissiers mais reste cohérent avec un rebond technique limité.</w:t>
      </w:r>
    </w:p>
    <w:p>
      <w:pPr>
        <w:spacing w:after="120" w:line="276" w:lineRule="auto"/>
      </w:pPr>
      <w:r>
        <w:t>**Recommandation finale : CONSERVER**</w:t>
        <w:br/>
        <w:t>**Justification** : La convergence entre une valorisation exigeante (Partie 0), des signaux techniques baissiers (Partie 2) et des fondamentaux en amélioration mais encore fragiles (Partie 3) plaide pour une position attentiste. Le potentiel de croissance est réel (dynamique CREDAF GROUP, amélioration du coût du risque), mais le prix actuel intègre déjà une grande partie de ces bonnes nouvelles. Une recommandation d'ACHAT serait prématurée tant que le cours ne repasse pas au-dessus de la MM20 (4 483 FCFA) et que les ratios de valorisation ne se normalisent pas. Une VENTE serait injustifiée compte tenu de la trajectoire positive des résultats.</w:t>
        <w:br/>
        <w:t>**Niveau de confiance** : Moyen (les fondamentaux s'améliorent mais la valorisation et la technique incitent à la prudence).</w:t>
        <w:br/>
        <w:t>**Niveau de risque global** : Élevé (volatilité de 61,3%, dépendance aux dettes interbancaires, valorisation spéculative).</w:t>
        <w:br/>
        <w:t>**Horizon d'investissement optimal** : Moyen terme (3-12 mois), en surveillant la confirmation des résultats du T3 2026 et la normalisation des ratios de valorisation.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29.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48.12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10,608 titres</w:t>
            </w:r>
          </w:p>
        </w:tc>
        <w:tc>
          <w:tcPr>
            <w:tcW w:type="dxa" w:w="2268"/>
            <w:shd w:fill="FFF2CC" w:val="clear"/>
          </w:tcPr>
          <w:p>
            <w:r>
              <w:rPr>
                <w:b/>
                <w:color w:val="503200"/>
                <w:sz w:val="16"/>
              </w:rPr>
              <w:t xml:space="preserve">Cours actuel : </w:t>
            </w:r>
            <w:r>
              <w:rPr>
                <w:color w:val="000000"/>
                <w:sz w:val="17"/>
              </w:rPr>
              <w:t>2,455 FCFA</w:t>
            </w:r>
          </w:p>
          <w:p>
            <w:r>
              <w:rPr>
                <w:b/>
                <w:color w:val="503200"/>
                <w:sz w:val="16"/>
              </w:rPr>
              <w:t xml:space="preserve">Var. 100 jours : </w:t>
            </w:r>
            <w:r>
              <w:rPr>
                <w:b/>
                <w:color w:val="007800"/>
                <w:sz w:val="17"/>
              </w:rPr>
              <w:t>+7.44%</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2,205 FCFA</w:t>
            </w:r>
          </w:p>
          <w:p>
            <w:r>
              <w:rPr>
                <w:b/>
                <w:color w:val="503200"/>
                <w:sz w:val="16"/>
              </w:rPr>
              <w:t xml:space="preserve">Volatilité ann. : </w:t>
            </w:r>
            <w:r>
              <w:rPr>
                <w:color w:val="000000"/>
                <w:sz w:val="17"/>
              </w:rPr>
              <w:t>57.1%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13.18% (Moyenne) — μ=3,197 FCFA, σ=421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β=1.2780 (Agressif) — Cov=0.000089, Var(idx)=0.000070, ρ=0.305, n=95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10,608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σ_j=3.60%/j (Modérée) — Vol. annualisée≈57.1%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5477"/>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2026-10-13</w:t>
            </w:r>
          </w:p>
        </w:tc>
        <w:tc>
          <w:tcPr>
            <w:tcW w:type="dxa" w:w="1440"/>
            <w:shd w:fill="C6EFCE" w:val="clear"/>
          </w:tcPr>
          <w:p>
            <w:r>
              <w:rPr>
                <w:sz w:val="17"/>
              </w:rPr>
              <w:t>2,406</w:t>
            </w:r>
          </w:p>
        </w:tc>
        <w:tc>
          <w:tcPr>
            <w:tcW w:type="dxa" w:w="1440"/>
            <w:shd w:fill="C6EFCE" w:val="clear"/>
          </w:tcPr>
          <w:p>
            <w:r>
              <w:rPr>
                <w:b/>
                <w:sz w:val="17"/>
              </w:rPr>
              <w:t>2,556</w:t>
            </w:r>
          </w:p>
        </w:tc>
        <w:tc>
          <w:tcPr>
            <w:tcW w:type="dxa" w:w="1440"/>
            <w:shd w:fill="C6EFCE" w:val="clear"/>
          </w:tcPr>
          <w:p>
            <w:r>
              <w:rPr>
                <w:sz w:val="17"/>
              </w:rPr>
              <w:t>2,705</w:t>
            </w:r>
          </w:p>
        </w:tc>
        <w:tc>
          <w:tcPr>
            <w:tcW w:type="dxa" w:w="1440"/>
            <w:shd w:fill="C6EFCE" w:val="clear"/>
          </w:tcPr>
          <w:p>
            <w:r>
              <w:rPr>
                <w:b/>
                <w:color w:val="008000"/>
                <w:sz w:val="17"/>
              </w:rPr>
              <w:t>+4.1%</w:t>
            </w:r>
          </w:p>
        </w:tc>
      </w:tr>
      <w:tr>
        <w:tc>
          <w:tcPr>
            <w:tcW w:type="dxa" w:w="1440"/>
            <w:shd w:fill="C6EFCE" w:val="clear"/>
          </w:tcPr>
          <w:p>
            <w:r>
              <w:rPr>
                <w:sz w:val="17"/>
              </w:rPr>
              <w:t>J+2  Moyenne</w:t>
            </w:r>
          </w:p>
        </w:tc>
        <w:tc>
          <w:tcPr>
            <w:tcW w:type="dxa" w:w="1440"/>
            <w:shd w:fill="C6EFCE" w:val="clear"/>
          </w:tcPr>
          <w:p>
            <w:r>
              <w:rPr>
                <w:sz w:val="17"/>
              </w:rPr>
              <w:t>2026-10-14</w:t>
            </w:r>
          </w:p>
        </w:tc>
        <w:tc>
          <w:tcPr>
            <w:tcW w:type="dxa" w:w="1440"/>
            <w:shd w:fill="C6EFCE" w:val="clear"/>
          </w:tcPr>
          <w:p>
            <w:r>
              <w:rPr>
                <w:sz w:val="17"/>
              </w:rPr>
              <w:t>2,444</w:t>
            </w:r>
          </w:p>
        </w:tc>
        <w:tc>
          <w:tcPr>
            <w:tcW w:type="dxa" w:w="1440"/>
            <w:shd w:fill="C6EFCE" w:val="clear"/>
          </w:tcPr>
          <w:p>
            <w:r>
              <w:rPr>
                <w:b/>
                <w:sz w:val="17"/>
              </w:rPr>
              <w:t>2,665</w:t>
            </w:r>
          </w:p>
        </w:tc>
        <w:tc>
          <w:tcPr>
            <w:tcW w:type="dxa" w:w="1440"/>
            <w:shd w:fill="C6EFCE" w:val="clear"/>
          </w:tcPr>
          <w:p>
            <w:r>
              <w:rPr>
                <w:sz w:val="17"/>
              </w:rPr>
              <w:t>2,885</w:t>
            </w:r>
          </w:p>
        </w:tc>
        <w:tc>
          <w:tcPr>
            <w:tcW w:type="dxa" w:w="1440"/>
            <w:shd w:fill="C6EFCE" w:val="clear"/>
          </w:tcPr>
          <w:p>
            <w:r>
              <w:rPr>
                <w:b/>
                <w:color w:val="008000"/>
                <w:sz w:val="17"/>
              </w:rPr>
              <w:t>+8.5%</w:t>
            </w:r>
          </w:p>
        </w:tc>
      </w:tr>
      <w:tr>
        <w:tc>
          <w:tcPr>
            <w:tcW w:type="dxa" w:w="1440"/>
            <w:shd w:fill="C6EFCE" w:val="clear"/>
          </w:tcPr>
          <w:p>
            <w:r>
              <w:rPr>
                <w:sz w:val="17"/>
              </w:rPr>
              <w:t>J+3  Moyenne</w:t>
            </w:r>
          </w:p>
        </w:tc>
        <w:tc>
          <w:tcPr>
            <w:tcW w:type="dxa" w:w="1440"/>
            <w:shd w:fill="C6EFCE" w:val="clear"/>
          </w:tcPr>
          <w:p>
            <w:r>
              <w:rPr>
                <w:sz w:val="17"/>
              </w:rPr>
              <w:t>2026-10-15</w:t>
            </w:r>
          </w:p>
        </w:tc>
        <w:tc>
          <w:tcPr>
            <w:tcW w:type="dxa" w:w="1440"/>
            <w:shd w:fill="C6EFCE" w:val="clear"/>
          </w:tcPr>
          <w:p>
            <w:r>
              <w:rPr>
                <w:sz w:val="17"/>
              </w:rPr>
              <w:t>2,488</w:t>
            </w:r>
          </w:p>
        </w:tc>
        <w:tc>
          <w:tcPr>
            <w:tcW w:type="dxa" w:w="1440"/>
            <w:shd w:fill="C6EFCE" w:val="clear"/>
          </w:tcPr>
          <w:p>
            <w:r>
              <w:rPr>
                <w:b/>
                <w:sz w:val="17"/>
              </w:rPr>
              <w:t>2,768</w:t>
            </w:r>
          </w:p>
        </w:tc>
        <w:tc>
          <w:tcPr>
            <w:tcW w:type="dxa" w:w="1440"/>
            <w:shd w:fill="C6EFCE" w:val="clear"/>
          </w:tcPr>
          <w:p>
            <w:r>
              <w:rPr>
                <w:sz w:val="17"/>
              </w:rPr>
              <w:t>3,049</w:t>
            </w:r>
          </w:p>
        </w:tc>
        <w:tc>
          <w:tcPr>
            <w:tcW w:type="dxa" w:w="1440"/>
            <w:shd w:fill="C6EFCE" w:val="clear"/>
          </w:tcPr>
          <w:p>
            <w:r>
              <w:rPr>
                <w:b/>
                <w:color w:val="008000"/>
                <w:sz w:val="17"/>
              </w:rPr>
              <w:t>+12.8%</w:t>
            </w:r>
          </w:p>
        </w:tc>
      </w:tr>
      <w:tr>
        <w:tc>
          <w:tcPr>
            <w:tcW w:type="dxa" w:w="1440"/>
            <w:shd w:fill="C6EFCE" w:val="clear"/>
          </w:tcPr>
          <w:p>
            <w:r>
              <w:rPr>
                <w:sz w:val="17"/>
              </w:rPr>
              <w:t>J+4  ⭐</w:t>
            </w:r>
          </w:p>
        </w:tc>
        <w:tc>
          <w:tcPr>
            <w:tcW w:type="dxa" w:w="1440"/>
            <w:shd w:fill="C6EFCE" w:val="clear"/>
          </w:tcPr>
          <w:p>
            <w:r>
              <w:rPr>
                <w:sz w:val="17"/>
              </w:rPr>
              <w:t>2026-10-16</w:t>
            </w:r>
          </w:p>
        </w:tc>
        <w:tc>
          <w:tcPr>
            <w:tcW w:type="dxa" w:w="1440"/>
            <w:shd w:fill="C6EFCE" w:val="clear"/>
          </w:tcPr>
          <w:p>
            <w:r>
              <w:rPr>
                <w:sz w:val="17"/>
              </w:rPr>
              <w:t>2,522</w:t>
            </w:r>
          </w:p>
        </w:tc>
        <w:tc>
          <w:tcPr>
            <w:tcW w:type="dxa" w:w="1440"/>
            <w:shd w:fill="C6EFCE" w:val="clear"/>
          </w:tcPr>
          <w:p>
            <w:r>
              <w:rPr>
                <w:b/>
                <w:sz w:val="17"/>
              </w:rPr>
              <w:t>2,856</w:t>
            </w:r>
          </w:p>
        </w:tc>
        <w:tc>
          <w:tcPr>
            <w:tcW w:type="dxa" w:w="1440"/>
            <w:shd w:fill="C6EFCE" w:val="clear"/>
          </w:tcPr>
          <w:p>
            <w:r>
              <w:rPr>
                <w:sz w:val="17"/>
              </w:rPr>
              <w:t>3,190</w:t>
            </w:r>
          </w:p>
        </w:tc>
        <w:tc>
          <w:tcPr>
            <w:tcW w:type="dxa" w:w="1440"/>
            <w:shd w:fill="C6EFCE" w:val="clear"/>
          </w:tcPr>
          <w:p>
            <w:r>
              <w:rPr>
                <w:b/>
                <w:color w:val="008000"/>
                <w:sz w:val="17"/>
              </w:rPr>
              <w:t>+16.3%</w:t>
            </w:r>
          </w:p>
        </w:tc>
      </w:tr>
      <w:tr>
        <w:tc>
          <w:tcPr>
            <w:tcW w:type="dxa" w:w="1440"/>
            <w:shd w:fill="C6EFCE" w:val="clear"/>
          </w:tcPr>
          <w:p>
            <w:r>
              <w:rPr>
                <w:sz w:val="17"/>
              </w:rPr>
              <w:t>J+5  ⭐</w:t>
            </w:r>
          </w:p>
        </w:tc>
        <w:tc>
          <w:tcPr>
            <w:tcW w:type="dxa" w:w="1440"/>
            <w:shd w:fill="C6EFCE" w:val="clear"/>
          </w:tcPr>
          <w:p>
            <w:r>
              <w:rPr>
                <w:sz w:val="17"/>
              </w:rPr>
              <w:t>2026-10-19</w:t>
            </w:r>
          </w:p>
        </w:tc>
        <w:tc>
          <w:tcPr>
            <w:tcW w:type="dxa" w:w="1440"/>
            <w:shd w:fill="C6EFCE" w:val="clear"/>
          </w:tcPr>
          <w:p>
            <w:r>
              <w:rPr>
                <w:sz w:val="17"/>
              </w:rPr>
              <w:t>2,548</w:t>
            </w:r>
          </w:p>
        </w:tc>
        <w:tc>
          <w:tcPr>
            <w:tcW w:type="dxa" w:w="1440"/>
            <w:shd w:fill="C6EFCE" w:val="clear"/>
          </w:tcPr>
          <w:p>
            <w:r>
              <w:rPr>
                <w:b/>
                <w:sz w:val="17"/>
              </w:rPr>
              <w:t>2,931</w:t>
            </w:r>
          </w:p>
        </w:tc>
        <w:tc>
          <w:tcPr>
            <w:tcW w:type="dxa" w:w="1440"/>
            <w:shd w:fill="C6EFCE" w:val="clear"/>
          </w:tcPr>
          <w:p>
            <w:r>
              <w:rPr>
                <w:sz w:val="17"/>
              </w:rPr>
              <w:t>3,314</w:t>
            </w:r>
          </w:p>
        </w:tc>
        <w:tc>
          <w:tcPr>
            <w:tcW w:type="dxa" w:w="1440"/>
            <w:shd w:fill="C6EFCE" w:val="clear"/>
          </w:tcPr>
          <w:p>
            <w:r>
              <w:rPr>
                <w:b/>
                <w:color w:val="008000"/>
                <w:sz w:val="17"/>
              </w:rPr>
              <w:t>+19.4%</w:t>
            </w:r>
          </w:p>
        </w:tc>
      </w:tr>
      <w:tr>
        <w:tc>
          <w:tcPr>
            <w:tcW w:type="dxa" w:w="1440"/>
            <w:shd w:fill="C6EFCE" w:val="clear"/>
          </w:tcPr>
          <w:p>
            <w:r>
              <w:rPr>
                <w:sz w:val="17"/>
              </w:rPr>
              <w:t>J+6  ⭐</w:t>
            </w:r>
          </w:p>
        </w:tc>
        <w:tc>
          <w:tcPr>
            <w:tcW w:type="dxa" w:w="1440"/>
            <w:shd w:fill="C6EFCE" w:val="clear"/>
          </w:tcPr>
          <w:p>
            <w:r>
              <w:rPr>
                <w:sz w:val="17"/>
              </w:rPr>
              <w:t>2026-10-20</w:t>
            </w:r>
          </w:p>
        </w:tc>
        <w:tc>
          <w:tcPr>
            <w:tcW w:type="dxa" w:w="1440"/>
            <w:shd w:fill="C6EFCE" w:val="clear"/>
          </w:tcPr>
          <w:p>
            <w:r>
              <w:rPr>
                <w:sz w:val="17"/>
              </w:rPr>
              <w:t>2,567</w:t>
            </w:r>
          </w:p>
        </w:tc>
        <w:tc>
          <w:tcPr>
            <w:tcW w:type="dxa" w:w="1440"/>
            <w:shd w:fill="C6EFCE" w:val="clear"/>
          </w:tcPr>
          <w:p>
            <w:r>
              <w:rPr>
                <w:b/>
                <w:sz w:val="17"/>
              </w:rPr>
              <w:t>2,997</w:t>
            </w:r>
          </w:p>
        </w:tc>
        <w:tc>
          <w:tcPr>
            <w:tcW w:type="dxa" w:w="1440"/>
            <w:shd w:fill="C6EFCE" w:val="clear"/>
          </w:tcPr>
          <w:p>
            <w:r>
              <w:rPr>
                <w:sz w:val="17"/>
              </w:rPr>
              <w:t>3,426</w:t>
            </w:r>
          </w:p>
        </w:tc>
        <w:tc>
          <w:tcPr>
            <w:tcW w:type="dxa" w:w="1440"/>
            <w:shd w:fill="C6EFCE" w:val="clear"/>
          </w:tcPr>
          <w:p>
            <w:r>
              <w:rPr>
                <w:b/>
                <w:color w:val="008000"/>
                <w:sz w:val="17"/>
              </w:rPr>
              <w:t>+22.1%</w:t>
            </w:r>
          </w:p>
        </w:tc>
      </w:tr>
      <w:tr>
        <w:tc>
          <w:tcPr>
            <w:tcW w:type="dxa" w:w="1440"/>
            <w:shd w:fill="C6EFCE" w:val="clear"/>
          </w:tcPr>
          <w:p>
            <w:r>
              <w:rPr>
                <w:sz w:val="17"/>
              </w:rPr>
              <w:t>J+7  ⭐</w:t>
            </w:r>
          </w:p>
        </w:tc>
        <w:tc>
          <w:tcPr>
            <w:tcW w:type="dxa" w:w="1440"/>
            <w:shd w:fill="C6EFCE" w:val="clear"/>
          </w:tcPr>
          <w:p>
            <w:r>
              <w:rPr>
                <w:sz w:val="17"/>
              </w:rPr>
              <w:t>2026-10-21</w:t>
            </w:r>
          </w:p>
        </w:tc>
        <w:tc>
          <w:tcPr>
            <w:tcW w:type="dxa" w:w="1440"/>
            <w:shd w:fill="C6EFCE" w:val="clear"/>
          </w:tcPr>
          <w:p>
            <w:r>
              <w:rPr>
                <w:sz w:val="17"/>
              </w:rPr>
              <w:t>2,582</w:t>
            </w:r>
          </w:p>
        </w:tc>
        <w:tc>
          <w:tcPr>
            <w:tcW w:type="dxa" w:w="1440"/>
            <w:shd w:fill="C6EFCE" w:val="clear"/>
          </w:tcPr>
          <w:p>
            <w:r>
              <w:rPr>
                <w:b/>
                <w:sz w:val="17"/>
              </w:rPr>
              <w:t>3,054</w:t>
            </w:r>
          </w:p>
        </w:tc>
        <w:tc>
          <w:tcPr>
            <w:tcW w:type="dxa" w:w="1440"/>
            <w:shd w:fill="C6EFCE" w:val="clear"/>
          </w:tcPr>
          <w:p>
            <w:r>
              <w:rPr>
                <w:sz w:val="17"/>
              </w:rPr>
              <w:t>3,527</w:t>
            </w:r>
          </w:p>
        </w:tc>
        <w:tc>
          <w:tcPr>
            <w:tcW w:type="dxa" w:w="1440"/>
            <w:shd w:fill="C6EFCE" w:val="clear"/>
          </w:tcPr>
          <w:p>
            <w:r>
              <w:rPr>
                <w:b/>
                <w:color w:val="008000"/>
                <w:sz w:val="17"/>
              </w:rPr>
              <w:t>+24.4%</w:t>
            </w:r>
          </w:p>
        </w:tc>
      </w:tr>
      <w:tr>
        <w:tc>
          <w:tcPr>
            <w:tcW w:type="dxa" w:w="1440"/>
            <w:shd w:fill="C6EFCE" w:val="clear"/>
          </w:tcPr>
          <w:p>
            <w:r>
              <w:rPr>
                <w:sz w:val="17"/>
              </w:rPr>
              <w:t>J+8  ⭐</w:t>
            </w:r>
          </w:p>
        </w:tc>
        <w:tc>
          <w:tcPr>
            <w:tcW w:type="dxa" w:w="1440"/>
            <w:shd w:fill="C6EFCE" w:val="clear"/>
          </w:tcPr>
          <w:p>
            <w:r>
              <w:rPr>
                <w:sz w:val="17"/>
              </w:rPr>
              <w:t>2026-10-22</w:t>
            </w:r>
          </w:p>
        </w:tc>
        <w:tc>
          <w:tcPr>
            <w:tcW w:type="dxa" w:w="1440"/>
            <w:shd w:fill="C6EFCE" w:val="clear"/>
          </w:tcPr>
          <w:p>
            <w:r>
              <w:rPr>
                <w:sz w:val="17"/>
              </w:rPr>
              <w:t>2,592</w:t>
            </w:r>
          </w:p>
        </w:tc>
        <w:tc>
          <w:tcPr>
            <w:tcW w:type="dxa" w:w="1440"/>
            <w:shd w:fill="C6EFCE" w:val="clear"/>
          </w:tcPr>
          <w:p>
            <w:r>
              <w:rPr>
                <w:b/>
                <w:sz w:val="17"/>
              </w:rPr>
              <w:t>3,106</w:t>
            </w:r>
          </w:p>
        </w:tc>
        <w:tc>
          <w:tcPr>
            <w:tcW w:type="dxa" w:w="1440"/>
            <w:shd w:fill="C6EFCE" w:val="clear"/>
          </w:tcPr>
          <w:p>
            <w:r>
              <w:rPr>
                <w:sz w:val="17"/>
              </w:rPr>
              <w:t>3,619</w:t>
            </w:r>
          </w:p>
        </w:tc>
        <w:tc>
          <w:tcPr>
            <w:tcW w:type="dxa" w:w="1440"/>
            <w:shd w:fill="C6EFCE" w:val="clear"/>
          </w:tcPr>
          <w:p>
            <w:r>
              <w:rPr>
                <w:b/>
                <w:color w:val="008000"/>
                <w:sz w:val="17"/>
              </w:rPr>
              <w:t>+26.5%</w:t>
            </w:r>
          </w:p>
        </w:tc>
      </w:tr>
      <w:tr>
        <w:tc>
          <w:tcPr>
            <w:tcW w:type="dxa" w:w="1440"/>
            <w:shd w:fill="C6EFCE" w:val="clear"/>
          </w:tcPr>
          <w:p>
            <w:r>
              <w:rPr>
                <w:sz w:val="17"/>
              </w:rPr>
              <w:t>J+9  ⭐</w:t>
            </w:r>
          </w:p>
        </w:tc>
        <w:tc>
          <w:tcPr>
            <w:tcW w:type="dxa" w:w="1440"/>
            <w:shd w:fill="C6EFCE" w:val="clear"/>
          </w:tcPr>
          <w:p>
            <w:r>
              <w:rPr>
                <w:sz w:val="17"/>
              </w:rPr>
              <w:t>2026-10-23</w:t>
            </w:r>
          </w:p>
        </w:tc>
        <w:tc>
          <w:tcPr>
            <w:tcW w:type="dxa" w:w="1440"/>
            <w:shd w:fill="C6EFCE" w:val="clear"/>
          </w:tcPr>
          <w:p>
            <w:r>
              <w:rPr>
                <w:sz w:val="17"/>
              </w:rPr>
              <w:t>2,598</w:t>
            </w:r>
          </w:p>
        </w:tc>
        <w:tc>
          <w:tcPr>
            <w:tcW w:type="dxa" w:w="1440"/>
            <w:shd w:fill="C6EFCE" w:val="clear"/>
          </w:tcPr>
          <w:p>
            <w:r>
              <w:rPr>
                <w:b/>
                <w:sz w:val="17"/>
              </w:rPr>
              <w:t>3,150</w:t>
            </w:r>
          </w:p>
        </w:tc>
        <w:tc>
          <w:tcPr>
            <w:tcW w:type="dxa" w:w="1440"/>
            <w:shd w:fill="C6EFCE" w:val="clear"/>
          </w:tcPr>
          <w:p>
            <w:r>
              <w:rPr>
                <w:sz w:val="17"/>
              </w:rPr>
              <w:t>3,703</w:t>
            </w:r>
          </w:p>
        </w:tc>
        <w:tc>
          <w:tcPr>
            <w:tcW w:type="dxa" w:w="1440"/>
            <w:shd w:fill="C6EFCE" w:val="clear"/>
          </w:tcPr>
          <w:p>
            <w:r>
              <w:rPr>
                <w:b/>
                <w:color w:val="008000"/>
                <w:sz w:val="17"/>
              </w:rPr>
              <w:t>+28.3%</w:t>
            </w:r>
          </w:p>
        </w:tc>
      </w:tr>
      <w:tr>
        <w:tc>
          <w:tcPr>
            <w:tcW w:type="dxa" w:w="1440"/>
            <w:shd w:fill="C6EFCE" w:val="clear"/>
          </w:tcPr>
          <w:p>
            <w:r>
              <w:rPr>
                <w:sz w:val="17"/>
              </w:rPr>
              <w:t>J+10  ⭐</w:t>
            </w:r>
          </w:p>
        </w:tc>
        <w:tc>
          <w:tcPr>
            <w:tcW w:type="dxa" w:w="1440"/>
            <w:shd w:fill="C6EFCE" w:val="clear"/>
          </w:tcPr>
          <w:p>
            <w:r>
              <w:rPr>
                <w:sz w:val="17"/>
              </w:rPr>
              <w:t>2026-10-26</w:t>
            </w:r>
          </w:p>
        </w:tc>
        <w:tc>
          <w:tcPr>
            <w:tcW w:type="dxa" w:w="1440"/>
            <w:shd w:fill="C6EFCE" w:val="clear"/>
          </w:tcPr>
          <w:p>
            <w:r>
              <w:rPr>
                <w:sz w:val="17"/>
              </w:rPr>
              <w:t>2,599</w:t>
            </w:r>
          </w:p>
        </w:tc>
        <w:tc>
          <w:tcPr>
            <w:tcW w:type="dxa" w:w="1440"/>
            <w:shd w:fill="C6EFCE" w:val="clear"/>
          </w:tcPr>
          <w:p>
            <w:r>
              <w:rPr>
                <w:b/>
                <w:sz w:val="17"/>
              </w:rPr>
              <w:t>3,189</w:t>
            </w:r>
          </w:p>
        </w:tc>
        <w:tc>
          <w:tcPr>
            <w:tcW w:type="dxa" w:w="1440"/>
            <w:shd w:fill="C6EFCE" w:val="clear"/>
          </w:tcPr>
          <w:p>
            <w:r>
              <w:rPr>
                <w:sz w:val="17"/>
              </w:rPr>
              <w:t>3,779</w:t>
            </w:r>
          </w:p>
        </w:tc>
        <w:tc>
          <w:tcPr>
            <w:tcW w:type="dxa" w:w="1440"/>
            <w:shd w:fill="C6EFCE" w:val="clear"/>
          </w:tcPr>
          <w:p>
            <w:r>
              <w:rPr>
                <w:b/>
                <w:color w:val="008000"/>
                <w:sz w:val="17"/>
              </w:rPr>
              <w:t>+29.9%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 RAPPORT D'ANALYSE FINANCIÈRE — SCRC (SUCRIVOIRE)</w:t>
        <w:br/>
        <w:t>**Bourse Régionale des Valeurs Mobilières (BRVM) — Secteur : Agro-industrie / Sucre**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SCRC s'établit à **48,12 Mds FCFA**, un niveau modeste à l'échelle de la BRVM qui la place dans la catégorie des valeurs moyennes, cohérent avec sa taille d'acteur sucrier régional. Le **BPA ressort à -406 FCFA/action**, traduisant une société en perte sur l'exercice 2025, ce qui rend le **PER de -6,0x non significatif** (un PER négatif signale simplement que les bénéfices sont négatifs, et non une quelconque décote). Le **P/B de 2,79x** indique que le marché valorise le titre à près de trois fois sa valeur comptable, une prime de croissance qui apparaît généreuse au regard de la fragilité actuelle des fonds propres (17,24 Mds FCFA). Enfin, l'**EV/EBITDA de 9,4x** se situe dans la fourchette raisonnable de 5-10x, suggérant que la valeur d'entreprise reste soutenue par la capacité opérationnelle (EBE de 14,85 Mds FCFA) malgré les pertes nettes.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SCRC affiche une **variation totale de +7,44%**, avec une dernière séance (J-1) quasi stable à **+0,20%**, le cours s'établissant à **2 455 FCFA**. Le range de trading est très large, entre un **plus bas de 2 205 FCFA** et un **plus haut de 3 920 FCFA**, soit un écart de plus de 77% — signe d'une forte nervosité. La tendance générale est baissière sur la période récente (le cours actuel est nettement sous ses sommets), bien que la performance cumulée reste positive, ce qui traduit un mouvement de correction après un pic. Les statistiques descriptives révèlent une **moyenne de 3 197 FCFA** supérieure à la **médiane de 3 298 FCFA** (léger écart confirmant une asymétrie), un **mode à 3 100 FCFA**, et un **écart-type de 423 FCFA (CV = 13,2%)** indiquant une dispersion modérée autour de la moyenne. Le **kurtosis de -0,842 (mésokurtique)** suggère une distribution proche de la normale, sans pics extrêmes marqués, tandis que le **skewness de -0,512** confirme une asymétrie négative (davantage de journées au-dessus de la moyenne, mais quelques chutes violentes tirent la queue gauche). La **volatilité annualisée de 57,1%** classe le titre dans la catégorie **élevée (&gt;30%)**, ce qui est cohérent avec un actif spéculatif en phase de redressement incertain.</w:t>
      </w:r>
    </w:p>
    <w:p>
      <w:pPr>
        <w:spacing w:after="120" w:line="276" w:lineRule="auto"/>
      </w:pPr>
      <w:r>
        <w:t>---</w:t>
      </w:r>
    </w:p>
    <w:p>
      <w:pPr>
        <w:spacing w:after="120" w:line="276" w:lineRule="auto"/>
      </w:pPr>
      <w:r>
        <w:t>## PARTIE 2 : ANALYSE TECHNIQUE DÉTAILLÉE</w:t>
      </w:r>
    </w:p>
    <w:p>
      <w:pPr>
        <w:spacing w:after="120" w:line="276" w:lineRule="auto"/>
      </w:pPr>
      <w:r>
        <w:t>**Moyennes Mobiles** : La MM20 (2 937,25 FCFA) et la MM50 (3 312,70 FCFA) sont toutes deux **nettement supérieures au cours actuel** (2 455 FCFA), et la MM20 est elle-même sous la MM50 — configuration baissière classique (death cross). Le signal **Vente** est donc pleinement justifié, le titre évoluant sous ses deux références de tendance.</w:t>
      </w:r>
    </w:p>
    <w:p>
      <w:pPr>
        <w:spacing w:after="120" w:line="276" w:lineRule="auto"/>
      </w:pPr>
      <w:r>
        <w:t>**Bandes de Bollinger** : Le cours (2 455 FCFA) se situe dans la moitié basse de la bande, entre la borne inférieure (2 315,76 FCFA) et la borne supérieure (3 558,74 FCFA), mais reste proche du support inférieur. La décision **Neutre** reflète une absence de signal directionnel fort, avec une volatilité qui reste contenue dans le canal.</w:t>
      </w:r>
    </w:p>
    <w:p>
      <w:pPr>
        <w:spacing w:after="120" w:line="276" w:lineRule="auto"/>
      </w:pPr>
      <w:r>
        <w:t>**MACD** : La valeur du MACD (-236,12) est **inférieure à son signal (-195,13)**, confirmant un momentum baissier persistant. Le croisement négatif et l'écart creusé entre les deux lignes justifient la décision **Vente**, bien que l'amplitude suggère une possible exhaustion baissière à surveiller.</w:t>
      </w:r>
    </w:p>
    <w:p>
      <w:pPr>
        <w:spacing w:after="120" w:line="276" w:lineRule="auto"/>
      </w:pPr>
      <w:r>
        <w:t>**RSI** : À **28,72**, le RSI est en zone de **survente (&lt;30)**, ce qui déclenche un signal **Achat** technique. Cette configuration indique que le titre pourrait être survendu à court terme et sujet à un rebond technique, mais elle doit être pondérée par la tendance baissière de fond.</w:t>
      </w:r>
    </w:p>
    <w:p>
      <w:pPr>
        <w:spacing w:after="120" w:line="276" w:lineRule="auto"/>
      </w:pPr>
      <w:r>
        <w:t>**Stochastique** : Le %K (0,769) est **supérieur au %D (0,256)**, avec un croisement haussier récent en zone basse, générant un signal **Achat**. Ce croisement précoce suggère un début de retournement du momentum à très court terme, cohérent avec la survente du RSI.</w:t>
      </w:r>
    </w:p>
    <w:p>
      <w:pPr>
        <w:spacing w:after="120" w:line="276" w:lineRule="auto"/>
      </w:pPr>
      <w:r>
        <w:t>**Conclusion technique** : Les indicateurs sont **divergents** — les moyennes mobiles et le MACD confirment une tendance baissière, tandis que le RSI et le stochastique signalent une survente propice à un rebond technique. Cette configuration est typique d'une phase de **capitulation potentielle** : le titre pourrait rebondir à court terme vers la MM20 (2 937 FCFA), mais la tendance de fond reste fragile tant que le cours n'aura pas reconquis ses moyennes mobiles.</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SCRC a réalisé un **chiffre d'affaires de 80,57 Mds FCFA**, en **recul de 7,6%** par rapport aux 87,22 Mds FCFA de 2024 (rapport annuel 2024). Le **résultat net est une perte de -7,95 Mds FCFA** (IFRS), contre un bénéfice de +2,47 Mds FCFA en 2024, soit une dégradation de 421%. Le **ROE s'effondre à -46,13%** et le **ROA à -5,08%**, confirmant la destruction de valeur. La marge nette est de **-9,87%** et la marge opérationnelle de **-0,68%**, tandis que la marge brute résiste à **45,82%**. Le **BFR est de 6,53 Mds FCFA** (positif, donc défavorable), avec un **délai client de 12,28 jours** (correct) mais un **délai fournisseur de 366 jours** (très élevé, signe de tension sur les paiements) et une **durée de stockage de 360 jours** (immobilisation massive de capital). L'**autonomie financière est catastrophique à 11,02%** (seuil sain &gt;30%), avec un **ratio d'endettement de 88,98%** et une **liquidité générale de 74,53%** (&lt;1, donc insuffisante). La **trésorerie nette est négative à -6,51 Mds FCFA**, et la **capacité de remboursement de 11,21 années** est préoccupante.</w:t>
      </w:r>
    </w:p>
    <w:p>
      <w:pPr>
        <w:spacing w:after="120" w:line="276" w:lineRule="auto"/>
      </w:pPr>
      <w:r>
        <w:t>**Adaptation au secteur (entreprise)** : Les délais fournisseurs anormalement longs (366 jours) et la trésorerie nette négative traduisent un **risque de liquidité majeur**. Le BFR positif absorbe du cash, et la rotation des stocks (360 jours) est excessivement lente pour un industriel.</w:t>
      </w:r>
    </w:p>
    <w:p>
      <w:pPr>
        <w:spacing w:after="120" w:line="276" w:lineRule="auto"/>
      </w:pPr>
      <w:r>
        <w:t>**Estimations basées sur les rapports trimestriels** : Le rapport S1 2025 (daté du 30/06/2025) faisait état d'un chiffre d'affaires de 42,87 Mds FCFA (-5%) et d'une perte nette de -6,71 Mds FCFA, avec une production de sucre en baisse de 18%. Le rapport T1 2025 (31/03/2025) affichait un CA de 25,09 Mds FCFA (-13%) et un résultat net de +3,21 Mds FCFA. Sur la base de ces tendances, on estime que l'exercice 2026 devrait rester sous pression, avec un **retour à la profitabilité conditionné à la réussite du plan de restructuration** et à la normalisation de la campagne sucrière 2025/26 (production attendue de 90 000 à 95 000 tonnes, +14% à +20%).</w:t>
      </w:r>
    </w:p>
    <w:p>
      <w:pPr>
        <w:spacing w:after="120" w:line="276" w:lineRule="auto"/>
      </w:pPr>
      <w:r>
        <w:t>**Évolution pluriannuelle** : Après un redressement spectaculaire en 2024 (bénéfice de 2,47 Mds FCFA contre une perte de -9,01 Mds en 2023), la société a rechuté en 2025, illustrant la **volatilité extrême** de ses résultats. Les rapports officiels BRVM (avis de convocation AG du 30/04/2026) confirment un résultat net déficitaire de 6,13 Mds FCFA (SYSCOHADA) et 7,95 Mds FCFA (IFRS) pour 2025.</w:t>
      </w:r>
    </w:p>
    <w:p>
      <w:pPr>
        <w:spacing w:after="120" w:line="276" w:lineRule="auto"/>
      </w:pPr>
      <w:r>
        <w:t>**Recommandation fondamentale** : La situation est **critique** — endettement insoutenable (charges financières de 6,79 Mds FCFA, +262%), capitaux propres érodés (17,24 Mds FCFA), trésorerie négative et pertes massives. Les investissements lourds (25,2 Mds FCFA) pourraient porter leurs fruits à moyen terme, mais le **risque de défaut à court terme est élevé**. La recommandation fondamentale est **VENDRE** (ou CONSERVER avec vigilance extrême pour les investisseurs patients).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majeure** entre les signaux. La **valorisation (Partie 0)** est ambiguë : le P/B de 2,79x suggère une prime injustifiée au regard des fonds propres fragilisés, tandis que l'EV/EBITDA de 9,4x reste raisonnable — mais le PER négatif rend toute évaluation bénéficiaire impossible. Le **comportement du cours (Partie 1)** est préoccupant : malgré une variation positive de +7,44%, la volatilité annualisée de 57,1% et le skewness négatif (-0,512) indiquent un risque de chutes brutales, confirmé par le range de 2 205 à 3 920 FCFA. Les **signaux techniques (Partie 2)** sont divergents : les moyennes mobiles et le MACD sont baissiers, mais le RSI en survente (28,72) et le stochastique haussier suggèrent un rebond technique imminent. Les **fondamentaux (Partie 3)** sont alarmants : perte nette de -7,95 Mds FCFA en 2025, ROE de -46,13%, endettement critique (88,98%), trésorerie négative (-6,51 Mds FCFA) et capacité de remboursement de 11,21 années. Les **prédictions IA (J+1 à J+10)** anticipent une **hausse progressive de 2 556 à 2 931 FCFA** (+19,4% en 10 jours), ce qui contredit la tendance baissière de fond mais s'aligne sur le rebond technique attendu par le RSI et le stochastique.</w:t>
      </w:r>
    </w:p>
    <w:p>
      <w:pPr>
        <w:spacing w:after="120" w:line="276" w:lineRule="auto"/>
      </w:pPr>
      <w:r>
        <w:t>**Recommandation finale : VENTE** (avec possibilité de **CONSERVER** pour les investisseurs déjà positionnés et prêts à assumer un risque élevé). La convergence entre fondamentaux désastreux, endettement critique et tendance baissière de moyen terme l'emporte sur le rebond technique à court terme. Le niveau de confiance est **Moyen** (les prédictions IA haussières introduisent une incertitude), et le niveau de risque global est **Élevé**. L'horizon d'investissement optimal est **court terme (&lt;3 mois)** pour profiter du rebond technique spéculatif, mais **moyen terme (3-12 mois)** pour une éventuelle stabilisation fondamentale — à condition que la restructuration financière porte ses fruits. **À surveiller impérativement** : les résultats du S1 2026 et l'avancement du plan de désendettement.</w:t>
      </w:r>
    </w:p>
    <w:p>
      <w:pPr>
        <w:spacing w:after="120" w:line="276" w:lineRule="auto"/>
      </w:pPr>
      <w:r>
        <w:t>---</w:t>
      </w:r>
    </w:p>
    <w:p>
      <w:pPr>
        <w:spacing w:after="120" w:line="276" w:lineRule="auto"/>
      </w:pPr>
      <w:r>
        <w:t>*Rapport généré sur la base des données officielles BRVM, des états financiers 2025 (IFRS et SYSCOHADA), des rapports trimestriels 2025 et des analyses fondamentales disponibles. Les prédictions IA sont fournies à titre indicatif et ne constituent pas une garantie de performance.*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30.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118.62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1,516 titres</w:t>
            </w:r>
          </w:p>
        </w:tc>
        <w:tc>
          <w:tcPr>
            <w:tcW w:type="dxa" w:w="2268"/>
            <w:shd w:fill="FFF2CC" w:val="clear"/>
          </w:tcPr>
          <w:p>
            <w:r>
              <w:rPr>
                <w:b/>
                <w:color w:val="503200"/>
                <w:sz w:val="16"/>
              </w:rPr>
              <w:t xml:space="preserve">Cours actuel : </w:t>
            </w:r>
            <w:r>
              <w:rPr>
                <w:color w:val="000000"/>
                <w:sz w:val="17"/>
              </w:rPr>
              <w:t>13,180 FCFA</w:t>
            </w:r>
          </w:p>
          <w:p>
            <w:r>
              <w:rPr>
                <w:b/>
                <w:color w:val="503200"/>
                <w:sz w:val="16"/>
              </w:rPr>
              <w:t xml:space="preserve">Var. 100 jours : </w:t>
            </w:r>
            <w:r>
              <w:rPr>
                <w:b/>
                <w:color w:val="007800"/>
                <w:sz w:val="17"/>
              </w:rPr>
              <w:t>+19.82%</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11,000 FCFA</w:t>
            </w:r>
          </w:p>
          <w:p>
            <w:r>
              <w:rPr>
                <w:b/>
                <w:color w:val="503200"/>
                <w:sz w:val="16"/>
              </w:rPr>
              <w:t xml:space="preserve">Volatilité ann. : </w:t>
            </w:r>
            <w:r>
              <w:rPr>
                <w:color w:val="000000"/>
                <w:sz w:val="17"/>
              </w:rPr>
              <w:t>36.4%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5.96% (Moyenne) — μ=12,126 FCFA, σ=723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β=0.6828 (Défensif) — Cov=0.000050, Var(idx)=0.000073, ρ=0.254,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1,516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σ_j=2.29%/j (Stable) — Vol. annualisée≈36.4%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2026-10-13</w:t>
            </w:r>
          </w:p>
        </w:tc>
        <w:tc>
          <w:tcPr>
            <w:tcW w:type="dxa" w:w="1440"/>
            <w:shd w:fill="FAFAFA" w:val="clear"/>
          </w:tcPr>
          <w:p>
            <w:r>
              <w:rPr>
                <w:sz w:val="17"/>
              </w:rPr>
              <w:t>12,393</w:t>
            </w:r>
          </w:p>
        </w:tc>
        <w:tc>
          <w:tcPr>
            <w:tcW w:type="dxa" w:w="1440"/>
            <w:shd w:fill="FAFAFA" w:val="clear"/>
          </w:tcPr>
          <w:p>
            <w:r>
              <w:rPr>
                <w:b/>
                <w:sz w:val="17"/>
              </w:rPr>
              <w:t>13,088</w:t>
            </w:r>
          </w:p>
        </w:tc>
        <w:tc>
          <w:tcPr>
            <w:tcW w:type="dxa" w:w="1440"/>
            <w:shd w:fill="FAFAFA" w:val="clear"/>
          </w:tcPr>
          <w:p>
            <w:r>
              <w:rPr>
                <w:sz w:val="17"/>
              </w:rPr>
              <w:t>13,784</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2026-10-14</w:t>
            </w:r>
          </w:p>
        </w:tc>
        <w:tc>
          <w:tcPr>
            <w:tcW w:type="dxa" w:w="1440"/>
            <w:shd w:fill="FAFAFA" w:val="clear"/>
          </w:tcPr>
          <w:p>
            <w:r>
              <w:rPr>
                <w:sz w:val="17"/>
              </w:rPr>
              <w:t>12,115</w:t>
            </w:r>
          </w:p>
        </w:tc>
        <w:tc>
          <w:tcPr>
            <w:tcW w:type="dxa" w:w="1440"/>
            <w:shd w:fill="FAFAFA" w:val="clear"/>
          </w:tcPr>
          <w:p>
            <w:r>
              <w:rPr>
                <w:b/>
                <w:sz w:val="17"/>
              </w:rPr>
              <w:t>13,099</w:t>
            </w:r>
          </w:p>
        </w:tc>
        <w:tc>
          <w:tcPr>
            <w:tcW w:type="dxa" w:w="1440"/>
            <w:shd w:fill="FAFAFA" w:val="clear"/>
          </w:tcPr>
          <w:p>
            <w:r>
              <w:rPr>
                <w:sz w:val="17"/>
              </w:rPr>
              <w:t>14,083</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2026-10-15</w:t>
            </w:r>
          </w:p>
        </w:tc>
        <w:tc>
          <w:tcPr>
            <w:tcW w:type="dxa" w:w="1440"/>
            <w:shd w:fill="FAFAFA" w:val="clear"/>
          </w:tcPr>
          <w:p>
            <w:r>
              <w:rPr>
                <w:sz w:val="17"/>
              </w:rPr>
              <w:t>11,909</w:t>
            </w:r>
          </w:p>
        </w:tc>
        <w:tc>
          <w:tcPr>
            <w:tcW w:type="dxa" w:w="1440"/>
            <w:shd w:fill="FAFAFA" w:val="clear"/>
          </w:tcPr>
          <w:p>
            <w:r>
              <w:rPr>
                <w:b/>
                <w:sz w:val="17"/>
              </w:rPr>
              <w:t>13,116</w:t>
            </w:r>
          </w:p>
        </w:tc>
        <w:tc>
          <w:tcPr>
            <w:tcW w:type="dxa" w:w="1440"/>
            <w:shd w:fill="FAFAFA" w:val="clear"/>
          </w:tcPr>
          <w:p>
            <w:r>
              <w:rPr>
                <w:sz w:val="17"/>
              </w:rPr>
              <w:t>14,323</w:t>
            </w:r>
          </w:p>
        </w:tc>
        <w:tc>
          <w:tcPr>
            <w:tcW w:type="dxa" w:w="1440"/>
            <w:shd w:fill="FAFAFA" w:val="clear"/>
          </w:tcPr>
          <w:p>
            <w:r>
              <w:rPr>
                <w:b/>
                <w:color w:val="C00000"/>
                <w:sz w:val="17"/>
              </w:rPr>
              <w:t>-0.5%</w:t>
            </w:r>
          </w:p>
        </w:tc>
      </w:tr>
      <w:tr>
        <w:tc>
          <w:tcPr>
            <w:tcW w:type="dxa" w:w="1440"/>
            <w:shd w:fill="FAFAFA" w:val="clear"/>
          </w:tcPr>
          <w:p>
            <w:r>
              <w:rPr>
                <w:sz w:val="17"/>
              </w:rPr>
              <w:t>J+4  ⭐</w:t>
            </w:r>
          </w:p>
        </w:tc>
        <w:tc>
          <w:tcPr>
            <w:tcW w:type="dxa" w:w="1440"/>
            <w:shd w:fill="FAFAFA" w:val="clear"/>
          </w:tcPr>
          <w:p>
            <w:r>
              <w:rPr>
                <w:sz w:val="17"/>
              </w:rPr>
              <w:t>2026-10-16</w:t>
            </w:r>
          </w:p>
        </w:tc>
        <w:tc>
          <w:tcPr>
            <w:tcW w:type="dxa" w:w="1440"/>
            <w:shd w:fill="FAFAFA" w:val="clear"/>
          </w:tcPr>
          <w:p>
            <w:r>
              <w:rPr>
                <w:sz w:val="17"/>
              </w:rPr>
              <w:t>11,731</w:t>
            </w:r>
          </w:p>
        </w:tc>
        <w:tc>
          <w:tcPr>
            <w:tcW w:type="dxa" w:w="1440"/>
            <w:shd w:fill="FAFAFA" w:val="clear"/>
          </w:tcPr>
          <w:p>
            <w:r>
              <w:rPr>
                <w:b/>
                <w:sz w:val="17"/>
              </w:rPr>
              <w:t>13,125</w:t>
            </w:r>
          </w:p>
        </w:tc>
        <w:tc>
          <w:tcPr>
            <w:tcW w:type="dxa" w:w="1440"/>
            <w:shd w:fill="FAFAFA" w:val="clear"/>
          </w:tcPr>
          <w:p>
            <w:r>
              <w:rPr>
                <w:sz w:val="17"/>
              </w:rPr>
              <w:t>14,520</w:t>
            </w:r>
          </w:p>
        </w:tc>
        <w:tc>
          <w:tcPr>
            <w:tcW w:type="dxa" w:w="1440"/>
            <w:shd w:fill="FAFAFA" w:val="clear"/>
          </w:tcPr>
          <w:p>
            <w:r>
              <w:rPr>
                <w:b/>
                <w:color w:val="C00000"/>
                <w:sz w:val="17"/>
              </w:rPr>
              <w:t>-0.4%</w:t>
            </w:r>
          </w:p>
        </w:tc>
      </w:tr>
      <w:tr>
        <w:tc>
          <w:tcPr>
            <w:tcW w:type="dxa" w:w="1440"/>
            <w:shd w:fill="FAFAFA" w:val="clear"/>
          </w:tcPr>
          <w:p>
            <w:r>
              <w:rPr>
                <w:sz w:val="17"/>
              </w:rPr>
              <w:t>J+5  ⭐</w:t>
            </w:r>
          </w:p>
        </w:tc>
        <w:tc>
          <w:tcPr>
            <w:tcW w:type="dxa" w:w="1440"/>
            <w:shd w:fill="FAFAFA" w:val="clear"/>
          </w:tcPr>
          <w:p>
            <w:r>
              <w:rPr>
                <w:sz w:val="17"/>
              </w:rPr>
              <w:t>2026-10-19</w:t>
            </w:r>
          </w:p>
        </w:tc>
        <w:tc>
          <w:tcPr>
            <w:tcW w:type="dxa" w:w="1440"/>
            <w:shd w:fill="FAFAFA" w:val="clear"/>
          </w:tcPr>
          <w:p>
            <w:r>
              <w:rPr>
                <w:sz w:val="17"/>
              </w:rPr>
              <w:t>11,572</w:t>
            </w:r>
          </w:p>
        </w:tc>
        <w:tc>
          <w:tcPr>
            <w:tcW w:type="dxa" w:w="1440"/>
            <w:shd w:fill="FAFAFA" w:val="clear"/>
          </w:tcPr>
          <w:p>
            <w:r>
              <w:rPr>
                <w:b/>
                <w:sz w:val="17"/>
              </w:rPr>
              <w:t>13,132</w:t>
            </w:r>
          </w:p>
        </w:tc>
        <w:tc>
          <w:tcPr>
            <w:tcW w:type="dxa" w:w="1440"/>
            <w:shd w:fill="FAFAFA" w:val="clear"/>
          </w:tcPr>
          <w:p>
            <w:r>
              <w:rPr>
                <w:sz w:val="17"/>
              </w:rPr>
              <w:t>14,692</w:t>
            </w:r>
          </w:p>
        </w:tc>
        <w:tc>
          <w:tcPr>
            <w:tcW w:type="dxa" w:w="1440"/>
            <w:shd w:fill="FAFAFA" w:val="clear"/>
          </w:tcPr>
          <w:p>
            <w:r>
              <w:rPr>
                <w:b/>
                <w:color w:val="C00000"/>
                <w:sz w:val="17"/>
              </w:rPr>
              <w:t>-0.4%</w:t>
            </w:r>
          </w:p>
        </w:tc>
      </w:tr>
      <w:tr>
        <w:tc>
          <w:tcPr>
            <w:tcW w:type="dxa" w:w="1440"/>
            <w:shd w:fill="FAFAFA" w:val="clear"/>
          </w:tcPr>
          <w:p>
            <w:r>
              <w:rPr>
                <w:sz w:val="17"/>
              </w:rPr>
              <w:t>J+6  ⭐</w:t>
            </w:r>
          </w:p>
        </w:tc>
        <w:tc>
          <w:tcPr>
            <w:tcW w:type="dxa" w:w="1440"/>
            <w:shd w:fill="FAFAFA" w:val="clear"/>
          </w:tcPr>
          <w:p>
            <w:r>
              <w:rPr>
                <w:sz w:val="17"/>
              </w:rPr>
              <w:t>2026-10-20</w:t>
            </w:r>
          </w:p>
        </w:tc>
        <w:tc>
          <w:tcPr>
            <w:tcW w:type="dxa" w:w="1440"/>
            <w:shd w:fill="FAFAFA" w:val="clear"/>
          </w:tcPr>
          <w:p>
            <w:r>
              <w:rPr>
                <w:sz w:val="17"/>
              </w:rPr>
              <w:t>11,429</w:t>
            </w:r>
          </w:p>
        </w:tc>
        <w:tc>
          <w:tcPr>
            <w:tcW w:type="dxa" w:w="1440"/>
            <w:shd w:fill="FAFAFA" w:val="clear"/>
          </w:tcPr>
          <w:p>
            <w:r>
              <w:rPr>
                <w:b/>
                <w:sz w:val="17"/>
              </w:rPr>
              <w:t>13,138</w:t>
            </w:r>
          </w:p>
        </w:tc>
        <w:tc>
          <w:tcPr>
            <w:tcW w:type="dxa" w:w="1440"/>
            <w:shd w:fill="FAFAFA" w:val="clear"/>
          </w:tcPr>
          <w:p>
            <w:r>
              <w:rPr>
                <w:sz w:val="17"/>
              </w:rPr>
              <w:t>14,848</w:t>
            </w:r>
          </w:p>
        </w:tc>
        <w:tc>
          <w:tcPr>
            <w:tcW w:type="dxa" w:w="1440"/>
            <w:shd w:fill="FAFAFA" w:val="clear"/>
          </w:tcPr>
          <w:p>
            <w:r>
              <w:rPr>
                <w:b/>
                <w:color w:val="C00000"/>
                <w:sz w:val="17"/>
              </w:rPr>
              <w:t>-0.3%</w:t>
            </w:r>
          </w:p>
        </w:tc>
      </w:tr>
      <w:tr>
        <w:tc>
          <w:tcPr>
            <w:tcW w:type="dxa" w:w="1440"/>
            <w:shd w:fill="FAFAFA" w:val="clear"/>
          </w:tcPr>
          <w:p>
            <w:r>
              <w:rPr>
                <w:sz w:val="17"/>
              </w:rPr>
              <w:t>J+7  ⭐</w:t>
            </w:r>
          </w:p>
        </w:tc>
        <w:tc>
          <w:tcPr>
            <w:tcW w:type="dxa" w:w="1440"/>
            <w:shd w:fill="FAFAFA" w:val="clear"/>
          </w:tcPr>
          <w:p>
            <w:r>
              <w:rPr>
                <w:sz w:val="17"/>
              </w:rPr>
              <w:t>2026-10-21</w:t>
            </w:r>
          </w:p>
        </w:tc>
        <w:tc>
          <w:tcPr>
            <w:tcW w:type="dxa" w:w="1440"/>
            <w:shd w:fill="FAFAFA" w:val="clear"/>
          </w:tcPr>
          <w:p>
            <w:r>
              <w:rPr>
                <w:sz w:val="17"/>
              </w:rPr>
              <w:t>11,296</w:t>
            </w:r>
          </w:p>
        </w:tc>
        <w:tc>
          <w:tcPr>
            <w:tcW w:type="dxa" w:w="1440"/>
            <w:shd w:fill="FAFAFA" w:val="clear"/>
          </w:tcPr>
          <w:p>
            <w:r>
              <w:rPr>
                <w:b/>
                <w:sz w:val="17"/>
              </w:rPr>
              <w:t>13,143</w:t>
            </w:r>
          </w:p>
        </w:tc>
        <w:tc>
          <w:tcPr>
            <w:tcW w:type="dxa" w:w="1440"/>
            <w:shd w:fill="FAFAFA" w:val="clear"/>
          </w:tcPr>
          <w:p>
            <w:r>
              <w:rPr>
                <w:sz w:val="17"/>
              </w:rPr>
              <w:t>14,991</w:t>
            </w:r>
          </w:p>
        </w:tc>
        <w:tc>
          <w:tcPr>
            <w:tcW w:type="dxa" w:w="1440"/>
            <w:shd w:fill="FAFAFA" w:val="clear"/>
          </w:tcPr>
          <w:p>
            <w:r>
              <w:rPr>
                <w:b/>
                <w:color w:val="C00000"/>
                <w:sz w:val="17"/>
              </w:rPr>
              <w:t>-0.3%</w:t>
            </w:r>
          </w:p>
        </w:tc>
      </w:tr>
      <w:tr>
        <w:tc>
          <w:tcPr>
            <w:tcW w:type="dxa" w:w="1440"/>
            <w:shd w:fill="FAFAFA" w:val="clear"/>
          </w:tcPr>
          <w:p>
            <w:r>
              <w:rPr>
                <w:sz w:val="17"/>
              </w:rPr>
              <w:t>J+8  ⭐</w:t>
            </w:r>
          </w:p>
        </w:tc>
        <w:tc>
          <w:tcPr>
            <w:tcW w:type="dxa" w:w="1440"/>
            <w:shd w:fill="FAFAFA" w:val="clear"/>
          </w:tcPr>
          <w:p>
            <w:r>
              <w:rPr>
                <w:sz w:val="17"/>
              </w:rPr>
              <w:t>2026-10-22</w:t>
            </w:r>
          </w:p>
        </w:tc>
        <w:tc>
          <w:tcPr>
            <w:tcW w:type="dxa" w:w="1440"/>
            <w:shd w:fill="FAFAFA" w:val="clear"/>
          </w:tcPr>
          <w:p>
            <w:r>
              <w:rPr>
                <w:sz w:val="17"/>
              </w:rPr>
              <w:t>11,174</w:t>
            </w:r>
          </w:p>
        </w:tc>
        <w:tc>
          <w:tcPr>
            <w:tcW w:type="dxa" w:w="1440"/>
            <w:shd w:fill="FAFAFA" w:val="clear"/>
          </w:tcPr>
          <w:p>
            <w:r>
              <w:rPr>
                <w:b/>
                <w:sz w:val="17"/>
              </w:rPr>
              <w:t>13,149</w:t>
            </w:r>
          </w:p>
        </w:tc>
        <w:tc>
          <w:tcPr>
            <w:tcW w:type="dxa" w:w="1440"/>
            <w:shd w:fill="FAFAFA" w:val="clear"/>
          </w:tcPr>
          <w:p>
            <w:r>
              <w:rPr>
                <w:sz w:val="17"/>
              </w:rPr>
              <w:t>15,125</w:t>
            </w:r>
          </w:p>
        </w:tc>
        <w:tc>
          <w:tcPr>
            <w:tcW w:type="dxa" w:w="1440"/>
            <w:shd w:fill="FAFAFA" w:val="clear"/>
          </w:tcPr>
          <w:p>
            <w:r>
              <w:rPr>
                <w:b/>
                <w:color w:val="C00000"/>
                <w:sz w:val="17"/>
              </w:rPr>
              <w:t>-0.2%</w:t>
            </w:r>
          </w:p>
        </w:tc>
      </w:tr>
      <w:tr>
        <w:tc>
          <w:tcPr>
            <w:tcW w:type="dxa" w:w="1440"/>
            <w:shd w:fill="FAFAFA" w:val="clear"/>
          </w:tcPr>
          <w:p>
            <w:r>
              <w:rPr>
                <w:sz w:val="17"/>
              </w:rPr>
              <w:t>J+9  ⭐</w:t>
            </w:r>
          </w:p>
        </w:tc>
        <w:tc>
          <w:tcPr>
            <w:tcW w:type="dxa" w:w="1440"/>
            <w:shd w:fill="FAFAFA" w:val="clear"/>
          </w:tcPr>
          <w:p>
            <w:r>
              <w:rPr>
                <w:sz w:val="17"/>
              </w:rPr>
              <w:t>2026-10-23</w:t>
            </w:r>
          </w:p>
        </w:tc>
        <w:tc>
          <w:tcPr>
            <w:tcW w:type="dxa" w:w="1440"/>
            <w:shd w:fill="FAFAFA" w:val="clear"/>
          </w:tcPr>
          <w:p>
            <w:r>
              <w:rPr>
                <w:sz w:val="17"/>
              </w:rPr>
              <w:t>11,056</w:t>
            </w:r>
          </w:p>
        </w:tc>
        <w:tc>
          <w:tcPr>
            <w:tcW w:type="dxa" w:w="1440"/>
            <w:shd w:fill="FAFAFA" w:val="clear"/>
          </w:tcPr>
          <w:p>
            <w:r>
              <w:rPr>
                <w:b/>
                <w:sz w:val="17"/>
              </w:rPr>
              <w:t>13,152</w:t>
            </w:r>
          </w:p>
        </w:tc>
        <w:tc>
          <w:tcPr>
            <w:tcW w:type="dxa" w:w="1440"/>
            <w:shd w:fill="FAFAFA" w:val="clear"/>
          </w:tcPr>
          <w:p>
            <w:r>
              <w:rPr>
                <w:sz w:val="17"/>
              </w:rPr>
              <w:t>15,248</w:t>
            </w:r>
          </w:p>
        </w:tc>
        <w:tc>
          <w:tcPr>
            <w:tcW w:type="dxa" w:w="1440"/>
            <w:shd w:fill="FAFAFA" w:val="clear"/>
          </w:tcPr>
          <w:p>
            <w:r>
              <w:rPr>
                <w:b/>
                <w:color w:val="C00000"/>
                <w:sz w:val="17"/>
              </w:rPr>
              <w:t>-0.2%</w:t>
            </w:r>
          </w:p>
        </w:tc>
      </w:tr>
      <w:tr>
        <w:tc>
          <w:tcPr>
            <w:tcW w:type="dxa" w:w="1440"/>
            <w:shd w:fill="FAFAFA" w:val="clear"/>
          </w:tcPr>
          <w:p>
            <w:r>
              <w:rPr>
                <w:sz w:val="17"/>
              </w:rPr>
              <w:t>J+10  ⭐</w:t>
            </w:r>
          </w:p>
        </w:tc>
        <w:tc>
          <w:tcPr>
            <w:tcW w:type="dxa" w:w="1440"/>
            <w:shd w:fill="FAFAFA" w:val="clear"/>
          </w:tcPr>
          <w:p>
            <w:r>
              <w:rPr>
                <w:sz w:val="17"/>
              </w:rPr>
              <w:t>2026-10-26</w:t>
            </w:r>
          </w:p>
        </w:tc>
        <w:tc>
          <w:tcPr>
            <w:tcW w:type="dxa" w:w="1440"/>
            <w:shd w:fill="FAFAFA" w:val="clear"/>
          </w:tcPr>
          <w:p>
            <w:r>
              <w:rPr>
                <w:sz w:val="17"/>
              </w:rPr>
              <w:t>10,943</w:t>
            </w:r>
          </w:p>
        </w:tc>
        <w:tc>
          <w:tcPr>
            <w:tcW w:type="dxa" w:w="1440"/>
            <w:shd w:fill="FAFAFA" w:val="clear"/>
          </w:tcPr>
          <w:p>
            <w:r>
              <w:rPr>
                <w:b/>
                <w:sz w:val="17"/>
              </w:rPr>
              <w:t>13,152</w:t>
            </w:r>
          </w:p>
        </w:tc>
        <w:tc>
          <w:tcPr>
            <w:tcW w:type="dxa" w:w="1440"/>
            <w:shd w:fill="FAFAFA" w:val="clear"/>
          </w:tcPr>
          <w:p>
            <w:r>
              <w:rPr>
                <w:sz w:val="17"/>
              </w:rPr>
              <w:t>15,361</w:t>
            </w:r>
          </w:p>
        </w:tc>
        <w:tc>
          <w:tcPr>
            <w:tcW w:type="dxa" w:w="1440"/>
            <w:shd w:fill="FAFAFA" w:val="clear"/>
          </w:tcPr>
          <w:p>
            <w:r>
              <w:rPr>
                <w:b/>
                <w:color w:val="C00000"/>
                <w:sz w:val="17"/>
              </w:rPr>
              <w:t>-0.2%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*Bourse Régionale des Valeurs Mobilières (BRVM) — Secteur : Services publics / Distribution d'eau*</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118,62 Mds FCFA, SDCC se positionne comme une valeur de taille intermédiaire sur la BRVM, représentative du secteur des utilities. Le BPA de 518 FCFA/action signifie que chaque titre génère un bénéfice net de 518 FCFA, ce qui, rapporté au cours actuel de 13 180 FCFA, donne un PER de 25,4x — nettement supérieur à la moyenne du marché BRVM (8-12x), traduisant soit une anticipation de forte croissance, soit une surévaluation relative. Le P/B de 6,02x indique que le marché valorise l'entreprise à plus de six fois sa valeur comptable, une prime exigeante qui reflète la qualité perçue de la concession et la visibilité des cash-flows, mais qui laisse peu de marge de sécurité en cas de déception. Enfin, l'EV/EBITDA de 15,0x, dans le haut de la fourchette 10-15x, confirme que la valeur totale de l'entreprise (dette incluse) est chèrement payée par rapport à sa capacité opérationnelle, ce qui invite à la prudence sur le potentiel d'appréciation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SDCC affiche une performance remarquable de +19,82%, avec une dernière séance en hausse de +1,46%, confirmant une dynamique haussière soutenue. Le titre a évolué dans un range de 11 000 FCFA (plus bas) à 13 885 FCFA (plus haut), soit une amplitude de trading de près de 26%, et se situe actuellement à 13 180 FCFA, à environ 5% sous son plus haut — signe d'une consolidation récente après un rallye. La moyenne de 12 126 FCFA est légèrement supérieure à la médiane de 12 000 FCFA, tandis que le mode s'établit à 11 900 FCFA : cet écart modéré entre moyenne et médiane, couplé à un skewness de 0,493 (distribution qualifiée de symétrique), indique une légère asymétrie positive sans excès, avec quelques pics haussiers tirant la moyenne vers le haut. L'écart-type de 726 FCFA et le coefficient de variation de 6,0% traduisent une dispersion modérée du cours autour de sa tendance, tandis que le kurtosis de -0,422 (mésokurtique, proche d'une distribution normale) suggère un risque de pics extrêmes limité — un profil rassurant pour la gestion du risque. La volatilité annualisée de 36,4% classe toutefois SDCC dans la catégorie des titres à volatilité élevée (&gt;30%), ce qui implique une prime de risque significative et justifie une approche d'investissement prudente malgré la tendance haussière.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(12 762 FCFA) et la MM50 (12 556,5 FCFA) se situent toutes deux sous le cours actuel (13 180 FCFA), avec la MM20 au-dessus de la MM50 — configuration haussière classique en « golden cross ». Le cours évoluant au-dessus de ses deux moyennes, la décision technique est à l'**Achat**, confirmant la tendance positive de moyen terme.</w:t>
      </w:r>
    </w:p>
    <w:p>
      <w:pPr>
        <w:spacing w:after="120" w:line="276" w:lineRule="auto"/>
      </w:pPr>
      <w:r>
        <w:t>**Bandes de Bollinger** : Le cours (13 180 FCFA) se situe dans la partie supérieure de la bande, entre la borne inférieure (11 498,4 FCFA) et la borne supérieure (14 025,6 FCFA), sans la franchir. Cette position, proche du haut de bande sans excès, associée à une décision **Neutre**, suggère que le titre n'est ni suracheté ni survendu selon ce critère, avec une volatilité contenue dans les bornes.</w:t>
      </w:r>
    </w:p>
    <w:p>
      <w:pPr>
        <w:spacing w:after="120" w:line="276" w:lineRule="auto"/>
      </w:pPr>
      <w:r>
        <w:t>**MACD** : La valeur du MACD (101,233) est nettement supérieure à son signal (55,777), avec un histogramme positif — configuration haussière confirmée. Le momentum est clairement positif, justifiant la décision d'**Achat**, bien que l'écart important entre les deux lignes invite à surveiller un éventuel retournement.</w:t>
      </w:r>
    </w:p>
    <w:p>
      <w:pPr>
        <w:spacing w:after="120" w:line="276" w:lineRule="auto"/>
      </w:pPr>
      <w:r>
        <w:t>**RSI** : À 59,886, le RSI se situe dans la zone neutre (30-70), sans atteindre la zone de surachat (&gt;70). La décision est **Neutre**, indiquant que le titre conserve un potentiel de hausse sans être dans une phase d'euphorie spéculative.</w:t>
      </w:r>
    </w:p>
    <w:p>
      <w:pPr>
        <w:spacing w:after="120" w:line="276" w:lineRule="auto"/>
      </w:pPr>
      <w:r>
        <w:t>**Stochastique** : Le %K (100,0) et le %D (99,637) sont tous deux en zone extrême de surachat, avec un %K légèrement au-dessus du %D — signal de **Vente** à court terme. Ce positionnement suggère qu'un essoufflement ou une correction technique est probable à très court terme, en contradiction avec les autres indicateurs.</w:t>
      </w:r>
    </w:p>
    <w:p>
      <w:pPr>
        <w:spacing w:after="120" w:line="276" w:lineRule="auto"/>
      </w:pPr>
      <w:r>
        <w:t>**Conclusion technique** : La majorité des indicateurs (MM, MACD) sont haussiers, tandis que le RSI est neutre et le stochastique en surachat signale un risque de correction imminente. Cette divergence entre tendance de fond (positive) et signal de court terme (négatif) plaide pour une consolidation avant une éventuelle reprise, avec un support clé à surveiller autour de la MM20 (12 762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SDCC affiche un chiffre d'affaires de 189,430 Mds FCFA, en croissance de +9,98% par rapport à 2024, porté par la hausse des volumes d'eau facturés et l'élargissement du portefeuille clients (2 272 032 clients, +6,14%). Le résultat net s'établit à 4,663 Mds FCFA, en progression de +31%, avec une marge nette de 2,46% — faible en valeur absolue mais en amélioration. Le ROE de 23,65% est excellent (&gt;15%), témoignant d'une rentabilité des fonds propres très solide, tandis que le ROA de 0,99% reste faible, reflétant l'intensité capitalistique du secteur. En tant qu'entreprise non bancaire, l'analyse des délais d'exploitation révèle un point de vigilance majeur : le délai clients de 749,25 jours (créances clients de 388,852 Mds FCFA pour un CA de 189,430 Mds FCFA) est extrêmement élevé et constitue un risque de trésorerie significatif, expliquant le flux opérationnel négatif de -36,655 Mds FCFA et une trésorerie nette de -61,710 Mds FCFA. Le BFR de 104,748 Mds FCFA (positif, donc défavorable) et la dépendance financière de 740,21% (dettes financières / total bilan) traduisent un endettement lourd, bien que la capacité de remboursement de 8,18 années et la couverture des intérêts de 1 583,5% restent rassurantes. Les rapports trimestriels confirment la dynamique : le T1 2026 (rapport 2026) affiche un CA de 40 916 M FCFA (-2%) mais un résultat net en bond de +118% à 1 318 M FCFA, avec un résultat d'exploitation multiplié par 2,5 — signe d'une nette amélioration de la maîtrise des charges. Le rapport S1 2025 (30/06/2025) faisait état d'un CA stable (-0,4%) et d'un RN en baisse de -24%, avant le redressement du S2. Sur la base du T1 2026, on peut estimer que l'exercice 2026 devrait confirmer l'amélioration de la rentabilité opérationnelle, avec un RN annualisé potentiellement supérieur à 5 Mds FCFA, bien que la faiblesse du CA au T1 invite à la prudence. La recommandation fondamentale est de **CONSERVER** : la solidité du ROE, la croissance du CA et l'amélioration des marges compensent les risques liés à la trésorerie tendue et à l'endettement élevé.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SDCC apparaît exigeante : le PER de 25,4x (vs 8-12x pour le marché), le P/B de 6,02x et l'EV/EBITDA de 15,0x intègrent déjà une prime de qualité et des anticipations de croissance, limitant le potentiel de réévaluation à court terme. Le comportement du cours est favorable (+19,82% sur 100 jours, tendance haussière), avec des statistiques rassurantes (kurtosis proche de la normale, skewness symétrique) mais une volatilité élevée (36,4%) qui accroît le risque. Les signaux techniques sont majoritairement haussiers (MM, MACD) mais le stochastique en surachat (%K=100) et le RSI neutre (59,9) suggèrent une correction technique imminente, créant une divergence entre tendance de fond et signal de court terme. Les fondamentaux sont solides (ROE de 23,65%, RN +31% en 2025, amélioration confirmée au T1 2026 avec un RN +118%), mais les délais clients de 749 jours et la trésorerie nette négative de -61,7 Mds FCFA constituent des risques persistants. Les prédictions IA (13 088 → 13 132 FCFA sur 10 jours) anticipent une légère hausse (+0,4%), confirmant la tendance de fond mais sans dynamique explosive, ce qui contredit partiellement le signal de vente du stochastique. Sur la base de cette synthèse, la recommandation finale est **CONSERVER**, avec un niveau de confiance **Moyen** et un risque global **Moyen à Élevé**. L'horizon optimal est le **moyen terme (3-12 mois)**, le temps que la correction technique se résorbe et que les fondamentaux (amélioration de la trésorerie, confirmation du redressement du RN) valident la tendance haussière. Un investissement à court terme est déconseillé en raison du surachat technique, tandis qu'un horizon long terme reste attractif pour qui accepte la volatilité et la prime de valorisation.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31.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162.22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17,567 titres</w:t>
            </w:r>
          </w:p>
        </w:tc>
        <w:tc>
          <w:tcPr>
            <w:tcW w:type="dxa" w:w="2268"/>
            <w:shd w:fill="FFF2CC" w:val="clear"/>
          </w:tcPr>
          <w:p>
            <w:r>
              <w:rPr>
                <w:b/>
                <w:color w:val="503200"/>
                <w:sz w:val="16"/>
              </w:rPr>
              <w:t xml:space="preserve">Cours actuel : </w:t>
            </w:r>
            <w:r>
              <w:rPr>
                <w:color w:val="000000"/>
                <w:sz w:val="17"/>
              </w:rPr>
              <w:t>2,980 FCFA</w:t>
            </w:r>
          </w:p>
          <w:p>
            <w:r>
              <w:rPr>
                <w:b/>
                <w:color w:val="503200"/>
                <w:sz w:val="16"/>
              </w:rPr>
              <w:t xml:space="preserve">Var. 100 jours : </w:t>
            </w:r>
            <w:r>
              <w:rPr>
                <w:b/>
                <w:color w:val="007800"/>
                <w:sz w:val="17"/>
              </w:rPr>
              <w:t>+74.27%</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15.54% (Élevée) — μ=2,566 FCFA, σ=399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β=0.5581 (Défensif) — Cov=0.000041, Var(idx)=0.000073, ρ=0.146,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17,567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σ_j=3.28%/j (Modérée) — Vol. annualisée≈52.1%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2026-10-13</w:t>
            </w:r>
          </w:p>
        </w:tc>
        <w:tc>
          <w:tcPr>
            <w:tcW w:type="dxa" w:w="1440"/>
            <w:shd w:fill="FAFAFA" w:val="clear"/>
          </w:tcPr>
          <w:p>
            <w:r>
              <w:rPr>
                <w:sz w:val="17"/>
              </w:rPr>
              <w:t>2,837</w:t>
            </w:r>
          </w:p>
        </w:tc>
        <w:tc>
          <w:tcPr>
            <w:tcW w:type="dxa" w:w="1440"/>
            <w:shd w:fill="FAFAFA" w:val="clear"/>
          </w:tcPr>
          <w:p>
            <w:r>
              <w:rPr>
                <w:b/>
                <w:sz w:val="17"/>
              </w:rPr>
              <w:t>2,986</w:t>
            </w:r>
          </w:p>
        </w:tc>
        <w:tc>
          <w:tcPr>
            <w:tcW w:type="dxa" w:w="1440"/>
            <w:shd w:fill="FAFAFA" w:val="clear"/>
          </w:tcPr>
          <w:p>
            <w:r>
              <w:rPr>
                <w:sz w:val="17"/>
              </w:rPr>
              <w:t>3,136</w:t>
            </w:r>
          </w:p>
        </w:tc>
        <w:tc>
          <w:tcPr>
            <w:tcW w:type="dxa" w:w="1440"/>
            <w:shd w:fill="FAFAFA" w:val="clear"/>
          </w:tcPr>
          <w:p>
            <w:r>
              <w:rPr>
                <w:b/>
                <w:color w:val="008000"/>
                <w:sz w:val="17"/>
              </w:rPr>
              <w:t>+0.2%</w:t>
            </w:r>
          </w:p>
        </w:tc>
      </w:tr>
      <w:tr>
        <w:tc>
          <w:tcPr>
            <w:tcW w:type="dxa" w:w="1440"/>
            <w:shd w:fill="FAFAFA" w:val="clear"/>
          </w:tcPr>
          <w:p>
            <w:r>
              <w:rPr>
                <w:sz w:val="17"/>
              </w:rPr>
              <w:t>J+2  Moyenne</w:t>
            </w:r>
          </w:p>
        </w:tc>
        <w:tc>
          <w:tcPr>
            <w:tcW w:type="dxa" w:w="1440"/>
            <w:shd w:fill="FAFAFA" w:val="clear"/>
          </w:tcPr>
          <w:p>
            <w:r>
              <w:rPr>
                <w:sz w:val="17"/>
              </w:rPr>
              <w:t>2026-10-14</w:t>
            </w:r>
          </w:p>
        </w:tc>
        <w:tc>
          <w:tcPr>
            <w:tcW w:type="dxa" w:w="1440"/>
            <w:shd w:fill="FAFAFA" w:val="clear"/>
          </w:tcPr>
          <w:p>
            <w:r>
              <w:rPr>
                <w:sz w:val="17"/>
              </w:rPr>
              <w:t>2,767</w:t>
            </w:r>
          </w:p>
        </w:tc>
        <w:tc>
          <w:tcPr>
            <w:tcW w:type="dxa" w:w="1440"/>
            <w:shd w:fill="FAFAFA" w:val="clear"/>
          </w:tcPr>
          <w:p>
            <w:r>
              <w:rPr>
                <w:b/>
                <w:sz w:val="17"/>
              </w:rPr>
              <w:t>2,978</w:t>
            </w:r>
          </w:p>
        </w:tc>
        <w:tc>
          <w:tcPr>
            <w:tcW w:type="dxa" w:w="1440"/>
            <w:shd w:fill="FAFAFA" w:val="clear"/>
          </w:tcPr>
          <w:p>
            <w:r>
              <w:rPr>
                <w:sz w:val="17"/>
              </w:rPr>
              <w:t>3,189</w:t>
            </w:r>
          </w:p>
        </w:tc>
        <w:tc>
          <w:tcPr>
            <w:tcW w:type="dxa" w:w="1440"/>
            <w:shd w:fill="FAFAFA" w:val="clear"/>
          </w:tcPr>
          <w:p>
            <w:r>
              <w:rPr>
                <w:b/>
                <w:color w:val="C00000"/>
                <w:sz w:val="17"/>
              </w:rPr>
              <w:t>-0.1%</w:t>
            </w:r>
          </w:p>
        </w:tc>
      </w:tr>
      <w:tr>
        <w:tc>
          <w:tcPr>
            <w:tcW w:type="dxa" w:w="1440"/>
            <w:shd w:fill="FAFAFA" w:val="clear"/>
          </w:tcPr>
          <w:p>
            <w:r>
              <w:rPr>
                <w:sz w:val="17"/>
              </w:rPr>
              <w:t>J+3  Moyenne</w:t>
            </w:r>
          </w:p>
        </w:tc>
        <w:tc>
          <w:tcPr>
            <w:tcW w:type="dxa" w:w="1440"/>
            <w:shd w:fill="FAFAFA" w:val="clear"/>
          </w:tcPr>
          <w:p>
            <w:r>
              <w:rPr>
                <w:sz w:val="17"/>
              </w:rPr>
              <w:t>2026-10-15</w:t>
            </w:r>
          </w:p>
        </w:tc>
        <w:tc>
          <w:tcPr>
            <w:tcW w:type="dxa" w:w="1440"/>
            <w:shd w:fill="FAFAFA" w:val="clear"/>
          </w:tcPr>
          <w:p>
            <w:r>
              <w:rPr>
                <w:sz w:val="17"/>
              </w:rPr>
              <w:t>2,710</w:t>
            </w:r>
          </w:p>
        </w:tc>
        <w:tc>
          <w:tcPr>
            <w:tcW w:type="dxa" w:w="1440"/>
            <w:shd w:fill="FAFAFA" w:val="clear"/>
          </w:tcPr>
          <w:p>
            <w:r>
              <w:rPr>
                <w:b/>
                <w:sz w:val="17"/>
              </w:rPr>
              <w:t>2,968</w:t>
            </w:r>
          </w:p>
        </w:tc>
        <w:tc>
          <w:tcPr>
            <w:tcW w:type="dxa" w:w="1440"/>
            <w:shd w:fill="FAFAFA" w:val="clear"/>
          </w:tcPr>
          <w:p>
            <w:r>
              <w:rPr>
                <w:sz w:val="17"/>
              </w:rPr>
              <w:t>3,225</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2026-10-16</w:t>
            </w:r>
          </w:p>
        </w:tc>
        <w:tc>
          <w:tcPr>
            <w:tcW w:type="dxa" w:w="1440"/>
            <w:shd w:fill="FAFAFA" w:val="clear"/>
          </w:tcPr>
          <w:p>
            <w:r>
              <w:rPr>
                <w:sz w:val="17"/>
              </w:rPr>
              <w:t>2,664</w:t>
            </w:r>
          </w:p>
        </w:tc>
        <w:tc>
          <w:tcPr>
            <w:tcW w:type="dxa" w:w="1440"/>
            <w:shd w:fill="FAFAFA" w:val="clear"/>
          </w:tcPr>
          <w:p>
            <w:r>
              <w:rPr>
                <w:b/>
                <w:sz w:val="17"/>
              </w:rPr>
              <w:t>2,960</w:t>
            </w:r>
          </w:p>
        </w:tc>
        <w:tc>
          <w:tcPr>
            <w:tcW w:type="dxa" w:w="1440"/>
            <w:shd w:fill="FAFAFA" w:val="clear"/>
          </w:tcPr>
          <w:p>
            <w:r>
              <w:rPr>
                <w:sz w:val="17"/>
              </w:rPr>
              <w:t>3,257</w:t>
            </w:r>
          </w:p>
        </w:tc>
        <w:tc>
          <w:tcPr>
            <w:tcW w:type="dxa" w:w="1440"/>
            <w:shd w:fill="FAFAFA" w:val="clear"/>
          </w:tcPr>
          <w:p>
            <w:r>
              <w:rPr>
                <w:b/>
                <w:color w:val="C00000"/>
                <w:sz w:val="17"/>
              </w:rPr>
              <w:t>-0.7%</w:t>
            </w:r>
          </w:p>
        </w:tc>
      </w:tr>
      <w:tr>
        <w:tc>
          <w:tcPr>
            <w:tcW w:type="dxa" w:w="1440"/>
            <w:shd w:fill="FAFAFA" w:val="clear"/>
          </w:tcPr>
          <w:p>
            <w:r>
              <w:rPr>
                <w:sz w:val="17"/>
              </w:rPr>
              <w:t>J+5  ⭐</w:t>
            </w:r>
          </w:p>
        </w:tc>
        <w:tc>
          <w:tcPr>
            <w:tcW w:type="dxa" w:w="1440"/>
            <w:shd w:fill="FAFAFA" w:val="clear"/>
          </w:tcPr>
          <w:p>
            <w:r>
              <w:rPr>
                <w:sz w:val="17"/>
              </w:rPr>
              <w:t>2026-10-19</w:t>
            </w:r>
          </w:p>
        </w:tc>
        <w:tc>
          <w:tcPr>
            <w:tcW w:type="dxa" w:w="1440"/>
            <w:shd w:fill="FAFAFA" w:val="clear"/>
          </w:tcPr>
          <w:p>
            <w:r>
              <w:rPr>
                <w:sz w:val="17"/>
              </w:rPr>
              <w:t>2,624</w:t>
            </w:r>
          </w:p>
        </w:tc>
        <w:tc>
          <w:tcPr>
            <w:tcW w:type="dxa" w:w="1440"/>
            <w:shd w:fill="FAFAFA" w:val="clear"/>
          </w:tcPr>
          <w:p>
            <w:r>
              <w:rPr>
                <w:b/>
                <w:sz w:val="17"/>
              </w:rPr>
              <w:t>2,955</w:t>
            </w:r>
          </w:p>
        </w:tc>
        <w:tc>
          <w:tcPr>
            <w:tcW w:type="dxa" w:w="1440"/>
            <w:shd w:fill="FAFAFA" w:val="clear"/>
          </w:tcPr>
          <w:p>
            <w:r>
              <w:rPr>
                <w:sz w:val="17"/>
              </w:rPr>
              <w:t>3,286</w:t>
            </w:r>
          </w:p>
        </w:tc>
        <w:tc>
          <w:tcPr>
            <w:tcW w:type="dxa" w:w="1440"/>
            <w:shd w:fill="FAFAFA" w:val="clear"/>
          </w:tcPr>
          <w:p>
            <w:r>
              <w:rPr>
                <w:b/>
                <w:color w:val="C00000"/>
                <w:sz w:val="17"/>
              </w:rPr>
              <w:t>-0.8%</w:t>
            </w:r>
          </w:p>
        </w:tc>
      </w:tr>
      <w:tr>
        <w:tc>
          <w:tcPr>
            <w:tcW w:type="dxa" w:w="1440"/>
            <w:shd w:fill="FAFAFA" w:val="clear"/>
          </w:tcPr>
          <w:p>
            <w:r>
              <w:rPr>
                <w:sz w:val="17"/>
              </w:rPr>
              <w:t>J+6  ⭐</w:t>
            </w:r>
          </w:p>
        </w:tc>
        <w:tc>
          <w:tcPr>
            <w:tcW w:type="dxa" w:w="1440"/>
            <w:shd w:fill="FAFAFA" w:val="clear"/>
          </w:tcPr>
          <w:p>
            <w:r>
              <w:rPr>
                <w:sz w:val="17"/>
              </w:rPr>
              <w:t>2026-10-20</w:t>
            </w:r>
          </w:p>
        </w:tc>
        <w:tc>
          <w:tcPr>
            <w:tcW w:type="dxa" w:w="1440"/>
            <w:shd w:fill="FAFAFA" w:val="clear"/>
          </w:tcPr>
          <w:p>
            <w:r>
              <w:rPr>
                <w:sz w:val="17"/>
              </w:rPr>
              <w:t>2,588</w:t>
            </w:r>
          </w:p>
        </w:tc>
        <w:tc>
          <w:tcPr>
            <w:tcW w:type="dxa" w:w="1440"/>
            <w:shd w:fill="FAFAFA" w:val="clear"/>
          </w:tcPr>
          <w:p>
            <w:r>
              <w:rPr>
                <w:b/>
                <w:sz w:val="17"/>
              </w:rPr>
              <w:t>2,950</w:t>
            </w:r>
          </w:p>
        </w:tc>
        <w:tc>
          <w:tcPr>
            <w:tcW w:type="dxa" w:w="1440"/>
            <w:shd w:fill="FAFAFA" w:val="clear"/>
          </w:tcPr>
          <w:p>
            <w:r>
              <w:rPr>
                <w:sz w:val="17"/>
              </w:rPr>
              <w:t>3,313</w:t>
            </w:r>
          </w:p>
        </w:tc>
        <w:tc>
          <w:tcPr>
            <w:tcW w:type="dxa" w:w="1440"/>
            <w:shd w:fill="FAFAFA" w:val="clear"/>
          </w:tcPr>
          <w:p>
            <w:r>
              <w:rPr>
                <w:b/>
                <w:color w:val="C00000"/>
                <w:sz w:val="17"/>
              </w:rPr>
              <w:t>-1.0%</w:t>
            </w:r>
          </w:p>
        </w:tc>
      </w:tr>
      <w:tr>
        <w:tc>
          <w:tcPr>
            <w:tcW w:type="dxa" w:w="1440"/>
            <w:shd w:fill="FAFAFA" w:val="clear"/>
          </w:tcPr>
          <w:p>
            <w:r>
              <w:rPr>
                <w:sz w:val="17"/>
              </w:rPr>
              <w:t>J+7  ⭐</w:t>
            </w:r>
          </w:p>
        </w:tc>
        <w:tc>
          <w:tcPr>
            <w:tcW w:type="dxa" w:w="1440"/>
            <w:shd w:fill="FAFAFA" w:val="clear"/>
          </w:tcPr>
          <w:p>
            <w:r>
              <w:rPr>
                <w:sz w:val="17"/>
              </w:rPr>
              <w:t>2026-10-21</w:t>
            </w:r>
          </w:p>
        </w:tc>
        <w:tc>
          <w:tcPr>
            <w:tcW w:type="dxa" w:w="1440"/>
            <w:shd w:fill="FAFAFA" w:val="clear"/>
          </w:tcPr>
          <w:p>
            <w:r>
              <w:rPr>
                <w:sz w:val="17"/>
              </w:rPr>
              <w:t>2,556</w:t>
            </w:r>
          </w:p>
        </w:tc>
        <w:tc>
          <w:tcPr>
            <w:tcW w:type="dxa" w:w="1440"/>
            <w:shd w:fill="FAFAFA" w:val="clear"/>
          </w:tcPr>
          <w:p>
            <w:r>
              <w:rPr>
                <w:b/>
                <w:sz w:val="17"/>
              </w:rPr>
              <w:t>2,947</w:t>
            </w:r>
          </w:p>
        </w:tc>
        <w:tc>
          <w:tcPr>
            <w:tcW w:type="dxa" w:w="1440"/>
            <w:shd w:fill="FAFAFA" w:val="clear"/>
          </w:tcPr>
          <w:p>
            <w:r>
              <w:rPr>
                <w:sz w:val="17"/>
              </w:rPr>
              <w:t>3,337</w:t>
            </w:r>
          </w:p>
        </w:tc>
        <w:tc>
          <w:tcPr>
            <w:tcW w:type="dxa" w:w="1440"/>
            <w:shd w:fill="FAFAFA" w:val="clear"/>
          </w:tcPr>
          <w:p>
            <w:r>
              <w:rPr>
                <w:b/>
                <w:color w:val="C00000"/>
                <w:sz w:val="17"/>
              </w:rPr>
              <w:t>-1.1%</w:t>
            </w:r>
          </w:p>
        </w:tc>
      </w:tr>
      <w:tr>
        <w:tc>
          <w:tcPr>
            <w:tcW w:type="dxa" w:w="1440"/>
            <w:shd w:fill="FAFAFA" w:val="clear"/>
          </w:tcPr>
          <w:p>
            <w:r>
              <w:rPr>
                <w:sz w:val="17"/>
              </w:rPr>
              <w:t>J+8  ⭐</w:t>
            </w:r>
          </w:p>
        </w:tc>
        <w:tc>
          <w:tcPr>
            <w:tcW w:type="dxa" w:w="1440"/>
            <w:shd w:fill="FAFAFA" w:val="clear"/>
          </w:tcPr>
          <w:p>
            <w:r>
              <w:rPr>
                <w:sz w:val="17"/>
              </w:rPr>
              <w:t>2026-10-22</w:t>
            </w:r>
          </w:p>
        </w:tc>
        <w:tc>
          <w:tcPr>
            <w:tcW w:type="dxa" w:w="1440"/>
            <w:shd w:fill="FAFAFA" w:val="clear"/>
          </w:tcPr>
          <w:p>
            <w:r>
              <w:rPr>
                <w:sz w:val="17"/>
              </w:rPr>
              <w:t>2,526</w:t>
            </w:r>
          </w:p>
        </w:tc>
        <w:tc>
          <w:tcPr>
            <w:tcW w:type="dxa" w:w="1440"/>
            <w:shd w:fill="FAFAFA" w:val="clear"/>
          </w:tcPr>
          <w:p>
            <w:r>
              <w:rPr>
                <w:b/>
                <w:sz w:val="17"/>
              </w:rPr>
              <w:t>2,943</w:t>
            </w:r>
          </w:p>
        </w:tc>
        <w:tc>
          <w:tcPr>
            <w:tcW w:type="dxa" w:w="1440"/>
            <w:shd w:fill="FAFAFA" w:val="clear"/>
          </w:tcPr>
          <w:p>
            <w:r>
              <w:rPr>
                <w:sz w:val="17"/>
              </w:rPr>
              <w:t>3,360</w:t>
            </w:r>
          </w:p>
        </w:tc>
        <w:tc>
          <w:tcPr>
            <w:tcW w:type="dxa" w:w="1440"/>
            <w:shd w:fill="FAFAFA" w:val="clear"/>
          </w:tcPr>
          <w:p>
            <w:r>
              <w:rPr>
                <w:b/>
                <w:color w:val="C00000"/>
                <w:sz w:val="17"/>
              </w:rPr>
              <w:t>-1.2%</w:t>
            </w:r>
          </w:p>
        </w:tc>
      </w:tr>
      <w:tr>
        <w:tc>
          <w:tcPr>
            <w:tcW w:type="dxa" w:w="1440"/>
            <w:shd w:fill="FAFAFA" w:val="clear"/>
          </w:tcPr>
          <w:p>
            <w:r>
              <w:rPr>
                <w:sz w:val="17"/>
              </w:rPr>
              <w:t>J+9  ⭐</w:t>
            </w:r>
          </w:p>
        </w:tc>
        <w:tc>
          <w:tcPr>
            <w:tcW w:type="dxa" w:w="1440"/>
            <w:shd w:fill="FAFAFA" w:val="clear"/>
          </w:tcPr>
          <w:p>
            <w:r>
              <w:rPr>
                <w:sz w:val="17"/>
              </w:rPr>
              <w:t>2026-10-23</w:t>
            </w:r>
          </w:p>
        </w:tc>
        <w:tc>
          <w:tcPr>
            <w:tcW w:type="dxa" w:w="1440"/>
            <w:shd w:fill="FAFAFA" w:val="clear"/>
          </w:tcPr>
          <w:p>
            <w:r>
              <w:rPr>
                <w:sz w:val="17"/>
              </w:rPr>
              <w:t>2,497</w:t>
            </w:r>
          </w:p>
        </w:tc>
        <w:tc>
          <w:tcPr>
            <w:tcW w:type="dxa" w:w="1440"/>
            <w:shd w:fill="FAFAFA" w:val="clear"/>
          </w:tcPr>
          <w:p>
            <w:r>
              <w:rPr>
                <w:b/>
                <w:sz w:val="17"/>
              </w:rPr>
              <w:t>2,939</w:t>
            </w:r>
          </w:p>
        </w:tc>
        <w:tc>
          <w:tcPr>
            <w:tcW w:type="dxa" w:w="1440"/>
            <w:shd w:fill="FAFAFA" w:val="clear"/>
          </w:tcPr>
          <w:p>
            <w:r>
              <w:rPr>
                <w:sz w:val="17"/>
              </w:rPr>
              <w:t>3,381</w:t>
            </w:r>
          </w:p>
        </w:tc>
        <w:tc>
          <w:tcPr>
            <w:tcW w:type="dxa" w:w="1440"/>
            <w:shd w:fill="FAFAFA" w:val="clear"/>
          </w:tcPr>
          <w:p>
            <w:r>
              <w:rPr>
                <w:b/>
                <w:color w:val="C00000"/>
                <w:sz w:val="17"/>
              </w:rPr>
              <w:t>-1.4%</w:t>
            </w:r>
          </w:p>
        </w:tc>
      </w:tr>
      <w:tr>
        <w:tc>
          <w:tcPr>
            <w:tcW w:type="dxa" w:w="1440"/>
            <w:shd w:fill="FAFAFA" w:val="clear"/>
          </w:tcPr>
          <w:p>
            <w:r>
              <w:rPr>
                <w:sz w:val="17"/>
              </w:rPr>
              <w:t>J+10  ⭐</w:t>
            </w:r>
          </w:p>
        </w:tc>
        <w:tc>
          <w:tcPr>
            <w:tcW w:type="dxa" w:w="1440"/>
            <w:shd w:fill="FAFAFA" w:val="clear"/>
          </w:tcPr>
          <w:p>
            <w:r>
              <w:rPr>
                <w:sz w:val="17"/>
              </w:rPr>
              <w:t>2026-10-26</w:t>
            </w:r>
          </w:p>
        </w:tc>
        <w:tc>
          <w:tcPr>
            <w:tcW w:type="dxa" w:w="1440"/>
            <w:shd w:fill="FAFAFA" w:val="clear"/>
          </w:tcPr>
          <w:p>
            <w:r>
              <w:rPr>
                <w:sz w:val="17"/>
              </w:rPr>
              <w:t>2,471</w:t>
            </w:r>
          </w:p>
        </w:tc>
        <w:tc>
          <w:tcPr>
            <w:tcW w:type="dxa" w:w="1440"/>
            <w:shd w:fill="FAFAFA" w:val="clear"/>
          </w:tcPr>
          <w:p>
            <w:r>
              <w:rPr>
                <w:b/>
                <w:sz w:val="17"/>
              </w:rPr>
              <w:t>2,936</w:t>
            </w:r>
          </w:p>
        </w:tc>
        <w:tc>
          <w:tcPr>
            <w:tcW w:type="dxa" w:w="1440"/>
            <w:shd w:fill="FAFAFA" w:val="clear"/>
          </w:tcPr>
          <w:p>
            <w:r>
              <w:rPr>
                <w:sz w:val="17"/>
              </w:rPr>
              <w:t>3,401</w:t>
            </w:r>
          </w:p>
        </w:tc>
        <w:tc>
          <w:tcPr>
            <w:tcW w:type="dxa" w:w="1440"/>
            <w:shd w:fill="FAFAFA" w:val="clear"/>
          </w:tcPr>
          <w:p>
            <w:r>
              <w:rPr>
                <w:b/>
                <w:color w:val="C00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1.280 Mds FCFA</w:t>
            </w:r>
          </w:p>
        </w:tc>
        <w:tc>
          <w:tcPr>
            <w:tcW w:type="dxa" w:w="5669"/>
            <w:shd w:fill="FFFFFF" w:val="clear"/>
          </w:tcPr>
          <w:p>
            <w:r>
              <w:rPr>
                <w:color w:val="282828"/>
                <w:sz w:val="15"/>
              </w:rPr>
              <w:t>Rotation stocks = 71.9x/an.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118.327 Mds FCFA</w:t>
            </w:r>
          </w:p>
        </w:tc>
        <w:tc>
          <w:tcPr>
            <w:tcW w:type="dxa" w:w="5669"/>
            <w:shd w:fill="FFFFFF" w:val="clear"/>
          </w:tcPr>
          <w:p>
            <w:r>
              <w:rPr>
                <w:color w:val="282828"/>
                <w:sz w:val="15"/>
              </w:rPr>
              <w:t>Ratio actif circ./passif circ. = 0.67x.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267.07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54.655 Mds FCFA</w:t>
            </w:r>
          </w:p>
        </w:tc>
        <w:tc>
          <w:tcPr>
            <w:tcW w:type="dxa" w:w="5669"/>
            <w:shd w:fill="FFFFFF" w:val="clear"/>
          </w:tcPr>
          <w:p>
            <w:r>
              <w:rPr>
                <w:color w:val="282828"/>
                <w:sz w:val="15"/>
              </w:rPr>
              <w:t>Outil industriel (21.1%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64.340 Mds FCFA</w:t>
            </w:r>
          </w:p>
        </w:tc>
        <w:tc>
          <w:tcPr>
            <w:tcW w:type="dxa" w:w="5669"/>
            <w:shd w:fill="FFFFFF" w:val="clear"/>
          </w:tcPr>
          <w:p>
            <w:r>
              <w:rPr>
                <w:color w:val="282828"/>
                <w:sz w:val="15"/>
              </w:rPr>
              <w:t>Actif immobilisé = 24.8%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76.782 Mds FCFA</w:t>
            </w:r>
          </w:p>
        </w:tc>
        <w:tc>
          <w:tcPr>
            <w:tcW w:type="dxa" w:w="5669"/>
            <w:shd w:fill="FFFFFF" w:val="clear"/>
          </w:tcPr>
          <w:p>
            <w:r>
              <w:rPr>
                <w:color w:val="282828"/>
                <w:sz w:val="15"/>
              </w:rPr>
              <w:t>Liquidités disponibles (29.6%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259.448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61.200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73.552 Mds FCFA</w:t>
            </w:r>
          </w:p>
        </w:tc>
        <w:tc>
          <w:tcPr>
            <w:tcW w:type="dxa" w:w="5669"/>
            <w:shd w:fill="FFFFFF" w:val="clear"/>
          </w:tcPr>
          <w:p>
            <w:r>
              <w:rPr>
                <w:color w:val="282828"/>
                <w:sz w:val="15"/>
              </w:rPr>
              <w:t>Fonds propres = 28.3%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81.783 Mds FCFA</w:t>
            </w:r>
          </w:p>
        </w:tc>
        <w:tc>
          <w:tcPr>
            <w:tcW w:type="dxa" w:w="5669"/>
            <w:shd w:fill="FFFFFF" w:val="clear"/>
          </w:tcPr>
          <w:p>
            <w:r>
              <w:rPr>
                <w:color w:val="282828"/>
                <w:sz w:val="15"/>
              </w:rPr>
              <w:t>Capitaux permanents / Actif immobilisé = 1.27x.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8.231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10.231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185.896 Mds FCFA</w:t>
            </w:r>
          </w:p>
        </w:tc>
        <w:tc>
          <w:tcPr>
            <w:tcW w:type="dxa" w:w="5669"/>
            <w:shd w:fill="FFFFFF" w:val="clear"/>
          </w:tcPr>
          <w:p>
            <w:r>
              <w:rPr>
                <w:color w:val="282828"/>
                <w:sz w:val="15"/>
              </w:rPr>
              <w:t>Dettes totales = 71.7%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92.004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92.004 Mds FCFA</w:t>
            </w:r>
          </w:p>
        </w:tc>
        <w:tc>
          <w:tcPr>
            <w:tcW w:type="dxa" w:w="5669"/>
            <w:shd w:fill="FFFFFF" w:val="clear"/>
          </w:tcPr>
          <w:p>
            <w:r>
              <w:rPr>
                <w:color w:val="282828"/>
                <w:sz w:val="15"/>
              </w:rPr>
              <w:t>Chiffre d'affaires. Croissance: 7.4%.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9.043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36.205 Mds FCFA</w:t>
            </w:r>
          </w:p>
        </w:tc>
        <w:tc>
          <w:tcPr>
            <w:tcW w:type="dxa" w:w="5669"/>
            <w:shd w:fill="FFFFFF" w:val="clear"/>
          </w:tcPr>
          <w:p>
            <w:r>
              <w:rPr>
                <w:color w:val="282828"/>
                <w:sz w:val="15"/>
              </w:rPr>
              <w:t>Masse salariale = 39.4%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40.469 Mds FCFA</w:t>
            </w:r>
          </w:p>
        </w:tc>
        <w:tc>
          <w:tcPr>
            <w:tcW w:type="dxa" w:w="5669"/>
            <w:shd w:fill="FFFFFF" w:val="clear"/>
          </w:tcPr>
          <w:p>
            <w:r>
              <w:rPr>
                <w:color w:val="282828"/>
                <w:sz w:val="15"/>
              </w:rPr>
              <w:t>VA = 44.0%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4.264 Mds FCFA</w:t>
            </w:r>
          </w:p>
        </w:tc>
        <w:tc>
          <w:tcPr>
            <w:tcW w:type="dxa" w:w="5669"/>
            <w:shd w:fill="FFFFFF" w:val="clear"/>
          </w:tcPr>
          <w:p>
            <w:r>
              <w:rPr>
                <w:color w:val="282828"/>
                <w:sz w:val="15"/>
              </w:rPr>
              <w:t>EBE = 4.6%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-2.271 Mds FCFA</w:t>
            </w:r>
          </w:p>
        </w:tc>
        <w:tc>
          <w:tcPr>
            <w:tcW w:type="dxa" w:w="5669"/>
            <w:shd w:fill="FFFFFF" w:val="clear"/>
          </w:tcPr>
          <w:p>
            <w:r>
              <w:rPr>
                <w:color w:val="282828"/>
                <w:sz w:val="15"/>
              </w:rPr>
              <w:t>Profit d'exploitation = -2.5%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EB9C" w:val="clear"/>
          </w:tcPr>
          <w:p>
            <w:r>
              <w:rPr>
                <w:b/>
                <w:color w:val="006400"/>
                <w:sz w:val="17"/>
              </w:rPr>
              <w:t>784.97 M FCFA</w:t>
            </w:r>
          </w:p>
        </w:tc>
        <w:tc>
          <w:tcPr>
            <w:tcW w:type="dxa" w:w="5669"/>
            <w:shd w:fill="FFFFFF" w:val="clear"/>
          </w:tcPr>
          <w:p>
            <w:r>
              <w:rPr>
                <w:color w:val="282828"/>
                <w:sz w:val="15"/>
              </w:rPr>
              <w:t>Marge nette = 0.9%.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7.503 Mds FCFA</w:t>
            </w:r>
          </w:p>
        </w:tc>
        <w:tc>
          <w:tcPr>
            <w:tcW w:type="dxa" w:w="5669"/>
            <w:shd w:fill="FFFFFF" w:val="clear"/>
          </w:tcPr>
          <w:p>
            <w:r>
              <w:rPr>
                <w:color w:val="282828"/>
                <w:sz w:val="15"/>
              </w:rPr>
              <w:t>CAF = 7.50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83.198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-19.195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-4.838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55.471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-57.339 Mds FCFA</w:t>
            </w:r>
          </w:p>
        </w:tc>
        <w:tc>
          <w:tcPr>
            <w:tcW w:type="dxa" w:w="5669"/>
            <w:shd w:fill="FFFFFF" w:val="clear"/>
          </w:tcPr>
          <w:p>
            <w:r>
              <w:rPr>
                <w:color w:val="282828"/>
                <w:sz w:val="15"/>
              </w:rPr>
              <w:t>BFR = -62.3%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17.443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74.782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FFEB9C" w:val="clear"/>
          </w:tcPr>
          <w:p>
            <w:r>
              <w:rPr>
                <w:b/>
                <w:color w:val="006400"/>
                <w:sz w:val="17"/>
              </w:rPr>
              <w:t>0.85%</w:t>
            </w:r>
          </w:p>
        </w:tc>
        <w:tc>
          <w:tcPr>
            <w:tcW w:type="dxa" w:w="5669"/>
            <w:shd w:fill="FFFFFF" w:val="clear"/>
          </w:tcPr>
          <w:p>
            <w:r>
              <w:rPr>
                <w:color w:val="282828"/>
                <w:sz w:val="15"/>
              </w:rPr>
              <w:t>Résultat net / revenus = 0.85%. ⚠️ Marge nette très fine — sensible aux aléas.</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-2.47%</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1.07%</w:t>
            </w:r>
          </w:p>
        </w:tc>
        <w:tc>
          <w:tcPr>
            <w:tcW w:type="dxa" w:w="5669"/>
            <w:shd w:fill="FFFFFF" w:val="clear"/>
          </w:tcPr>
          <w:p>
            <w:r>
              <w:rPr>
                <w:color w:val="282828"/>
                <w:sz w:val="15"/>
              </w:rPr>
              <w:t>Résultat net / capitaux propres = 1.07%.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0.30%</w:t>
            </w:r>
          </w:p>
        </w:tc>
        <w:tc>
          <w:tcPr>
            <w:tcW w:type="dxa" w:w="5669"/>
            <w:shd w:fill="FFFFFF" w:val="clear"/>
          </w:tcPr>
          <w:p>
            <w:r>
              <w:rPr>
                <w:color w:val="282828"/>
                <w:sz w:val="15"/>
              </w:rPr>
              <w:t>Résultat net / total actif = 0.30%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35.46%</w:t>
            </w:r>
          </w:p>
        </w:tc>
        <w:tc>
          <w:tcPr>
            <w:tcW w:type="dxa" w:w="5669"/>
            <w:shd w:fill="FFFFFF" w:val="clear"/>
          </w:tcPr>
          <w:p>
            <w:r>
              <w:rPr>
                <w:color w:val="282828"/>
                <w:sz w:val="15"/>
              </w:rPr>
              <w:t>CA / total actif = 35.46x.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7.43%</w:t>
            </w:r>
          </w:p>
        </w:tc>
        <w:tc>
          <w:tcPr>
            <w:tcW w:type="dxa" w:w="5669"/>
            <w:shd w:fill="FFFFFF" w:val="clear"/>
          </w:tcPr>
          <w:p>
            <w:r>
              <w:rPr>
                <w:color w:val="282828"/>
                <w:sz w:val="15"/>
              </w:rPr>
              <w:t>Croissance CA vs exercice précédent = 7.43%.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28.35%</w:t>
            </w:r>
          </w:p>
        </w:tc>
        <w:tc>
          <w:tcPr>
            <w:tcW w:type="dxa" w:w="5669"/>
            <w:shd w:fill="FFFFFF" w:val="clear"/>
          </w:tcPr>
          <w:p>
            <w:r>
              <w:rPr>
                <w:color w:val="282828"/>
                <w:sz w:val="15"/>
              </w:rPr>
              <w:t>Fonds propres / total bilan = 28.35%.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71.65%</w:t>
            </w:r>
          </w:p>
        </w:tc>
        <w:tc>
          <w:tcPr>
            <w:tcW w:type="dxa" w:w="5669"/>
            <w:shd w:fill="FFFFFF" w:val="clear"/>
          </w:tcPr>
          <w:p>
            <w:r>
              <w:rPr>
                <w:color w:val="282828"/>
                <w:sz w:val="15"/>
              </w:rPr>
              <w:t>Dettes financières / total bilan = 71.65%.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13.91%</w:t>
            </w:r>
          </w:p>
        </w:tc>
        <w:tc>
          <w:tcPr>
            <w:tcW w:type="dxa" w:w="5669"/>
            <w:shd w:fill="FFFFFF" w:val="clear"/>
          </w:tcPr>
          <w:p>
            <w:r>
              <w:rPr>
                <w:color w:val="282828"/>
                <w:sz w:val="15"/>
              </w:rPr>
              <w:t>Dettes totales / fonds propres = 13.91%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139.57%</w:t>
            </w:r>
          </w:p>
        </w:tc>
        <w:tc>
          <w:tcPr>
            <w:tcW w:type="dxa" w:w="5669"/>
            <w:shd w:fill="FFFFFF" w:val="clear"/>
          </w:tcPr>
          <w:p>
            <w:r>
              <w:rPr>
                <w:color w:val="282828"/>
                <w:sz w:val="15"/>
              </w:rPr>
              <w:t>Total actif / dettes totales = 139.57x.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109.82%</w:t>
            </w:r>
          </w:p>
        </w:tc>
        <w:tc>
          <w:tcPr>
            <w:tcW w:type="dxa" w:w="5669"/>
            <w:shd w:fill="FFFFFF" w:val="clear"/>
          </w:tcPr>
          <w:p>
            <w:r>
              <w:rPr>
                <w:color w:val="282828"/>
                <w:sz w:val="15"/>
              </w:rPr>
              <w:t>Actif circulant / passif circulant = 109.82x.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43.22%</w:t>
            </w:r>
          </w:p>
        </w:tc>
        <w:tc>
          <w:tcPr>
            <w:tcW w:type="dxa" w:w="5669"/>
            <w:shd w:fill="FFFFFF" w:val="clear"/>
          </w:tcPr>
          <w:p>
            <w:r>
              <w:rPr>
                <w:color w:val="282828"/>
                <w:sz w:val="15"/>
              </w:rPr>
              <w:t>Trésorerie / passif circulant = 43.22x.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109.10%</w:t>
            </w:r>
          </w:p>
        </w:tc>
        <w:tc>
          <w:tcPr>
            <w:tcW w:type="dxa" w:w="5669"/>
            <w:shd w:fill="FFFFFF" w:val="clear"/>
          </w:tcPr>
          <w:p>
            <w:r>
              <w:rPr>
                <w:color w:val="282828"/>
                <w:sz w:val="15"/>
              </w:rPr>
              <w:t>(Actif circ. - stocks) / passif circ. = 109.10x.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127.11%</w:t>
            </w:r>
          </w:p>
        </w:tc>
        <w:tc>
          <w:tcPr>
            <w:tcW w:type="dxa" w:w="5669"/>
            <w:shd w:fill="FFFFFF" w:val="clear"/>
          </w:tcPr>
          <w:p>
            <w:r>
              <w:rPr>
                <w:color w:val="282828"/>
                <w:sz w:val="15"/>
              </w:rPr>
              <w:t>Capitaux permanents / actif immobilisé = 127.11x.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1.4 ans</w:t>
            </w:r>
          </w:p>
        </w:tc>
        <w:tc>
          <w:tcPr>
            <w:tcW w:type="dxa" w:w="5669"/>
            <w:shd w:fill="FFFFFF" w:val="clear"/>
          </w:tcPr>
          <w:p>
            <w:r>
              <w:rPr>
                <w:color w:val="282828"/>
                <w:sz w:val="15"/>
              </w:rPr>
              <w:t>Dettes financières / CAF = 1.4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-289.33%</w:t>
            </w:r>
          </w:p>
        </w:tc>
        <w:tc>
          <w:tcPr>
            <w:tcW w:type="dxa" w:w="5669"/>
            <w:shd w:fill="FFFFFF" w:val="clear"/>
          </w:tcPr>
          <w:p>
            <w:r>
              <w:rPr>
                <w:color w:val="282828"/>
                <w:sz w:val="15"/>
              </w:rPr>
              <w:t>Résultat exploit. / charges financières = -289.33x.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27.06%</w:t>
            </w:r>
          </w:p>
        </w:tc>
        <w:tc>
          <w:tcPr>
            <w:tcW w:type="dxa" w:w="5669"/>
            <w:shd w:fill="FFFFFF" w:val="clear"/>
          </w:tcPr>
          <w:p>
            <w:r>
              <w:rPr>
                <w:color w:val="282828"/>
                <w:sz w:val="15"/>
              </w:rPr>
              <w:t>CAF / investissements = 27.06x. ⚠️ Financement externe nécessaire pour les investissements.</w:t>
            </w:r>
          </w:p>
        </w:tc>
      </w:tr>
    </w:tbl>
    <w:p/>
    <w:p>
      <w:pPr>
        <w:spacing w:after="120" w:line="276" w:lineRule="auto"/>
      </w:pPr>
      <w:r>
        <w:t>**RAPPORT D'ANALYSE FINANCIÈRE — SDSC (AGL CÔTE D'IVOIRE)**</w:t>
        <w:br/>
        <w:t>*Bourse Régionale des Valeurs Mobilières (BRVM) — Secteur : Logistique &amp; Transport*</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162,22 Mds FCFA, SDSC s'impose comme une valeur de taille intermédiaire significative sur la cote BRVM, représentant un acteur logistique majeur de la zone UEMOA. Le BPA de 14 FCFA/action traduit une rentabilité nette par titre extrêmement faible, conséquence directe de l'effondrement du résultat net 2025 à 784,97 M FCFA. Le PER de 206,7x constitue un signal d'alerte majeur : les investisseurs paient plus de 200 fois les bénéfices actuels, très loin du PER moyen BRVM (~8-12x), ce qui traduit soit une anticipation de forte reprise bénéficiaire, soit une décorrélation préoccupante entre le cours et la réalité économique. Le P/B de 2,21x indique que le marché valorise l'entreprise à plus du double de sa valeur comptable (capitaux propres de 73,55 Mds FCFA), accordant une prime de croissance qui semble difficile à justifier au vu des fondamentaux actuels. Enfin, l'EV/EBITDA de 22,9x (très supérieur au seuil de 15x) confirme que la valeur d'entreprise intègre des anticipations très optimistes par rapport à la capacité opérationnelle réelle.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SDSC affiche une performance spectaculaire de +74,27%, avec une dernière séance en hausse de +4,20% à 2 980 FCFA, confirmant un momentum haussier robuste. Le titre a évolué dans un range très large de 1 650 FCFA (plus bas) à 3 205 FCFA (plus haut), soit une amplitude de 94%, caractéristique d'une phase de forte volatilité. La tendance générale est clairement haussière, portée par un volume moyen quotidien de 17 567 titres, signe d'un intérêt soutenu des investisseurs. Les statistiques descriptives révèlent une moyenne de 2 566 FCFA légèrement inférieure à la médiane de 2 670 FCFA, avec un mode à 2 800 FCFA : cet écart indique une distribution asymétrique où les cours ont davantage stationné au-dessus de la moyenne, cohérent avec le skewness négatif de -0,627 (plus de journées au-dessus de la moyenne). L'écart-type de 401 FCFA (CV de 15,6%) traduit une dispersion modérée autour de la moyenne, tandis que le kurtosis de -0,483 (mésokurtique) suggère une distribution proche de la normale, sans risque excessif de pics extrêmes. La volatilité annualisée de 52,1% classe SDSC dans la catégorie des titres à volatilité élevée (&gt;30%), ce qui implique un risque de marché significatif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(2 958,75 FCFA) et la MM50 (2 855,60 FCFA) sont toutes deux inférieures au cours actuel (2 980 FCFA), avec la MM20 au-dessus de la MM50, configurant un croisement haussier classique. Cette configuration en "golden cross" confirme la dynamique positive et justifie la décision d'ACHAT.</w:t>
      </w:r>
    </w:p>
    <w:p>
      <w:pPr>
        <w:spacing w:after="120" w:line="276" w:lineRule="auto"/>
      </w:pPr>
      <w:r>
        <w:t>**Bandes de Bollinger** : Le cours (2 980 FCFA) se situe dans la partie supérieure de la bande (borne supérieure à 3 159,35 FCFA, borne inférieure à 2 758,15 FCFA), sans toutefois la franchir. Cette position médiane-haute traduit une volatilité contenue et une absence de signal de surachat extrême, justifiant la décision NEUTRE.</w:t>
      </w:r>
    </w:p>
    <w:p>
      <w:pPr>
        <w:spacing w:after="120" w:line="276" w:lineRule="auto"/>
      </w:pPr>
      <w:r>
        <w:t>**MACD** : La valeur du MACD (24,599) est inférieure à son signal (35,363), générant un croisement baissier qui indique un essoufflement du momentum haussier malgré la tendance positive des moyennes mobiles. Cette divergence justifie la décision de VENTE à court terme.</w:t>
      </w:r>
    </w:p>
    <w:p>
      <w:pPr>
        <w:spacing w:after="120" w:line="276" w:lineRule="auto"/>
      </w:pPr>
      <w:r>
        <w:t>**RSI** : À 58,182, le RSI se situe en zone neutre (entre 30 et 70), sans signal de surachat (&gt;70) ni de survente (&lt;30). Cette position médiane indique un équilibre entre acheteurs et vendeurs, justifiant la décision NEUTRE.</w:t>
      </w:r>
    </w:p>
    <w:p>
      <w:pPr>
        <w:spacing w:after="120" w:line="276" w:lineRule="auto"/>
      </w:pPr>
      <w:r>
        <w:t>**Stochastique** : Le %K (61,017) est supérieur au %D (44,068), avec un croisement haussier récent qui suggère une reprise du momentum à court terme. Cependant, les deux lignes restent en zone neutre, justifiant la décision NEUTRE.</w:t>
      </w:r>
    </w:p>
    <w:p>
      <w:pPr>
        <w:spacing w:after="120" w:line="276" w:lineRule="auto"/>
      </w:pPr>
      <w:r>
        <w:t>**Conclusion technique** : Les indicateurs présentent une divergence notable : les moyennes mobiles confirment la tendance haussière de fond, mais le MACD signale un essoufflement du momentum, tandis que le RSI et le stochastique restent neutres. Cette configuration suggère une phase de consolidation possible après la forte hausse de +74%, avec un risque de correction à court terme. La convergence partielle des signaux plaide pour une prudence tactique, malgré un biais haussier de moyen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annuels de SDSC (AGL Côte d'Ivoire) révèlent une situation paradoxale : le chiffre d'affaires s'établit à 92,004 Mds FCFA, en croissance de +7,43% par rapport à 2024 (85,643 Mds FCFA), porté par les métiers logistiques et maritimes. Cependant, le résultat net s'effondre à 784,97 M FCFA contre 21,069 Mds FCFA en 2024, soit une chute de -96%, et le résultat d'exploitation devient négatif à -2,271 Mds FCFA. Les ratios de rentabilité sont alarmants : le ROE s'établit à 1,07% (très loin du seuil de 15% considéré comme excellent) et le ROA à 0,30%, tandis que la marge nette s'effondre à 0,85% contre 24,6% en 2024. En tant qu'entreprise logistique, SDSC présente un BFR négatif de -57,339 Mds FCFA (favorable), une trésorerie nette de 74,782 Mds FCFA et un flux opérationnel de 83,198 Mds FCFA, témoignant d'une solidité bilancielle indéniable malgré la dégradation des marges. L'endettement reste contenu avec un ratio d'endettement de 13,91% et une autonomie financière de 28,35% (légèrement sous le seuil de 30%), mais la couverture des intérêts est négative (-289,33%), signalant que l'exploitation ne couvre plus les charges financières. Les rapports trimestriels 2025 confirment cette tendance : le T1 2025 (publié le 08/04/2025) affichait un résultat net de +223 M FCFA (marge de 0,9%), le S1 2025 (publié le 30/06/2025) une perte de -427 M FCFA, et le T3 2025 (publié le 30/09/2025) un résultat net de 4,341 Mds FCFA en chute de -77% sur un an. On estime que l'exercice 2026 devrait bénéficier de la croissance du CA (+7,4%) et de la trésorerie abondante, mais la rentabilité restera sous pression si les produits financiers (dividendes des filiales) ne se redressent pas. La recommandation fondamentale est de CONSERVER avec vigilance : la solidité du bilan et la croissance du CA sont des atouts, mais l'effondrement de la rentabilité, le dividende réduit de -89% (544,353 M FCFA proposé contre 5,008 Mds FCFA en 2024) et les manquements réglementaires signalés (retards de publication) constituent des risques majeurs.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préoccupante entre la valorisation, le comportement du cours, les signaux techniques et les fondamentaux. La valorisation (Partie 0) est extrêmement tendue : PER de 206,7x, P/B de 2,21x et EV/EBITDA de 22,9x indiquent une surévaluation manifeste par rapport aux bénéfices actuels, le marché anticipant une reprise qui tarde à se matérialiser. Le comportement du cours (Partie 1) est haussier (+74,27% sur 100 jours) mais accompagné d'une volatilité élevée (52,1%) et d'un skewness négatif (-0,627) suggérant que la hausse pourrait être vulnérable à des corrections. Les signaux techniques (Partie 2) sont mitigés : les moyennes mobiles confirment la tendance haussière, mais le MACD génère un signal de vente, et le RSI/stochastique restent neutres, plaidant pour une consolidation. Les fondamentaux (Partie 3) sont paradoxaux : croissance du CA (+7,43%) et trésorerie solide (74,78 Mds FCFA) d'un côté, effondrement du résultat net (-96%) et rentabilité marginale (ROE de 1,07%) de l'autre. Les prédictions IA (J+1 à J+10) anticipent une légère correction de 2 986 FCFA à 2 955 FCFA, confirmant l'essoufflement technique et la prudence des investisseurs. Sur la base de cette synthèse, la recommandation finale est **CONSERVER** avec un niveau de confiance **Moyen** et un risque global **Élevé**. La convergence entre la surévaluation, l'essoufflement technique et la dégradation fondamentale justifie une grande prudence, tandis que la solidité du bilan et la croissance du CA incitent à ne pas vendre dans l'immédiat. L'horizon d'investissement optimal est le **moyen terme (3-12 mois)**, en surveillant attentivement la capacité de la direction à restaurer les marges opérationnelles et à clarifier sa politique de dividende lors des prochaines publications trimestrielles.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d\u2019\u00e9mettre une recommandation d\u2019achat ou de vente. En l\u2019absence d\u2019informations, une position neutre est retenue par d\u00e9faut."}</w:t>
      </w:r>
    </w:p>
    <w:p>
      <w:pPr>
        <w:spacing w:before="40"/>
        <w:ind w:left="400"/>
      </w:pPr>
      <w:r>
        <w:rPr>
          <w:sz w:val="18"/>
        </w:rPr>
        <w:t>Le document fourni ne contient que l’intitulé des états financiers de synthèse d’AGL au 31/12/2025. Aucun chiffre, commentaire ou détail comptable n’est inclus. Il est donc impossible d’évaluer la situation financière réelle de la société. Les états financiers annoncés sont exprimés en milliers de FCFA. Une analyse fiable nécessitera la publication des données complètes, notamment le bilan, le compte de résultat et les flux de trésorerie.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40"/>
        <w:ind w:left="400"/>
      </w:pPr>
      <w:r>
        <w:rPr>
          <w:b/>
          <w:color w:val="C05000"/>
          <w:sz w:val="18"/>
        </w:rPr>
        <w:t xml:space="preserve">⚠️ Risques : </w:t>
      </w:r>
      <w:r>
        <w:rPr>
          <w:sz w:val="18"/>
        </w:rPr>
        <w: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40"/>
        <w:ind w:left="400"/>
      </w:pPr>
      <w:r>
        <w:rPr>
          <w:sz w:val="18"/>
        </w:rPr>
        <w:t>AGL Côte d'Ivoire, S.A. a vu ses états financiers annuels de l'exercice clos le 31 décembre 2025 certifiés sans réserve par ses commissaires aux comptes (Deloitte Côte d'Ivoire et ECR International), qui concluent à une image fidèle du résultat et du patrimoine conformément au SYSCOHADA révisé. Le chiffre d'affaires s'établit à 92 004 millions FCFA, soit 98,37% du total des produits des activités ordinaires, porté par des métiers diversifiés (consignation, manutention, transit maritime, fret aérien/express, transport ferroviaire, agence de voyage et location immobilière). Les auditeurs ont identifié deux points clés d'audit : la reconnaissance du chiffre d'affaires, exposée à un risque d'ant</w:t>
      </w:r>
      <w:r>
        <w:rPr>
          <w:sz w:val="18"/>
        </w:rPr>
        <w: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
      <w:r>
        <w:t>════════════════════════════════════════════════════════════════════════════════</w:t>
      </w:r>
    </w:p>
    <w:p>
      <w:r>
        <w:br w:type="page"/>
      </w:r>
    </w:p>
    <w:p>
      <w:pPr>
        <w:pStyle w:val="Heading2"/>
        <w:spacing w:before="360"/>
      </w:pPr>
      <w:r>
        <w:rPr>
          <w:color w:val="0066CC"/>
        </w:rPr>
        <w:t>32.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1,495 FCFA</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β=1.1206 (Neutre (suit le marché)) — Cov=0.000043, Var(idx)=0.000038, ρ=0.241, n=82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6976"/>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16976"/>
                    </a:xfrm>
                    <a:prstGeom prst="rect"/>
                  </pic:spPr>
                </pic:pic>
              </a:graphicData>
            </a:graphic>
          </wp:inline>
        </w:drawing>
      </w:r>
    </w:p>
    <w:p/>
    <w:p>
      <w:pPr>
        <w:spacing w:after="120" w:line="276" w:lineRule="auto"/>
      </w:pPr>
      <w:r>
        <w:t>**RAPPORT D'ANALYSE FINANCIÈRE — ACTION SEMC (BRVM)**</w:t>
        <w:br/>
        <w:t>*Date d'analyse : mars 2026 | Cours de référence : 1 495 FCFA*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37,66 milliards FCFA, un niveau modeste à l'échelle de la BRVM qui la situe dans la catégorie des valeurs moyennes du compartiment industriel. Les ratios de valorisation classiques (BPA, PER, P/B, EV/EBITDA) ne sont pas calculables en l'état, les données financières structurées nécessaires à leur computation n'étant pas disponibles dans la base. Cette absence s'explique notamment par la suspension de la cote BRVM depuis janvier 2024 (flottant insuffisant de 10,42 % contre 15 % requis) et par le changement d'actionnariat en cours (rachat par Sonoco Products Company finalisé en décembre 2024), qui perturbent la publication de référentiels consolidés actualisés. L'investisseur devra donc s'appuyer sur les états financiers narratifs de 2023 et sur le contexte de restructuration pour apprécier la valorisation relative du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SEMC affiche une variation totale de -16,94 %, avec une dernière séance en repli de -1,64 %, confirmant une tendance baissière de fond. Le cours actuel de 1 495 FCFA évolue dans un range de 450 FCFA entre un plus haut de 1 800 FCFA et un plus bas de 1 350 FCFA, soit une amplitude de 33 % qui traduit une nervosité marquée. Les statistiques descriptives révèlent une moyenne de 1 527 FCFA légèrement supérieure à la médiane de 1 520 FCFA, avec un mode à 1 500 FCFA : l'écart faible entre ces trois mesures indique une distribution globalement centrée, mais le skewness positif de 0,558 signale une asymétrie avec davantage de journées sous la moyenne, typique d'une pression vendeuse persistante. L'écart-type de 69 FCFA (CV de 4,5 %) traduit une dispersion journalière modérée, mais le kurtosis excédentaire de 1,652 (distribution leptokurtique) avertit sur un risque de pics de volatilité et de mouvements extrêmes. La volatilité annualisée de 47,2 % positionne clairement SEMC dans la catégorie des titres à volatilité élevée (&gt;30 %), ce qui implique un profil de risque spéculatif nécessitant une tolérance importante aux fluctuations.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(1 540,75 FCFA) est supérieure à la MM50 (1 499,20 FCFA), et le cours actuel (1 495 FCFA) se situe sous ces deux références. Cette configuration en croisement haussier des moyennes contraste avec la position du cours, générant un signal d'achat théorique mais fragile, car le titre évolue en zone de résistance dynamique.</w:t>
      </w:r>
    </w:p>
    <w:p>
      <w:pPr>
        <w:spacing w:after="120" w:line="276" w:lineRule="auto"/>
      </w:pPr>
      <w:r>
        <w:t>**Bandes de Bollinger** : Le cours (1 495 FCFA) se situe dans la moitié inférieure de la bande, entre la borne inférieure (1 459,69 FCFA) et la borne supérieure (1 621,81 FCFA), sans contact avec les extrêmes. Cette position médiane justifie la décision neutre : ni signal de survente, ni élan haussier confirmé, avec une volatilité contenue dans les bandes.</w:t>
      </w:r>
    </w:p>
    <w:p>
      <w:pPr>
        <w:spacing w:after="120" w:line="276" w:lineRule="auto"/>
      </w:pPr>
      <w:r>
        <w:t>**MACD** : La valeur du MACD (8,254) est inférieure à son signal (13,045), configuration baissière classique indiquant un momentum négatif. La divergence négative entre les deux lignes justifie la décision de vente, le croisement étant déjà effectué et le MACD se dirigeant vers la zone négative.</w:t>
      </w:r>
    </w:p>
    <w:p>
      <w:pPr>
        <w:spacing w:after="120" w:line="276" w:lineRule="auto"/>
      </w:pPr>
      <w:r>
        <w:t>**RSI** : À 49,533, le RSI se situe exactement dans la zone neutre (30-70), sans signal de surachat (&gt;70) ni de survente (&lt;30). Cette position médiane confirme l'absence de pression directionnelle forte et justifie la décision neutre, le titre n'étant ni survendu ni suracheté.</w:t>
      </w:r>
    </w:p>
    <w:p>
      <w:pPr>
        <w:spacing w:after="120" w:line="276" w:lineRule="auto"/>
      </w:pPr>
      <w:r>
        <w:t>**Stochastique** : Le %K (34,615) est nettement inférieur au %D (57,692), avec un croisement baissier en zone basse. Cette configuration suggère une poursuite de la pression vendeuse à court terme, bien que le %K approchant la zone de survente (20) pourrait annoncer un rebond technique imminent.</w:t>
      </w:r>
    </w:p>
    <w:p>
      <w:pPr>
        <w:spacing w:after="120" w:line="276" w:lineRule="auto"/>
      </w:pPr>
      <w:r>
        <w:t>**Conclusion technique** : Les indicateurs présentent une divergence préoccupante : les moyennes mobiles suggèrent un achat (croisement haussier MM20&gt;MM50) tandis que le MACD et le stochastique confirment une pression baissière, et que le RSI et les Bollinger restent neutres. Cette absence de convergence signale un marché sans direction claire, dominé par l'indécision, avec un biais baissier à court terme porté par le momentum négatif du MACD et le croisement défavorable du stochastique.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états financiers annuels de SEMC pour l'exercice 2023, publiés au 31 décembre 2023 (rapports analysés en mars 2026), révèlent une situation contrastée. Le chiffre d'affaires 2023 s'établit à 27,88 milliards FCFA, en baisse de 6 % par rapport aux 29,60 milliards FCFA de 2022, sous l'effet d'une réduction des volumes vendus (-12 %, de 179 à 157 millions d'unités) et de la perte de clients clés (AIRONE : -81 % de CA, secteur Tomate : disparition des ventes). Le résultat net chute de 74 %, passant de 3,86 milliards FCFA en 2022 à 1,01 milliard FCFA en 2023, avec une marge nette qui s'effondre de 13,0 % à 3,6 %. La rentabilité des capitaux propres (ROE) se dégrade en conséquence, bien que le rapport ne fournisse pas de valeur explicite pour 2023. Le rapport du 1er trimestre 2023 (publié au 31 mars 2023) offrait pourtant des perspectives favorables : un CA de 7,65 milliards FCFA (+16,5 %) et un résultat net de 855,65 millions FCFA (+37,9 %), avec une marge nette de 11,2 %. L'effondrement annuel s'explique par la détérioration du résultat d'exploitation (-55 %, de 3,26 à 1,93 milliard FCFA), une perte financière de 9 millions FCFA (contre +1,6 milliard en 2022, liée à l'absence de dividendes de la filiale ghanéenne), des amendes fiscales en hausse et une dépréciation des stocks. La politique de dividende est suspendue (0 FCFA en 2023 comme en 2022), la trésorerie (3,35 milliards FCFA) étant conservée pour financer la relance et faire face à la suspension de la cote. Les perspectives 2024 tablaient sur un CA de 32 milliards FCFA (+18 %), porté par les bouchons couronnes (+61 % en volume) et les exportations (Sénégal), mais le rachat par Sonoco Products Company (finalisé en décembre 2024) introduit une incertitude stratégique majeure. La recommandation fondamentale est de **conserver avec vigilance** : les fondamentaux 2023 sont dégradés, mais le potentiel de rebond et l'arrivée d'un acteur mondial de l'emballage constituent des leviers de relance à moyen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complexe et contradictoire. La valorisation (Partie 0) reste illisible faute de ratios calculables, mais la capitalisation modeste de 37,66 milliards FCFA et le contexte de restructuration suggèrent une potentielle sous-évaluation si la relance opérationnelle se confirme. Le comportement du cours (Partie 1) est clairement baissier (-16,94 % sur 100 jours), avec une volatilité élevée (47,2 %) et une distribution leptokurtique (kurtosis 1,652) qui expose l'investisseur à des pics de risque, tandis que le skewness positif (0,558) indique une pression vendeuse persistante. Les signaux techniques (Partie 2) sont divergents : les moyennes mobiles donnent un signal d'achat fragile, mais le MACD et le stochastique confirment un momentum baissier, le RSI et les Bollinger restant neutres — cette absence de convergence plaide pour la prudence. Les fondamentaux (Partie 3) sont dégradés pour 2023 (CA -6 %, résultat net -74 %, marge nette à 3,6 %), mais les perspectives 2024 (objectif CA +18 %) et le rachat par Sonoco offrent un potentiel de rebond, sous réserve de l'exécution du plan de relance et de la levée de la suspension BRVM. En l'absence de prédictions IA disponibles, la trajectoire future reste incertaine. Sur la base de cette synthèse, la recommandation finale est **CONSERVER**, avec un niveau de confiance **Moyen** et un niveau de risque **Élevé**. La convergence entre technique baissière et fondamentaux dégradés justifie la prudence, mais le potentiel de relance et la valorisation modeste interdisent une vente précipitée. L'horizon d'investissement optimal est le **moyen terme (3-12 mois)**, le temps que se matérialisent les effets du rachat par Sonoco et la reprise des exportations, avec un suivi rapproché des indicateurs clés (marge nette, volumes vendus, levée de la suspension BRVM).</w:t>
      </w:r>
    </w:p>
    <w:p/>
    <w:p/>
    <w:p>
      <w:r>
        <w:t>════════════════════════════════════════════════════════════════════════════════</w:t>
      </w:r>
    </w:p>
    <w:p>
      <w:r>
        <w:br w:type="page"/>
      </w:r>
    </w:p>
    <w:p>
      <w:pPr>
        <w:pStyle w:val="Heading2"/>
        <w:spacing w:before="360"/>
      </w:pPr>
      <w:r>
        <w:rPr>
          <w:color w:val="0066CC"/>
        </w:rPr>
        <w:t>33.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1219.40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5,178 titres</w:t>
            </w:r>
          </w:p>
        </w:tc>
        <w:tc>
          <w:tcPr>
            <w:tcW w:type="dxa" w:w="2268"/>
            <w:shd w:fill="FFF2CC" w:val="clear"/>
          </w:tcPr>
          <w:p>
            <w:r>
              <w:rPr>
                <w:b/>
                <w:color w:val="503200"/>
                <w:sz w:val="16"/>
              </w:rPr>
              <w:t xml:space="preserve">Cours actuel : </w:t>
            </w:r>
            <w:r>
              <w:rPr>
                <w:color w:val="000000"/>
                <w:sz w:val="17"/>
              </w:rPr>
              <w:t>39,195 FCFA</w:t>
            </w:r>
          </w:p>
          <w:p>
            <w:r>
              <w:rPr>
                <w:b/>
                <w:color w:val="503200"/>
                <w:sz w:val="16"/>
              </w:rPr>
              <w:t xml:space="preserve">Var. 100 jours : </w:t>
            </w:r>
            <w:r>
              <w:rPr>
                <w:b/>
                <w:color w:val="007800"/>
                <w:sz w:val="17"/>
              </w:rPr>
              <w:t>+8.89%</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35,995 FCFA</w:t>
            </w:r>
          </w:p>
          <w:p>
            <w:r>
              <w:rPr>
                <w:b/>
                <w:color w:val="503200"/>
                <w:sz w:val="16"/>
              </w:rPr>
              <w:t xml:space="preserve">Volatilité ann. : </w:t>
            </w:r>
            <w:r>
              <w:rPr>
                <w:color w:val="000000"/>
                <w:sz w:val="17"/>
              </w:rPr>
              <w:t>21.1%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2.04% (Faible) — μ=38,381 FCFA, σ=784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β=0.4639 (Défensif) — Cov=0.000034, Var(idx)=0.000073, ρ=0.298,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5,178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σ_j=1.33%/j (Stable) — Vol. annualisée≈21.1%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2026-10-13</w:t>
            </w:r>
          </w:p>
        </w:tc>
        <w:tc>
          <w:tcPr>
            <w:tcW w:type="dxa" w:w="1440"/>
            <w:shd w:fill="FAFAFA" w:val="clear"/>
          </w:tcPr>
          <w:p>
            <w:r>
              <w:rPr>
                <w:sz w:val="17"/>
              </w:rPr>
              <w:t>37,977</w:t>
            </w:r>
          </w:p>
        </w:tc>
        <w:tc>
          <w:tcPr>
            <w:tcW w:type="dxa" w:w="1440"/>
            <w:shd w:fill="FAFAFA" w:val="clear"/>
          </w:tcPr>
          <w:p>
            <w:r>
              <w:rPr>
                <w:b/>
                <w:sz w:val="17"/>
              </w:rPr>
              <w:t>38,809</w:t>
            </w:r>
          </w:p>
        </w:tc>
        <w:tc>
          <w:tcPr>
            <w:tcW w:type="dxa" w:w="1440"/>
            <w:shd w:fill="FAFAFA" w:val="clear"/>
          </w:tcPr>
          <w:p>
            <w:r>
              <w:rPr>
                <w:sz w:val="17"/>
              </w:rPr>
              <w:t>39,641</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2026-10-14</w:t>
            </w:r>
          </w:p>
        </w:tc>
        <w:tc>
          <w:tcPr>
            <w:tcW w:type="dxa" w:w="1440"/>
            <w:shd w:fill="FAFAFA" w:val="clear"/>
          </w:tcPr>
          <w:p>
            <w:r>
              <w:rPr>
                <w:sz w:val="17"/>
              </w:rPr>
              <w:t>37,565</w:t>
            </w:r>
          </w:p>
        </w:tc>
        <w:tc>
          <w:tcPr>
            <w:tcW w:type="dxa" w:w="1440"/>
            <w:shd w:fill="FAFAFA" w:val="clear"/>
          </w:tcPr>
          <w:p>
            <w:r>
              <w:rPr>
                <w:b/>
                <w:sz w:val="17"/>
              </w:rPr>
              <w:t>38,739</w:t>
            </w:r>
          </w:p>
        </w:tc>
        <w:tc>
          <w:tcPr>
            <w:tcW w:type="dxa" w:w="1440"/>
            <w:shd w:fill="FAFAFA" w:val="clear"/>
          </w:tcPr>
          <w:p>
            <w:r>
              <w:rPr>
                <w:sz w:val="17"/>
              </w:rPr>
              <w:t>39,914</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2026-10-15</w:t>
            </w:r>
          </w:p>
        </w:tc>
        <w:tc>
          <w:tcPr>
            <w:tcW w:type="dxa" w:w="1440"/>
            <w:shd w:fill="FAFAFA" w:val="clear"/>
          </w:tcPr>
          <w:p>
            <w:r>
              <w:rPr>
                <w:sz w:val="17"/>
              </w:rPr>
              <w:t>37,229</w:t>
            </w:r>
          </w:p>
        </w:tc>
        <w:tc>
          <w:tcPr>
            <w:tcW w:type="dxa" w:w="1440"/>
            <w:shd w:fill="FAFAFA" w:val="clear"/>
          </w:tcPr>
          <w:p>
            <w:r>
              <w:rPr>
                <w:b/>
                <w:sz w:val="17"/>
              </w:rPr>
              <w:t>38,664</w:t>
            </w:r>
          </w:p>
        </w:tc>
        <w:tc>
          <w:tcPr>
            <w:tcW w:type="dxa" w:w="1440"/>
            <w:shd w:fill="FAFAFA" w:val="clear"/>
          </w:tcPr>
          <w:p>
            <w:r>
              <w:rPr>
                <w:sz w:val="17"/>
              </w:rPr>
              <w:t>40,099</w:t>
            </w:r>
          </w:p>
        </w:tc>
        <w:tc>
          <w:tcPr>
            <w:tcW w:type="dxa" w:w="1440"/>
            <w:shd w:fill="FAFAFA" w:val="clear"/>
          </w:tcPr>
          <w:p>
            <w:r>
              <w:rPr>
                <w:b/>
                <w:color w:val="C00000"/>
                <w:sz w:val="17"/>
              </w:rPr>
              <w:t>-1.4%</w:t>
            </w:r>
          </w:p>
        </w:tc>
      </w:tr>
      <w:tr>
        <w:tc>
          <w:tcPr>
            <w:tcW w:type="dxa" w:w="1440"/>
            <w:shd w:fill="FAFAFA" w:val="clear"/>
          </w:tcPr>
          <w:p>
            <w:r>
              <w:rPr>
                <w:sz w:val="17"/>
              </w:rPr>
              <w:t>J+4  Moyenne</w:t>
            </w:r>
          </w:p>
        </w:tc>
        <w:tc>
          <w:tcPr>
            <w:tcW w:type="dxa" w:w="1440"/>
            <w:shd w:fill="FAFAFA" w:val="clear"/>
          </w:tcPr>
          <w:p>
            <w:r>
              <w:rPr>
                <w:sz w:val="17"/>
              </w:rPr>
              <w:t>2026-10-16</w:t>
            </w:r>
          </w:p>
        </w:tc>
        <w:tc>
          <w:tcPr>
            <w:tcW w:type="dxa" w:w="1440"/>
            <w:shd w:fill="FAFAFA" w:val="clear"/>
          </w:tcPr>
          <w:p>
            <w:r>
              <w:rPr>
                <w:sz w:val="17"/>
              </w:rPr>
              <w:t>36,938</w:t>
            </w:r>
          </w:p>
        </w:tc>
        <w:tc>
          <w:tcPr>
            <w:tcW w:type="dxa" w:w="1440"/>
            <w:shd w:fill="FAFAFA" w:val="clear"/>
          </w:tcPr>
          <w:p>
            <w:r>
              <w:rPr>
                <w:b/>
                <w:sz w:val="17"/>
              </w:rPr>
              <w:t>38,592</w:t>
            </w:r>
          </w:p>
        </w:tc>
        <w:tc>
          <w:tcPr>
            <w:tcW w:type="dxa" w:w="1440"/>
            <w:shd w:fill="FAFAFA" w:val="clear"/>
          </w:tcPr>
          <w:p>
            <w:r>
              <w:rPr>
                <w:sz w:val="17"/>
              </w:rPr>
              <w:t>40,247</w:t>
            </w:r>
          </w:p>
        </w:tc>
        <w:tc>
          <w:tcPr>
            <w:tcW w:type="dxa" w:w="1440"/>
            <w:shd w:fill="FAFAFA" w:val="clear"/>
          </w:tcPr>
          <w:p>
            <w:r>
              <w:rPr>
                <w:b/>
                <w:color w:val="C00000"/>
                <w:sz w:val="17"/>
              </w:rPr>
              <w:t>-1.5%</w:t>
            </w:r>
          </w:p>
        </w:tc>
      </w:tr>
      <w:tr>
        <w:tc>
          <w:tcPr>
            <w:tcW w:type="dxa" w:w="1440"/>
            <w:shd w:fill="FAFAFA" w:val="clear"/>
          </w:tcPr>
          <w:p>
            <w:r>
              <w:rPr>
                <w:sz w:val="17"/>
              </w:rPr>
              <w:t>J+5  Moyenne</w:t>
            </w:r>
          </w:p>
        </w:tc>
        <w:tc>
          <w:tcPr>
            <w:tcW w:type="dxa" w:w="1440"/>
            <w:shd w:fill="FAFAFA" w:val="clear"/>
          </w:tcPr>
          <w:p>
            <w:r>
              <w:rPr>
                <w:sz w:val="17"/>
              </w:rPr>
              <w:t>2026-10-19</w:t>
            </w:r>
          </w:p>
        </w:tc>
        <w:tc>
          <w:tcPr>
            <w:tcW w:type="dxa" w:w="1440"/>
            <w:shd w:fill="FAFAFA" w:val="clear"/>
          </w:tcPr>
          <w:p>
            <w:r>
              <w:rPr>
                <w:sz w:val="17"/>
              </w:rPr>
              <w:t>36,679</w:t>
            </w:r>
          </w:p>
        </w:tc>
        <w:tc>
          <w:tcPr>
            <w:tcW w:type="dxa" w:w="1440"/>
            <w:shd w:fill="FAFAFA" w:val="clear"/>
          </w:tcPr>
          <w:p>
            <w:r>
              <w:rPr>
                <w:b/>
                <w:sz w:val="17"/>
              </w:rPr>
              <w:t>38,525</w:t>
            </w:r>
          </w:p>
        </w:tc>
        <w:tc>
          <w:tcPr>
            <w:tcW w:type="dxa" w:w="1440"/>
            <w:shd w:fill="FAFAFA" w:val="clear"/>
          </w:tcPr>
          <w:p>
            <w:r>
              <w:rPr>
                <w:sz w:val="17"/>
              </w:rPr>
              <w:t>40,372</w:t>
            </w:r>
          </w:p>
        </w:tc>
        <w:tc>
          <w:tcPr>
            <w:tcW w:type="dxa" w:w="1440"/>
            <w:shd w:fill="FAFAFA" w:val="clear"/>
          </w:tcPr>
          <w:p>
            <w:r>
              <w:rPr>
                <w:b/>
                <w:color w:val="C00000"/>
                <w:sz w:val="17"/>
              </w:rPr>
              <w:t>-1.7%</w:t>
            </w:r>
          </w:p>
        </w:tc>
      </w:tr>
      <w:tr>
        <w:tc>
          <w:tcPr>
            <w:tcW w:type="dxa" w:w="1440"/>
            <w:shd w:fill="FAFAFA" w:val="clear"/>
          </w:tcPr>
          <w:p>
            <w:r>
              <w:rPr>
                <w:sz w:val="17"/>
              </w:rPr>
              <w:t>J+6  Moyenne</w:t>
            </w:r>
          </w:p>
        </w:tc>
        <w:tc>
          <w:tcPr>
            <w:tcW w:type="dxa" w:w="1440"/>
            <w:shd w:fill="FAFAFA" w:val="clear"/>
          </w:tcPr>
          <w:p>
            <w:r>
              <w:rPr>
                <w:sz w:val="17"/>
              </w:rPr>
              <w:t>2026-10-20</w:t>
            </w:r>
          </w:p>
        </w:tc>
        <w:tc>
          <w:tcPr>
            <w:tcW w:type="dxa" w:w="1440"/>
            <w:shd w:fill="FAFAFA" w:val="clear"/>
          </w:tcPr>
          <w:p>
            <w:r>
              <w:rPr>
                <w:sz w:val="17"/>
              </w:rPr>
              <w:t>36,442</w:t>
            </w:r>
          </w:p>
        </w:tc>
        <w:tc>
          <w:tcPr>
            <w:tcW w:type="dxa" w:w="1440"/>
            <w:shd w:fill="FAFAFA" w:val="clear"/>
          </w:tcPr>
          <w:p>
            <w:r>
              <w:rPr>
                <w:b/>
                <w:sz w:val="17"/>
              </w:rPr>
              <w:t>38,461</w:t>
            </w:r>
          </w:p>
        </w:tc>
        <w:tc>
          <w:tcPr>
            <w:tcW w:type="dxa" w:w="1440"/>
            <w:shd w:fill="FAFAFA" w:val="clear"/>
          </w:tcPr>
          <w:p>
            <w:r>
              <w:rPr>
                <w:sz w:val="17"/>
              </w:rPr>
              <w:t>40,480</w:t>
            </w:r>
          </w:p>
        </w:tc>
        <w:tc>
          <w:tcPr>
            <w:tcW w:type="dxa" w:w="1440"/>
            <w:shd w:fill="FAFAFA" w:val="clear"/>
          </w:tcPr>
          <w:p>
            <w:r>
              <w:rPr>
                <w:b/>
                <w:color w:val="C00000"/>
                <w:sz w:val="17"/>
              </w:rPr>
              <w:t>-1.9%</w:t>
            </w:r>
          </w:p>
        </w:tc>
      </w:tr>
      <w:tr>
        <w:tc>
          <w:tcPr>
            <w:tcW w:type="dxa" w:w="1440"/>
            <w:shd w:fill="FFDCE0" w:val="clear"/>
          </w:tcPr>
          <w:p>
            <w:r>
              <w:rPr>
                <w:sz w:val="17"/>
              </w:rPr>
              <w:t>J+7  Moyenne</w:t>
            </w:r>
          </w:p>
        </w:tc>
        <w:tc>
          <w:tcPr>
            <w:tcW w:type="dxa" w:w="1440"/>
            <w:shd w:fill="FFDCE0" w:val="clear"/>
          </w:tcPr>
          <w:p>
            <w:r>
              <w:rPr>
                <w:sz w:val="17"/>
              </w:rPr>
              <w:t>2026-10-21</w:t>
            </w:r>
          </w:p>
        </w:tc>
        <w:tc>
          <w:tcPr>
            <w:tcW w:type="dxa" w:w="1440"/>
            <w:shd w:fill="FFDCE0" w:val="clear"/>
          </w:tcPr>
          <w:p>
            <w:r>
              <w:rPr>
                <w:sz w:val="17"/>
              </w:rPr>
              <w:t>36,221</w:t>
            </w:r>
          </w:p>
        </w:tc>
        <w:tc>
          <w:tcPr>
            <w:tcW w:type="dxa" w:w="1440"/>
            <w:shd w:fill="FFDCE0" w:val="clear"/>
          </w:tcPr>
          <w:p>
            <w:r>
              <w:rPr>
                <w:b/>
                <w:sz w:val="17"/>
              </w:rPr>
              <w:t>38,399</w:t>
            </w:r>
          </w:p>
        </w:tc>
        <w:tc>
          <w:tcPr>
            <w:tcW w:type="dxa" w:w="1440"/>
            <w:shd w:fill="FFDCE0" w:val="clear"/>
          </w:tcPr>
          <w:p>
            <w:r>
              <w:rPr>
                <w:sz w:val="17"/>
              </w:rPr>
              <w:t>40,576</w:t>
            </w:r>
          </w:p>
        </w:tc>
        <w:tc>
          <w:tcPr>
            <w:tcW w:type="dxa" w:w="1440"/>
            <w:shd w:fill="FFDCE0" w:val="clear"/>
          </w:tcPr>
          <w:p>
            <w:r>
              <w:rPr>
                <w:b/>
                <w:color w:val="C00000"/>
                <w:sz w:val="17"/>
              </w:rPr>
              <w:t>-2.0%</w:t>
            </w:r>
          </w:p>
        </w:tc>
      </w:tr>
      <w:tr>
        <w:tc>
          <w:tcPr>
            <w:tcW w:type="dxa" w:w="1440"/>
            <w:shd w:fill="FFDCE0" w:val="clear"/>
          </w:tcPr>
          <w:p>
            <w:r>
              <w:rPr>
                <w:sz w:val="17"/>
              </w:rPr>
              <w:t>J+8  Moyenne</w:t>
            </w:r>
          </w:p>
        </w:tc>
        <w:tc>
          <w:tcPr>
            <w:tcW w:type="dxa" w:w="1440"/>
            <w:shd w:fill="FFDCE0" w:val="clear"/>
          </w:tcPr>
          <w:p>
            <w:r>
              <w:rPr>
                <w:sz w:val="17"/>
              </w:rPr>
              <w:t>2026-10-22</w:t>
            </w:r>
          </w:p>
        </w:tc>
        <w:tc>
          <w:tcPr>
            <w:tcW w:type="dxa" w:w="1440"/>
            <w:shd w:fill="FFDCE0" w:val="clear"/>
          </w:tcPr>
          <w:p>
            <w:r>
              <w:rPr>
                <w:sz w:val="17"/>
              </w:rPr>
              <w:t>36,014</w:t>
            </w:r>
          </w:p>
        </w:tc>
        <w:tc>
          <w:tcPr>
            <w:tcW w:type="dxa" w:w="1440"/>
            <w:shd w:fill="FFDCE0" w:val="clear"/>
          </w:tcPr>
          <w:p>
            <w:r>
              <w:rPr>
                <w:b/>
                <w:sz w:val="17"/>
              </w:rPr>
              <w:t>38,338</w:t>
            </w:r>
          </w:p>
        </w:tc>
        <w:tc>
          <w:tcPr>
            <w:tcW w:type="dxa" w:w="1440"/>
            <w:shd w:fill="FFDCE0" w:val="clear"/>
          </w:tcPr>
          <w:p>
            <w:r>
              <w:rPr>
                <w:sz w:val="17"/>
              </w:rPr>
              <w:t>40,662</w:t>
            </w:r>
          </w:p>
        </w:tc>
        <w:tc>
          <w:tcPr>
            <w:tcW w:type="dxa" w:w="1440"/>
            <w:shd w:fill="FFDCE0" w:val="clear"/>
          </w:tcPr>
          <w:p>
            <w:r>
              <w:rPr>
                <w:b/>
                <w:color w:val="C00000"/>
                <w:sz w:val="17"/>
              </w:rPr>
              <w:t>-2.2%</w:t>
            </w:r>
          </w:p>
        </w:tc>
      </w:tr>
      <w:tr>
        <w:tc>
          <w:tcPr>
            <w:tcW w:type="dxa" w:w="1440"/>
            <w:shd w:fill="FFDCE0" w:val="clear"/>
          </w:tcPr>
          <w:p>
            <w:r>
              <w:rPr>
                <w:sz w:val="17"/>
              </w:rPr>
              <w:t>J+9  Moyenne</w:t>
            </w:r>
          </w:p>
        </w:tc>
        <w:tc>
          <w:tcPr>
            <w:tcW w:type="dxa" w:w="1440"/>
            <w:shd w:fill="FFDCE0" w:val="clear"/>
          </w:tcPr>
          <w:p>
            <w:r>
              <w:rPr>
                <w:sz w:val="17"/>
              </w:rPr>
              <w:t>2026-10-23</w:t>
            </w:r>
          </w:p>
        </w:tc>
        <w:tc>
          <w:tcPr>
            <w:tcW w:type="dxa" w:w="1440"/>
            <w:shd w:fill="FFDCE0" w:val="clear"/>
          </w:tcPr>
          <w:p>
            <w:r>
              <w:rPr>
                <w:sz w:val="17"/>
              </w:rPr>
              <w:t>35,817</w:t>
            </w:r>
          </w:p>
        </w:tc>
        <w:tc>
          <w:tcPr>
            <w:tcW w:type="dxa" w:w="1440"/>
            <w:shd w:fill="FFDCE0" w:val="clear"/>
          </w:tcPr>
          <w:p>
            <w:r>
              <w:rPr>
                <w:b/>
                <w:sz w:val="17"/>
              </w:rPr>
              <w:t>38,278</w:t>
            </w:r>
          </w:p>
        </w:tc>
        <w:tc>
          <w:tcPr>
            <w:tcW w:type="dxa" w:w="1440"/>
            <w:shd w:fill="FFDCE0" w:val="clear"/>
          </w:tcPr>
          <w:p>
            <w:r>
              <w:rPr>
                <w:sz w:val="17"/>
              </w:rPr>
              <w:t>40,739</w:t>
            </w:r>
          </w:p>
        </w:tc>
        <w:tc>
          <w:tcPr>
            <w:tcW w:type="dxa" w:w="1440"/>
            <w:shd w:fill="FFDCE0" w:val="clear"/>
          </w:tcPr>
          <w:p>
            <w:r>
              <w:rPr>
                <w:b/>
                <w:color w:val="C00000"/>
                <w:sz w:val="17"/>
              </w:rPr>
              <w:t>-2.3%</w:t>
            </w:r>
          </w:p>
        </w:tc>
      </w:tr>
      <w:tr>
        <w:tc>
          <w:tcPr>
            <w:tcW w:type="dxa" w:w="1440"/>
            <w:shd w:fill="FFDCE0" w:val="clear"/>
          </w:tcPr>
          <w:p>
            <w:r>
              <w:rPr>
                <w:sz w:val="17"/>
              </w:rPr>
              <w:t>J+10  Moyenne</w:t>
            </w:r>
          </w:p>
        </w:tc>
        <w:tc>
          <w:tcPr>
            <w:tcW w:type="dxa" w:w="1440"/>
            <w:shd w:fill="FFDCE0" w:val="clear"/>
          </w:tcPr>
          <w:p>
            <w:r>
              <w:rPr>
                <w:sz w:val="17"/>
              </w:rPr>
              <w:t>2026-10-26</w:t>
            </w:r>
          </w:p>
        </w:tc>
        <w:tc>
          <w:tcPr>
            <w:tcW w:type="dxa" w:w="1440"/>
            <w:shd w:fill="FFDCE0" w:val="clear"/>
          </w:tcPr>
          <w:p>
            <w:r>
              <w:rPr>
                <w:sz w:val="17"/>
              </w:rPr>
              <w:t>35,629</w:t>
            </w:r>
          </w:p>
        </w:tc>
        <w:tc>
          <w:tcPr>
            <w:tcW w:type="dxa" w:w="1440"/>
            <w:shd w:fill="FFDCE0" w:val="clear"/>
          </w:tcPr>
          <w:p>
            <w:r>
              <w:rPr>
                <w:b/>
                <w:sz w:val="17"/>
              </w:rPr>
              <w:t>38,219</w:t>
            </w:r>
          </w:p>
        </w:tc>
        <w:tc>
          <w:tcPr>
            <w:tcW w:type="dxa" w:w="1440"/>
            <w:shd w:fill="FFDCE0" w:val="clear"/>
          </w:tcPr>
          <w:p>
            <w:r>
              <w:rPr>
                <w:sz w:val="17"/>
              </w:rPr>
              <w:t>40,810</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 RAPPORT D'ANALYSE FINANCIÈRE — SGBC (Société Générale Côte d'Ivoire)</w:t>
        <w:br/>
        <w:t>### BRVM | Secteur : Banque | Analyse au 13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**1 219,40 Mds FCFA**, SGBC figure parmi les valeurs les plus importantes de la BRVM, ce qui en fait un pilier de l'indice composite et un titre de référence pour les investisseurs institutionnels de la zone UEMOA. Le **BPA de 3 258 FCFA/action** signifie que chaque titre détenu génère près de 3 258 FCFA de bénéfice net, un niveau remarquablement élevé qui traduit la forte rentabilité intrinsèque de la banque. Le **PER de 12,0x** situe le titre légèrement au-dessus de la moyenne BRVM (~8-12x), mais reste modéré au regard de la qualité des fondamentaux et de la régularité des résultats ; les investisseurs ne paient donc pas de prime excessive pour les bénéfices. Le **P/B de 2,46x** indique que le marché valorise SGBC à 2,46 fois sa valeur comptable, une prime de croissance justifiée par un ROE de 20,5% nettement supérieur au coût des fonds propres. En revanche, l'**EV/EBITDA de 24,7x** apparaît très exigeant (&gt; 15x), signalant que la valeur d'entreprise intègre déjà une anticipation de croissance soutenue ; ce ratio, moins pertinent pour une banque que le PER ou le P/B, invite néanmoins à la prudence sur le potentiel de revalorisation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SGBC affiche une **variation totale de +8,89%**, avec une dernière séance en légère hausse de **+0,50%**, confirmant une dynamique haussière régulière. Le cours actuel de **39 195 FCFA** évolue dans un range étroit entre un plus bas de **35 995 FCFA** et un plus haut de **39 300 FCFA**, soit une amplitude de seulement 9,2% — signe d'une tendance stable et maîtrisée plutôt que d'une volatilité erratique. La **moyenne (38 381 FCFA)** est inférieure à la **médiane (38 800 FCFA)**, ce qui traduit une asymétrie négative : le cours a passé plus de temps au-dessus de sa moyenne, cohérent avec le **skewness de -1,222** (asymétrie négative, plus de journées au-dessus de la moyenne). L'**écart-type de 788 FCFA** avec un **CV de 2,1%** indique une dispersion très faible du cours, donc une grande stabilité relative. Le **kurtosis de 1,027 (leptokurtique)** signale des queues épaisses, c'est-à-dire un risque de pics de volatilité ponctuels malgré la stabilité apparente. Enfin, la **volatilité annualisée de 21,1%** place le titre dans la catégorie modérée (15-30%), ce qui est raisonnable pour une valeur bancaire de premier plan sur la BRVM.</w:t>
      </w:r>
    </w:p>
    <w:p>
      <w:pPr>
        <w:spacing w:after="120" w:line="276" w:lineRule="auto"/>
      </w:pPr>
      <w:r>
        <w:t>---</w:t>
      </w:r>
    </w:p>
    <w:p>
      <w:pPr>
        <w:spacing w:after="120" w:line="276" w:lineRule="auto"/>
      </w:pPr>
      <w:r>
        <w:t>## PARTIE 2 : ANALYSE TECHNIQUE DÉTAILLÉE</w:t>
      </w:r>
    </w:p>
    <w:p>
      <w:pPr>
        <w:spacing w:after="120" w:line="276" w:lineRule="auto"/>
      </w:pPr>
      <w:r>
        <w:t>**Moyennes Mobiles** : La MM20 (38 722,5 FCFA) et la MM50 (38 603,9 FCFA) sont toutes deux inférieures au cours actuel (39 195 FCFA), et la MM20 se situe au-dessus de la MM50, configuration classique de tendance haussière. Le signal est donc **Achat**, confirmé par la position du cours au-dessus des deux moyennes.</w:t>
      </w:r>
    </w:p>
    <w:p>
      <w:pPr>
        <w:spacing w:after="120" w:line="276" w:lineRule="auto"/>
      </w:pPr>
      <w:r>
        <w:t>**Bandes de Bollinger** : Le cours (39 195 FCFA) évolue dans la partie haute du canal, proche de la borne supérieure (39 605,5 FCFA) et bien au-dessus de la borne inférieure (37 839,5 FCFA). L'absence de contact avec les bornes extrêmes et un canal relativement resserré traduisent une volatilité contenue ; le signal est **Neutre**, le titre n'étant ni en surchauffe ni en survente.</w:t>
      </w:r>
    </w:p>
    <w:p>
      <w:pPr>
        <w:spacing w:after="120" w:line="276" w:lineRule="auto"/>
      </w:pPr>
      <w:r>
        <w:t>**MACD** : La valeur du MACD (166,279) est nettement supérieure à son signal (118,873), avec un histogramme positif en expansion. Cette divergence positive confirme un momentum haussier solide et justifie le signal **Achat**.</w:t>
      </w:r>
    </w:p>
    <w:p>
      <w:pPr>
        <w:spacing w:after="120" w:line="276" w:lineRule="auto"/>
      </w:pPr>
      <w:r>
        <w:t>**RSI** : À **66,392**, le RSI se situe dans la zone neutre haute, sans atteindre le seuil de surachat (70). Le signal est **Neutre**, mais la proximité du seuil de surachat invite à la vigilance sur un essoufflement potentiel à court terme.</w:t>
      </w:r>
    </w:p>
    <w:p>
      <w:pPr>
        <w:spacing w:after="120" w:line="276" w:lineRule="auto"/>
      </w:pPr>
      <w:r>
        <w:t>**Stochastique** : Le %K (99,588) est très proche de son maximum et au-dessus du %D (94,376), ce qui place l'indicateur en zone de surachat extrême. Le signal est **Vente**, suggérant un risque de correction technique imminent malgré la tendance haussière de fond.</w:t>
      </w:r>
    </w:p>
    <w:p>
      <w:pPr>
        <w:spacing w:after="120" w:line="276" w:lineRule="auto"/>
      </w:pPr>
      <w:r>
        <w:t>**Conclusion technique** : Les indicateurs de tendance (MM, MACD) sont clairement haussiers et confirment la dynamique positive du titre, tandis que les oscillateurs (Stochastique, RSI) signalent une zone de surachat proche. Cette divergence entre tendance et momentum suggère que le titre pourrait consolider à court terme avant de reprendre sa progression. La configuration globale reste favorable mais appelle à la prudence sur les points d'entrée.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SGBC affiche un **PNB de 276 048 M FCFA**, un **résultat net de 101 352 M FCFA** et un **total bilan de 3 769 174 M FCFA**. La rentabilité est excellente avec un **ROE de 20,47%** (&gt; 15% = excellent) et un **ROA de 2,69%**, tandis que la **marge nette de 36,72%** confirme la qualité du modèle. Le **coefficient d'exploitation de 38,75%** (&lt; 60% = banque efficace, &lt; 50% = excellente) place SGBC parmi les établissements les plus efficients du secteur. La structure financière montre une **autonomie financière de 13,14%** (capitaux propres/total bilan) et une **solvabilité générale de 115,12%** (&gt; 1 = solvable), avec une **couverture des intérêts de 255,88%** qui traduit une capacité de remboursement confortable. Le **taux de croissance du PNB de 4,88%** témoigne d'une dynamique commerciale modérée mais positive.</w:t>
      </w:r>
    </w:p>
    <w:p>
      <w:pPr>
        <w:spacing w:after="120" w:line="276" w:lineRule="auto"/>
      </w:pPr>
      <w:r>
        <w:t>**Adaptation au secteur bancaire** : La transformation bancaire est saine avec des **dépôts clientèle de 2 907 675 M FCFA** contre des **créances sur la clientèle de 2 546 290 M FCFA**, soit un ratio crédits/dépôts de 87,6% — un niveau équilibré qui reflète une politique de crédit rigoureuse. Le **coût du risque** (provisions de 17 995 M FCFA rapportées aux charges financières de 47 775 M FCFA) ressort à environ 37,7%, un niveau à surveiller mais contenu au regard de la qualité globale du portefeuille.</w:t>
      </w:r>
    </w:p>
    <w:p>
      <w:pPr>
        <w:spacing w:after="120" w:line="276" w:lineRule="auto"/>
      </w:pPr>
      <w:r>
        <w:t>**Estimations basées sur les rapports trimestriels** : Le rapport **S1 2026 (publié le 27 août 2026)** indique un PNB de 134 059 M FCFA (+1,6%) et un résultat net de 53 350 M FCFA (+0,5%), avec un coefficient d'exploitation en amélioration à 36,7% et un ratio de solvabilité de 17,6%. Le rapport **T1 2026 (publié le 30 avril 2026)** faisait état d'un PNB de 65 644 M FCFA (-1%) et d'un résultat net de 23 976 M FCFA (-11%), impacté par la migration vers une nouvelle plateforme digitale. Sur la base de ces éléments, on estime que l'exercice 2026 devrait enregistrer une **quasi-stagnation du résultat net** (autour de 100-102 Mds FCFA), avec une reprise progressive au S2 2026 portée par la finalisation de la migration et la normalisation des coûts.</w:t>
      </w:r>
    </w:p>
    <w:p>
      <w:pPr>
        <w:spacing w:after="120" w:line="276" w:lineRule="auto"/>
      </w:pPr>
      <w:r>
        <w:t>**Évolution temporelle** : Les rapports antérieurs (2024) montrent un résultat net de 101 228 M FCFA (+4,1%) et un dividende de 1 863 FCFA/action (taux de distribution de 57,25%). Le rapport annuel 2025 (publié le 17 avril 2026) propose un **dividende de 2 606 FCFA/action**, soit un taux de distribution de 80% — une politique généreuse qui soutient le rendement pour l'actionnaire.</w:t>
      </w:r>
    </w:p>
    <w:p>
      <w:pPr>
        <w:spacing w:after="120" w:line="276" w:lineRule="auto"/>
      </w:pPr>
      <w:r>
        <w:t>**Recommandation fondamentale** : SGBC présente une **solidité fondamentale remarquable** (ROE 20,5%, coefficient d'exploitation 38,8%, solvabilité 17,6%) et une politique de dividende attractive. Toutefois, la **stagnation du résultat net (+0,1% en 2025, +0,5% au S1 2026)** et la **hausse du coût du risque** limitent le potentiel de revalorisation à court terme. Le titre convient aux investisseurs recherchant **rendement et stabilité**, avec une recommandation de **CONSERVER** dans l'attente d'une reprise confirmée en 2027.</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précédentes et des prédictions IA conduit à une recommandation nuancée. **Sur le plan de la valorisation (Partie 0)**, le PER de 12,0x et le P/B de 2,46x indiquent une valorisation raisonnable mais non décotée, tandis que l'EV/EBITDA de 24,7x suggère une certaine surévaluation relative. **Le comportement du cours (Partie 1)** est favorable avec une tendance haussière (+8,89%) et une volatilité modérée (21,1%), mais le kurtosis leptokurtique et le skewness négatif signalent un risque de pics baissiers ponctuels. **Les signaux techniques (Partie 2)** sont mitigés : les MM et le MACD confirment la tendance haussière, mais le Stochastique en surachat extrême (99,6) et le RSI proche de 70 (66,4) annoncent un risque de consolidation à court terme. **Les fondamentaux (Partie 3)** restent solides (ROE 20,5%, coefficient d'exploitation 38,8%, dividende 2 606 FCFA/action) mais marquent le pas avec une croissance quasi nulle du résultat net en 2025 et au S1 2026. **Les prédictions IA (J+1 à J+10)** anticipent une légère correction vers 38 525 FCFA d'ici le 19 octobre 2026, ce qui confirme la divergence entre la tendance de fond haussière et le momentum court terme en surachat.</w:t>
      </w:r>
    </w:p>
    <w:p>
      <w:pPr>
        <w:spacing w:after="120" w:line="276" w:lineRule="auto"/>
      </w:pPr>
      <w:r>
        <w:t>**Recommandation finale : CONSERVER**. Cette recommandation reflète la convergence entre une valorisation correcte, des fondamentaux solides mais sans catalyseur de croissance à court terme, et des signaux techniques mitigés. Le niveau de confiance est **Moyen**, car si la solidité fondamentale est incontestable, l'absence de croissance du résultat net et le surachat technique limitent le potentiel de surperformance immédiat. Le niveau de risque global est **Faible à Moyen**, porté par la stabilité du titre et la qualité du bilan. L'horizon d'investissement optimal est le **moyen terme (3-12 mois)**, en attendant la confirmation d'une reprise de la croissance au S2 2026 et la publication du dividende 2026. Un passage à **ACHAT** serait justifié si le T3 2026 confirme l'inflexion du coût du risque et une accélération du PNB au-delà de 3%.</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20260511   avis ndeg133 brvmdg   transactions sur dossier</w:t>
      </w:r>
    </w:p>
    <w:p>
      <w:pPr>
        <w:spacing w:before="20"/>
        <w:ind w:left="400"/>
      </w:pPr>
      <w:r>
        <w:rPr>
          <w:color w:val="505050"/>
          <w:sz w:val="17"/>
        </w:rPr>
        <w:t xml:space="preserve">Date : 12/05/2026  |  Catégorie : avis de marché  |  Impact : </w:t>
      </w:r>
      <w:r>
        <w:rPr>
          <w:b/>
          <w:color w:val="646464"/>
          <w:sz w:val="17"/>
        </w:rPr>
        <w:t>⚪ NEUTRE</w:t>
      </w:r>
    </w:p>
    <w:p>
      <w:pPr>
        <w:spacing w:before="40"/>
        <w:ind w:left="400"/>
      </w:pPr>
      <w:r>
        <w:rPr>
          <w:sz w:val="18"/>
        </w:rPr>
        <w:t>Avis de la BRVM informant de la réalisation de 7 transactions sur dossier le 11 mai 2026. Les transactions portent sur plusieurs titres dont SOCIETE GENERALE CI, SONATEL SN, SAFCA CI, ETI TG, UNIWAX CI et des obligations TPCI et FCTC EPT. La valeur totale des transactions s'élève à 667 125,85 FCFA.</w:t>
      </w:r>
    </w:p>
    <w:p>
      <w:pPr>
        <w:spacing w:before="60"/>
        <w:ind w:left="400"/>
      </w:pPr>
      <w:r>
        <w:rPr>
          <w:b/>
          <w:sz w:val="18"/>
        </w:rPr>
        <w:t>Points clés :</w:t>
      </w:r>
    </w:p>
    <w:p>
      <w:pPr>
        <w:pStyle w:val="ListBullet"/>
        <w:spacing w:before="20" w:after="20"/>
        <w:ind w:left="700"/>
      </w:pPr>
      <w:r>
        <w:rPr>
          <w:sz w:val="18"/>
        </w:rPr>
        <w:t>7 transactions sur dossier réalisées le 11 mai 2026</w:t>
      </w:r>
    </w:p>
    <w:p>
      <w:pPr>
        <w:pStyle w:val="ListBullet"/>
        <w:spacing w:before="20" w:after="20"/>
        <w:ind w:left="700"/>
      </w:pPr>
      <w:r>
        <w:rPr>
          <w:sz w:val="18"/>
        </w:rPr>
        <w:t>750 actions SOCIETE GENERALE CI et 500 actions SONATEL SN échangées</w:t>
      </w:r>
    </w:p>
    <w:p>
      <w:pPr>
        <w:pStyle w:val="ListBullet"/>
        <w:spacing w:before="20" w:after="20"/>
        <w:ind w:left="700"/>
      </w:pPr>
      <w:r>
        <w:rPr>
          <w:sz w:val="18"/>
        </w:rPr>
        <w:t>5 000 actions SAFCA CI, 125 000 actions ETI TG et 2 000 actions UNIWAX CI négociées</w:t>
      </w:r>
    </w:p>
    <w:p>
      <w:pPr>
        <w:pStyle w:val="ListBullet"/>
        <w:spacing w:before="20" w:after="20"/>
        <w:ind w:left="700"/>
      </w:pPr>
      <w:r>
        <w:rPr>
          <w:sz w:val="18"/>
        </w:rPr>
        <w:t>96 obligations TPCI 6,00% 2018-2026 et 100 obligations FCTC EPT 7,00% 2023-2030 échangées</w:t>
      </w:r>
    </w:p>
    <w:p>
      <w:pPr>
        <w:pStyle w:val="ListBullet"/>
        <w:spacing w:before="20" w:after="20"/>
        <w:ind w:left="700"/>
      </w:pPr>
      <w:r>
        <w:rPr>
          <w:sz w:val="18"/>
        </w:rPr>
        <w:t>Valeur totale des transactions de 667 125,85 FCFA</w:t>
      </w:r>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"SGB CI affiche une croissance solide de son r\u00e9sultat net (+39,3%) et une rentabilit\u00e9 \u00e9lev\u00e9e avec un ROE estim\u00e9 \u00e0 plus de 22%. La politique de dividende g\u00e9n\u00e9reuse (51,3% de distribution) et la solidit\u00e9 du bilan confortent le potentiel de valorisation du titre."}</w:t>
      </w:r>
    </w:p>
    <w:p>
      <w:pPr>
        <w:spacing w:before="40"/>
        <w:ind w:left="400"/>
      </w:pPr>
      <w:r>
        <w:rPr>
          <w:sz w:val="18"/>
        </w:rPr>
        <w:t>Société Générale Côte d'Ivoire (SGB CI) clôture l'exercice 2021 sur des états financiers certifiés marqués par une nette progression de son activité. Le Produit Net Bancaire s'élève à 189 096 millions FCFA, en hausse de 15,3% par rapport aux 164 062 millions FCFA de 2020. Le résultat net atteint 67 438 millions FCFA contre 48 435 millions FCFA un an plus tôt, soit une croissance de 39,3%. La banque affiche un total de bilan de 3 021 481 millions FCFA et des capitaux propres de 304 993 millions FCFA, confirmant sa solidité financière. La politique de distribution reste généreuse avec un dividende brut de 1 112 FCFA par action, soit un taux de distribution de 51,3% du résultat net.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{'roe_estime': '22,1%', 'cout_du_risque': '17 942 millions FCFA', 'croissance_pnb': '+15,3%', 'frais_generaux': '90 651 millions FCFA', 'nombre_d_actions': '31 111 110', 'resultat_avant_impot': '79 574 millions FCFA', 'taux_de_distribution': '51,3%', 'dettes_a_la_clientele': '2 528 809 millions FCFA', 'resultat_exploitation': '80 504 millions FCFA', 'croissance_resultat_net': '+39,3%', 'creances_sur_la_clientele': '398 854 millions FCFA', 'resultat_brut_exploitation': '98 446 millions FCFA'}</w:t>
            </w:r>
          </w:p>
        </w:tc>
        <w:tc>
          <w:tcPr>
            <w:tcW w:type="dxa" w:w="2160"/>
          </w:tcPr>
          <w:p>
            <w:pPr>
              <w:ind w:left="100"/>
            </w:pPr>
            <w:r/>
            <w:r>
              <w:rPr>
                <w:b/>
                <w:sz w:val="16"/>
              </w:rPr>
              <w:t>dividende</w:t>
              <w:br/>
            </w:r>
            <w:r>
              <w:rPr>
                <w:sz w:val="18"/>
              </w:rPr>
              <w:t>1 112 FCFA par action</w:t>
            </w:r>
          </w:p>
        </w:tc>
        <w:tc>
          <w:tcPr>
            <w:tcW w:type="dxa" w:w="2160"/>
          </w:tcPr>
          <w:p>
            <w:pPr>
              <w:ind w:left="100"/>
            </w:pPr>
            <w:r/>
            <w:r>
              <w:rPr>
                <w:b/>
                <w:sz w:val="16"/>
              </w:rPr>
              <w:t>marge_nette</w:t>
              <w:br/>
            </w:r>
            <w:r>
              <w:rPr>
                <w:sz w:val="18"/>
              </w:rPr>
              <w:t>35,7%</w:t>
            </w:r>
          </w:p>
        </w:tc>
        <w:tc>
          <w:tcPr>
            <w:tcW w:type="dxa" w:w="2160"/>
          </w:tcPr>
          <w:p>
            <w:pPr>
              <w:ind w:left="100"/>
            </w:pPr>
            <w:r/>
            <w:r>
              <w:rPr>
                <w:b/>
                <w:sz w:val="16"/>
              </w:rPr>
              <w:t>total_actif</w:t>
              <w:br/>
            </w:r>
            <w:r>
              <w:rPr>
                <w:sz w:val="18"/>
              </w:rPr>
              <w:t>3 021 481 millions FCFA</w:t>
            </w:r>
          </w:p>
        </w:tc>
      </w:tr>
      <w:tr>
        <w:tc>
          <w:tcPr>
            <w:tcW w:type="dxa" w:w="2160"/>
          </w:tcPr>
          <w:p>
            <w:r/>
            <w:r>
              <w:rPr>
                <w:b/>
                <w:sz w:val="16"/>
              </w:rPr>
              <w:t>resultat_net</w:t>
              <w:br/>
            </w:r>
            <w:r>
              <w:rPr>
                <w:sz w:val="18"/>
              </w:rPr>
              <w:t>67 438 millions FCFA</w:t>
            </w:r>
          </w:p>
        </w:tc>
        <w:tc>
          <w:tcPr>
            <w:tcW w:type="dxa" w:w="2160"/>
          </w:tcPr>
          <w:p>
            <w:r/>
            <w:r>
              <w:rPr>
                <w:b/>
                <w:sz w:val="16"/>
              </w:rPr>
              <w:t>capitaux_propres</w:t>
              <w:br/>
            </w:r>
            <w:r>
              <w:rPr>
                <w:sz w:val="18"/>
              </w:rPr>
              <w:t>304 993 millions FCFA</w:t>
            </w:r>
          </w:p>
        </w:tc>
        <w:tc>
          <w:tcPr>
            <w:tcW w:type="dxa" w:w="2160"/>
          </w:tcPr>
          <w:p>
            <w:r/>
            <w:r>
              <w:rPr>
                <w:b/>
                <w:sz w:val="16"/>
              </w:rPr>
              <w:t>chiffre_affaires</w:t>
              <w:br/>
            </w:r>
            <w:r>
              <w:rPr>
                <w:sz w:val="18"/>
              </w:rPr>
              <w:t>189 096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189 096 millions FCFA en 2021, en progression de 15,3% sur un an (164 062 millions FCFA en 2020).</w:t>
      </w:r>
    </w:p>
    <w:p>
      <w:pPr>
        <w:pStyle w:val="ListBullet"/>
        <w:spacing w:before="20" w:after="20"/>
        <w:ind w:left="700"/>
      </w:pPr>
      <w:r>
        <w:rPr>
          <w:sz w:val="18"/>
        </w:rPr>
        <w:t>Résultat net de 67 438 millions FCFA, en forte hausse de 39,3% par rapport à 48 435 millions FCFA en 2020.</w:t>
      </w:r>
    </w:p>
    <w:p>
      <w:pPr>
        <w:pStyle w:val="ListBullet"/>
        <w:spacing w:before="20" w:after="20"/>
        <w:ind w:left="700"/>
      </w:pPr>
      <w:r>
        <w:rPr>
          <w:sz w:val="18"/>
        </w:rPr>
        <w:t>Marge nette élevée à environ 35,7% du PNB, illustrant une bonne maîtrise des charges.</w:t>
      </w:r>
    </w:p>
    <w:p>
      <w:pPr>
        <w:pStyle w:val="ListBullet"/>
        <w:spacing w:before="20" w:after="20"/>
        <w:ind w:left="700"/>
      </w:pPr>
      <w:r>
        <w:rPr>
          <w:sz w:val="18"/>
        </w:rPr>
        <w:t>Coût du risque en baisse à 17 942 millions FCFA contre 23 926 millions FCFA en 2020, traduisant une amélioration de la qualité du portefeuille.</w:t>
      </w:r>
    </w:p>
    <w:p>
      <w:pPr>
        <w:pStyle w:val="ListBullet"/>
        <w:spacing w:before="20" w:after="20"/>
        <w:ind w:left="700"/>
      </w:pPr>
      <w:r>
        <w:rPr>
          <w:sz w:val="18"/>
        </w:rPr>
        <w:t>Frais généraux contenus à 90 651 millions FCFA, permettant un Résultat Brut d'Exploitation de 98 446 millions FCFA (contre 83 330 millions FCFA en 2020).</w:t>
      </w:r>
    </w:p>
    <w:p>
      <w:pPr>
        <w:pStyle w:val="ListBullet"/>
        <w:spacing w:before="20" w:after="20"/>
        <w:ind w:left="700"/>
      </w:pPr>
      <w:r>
        <w:rPr>
          <w:sz w:val="18"/>
        </w:rPr>
        <w:t>Total du bilan de 3 021 481 millions FCFA et capitaux propres renforcés à 304 993 millions FCFA.</w:t>
      </w:r>
    </w:p>
    <w:p>
      <w:pPr>
        <w:spacing w:before="40"/>
        <w:ind w:left="400"/>
      </w:pPr>
      <w:r>
        <w:rPr>
          <w:b/>
          <w:color w:val="C05000"/>
          <w:sz w:val="18"/>
        </w:rPr>
        <w:t xml:space="preserve">⚠️ Risques : </w:t>
      </w:r>
      <w:r>
        <w:rPr>
          <w:sz w:val="18"/>
        </w:rPr>
        <w:t>["D\u00e9gradation de la qualit\u00e9 du cr\u00e9dit dans un contexte macro\u00e9conomique r\u00e9gional incertain pouvant faire remonter le co\u00fbt du risque.", "Forte d\u00e9pendance au march\u00e9 ivoirien et \u00e0 la concentration du portefeuille client\u00e8le, exposant la banque \u00e0 un r</w:t>
      </w:r>
    </w:p>
    <w:p>
      <w:pPr>
        <w:spacing w:before="40"/>
        <w:ind w:left="400"/>
      </w:pPr>
      <w:r>
        <w:rPr>
          <w:b/>
          <w:color w:val="0064A0"/>
          <w:sz w:val="18"/>
        </w:rPr>
        <w:t xml:space="preserve">🔮 Perspectives : </w:t>
      </w:r>
      <w:r>
        <w:rPr>
          <w:sz w:val="18"/>
        </w:rPr>
        <w:t>Pour l'exercice 2022, SGB CI devrait poursuivre sa dynamique de croissance portée par le développement du crédit à la clientèle et la digitalisation de ses services. La bonne maîtrise des charges et la baisse du coût du risque devraient soutenir la rentabilité. Le maintien d'une politique de distrib</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
      <w:r>
        <w:t>════════════════════════════════════════════════════════════════════════════════</w:t>
      </w:r>
    </w:p>
    <w:p>
      <w:r>
        <w:br w:type="page"/>
      </w:r>
    </w:p>
    <w:p>
      <w:pPr>
        <w:pStyle w:val="Heading2"/>
        <w:spacing w:before="360"/>
      </w:pPr>
      <w:r>
        <w:rPr>
          <w:color w:val="0066CC"/>
        </w:rPr>
        <w:t>34.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139.54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4,981 titres</w:t>
            </w:r>
          </w:p>
        </w:tc>
        <w:tc>
          <w:tcPr>
            <w:tcW w:type="dxa" w:w="2268"/>
            <w:shd w:fill="FFF2CC" w:val="clear"/>
          </w:tcPr>
          <w:p>
            <w:r>
              <w:rPr>
                <w:b/>
                <w:color w:val="503200"/>
                <w:sz w:val="16"/>
              </w:rPr>
              <w:t xml:space="preserve">Cours actuel : </w:t>
            </w:r>
            <w:r>
              <w:rPr>
                <w:color w:val="000000"/>
                <w:sz w:val="17"/>
              </w:rPr>
              <w:t>2,215 FCFA</w:t>
            </w:r>
          </w:p>
          <w:p>
            <w:r>
              <w:rPr>
                <w:b/>
                <w:color w:val="503200"/>
                <w:sz w:val="16"/>
              </w:rPr>
              <w:t xml:space="preserve">Var. 100 jours : </w:t>
            </w:r>
            <w:r>
              <w:rPr>
                <w:b/>
                <w:color w:val="007800"/>
                <w:sz w:val="17"/>
              </w:rPr>
              <w:t>+12.15%</w:t>
            </w:r>
          </w:p>
          <w:p>
            <w:r>
              <w:rPr>
                <w:b/>
                <w:color w:val="503200"/>
                <w:sz w:val="16"/>
              </w:rPr>
              <w:t xml:space="preserve">Plus haut 100j : </w:t>
            </w:r>
            <w:r>
              <w:rPr>
                <w:color w:val="000000"/>
                <w:sz w:val="17"/>
              </w:rPr>
              <w:t>2,980 FCFA</w:t>
            </w:r>
          </w:p>
          <w:p>
            <w:r>
              <w:rPr>
                <w:b/>
                <w:color w:val="503200"/>
                <w:sz w:val="16"/>
              </w:rPr>
              <w:t xml:space="preserve">Plus bas 100j : </w:t>
            </w:r>
            <w:r>
              <w:rPr>
                <w:color w:val="000000"/>
                <w:sz w:val="17"/>
              </w:rPr>
              <w:t>1,900 FCFA</w:t>
            </w:r>
          </w:p>
          <w:p>
            <w:r>
              <w:rPr>
                <w:b/>
                <w:color w:val="503200"/>
                <w:sz w:val="16"/>
              </w:rPr>
              <w:t xml:space="preserve">Volatilité ann. : </w:t>
            </w:r>
            <w:r>
              <w:rPr>
                <w:color w:val="000000"/>
                <w:sz w:val="17"/>
              </w:rPr>
              <w:t>42.2%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9.74% (Moyenne) — μ=2,269 FCFA, σ=221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β=1.0058 (Neutre (suit le marché)) — Cov=0.000074, Var(idx)=0.000073, ρ=0.323,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4,981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2026-10-13</w:t>
            </w:r>
          </w:p>
        </w:tc>
        <w:tc>
          <w:tcPr>
            <w:tcW w:type="dxa" w:w="1440"/>
            <w:shd w:fill="FAFAFA" w:val="clear"/>
          </w:tcPr>
          <w:p>
            <w:r>
              <w:rPr>
                <w:sz w:val="17"/>
              </w:rPr>
              <w:t>2,094</w:t>
            </w:r>
          </w:p>
        </w:tc>
        <w:tc>
          <w:tcPr>
            <w:tcW w:type="dxa" w:w="1440"/>
            <w:shd w:fill="FAFAFA" w:val="clear"/>
          </w:tcPr>
          <w:p>
            <w:r>
              <w:rPr>
                <w:b/>
                <w:sz w:val="17"/>
              </w:rPr>
              <w:t>2,230</w:t>
            </w:r>
          </w:p>
        </w:tc>
        <w:tc>
          <w:tcPr>
            <w:tcW w:type="dxa" w:w="1440"/>
            <w:shd w:fill="FAFAFA" w:val="clear"/>
          </w:tcPr>
          <w:p>
            <w:r>
              <w:rPr>
                <w:sz w:val="17"/>
              </w:rPr>
              <w:t>2,366</w:t>
            </w:r>
          </w:p>
        </w:tc>
        <w:tc>
          <w:tcPr>
            <w:tcW w:type="dxa" w:w="1440"/>
            <w:shd w:fill="FAFAFA" w:val="clear"/>
          </w:tcPr>
          <w:p>
            <w:r>
              <w:rPr>
                <w:b/>
                <w:color w:val="008000"/>
                <w:sz w:val="17"/>
              </w:rPr>
              <w:t>+0.7%</w:t>
            </w:r>
          </w:p>
        </w:tc>
      </w:tr>
      <w:tr>
        <w:tc>
          <w:tcPr>
            <w:tcW w:type="dxa" w:w="1440"/>
            <w:shd w:fill="FAFAFA" w:val="clear"/>
          </w:tcPr>
          <w:p>
            <w:r>
              <w:rPr>
                <w:sz w:val="17"/>
              </w:rPr>
              <w:t>J+2  Moyenne</w:t>
            </w:r>
          </w:p>
        </w:tc>
        <w:tc>
          <w:tcPr>
            <w:tcW w:type="dxa" w:w="1440"/>
            <w:shd w:fill="FAFAFA" w:val="clear"/>
          </w:tcPr>
          <w:p>
            <w:r>
              <w:rPr>
                <w:sz w:val="17"/>
              </w:rPr>
              <w:t>2026-10-14</w:t>
            </w:r>
          </w:p>
        </w:tc>
        <w:tc>
          <w:tcPr>
            <w:tcW w:type="dxa" w:w="1440"/>
            <w:shd w:fill="FAFAFA" w:val="clear"/>
          </w:tcPr>
          <w:p>
            <w:r>
              <w:rPr>
                <w:sz w:val="17"/>
              </w:rPr>
              <w:t>2,041</w:t>
            </w:r>
          </w:p>
        </w:tc>
        <w:tc>
          <w:tcPr>
            <w:tcW w:type="dxa" w:w="1440"/>
            <w:shd w:fill="FAFAFA" w:val="clear"/>
          </w:tcPr>
          <w:p>
            <w:r>
              <w:rPr>
                <w:b/>
                <w:sz w:val="17"/>
              </w:rPr>
              <w:t>2,234</w:t>
            </w:r>
          </w:p>
        </w:tc>
        <w:tc>
          <w:tcPr>
            <w:tcW w:type="dxa" w:w="1440"/>
            <w:shd w:fill="FAFAFA" w:val="clear"/>
          </w:tcPr>
          <w:p>
            <w:r>
              <w:rPr>
                <w:sz w:val="17"/>
              </w:rPr>
              <w:t>2,426</w:t>
            </w:r>
          </w:p>
        </w:tc>
        <w:tc>
          <w:tcPr>
            <w:tcW w:type="dxa" w:w="1440"/>
            <w:shd w:fill="FAFAFA" w:val="clear"/>
          </w:tcPr>
          <w:p>
            <w:r>
              <w:rPr>
                <w:b/>
                <w:color w:val="008000"/>
                <w:sz w:val="17"/>
              </w:rPr>
              <w:t>+0.8%</w:t>
            </w:r>
          </w:p>
        </w:tc>
      </w:tr>
      <w:tr>
        <w:tc>
          <w:tcPr>
            <w:tcW w:type="dxa" w:w="1440"/>
            <w:shd w:fill="FAFAFA" w:val="clear"/>
          </w:tcPr>
          <w:p>
            <w:r>
              <w:rPr>
                <w:sz w:val="17"/>
              </w:rPr>
              <w:t>J+3  Moyenne</w:t>
            </w:r>
          </w:p>
        </w:tc>
        <w:tc>
          <w:tcPr>
            <w:tcW w:type="dxa" w:w="1440"/>
            <w:shd w:fill="FAFAFA" w:val="clear"/>
          </w:tcPr>
          <w:p>
            <w:r>
              <w:rPr>
                <w:sz w:val="17"/>
              </w:rPr>
              <w:t>2026-10-15</w:t>
            </w:r>
          </w:p>
        </w:tc>
        <w:tc>
          <w:tcPr>
            <w:tcW w:type="dxa" w:w="1440"/>
            <w:shd w:fill="FAFAFA" w:val="clear"/>
          </w:tcPr>
          <w:p>
            <w:r>
              <w:rPr>
                <w:sz w:val="17"/>
              </w:rPr>
              <w:t>2,002</w:t>
            </w:r>
          </w:p>
        </w:tc>
        <w:tc>
          <w:tcPr>
            <w:tcW w:type="dxa" w:w="1440"/>
            <w:shd w:fill="FAFAFA" w:val="clear"/>
          </w:tcPr>
          <w:p>
            <w:r>
              <w:rPr>
                <w:b/>
                <w:sz w:val="17"/>
              </w:rPr>
              <w:t>2,239</w:t>
            </w:r>
          </w:p>
        </w:tc>
        <w:tc>
          <w:tcPr>
            <w:tcW w:type="dxa" w:w="1440"/>
            <w:shd w:fill="FAFAFA" w:val="clear"/>
          </w:tcPr>
          <w:p>
            <w:r>
              <w:rPr>
                <w:sz w:val="17"/>
              </w:rPr>
              <w:t>2,475</w:t>
            </w:r>
          </w:p>
        </w:tc>
        <w:tc>
          <w:tcPr>
            <w:tcW w:type="dxa" w:w="1440"/>
            <w:shd w:fill="FAFAFA" w:val="clear"/>
          </w:tcPr>
          <w:p>
            <w:r>
              <w:rPr>
                <w:b/>
                <w:color w:val="008000"/>
                <w:sz w:val="17"/>
              </w:rPr>
              <w:t>+1.1%</w:t>
            </w:r>
          </w:p>
        </w:tc>
      </w:tr>
      <w:tr>
        <w:tc>
          <w:tcPr>
            <w:tcW w:type="dxa" w:w="1440"/>
            <w:shd w:fill="FAFAFA" w:val="clear"/>
          </w:tcPr>
          <w:p>
            <w:r>
              <w:rPr>
                <w:sz w:val="17"/>
              </w:rPr>
              <w:t>J+4  ⭐</w:t>
            </w:r>
          </w:p>
        </w:tc>
        <w:tc>
          <w:tcPr>
            <w:tcW w:type="dxa" w:w="1440"/>
            <w:shd w:fill="FAFAFA" w:val="clear"/>
          </w:tcPr>
          <w:p>
            <w:r>
              <w:rPr>
                <w:sz w:val="17"/>
              </w:rPr>
              <w:t>2026-10-16</w:t>
            </w:r>
          </w:p>
        </w:tc>
        <w:tc>
          <w:tcPr>
            <w:tcW w:type="dxa" w:w="1440"/>
            <w:shd w:fill="FAFAFA" w:val="clear"/>
          </w:tcPr>
          <w:p>
            <w:r>
              <w:rPr>
                <w:sz w:val="17"/>
              </w:rPr>
              <w:t>1,969</w:t>
            </w:r>
          </w:p>
        </w:tc>
        <w:tc>
          <w:tcPr>
            <w:tcW w:type="dxa" w:w="1440"/>
            <w:shd w:fill="FAFAFA" w:val="clear"/>
          </w:tcPr>
          <w:p>
            <w:r>
              <w:rPr>
                <w:b/>
                <w:sz w:val="17"/>
              </w:rPr>
              <w:t>2,243</w:t>
            </w:r>
          </w:p>
        </w:tc>
        <w:tc>
          <w:tcPr>
            <w:tcW w:type="dxa" w:w="1440"/>
            <w:shd w:fill="FAFAFA" w:val="clear"/>
          </w:tcPr>
          <w:p>
            <w:r>
              <w:rPr>
                <w:sz w:val="17"/>
              </w:rPr>
              <w:t>2,516</w:t>
            </w:r>
          </w:p>
        </w:tc>
        <w:tc>
          <w:tcPr>
            <w:tcW w:type="dxa" w:w="1440"/>
            <w:shd w:fill="FAFAFA" w:val="clear"/>
          </w:tcPr>
          <w:p>
            <w:r>
              <w:rPr>
                <w:b/>
                <w:color w:val="008000"/>
                <w:sz w:val="17"/>
              </w:rPr>
              <w:t>+1.3%</w:t>
            </w:r>
          </w:p>
        </w:tc>
      </w:tr>
      <w:tr>
        <w:tc>
          <w:tcPr>
            <w:tcW w:type="dxa" w:w="1440"/>
            <w:shd w:fill="FAFAFA" w:val="clear"/>
          </w:tcPr>
          <w:p>
            <w:r>
              <w:rPr>
                <w:sz w:val="17"/>
              </w:rPr>
              <w:t>J+5  ⭐</w:t>
            </w:r>
          </w:p>
        </w:tc>
        <w:tc>
          <w:tcPr>
            <w:tcW w:type="dxa" w:w="1440"/>
            <w:shd w:fill="FAFAFA" w:val="clear"/>
          </w:tcPr>
          <w:p>
            <w:r>
              <w:rPr>
                <w:sz w:val="17"/>
              </w:rPr>
              <w:t>2026-10-19</w:t>
            </w:r>
          </w:p>
        </w:tc>
        <w:tc>
          <w:tcPr>
            <w:tcW w:type="dxa" w:w="1440"/>
            <w:shd w:fill="FAFAFA" w:val="clear"/>
          </w:tcPr>
          <w:p>
            <w:r>
              <w:rPr>
                <w:sz w:val="17"/>
              </w:rPr>
              <w:t>1,940</w:t>
            </w:r>
          </w:p>
        </w:tc>
        <w:tc>
          <w:tcPr>
            <w:tcW w:type="dxa" w:w="1440"/>
            <w:shd w:fill="FAFAFA" w:val="clear"/>
          </w:tcPr>
          <w:p>
            <w:r>
              <w:rPr>
                <w:b/>
                <w:sz w:val="17"/>
              </w:rPr>
              <w:t>2,246</w:t>
            </w:r>
          </w:p>
        </w:tc>
        <w:tc>
          <w:tcPr>
            <w:tcW w:type="dxa" w:w="1440"/>
            <w:shd w:fill="FAFAFA" w:val="clear"/>
          </w:tcPr>
          <w:p>
            <w:r>
              <w:rPr>
                <w:sz w:val="17"/>
              </w:rPr>
              <w:t>2,552</w:t>
            </w:r>
          </w:p>
        </w:tc>
        <w:tc>
          <w:tcPr>
            <w:tcW w:type="dxa" w:w="1440"/>
            <w:shd w:fill="FAFAFA" w:val="clear"/>
          </w:tcPr>
          <w:p>
            <w:r>
              <w:rPr>
                <w:b/>
                <w:color w:val="008000"/>
                <w:sz w:val="17"/>
              </w:rPr>
              <w:t>+1.4%</w:t>
            </w:r>
          </w:p>
        </w:tc>
      </w:tr>
      <w:tr>
        <w:tc>
          <w:tcPr>
            <w:tcW w:type="dxa" w:w="1440"/>
            <w:shd w:fill="FAFAFA" w:val="clear"/>
          </w:tcPr>
          <w:p>
            <w:r>
              <w:rPr>
                <w:sz w:val="17"/>
              </w:rPr>
              <w:t>J+6  ⭐</w:t>
            </w:r>
          </w:p>
        </w:tc>
        <w:tc>
          <w:tcPr>
            <w:tcW w:type="dxa" w:w="1440"/>
            <w:shd w:fill="FAFAFA" w:val="clear"/>
          </w:tcPr>
          <w:p>
            <w:r>
              <w:rPr>
                <w:sz w:val="17"/>
              </w:rPr>
              <w:t>2026-10-20</w:t>
            </w:r>
          </w:p>
        </w:tc>
        <w:tc>
          <w:tcPr>
            <w:tcW w:type="dxa" w:w="1440"/>
            <w:shd w:fill="FAFAFA" w:val="clear"/>
          </w:tcPr>
          <w:p>
            <w:r>
              <w:rPr>
                <w:sz w:val="17"/>
              </w:rPr>
              <w:t>1,913</w:t>
            </w:r>
          </w:p>
        </w:tc>
        <w:tc>
          <w:tcPr>
            <w:tcW w:type="dxa" w:w="1440"/>
            <w:shd w:fill="FAFAFA" w:val="clear"/>
          </w:tcPr>
          <w:p>
            <w:r>
              <w:rPr>
                <w:b/>
                <w:sz w:val="17"/>
              </w:rPr>
              <w:t>2,249</w:t>
            </w:r>
          </w:p>
        </w:tc>
        <w:tc>
          <w:tcPr>
            <w:tcW w:type="dxa" w:w="1440"/>
            <w:shd w:fill="FAFAFA" w:val="clear"/>
          </w:tcPr>
          <w:p>
            <w:r>
              <w:rPr>
                <w:sz w:val="17"/>
              </w:rPr>
              <w:t>2,584</w:t>
            </w:r>
          </w:p>
        </w:tc>
        <w:tc>
          <w:tcPr>
            <w:tcW w:type="dxa" w:w="1440"/>
            <w:shd w:fill="FAFAFA" w:val="clear"/>
          </w:tcPr>
          <w:p>
            <w:r>
              <w:rPr>
                <w:b/>
                <w:color w:val="008000"/>
                <w:sz w:val="17"/>
              </w:rPr>
              <w:t>+1.5%</w:t>
            </w:r>
          </w:p>
        </w:tc>
      </w:tr>
      <w:tr>
        <w:tc>
          <w:tcPr>
            <w:tcW w:type="dxa" w:w="1440"/>
            <w:shd w:fill="FAFAFA" w:val="clear"/>
          </w:tcPr>
          <w:p>
            <w:r>
              <w:rPr>
                <w:sz w:val="17"/>
              </w:rPr>
              <w:t>J+7  ⭐</w:t>
            </w:r>
          </w:p>
        </w:tc>
        <w:tc>
          <w:tcPr>
            <w:tcW w:type="dxa" w:w="1440"/>
            <w:shd w:fill="FAFAFA" w:val="clear"/>
          </w:tcPr>
          <w:p>
            <w:r>
              <w:rPr>
                <w:sz w:val="17"/>
              </w:rPr>
              <w:t>2026-10-21</w:t>
            </w:r>
          </w:p>
        </w:tc>
        <w:tc>
          <w:tcPr>
            <w:tcW w:type="dxa" w:w="1440"/>
            <w:shd w:fill="FAFAFA" w:val="clear"/>
          </w:tcPr>
          <w:p>
            <w:r>
              <w:rPr>
                <w:sz w:val="17"/>
              </w:rPr>
              <w:t>1,888</w:t>
            </w:r>
          </w:p>
        </w:tc>
        <w:tc>
          <w:tcPr>
            <w:tcW w:type="dxa" w:w="1440"/>
            <w:shd w:fill="FAFAFA" w:val="clear"/>
          </w:tcPr>
          <w:p>
            <w:r>
              <w:rPr>
                <w:b/>
                <w:sz w:val="17"/>
              </w:rPr>
              <w:t>2,251</w:t>
            </w:r>
          </w:p>
        </w:tc>
        <w:tc>
          <w:tcPr>
            <w:tcW w:type="dxa" w:w="1440"/>
            <w:shd w:fill="FAFAFA" w:val="clear"/>
          </w:tcPr>
          <w:p>
            <w:r>
              <w:rPr>
                <w:sz w:val="17"/>
              </w:rPr>
              <w:t>2,614</w:t>
            </w:r>
          </w:p>
        </w:tc>
        <w:tc>
          <w:tcPr>
            <w:tcW w:type="dxa" w:w="1440"/>
            <w:shd w:fill="FAFAFA" w:val="clear"/>
          </w:tcPr>
          <w:p>
            <w:r>
              <w:rPr>
                <w:b/>
                <w:color w:val="008000"/>
                <w:sz w:val="17"/>
              </w:rPr>
              <w:t>+1.6%</w:t>
            </w:r>
          </w:p>
        </w:tc>
      </w:tr>
      <w:tr>
        <w:tc>
          <w:tcPr>
            <w:tcW w:type="dxa" w:w="1440"/>
            <w:shd w:fill="FAFAFA" w:val="clear"/>
          </w:tcPr>
          <w:p>
            <w:r>
              <w:rPr>
                <w:sz w:val="17"/>
              </w:rPr>
              <w:t>J+8  ⭐</w:t>
            </w:r>
          </w:p>
        </w:tc>
        <w:tc>
          <w:tcPr>
            <w:tcW w:type="dxa" w:w="1440"/>
            <w:shd w:fill="FAFAFA" w:val="clear"/>
          </w:tcPr>
          <w:p>
            <w:r>
              <w:rPr>
                <w:sz w:val="17"/>
              </w:rPr>
              <w:t>2026-10-22</w:t>
            </w:r>
          </w:p>
        </w:tc>
        <w:tc>
          <w:tcPr>
            <w:tcW w:type="dxa" w:w="1440"/>
            <w:shd w:fill="FAFAFA" w:val="clear"/>
          </w:tcPr>
          <w:p>
            <w:r>
              <w:rPr>
                <w:sz w:val="17"/>
              </w:rPr>
              <w:t>1,864</w:t>
            </w:r>
          </w:p>
        </w:tc>
        <w:tc>
          <w:tcPr>
            <w:tcW w:type="dxa" w:w="1440"/>
            <w:shd w:fill="FAFAFA" w:val="clear"/>
          </w:tcPr>
          <w:p>
            <w:r>
              <w:rPr>
                <w:b/>
                <w:sz w:val="17"/>
              </w:rPr>
              <w:t>2,252</w:t>
            </w:r>
          </w:p>
        </w:tc>
        <w:tc>
          <w:tcPr>
            <w:tcW w:type="dxa" w:w="1440"/>
            <w:shd w:fill="FAFAFA" w:val="clear"/>
          </w:tcPr>
          <w:p>
            <w:r>
              <w:rPr>
                <w:sz w:val="17"/>
              </w:rPr>
              <w:t>2,641</w:t>
            </w:r>
          </w:p>
        </w:tc>
        <w:tc>
          <w:tcPr>
            <w:tcW w:type="dxa" w:w="1440"/>
            <w:shd w:fill="FAFAFA" w:val="clear"/>
          </w:tcPr>
          <w:p>
            <w:r>
              <w:rPr>
                <w:b/>
                <w:color w:val="008000"/>
                <w:sz w:val="17"/>
              </w:rPr>
              <w:t>+1.7%</w:t>
            </w:r>
          </w:p>
        </w:tc>
      </w:tr>
      <w:tr>
        <w:tc>
          <w:tcPr>
            <w:tcW w:type="dxa" w:w="1440"/>
            <w:shd w:fill="FAFAFA" w:val="clear"/>
          </w:tcPr>
          <w:p>
            <w:r>
              <w:rPr>
                <w:sz w:val="17"/>
              </w:rPr>
              <w:t>J+9  ⭐</w:t>
            </w:r>
          </w:p>
        </w:tc>
        <w:tc>
          <w:tcPr>
            <w:tcW w:type="dxa" w:w="1440"/>
            <w:shd w:fill="FAFAFA" w:val="clear"/>
          </w:tcPr>
          <w:p>
            <w:r>
              <w:rPr>
                <w:sz w:val="17"/>
              </w:rPr>
              <w:t>2026-10-23</w:t>
            </w:r>
          </w:p>
        </w:tc>
        <w:tc>
          <w:tcPr>
            <w:tcW w:type="dxa" w:w="1440"/>
            <w:shd w:fill="FAFAFA" w:val="clear"/>
          </w:tcPr>
          <w:p>
            <w:r>
              <w:rPr>
                <w:sz w:val="17"/>
              </w:rPr>
              <w:t>1,842</w:t>
            </w:r>
          </w:p>
        </w:tc>
        <w:tc>
          <w:tcPr>
            <w:tcW w:type="dxa" w:w="1440"/>
            <w:shd w:fill="FAFAFA" w:val="clear"/>
          </w:tcPr>
          <w:p>
            <w:r>
              <w:rPr>
                <w:b/>
                <w:sz w:val="17"/>
              </w:rPr>
              <w:t>2,254</w:t>
            </w:r>
          </w:p>
        </w:tc>
        <w:tc>
          <w:tcPr>
            <w:tcW w:type="dxa" w:w="1440"/>
            <w:shd w:fill="FAFAFA" w:val="clear"/>
          </w:tcPr>
          <w:p>
            <w:r>
              <w:rPr>
                <w:sz w:val="17"/>
              </w:rPr>
              <w:t>2,666</w:t>
            </w:r>
          </w:p>
        </w:tc>
        <w:tc>
          <w:tcPr>
            <w:tcW w:type="dxa" w:w="1440"/>
            <w:shd w:fill="FAFAFA" w:val="clear"/>
          </w:tcPr>
          <w:p>
            <w:r>
              <w:rPr>
                <w:b/>
                <w:color w:val="008000"/>
                <w:sz w:val="17"/>
              </w:rPr>
              <w:t>+1.8%</w:t>
            </w:r>
          </w:p>
        </w:tc>
      </w:tr>
      <w:tr>
        <w:tc>
          <w:tcPr>
            <w:tcW w:type="dxa" w:w="1440"/>
            <w:shd w:fill="FAFAFA" w:val="clear"/>
          </w:tcPr>
          <w:p>
            <w:r>
              <w:rPr>
                <w:sz w:val="17"/>
              </w:rPr>
              <w:t>J+10  ⭐</w:t>
            </w:r>
          </w:p>
        </w:tc>
        <w:tc>
          <w:tcPr>
            <w:tcW w:type="dxa" w:w="1440"/>
            <w:shd w:fill="FAFAFA" w:val="clear"/>
          </w:tcPr>
          <w:p>
            <w:r>
              <w:rPr>
                <w:sz w:val="17"/>
              </w:rPr>
              <w:t>2026-10-26</w:t>
            </w:r>
          </w:p>
        </w:tc>
        <w:tc>
          <w:tcPr>
            <w:tcW w:type="dxa" w:w="1440"/>
            <w:shd w:fill="FAFAFA" w:val="clear"/>
          </w:tcPr>
          <w:p>
            <w:r>
              <w:rPr>
                <w:sz w:val="17"/>
              </w:rPr>
              <w:t>1,821</w:t>
            </w:r>
          </w:p>
        </w:tc>
        <w:tc>
          <w:tcPr>
            <w:tcW w:type="dxa" w:w="1440"/>
            <w:shd w:fill="FAFAFA" w:val="clear"/>
          </w:tcPr>
          <w:p>
            <w:r>
              <w:rPr>
                <w:b/>
                <w:sz w:val="17"/>
              </w:rPr>
              <w:t>2,255</w:t>
            </w:r>
          </w:p>
        </w:tc>
        <w:tc>
          <w:tcPr>
            <w:tcW w:type="dxa" w:w="1440"/>
            <w:shd w:fill="FAFAFA" w:val="clear"/>
          </w:tcPr>
          <w:p>
            <w:r>
              <w:rPr>
                <w:sz w:val="17"/>
              </w:rPr>
              <w:t>2,690</w:t>
            </w:r>
          </w:p>
        </w:tc>
        <w:tc>
          <w:tcPr>
            <w:tcW w:type="dxa" w:w="1440"/>
            <w:shd w:fill="FAFAFA" w:val="clear"/>
          </w:tcPr>
          <w:p>
            <w:r>
              <w:rPr>
                <w:b/>
                <w:color w:val="008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**RAPPORT D'ANALYSE FINANCIÈRE — SHEC (VIVO ENERGY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139,54 milliards FCFA, SHEC s'impose comme une valeur de taille intermédiaire sur la BRVM, représentant un poids notable dans l'indice composite. Le BPA de 96 FCFA/action signifie que chaque titre génère près d'un centaine de francs de bénéfice net, mais le PER de 23,1x traduit une valorisation nettement supérieure à la moyenne du marché (8-12x), les investisseurs payant plus de 23 fois les bénéfices pour détenir ce titre — un niveau qui intègre soit une forte croissance attendue, soit une prime de rareté sur le secteur pétrolier aval. Le P/B de 5,14x confirme cette exigence : le marché valorise SHEC à plus de cinq fois sa valeur comptable (27,16 Mds FCFA de capitaux propres), une prime très élevée qui suppose une rentabilité future soutenue. Enfin, l'EV/EBITDA de 12,6x situe la valeur d'entreprise (capitalisation + dette nette) à 12,6 fois la capacité opérationnelle brute (EBE de 17,17 Mds FCFA), un niveau élevé qui reflète la confiance du marché mais laisse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SHEC affiche une variation totale de +12,15%, mais la dernière séance (J-1) enregistre un repli de -1,56%, signalant une prise de bénéfices après la progression. Le titre a évolué dans un range large de 1 900 FCFA (plus bas) à 2 980 FCFA (plus haut), soit une amplitude de plus de 56%, avant de se stabiliser à 2 215 FCFA. La tendance générale reste haussière sur la période, mais le cours actuel se situe en dessous de sa moyenne (2 269 FCFA) et de sa médiane (2 202 FCFA), ce qui indique une distribution asymétrique : la moyenne supérieure à la médiane, combinée à un skewness positif de 1,029, révèle que davantage de journées se sont négociées sous la moyenne, avec quelques pics haussiers tirant la moyenne vers le haut. L'écart-type de 222 FCFA (CV de 9,8%) traduit une dispersion modérée du cours, tandis que le kurtosis de 1,471 (leptokurtique) signale des queues épaisses — le titre est sujet à des pics de volatilité brutaux, un risque à intégrer. Enfin, la volatilité annualisée de 42,2% classe SHEC parmi les titres à volatilité élevée (&gt;30%), ce qui implique un risque de variation important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(2 503,75 FCFA) et la MM50 (2 427,80 FCFA) sont toutes deux supérieures au cours actuel (2 215 FCFA), ce qui place le titre en dessous de ses moyennes de court et moyen terme. La MM20 étant au-dessus de la MM50, la configuration reste haussière de fond, mais le cours sous ces deux niveaux suggère une correction en cours. La décision fournie est "Achat", probablement en anticipation d'un rebond technique vers ces moyennes.</w:t>
      </w:r>
    </w:p>
    <w:p>
      <w:pPr>
        <w:spacing w:after="120" w:line="276" w:lineRule="auto"/>
      </w:pPr>
      <w:r>
        <w:t>**Bandes de Bollinger** : Le cours (2 215 FCFA) se situe dans la partie basse de la bande, entre la borne inférieure (1 962,87 FCFA) et la borne supérieure (3 044,64 FCFA), sans être en zone de survente extrême. La largeur des bandes (plus de 1 080 FCFA d'écart) confirme une volatilité élevée. La décision "Neutre" reflète l'absence de signal directionnel fort, le cours évoluant dans la moitié inférieure de la bande sans franchissement décisif.</w:t>
      </w:r>
    </w:p>
    <w:p>
      <w:pPr>
        <w:spacing w:after="120" w:line="276" w:lineRule="auto"/>
      </w:pPr>
      <w:r>
        <w:t>**MACD** : La valeur du MACD (-74,85) est inférieure à son signal (-37,03), et les deux sont en territoire négatif, ce qui traduit un momentum baissier à court terme. La divergence négative entre la ligne MACD et sa ligne de signal confirme la pression vendeuse récente. La décision "Vente" est cohérente avec cette configuration, le croisement baissier n'ayant pas encore été invalidé.</w:t>
      </w:r>
    </w:p>
    <w:p>
      <w:pPr>
        <w:spacing w:after="120" w:line="276" w:lineRule="auto"/>
      </w:pPr>
      <w:r>
        <w:t>**RSI** : À 15,74, le RSI est très largement en zone de survente (seuil &lt;30), ce qui est un signal d'achat technique classique : le titre a été excessivement vendu et un rebond est statistiquement probable. La décision "Achat" est justifiée par cette lecture, bien que la prudence reste de mise dans un contexte de momentum baissier.</w:t>
      </w:r>
    </w:p>
    <w:p>
      <w:pPr>
        <w:spacing w:after="120" w:line="276" w:lineRule="auto"/>
      </w:pPr>
      <w:r>
        <w:t>**Stochastique** : Le %K (0,0) est au plus bas absolu et le %D (4,69) est également en zone de survente extrême. Le croisement des deux lignes n'est pas encore confirmé, mais la position du %K au plancher suggère une possible inflexion à venir. La décision "Achat" anticipe un retournement haussier à court terme.</w:t>
      </w:r>
    </w:p>
    <w:p>
      <w:pPr>
        <w:spacing w:after="120" w:line="276" w:lineRule="auto"/>
      </w:pPr>
      <w:r>
        <w:t>**Conclusion technique** : Les indicateurs sont divergents : le MACD confirme la pression baissière, tandis que le RSI et le Stochastique signalent une survente extrême propice à un rebond. Les moyennes mobiles restent haussières de fond mais le cours est sous leurs niveaux. La configuration globale plaide pour une stabilisation voire un rebond technique à court terme, mais la prudence est requise tant que le MACD n'infléchit pas.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SHEC (Vivo Energy Côte d'Ivoire) a réalisé un chiffre d'affaires de 604,98 milliards FCFA, en très légère hausse de +0,71% par rapport à 2024 (600,71 Mds FCFA), selon les états financiers provisoires au 31/12/2025. Le résultat net s'établit à 6,03 milliards FCFA, en progression de +12,6% (contre 5,35 Mds en 2024), grâce à une amélioration de la valeur ajoutée (+15%) et une baisse des charges financières (-17,7%). La marge nette reste très faible à 1,00% (contre 0,89% en 2024), caractéristique du secteur de distribution pétrolière à faible marge, mais le ROE de 22,20% est excellent (&gt;15%), témoignant d'une bonne rentabilité des fonds propres (27,16 Mds FCFA). Le ROA de 3,11% reste modeste, reflétant la lourdeur du bilan (193,56 Mds FCFA d'actif total). Sur le plan structurel, l'autonomie financière est faible à 14,03% (capitaux propres/total bilan), bien en dessous du seuil de 30% considéré comme sain, et la trésorerie nette est très négative à -65,26 Mds FCFA, avec un BFR de 15,32 Mds FCFA. Les délais clients (23,27 jours) et fournisseurs (35,47 jours) sont maîtrisés, mais la liquidité immédiate de 5,97% est préoccupante. Le rapport du 30/06/2026 (S1 2026) indique un CA de 305,04 Mds FCFA, en baisse de -1% sur un an, avec un résultat net de 3,02 Mds FCFA et un résultat d'exploitation en hausse de +17% à 6,13 Mds FCFA, soutenu par le butane. Le T1 2026 avait montré une baisse de -9% du CA (141,65 Mds FCFA), mais une stabilité du résultat net (+1%). **Estimation** : sur la base de ces tendances, l'exercice 2026 devrait afficher un CA légèrement inférieur à 2025 (autour de 600 Mds FCFA) et un résultat net stable voire en légère hausse (autour de 6,1-6,2 Mds FCFA), la maîtrise des charges compensant la baisse des volumes. La recommandation fondamentale est **CONSERVER** : la société est bénéficiaire, distribue un dividende attractif (6,09 Mds FCFA proposé, soit ~1 933 FCFA/action), mais la trésorerie négative et l'endettement élevé (dettes fournisseurs de 53,43 Mds FCFA, découverts de 70,30 Mds FCFA) constituent des risques majeurs.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SHEC apparaît exigeante : PER de 23,1x (vs moyenne BRVM 8-12x), P/B de 5,14x et EV/EBITDA de 12,6x traduisent une surévaluation relative, le marché intégrant déjà une prime de croissance qui tarde à se matérialiser. Le comportement du cours est mitigé : la tendance haussière de +12,15% sur 100 jours est tempérée par une volatilité élevée (42,2%), un kurtosis leptokurtique (risque de pics) et un skewness positif (plus de journées sous la moyenne), ce qui rend le titre imprévisible à court terme. Les signaux techniques sont divergents : le MACD est baissier, mais le RSI (15,74) et le Stochastique (0,0) sont en survente extrême, suggérant un rebond technique imminent, tandis que les moyennes mobiles restent haussières de fond. Les fondamentaux sont stables mais fragiles : résultat net en hausse (+12,6% en 2025), ROE excellent (22,20%), mais marge nette très faible (1%), trésorerie nette négative (-65,26 Mds FCFA) et endettement élevé. Les prédictions IA (J+1 à J+10) tablent sur une légère reprise progressive de 2 230 à 2 246 FCFA, ce qui confirme le scénario d'un rebond technique modéré, en ligne avec la survente du RSI. **Recommandation finale : CONSERVER**, avec un niveau de confiance **Moyen** et un risque global **Élevé**. La convergence entre la survente technique et les prédictions haussières à court terme justifie de ne pas vendre, mais la surévaluation et les risques financiers (trésorerie, endettement) interdisent un achat agressif. L'horizon optimal est le **moyen terme (3-12 mois)**, en attendant la publication des comptes définitifs 2025 et des résultats du S2 2026 pour confirmer l'amélioration de la structure financière.</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35.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878.00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11,262 titres</w:t>
            </w:r>
          </w:p>
        </w:tc>
        <w:tc>
          <w:tcPr>
            <w:tcW w:type="dxa" w:w="2268"/>
            <w:shd w:fill="FFF2CC" w:val="clear"/>
          </w:tcPr>
          <w:p>
            <w:r>
              <w:rPr>
                <w:b/>
                <w:color w:val="503200"/>
                <w:sz w:val="16"/>
              </w:rPr>
              <w:t xml:space="preserve">Cours actuel : </w:t>
            </w:r>
            <w:r>
              <w:rPr>
                <w:color w:val="000000"/>
                <w:sz w:val="17"/>
              </w:rPr>
              <w:t>8,780 FCFA</w:t>
            </w:r>
          </w:p>
          <w:p>
            <w:r>
              <w:rPr>
                <w:b/>
                <w:color w:val="503200"/>
                <w:sz w:val="16"/>
              </w:rPr>
              <w:t xml:space="preserve">Var. 100 jours : </w:t>
            </w:r>
            <w:r>
              <w:rPr>
                <w:b/>
                <w:color w:val="007800"/>
                <w:sz w:val="17"/>
              </w:rPr>
              <w:t>+16.99%</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7,505 FCFA</w:t>
            </w:r>
          </w:p>
          <w:p>
            <w:r>
              <w:rPr>
                <w:b/>
                <w:color w:val="503200"/>
                <w:sz w:val="16"/>
              </w:rPr>
              <w:t xml:space="preserve">Volatilité ann. : </w:t>
            </w:r>
            <w:r>
              <w:rPr>
                <w:color w:val="000000"/>
                <w:sz w:val="17"/>
              </w:rPr>
              <w:t>30.9%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7.5/100 → Faible</w:t>
      </w:r>
    </w:p>
    <w:p>
      <w:pPr>
        <w:spacing w:before="40" w:after="80"/>
      </w:pPr>
      <w:r>
        <w:rPr>
          <w:rFonts w:ascii="Courier New" w:hAnsi="Courier New"/>
          <w:color w:val="006400"/>
          <w:sz w:val="18"/>
        </w:rPr>
        <w:t>█░░░░░░░░░░░░░░░░░░░  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4.05% (Faible) — μ=8,909 FCFA, σ=361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β=0.7485 (Défensif) — Cov=0.000055, Var(idx)=0.000073, ρ=0.328,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11,262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σ_j=1.95%/j (Stable) — Vol. annualisée≈30.9%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2026-10-13</w:t>
            </w:r>
          </w:p>
        </w:tc>
        <w:tc>
          <w:tcPr>
            <w:tcW w:type="dxa" w:w="1440"/>
            <w:shd w:fill="FAFAFA" w:val="clear"/>
          </w:tcPr>
          <w:p>
            <w:r>
              <w:rPr>
                <w:sz w:val="17"/>
              </w:rPr>
              <w:t>8,458</w:t>
            </w:r>
          </w:p>
        </w:tc>
        <w:tc>
          <w:tcPr>
            <w:tcW w:type="dxa" w:w="1440"/>
            <w:shd w:fill="FAFAFA" w:val="clear"/>
          </w:tcPr>
          <w:p>
            <w:r>
              <w:rPr>
                <w:b/>
                <w:sz w:val="17"/>
              </w:rPr>
              <w:t>8,729</w:t>
            </w:r>
          </w:p>
        </w:tc>
        <w:tc>
          <w:tcPr>
            <w:tcW w:type="dxa" w:w="1440"/>
            <w:shd w:fill="FAFAFA" w:val="clear"/>
          </w:tcPr>
          <w:p>
            <w:r>
              <w:rPr>
                <w:sz w:val="17"/>
              </w:rPr>
              <w:t>8,999</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2026-10-14</w:t>
            </w:r>
          </w:p>
        </w:tc>
        <w:tc>
          <w:tcPr>
            <w:tcW w:type="dxa" w:w="1440"/>
            <w:shd w:fill="FAFAFA" w:val="clear"/>
          </w:tcPr>
          <w:p>
            <w:r>
              <w:rPr>
                <w:sz w:val="17"/>
              </w:rPr>
              <w:t>8,297</w:t>
            </w:r>
          </w:p>
        </w:tc>
        <w:tc>
          <w:tcPr>
            <w:tcW w:type="dxa" w:w="1440"/>
            <w:shd w:fill="FAFAFA" w:val="clear"/>
          </w:tcPr>
          <w:p>
            <w:r>
              <w:rPr>
                <w:b/>
                <w:sz w:val="17"/>
              </w:rPr>
              <w:t>8,678</w:t>
            </w:r>
          </w:p>
        </w:tc>
        <w:tc>
          <w:tcPr>
            <w:tcW w:type="dxa" w:w="1440"/>
            <w:shd w:fill="FAFAFA" w:val="clear"/>
          </w:tcPr>
          <w:p>
            <w:r>
              <w:rPr>
                <w:sz w:val="17"/>
              </w:rPr>
              <w:t>9,059</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2026-10-15</w:t>
            </w:r>
          </w:p>
        </w:tc>
        <w:tc>
          <w:tcPr>
            <w:tcW w:type="dxa" w:w="1440"/>
            <w:shd w:fill="FAFAFA" w:val="clear"/>
          </w:tcPr>
          <w:p>
            <w:r>
              <w:rPr>
                <w:sz w:val="17"/>
              </w:rPr>
              <w:t>8,165</w:t>
            </w:r>
          </w:p>
        </w:tc>
        <w:tc>
          <w:tcPr>
            <w:tcW w:type="dxa" w:w="1440"/>
            <w:shd w:fill="FAFAFA" w:val="clear"/>
          </w:tcPr>
          <w:p>
            <w:r>
              <w:rPr>
                <w:b/>
                <w:sz w:val="17"/>
              </w:rPr>
              <w:t>8,629</w:t>
            </w:r>
          </w:p>
        </w:tc>
        <w:tc>
          <w:tcPr>
            <w:tcW w:type="dxa" w:w="1440"/>
            <w:shd w:fill="FAFAFA" w:val="clear"/>
          </w:tcPr>
          <w:p>
            <w:r>
              <w:rPr>
                <w:sz w:val="17"/>
              </w:rPr>
              <w:t>9,093</w:t>
            </w:r>
          </w:p>
        </w:tc>
        <w:tc>
          <w:tcPr>
            <w:tcW w:type="dxa" w:w="1440"/>
            <w:shd w:fill="FAFAFA" w:val="clear"/>
          </w:tcPr>
          <w:p>
            <w:r>
              <w:rPr>
                <w:b/>
                <w:color w:val="C00000"/>
                <w:sz w:val="17"/>
              </w:rPr>
              <w:t>-1.7%</w:t>
            </w:r>
          </w:p>
        </w:tc>
      </w:tr>
      <w:tr>
        <w:tc>
          <w:tcPr>
            <w:tcW w:type="dxa" w:w="1440"/>
            <w:shd w:fill="FFDCE0" w:val="clear"/>
          </w:tcPr>
          <w:p>
            <w:r>
              <w:rPr>
                <w:sz w:val="17"/>
              </w:rPr>
              <w:t>J+4  Moyenne</w:t>
            </w:r>
          </w:p>
        </w:tc>
        <w:tc>
          <w:tcPr>
            <w:tcW w:type="dxa" w:w="1440"/>
            <w:shd w:fill="FFDCE0" w:val="clear"/>
          </w:tcPr>
          <w:p>
            <w:r>
              <w:rPr>
                <w:sz w:val="17"/>
              </w:rPr>
              <w:t>2026-10-16</w:t>
            </w:r>
          </w:p>
        </w:tc>
        <w:tc>
          <w:tcPr>
            <w:tcW w:type="dxa" w:w="1440"/>
            <w:shd w:fill="FFDCE0" w:val="clear"/>
          </w:tcPr>
          <w:p>
            <w:r>
              <w:rPr>
                <w:sz w:val="17"/>
              </w:rPr>
              <w:t>8,051</w:t>
            </w:r>
          </w:p>
        </w:tc>
        <w:tc>
          <w:tcPr>
            <w:tcW w:type="dxa" w:w="1440"/>
            <w:shd w:fill="FFDCE0" w:val="clear"/>
          </w:tcPr>
          <w:p>
            <w:r>
              <w:rPr>
                <w:b/>
                <w:sz w:val="17"/>
              </w:rPr>
              <w:t>8,584</w:t>
            </w:r>
          </w:p>
        </w:tc>
        <w:tc>
          <w:tcPr>
            <w:tcW w:type="dxa" w:w="1440"/>
            <w:shd w:fill="FFDCE0" w:val="clear"/>
          </w:tcPr>
          <w:p>
            <w:r>
              <w:rPr>
                <w:sz w:val="17"/>
              </w:rPr>
              <w:t>9,116</w:t>
            </w:r>
          </w:p>
        </w:tc>
        <w:tc>
          <w:tcPr>
            <w:tcW w:type="dxa" w:w="1440"/>
            <w:shd w:fill="FFDCE0" w:val="clear"/>
          </w:tcPr>
          <w:p>
            <w:r>
              <w:rPr>
                <w:b/>
                <w:color w:val="C00000"/>
                <w:sz w:val="17"/>
              </w:rPr>
              <w:t>-2.2%</w:t>
            </w:r>
          </w:p>
        </w:tc>
      </w:tr>
      <w:tr>
        <w:tc>
          <w:tcPr>
            <w:tcW w:type="dxa" w:w="1440"/>
            <w:shd w:fill="FFDCE0" w:val="clear"/>
          </w:tcPr>
          <w:p>
            <w:r>
              <w:rPr>
                <w:sz w:val="17"/>
              </w:rPr>
              <w:t>J+5  Moyenne</w:t>
            </w:r>
          </w:p>
        </w:tc>
        <w:tc>
          <w:tcPr>
            <w:tcW w:type="dxa" w:w="1440"/>
            <w:shd w:fill="FFDCE0" w:val="clear"/>
          </w:tcPr>
          <w:p>
            <w:r>
              <w:rPr>
                <w:sz w:val="17"/>
              </w:rPr>
              <w:t>2026-10-19</w:t>
            </w:r>
          </w:p>
        </w:tc>
        <w:tc>
          <w:tcPr>
            <w:tcW w:type="dxa" w:w="1440"/>
            <w:shd w:fill="FFDCE0" w:val="clear"/>
          </w:tcPr>
          <w:p>
            <w:r>
              <w:rPr>
                <w:sz w:val="17"/>
              </w:rPr>
              <w:t>7,949</w:t>
            </w:r>
          </w:p>
        </w:tc>
        <w:tc>
          <w:tcPr>
            <w:tcW w:type="dxa" w:w="1440"/>
            <w:shd w:fill="FFDCE0" w:val="clear"/>
          </w:tcPr>
          <w:p>
            <w:r>
              <w:rPr>
                <w:b/>
                <w:sz w:val="17"/>
              </w:rPr>
              <w:t>8,542</w:t>
            </w:r>
          </w:p>
        </w:tc>
        <w:tc>
          <w:tcPr>
            <w:tcW w:type="dxa" w:w="1440"/>
            <w:shd w:fill="FFDCE0" w:val="clear"/>
          </w:tcPr>
          <w:p>
            <w:r>
              <w:rPr>
                <w:sz w:val="17"/>
              </w:rPr>
              <w:t>9,135</w:t>
            </w:r>
          </w:p>
        </w:tc>
        <w:tc>
          <w:tcPr>
            <w:tcW w:type="dxa" w:w="1440"/>
            <w:shd w:fill="FFDCE0" w:val="clear"/>
          </w:tcPr>
          <w:p>
            <w:r>
              <w:rPr>
                <w:b/>
                <w:color w:val="C00000"/>
                <w:sz w:val="17"/>
              </w:rPr>
              <w:t>-2.7%</w:t>
            </w:r>
          </w:p>
        </w:tc>
      </w:tr>
      <w:tr>
        <w:tc>
          <w:tcPr>
            <w:tcW w:type="dxa" w:w="1440"/>
            <w:shd w:fill="FFDCE0" w:val="clear"/>
          </w:tcPr>
          <w:p>
            <w:r>
              <w:rPr>
                <w:sz w:val="17"/>
              </w:rPr>
              <w:t>J+6  Moyenne</w:t>
            </w:r>
          </w:p>
        </w:tc>
        <w:tc>
          <w:tcPr>
            <w:tcW w:type="dxa" w:w="1440"/>
            <w:shd w:fill="FFDCE0" w:val="clear"/>
          </w:tcPr>
          <w:p>
            <w:r>
              <w:rPr>
                <w:sz w:val="17"/>
              </w:rPr>
              <w:t>2026-10-20</w:t>
            </w:r>
          </w:p>
        </w:tc>
        <w:tc>
          <w:tcPr>
            <w:tcW w:type="dxa" w:w="1440"/>
            <w:shd w:fill="FFDCE0" w:val="clear"/>
          </w:tcPr>
          <w:p>
            <w:r>
              <w:rPr>
                <w:sz w:val="17"/>
              </w:rPr>
              <w:t>7,857</w:t>
            </w:r>
          </w:p>
        </w:tc>
        <w:tc>
          <w:tcPr>
            <w:tcW w:type="dxa" w:w="1440"/>
            <w:shd w:fill="FFDCE0" w:val="clear"/>
          </w:tcPr>
          <w:p>
            <w:r>
              <w:rPr>
                <w:b/>
                <w:sz w:val="17"/>
              </w:rPr>
              <w:t>8,503</w:t>
            </w:r>
          </w:p>
        </w:tc>
        <w:tc>
          <w:tcPr>
            <w:tcW w:type="dxa" w:w="1440"/>
            <w:shd w:fill="FFDCE0" w:val="clear"/>
          </w:tcPr>
          <w:p>
            <w:r>
              <w:rPr>
                <w:sz w:val="17"/>
              </w:rPr>
              <w:t>9,150</w:t>
            </w:r>
          </w:p>
        </w:tc>
        <w:tc>
          <w:tcPr>
            <w:tcW w:type="dxa" w:w="1440"/>
            <w:shd w:fill="FFDCE0" w:val="clear"/>
          </w:tcPr>
          <w:p>
            <w:r>
              <w:rPr>
                <w:b/>
                <w:color w:val="C00000"/>
                <w:sz w:val="17"/>
              </w:rPr>
              <w:t>-3.2%</w:t>
            </w:r>
          </w:p>
        </w:tc>
      </w:tr>
      <w:tr>
        <w:tc>
          <w:tcPr>
            <w:tcW w:type="dxa" w:w="1440"/>
            <w:shd w:fill="FFDCE0" w:val="clear"/>
          </w:tcPr>
          <w:p>
            <w:r>
              <w:rPr>
                <w:sz w:val="17"/>
              </w:rPr>
              <w:t>J+7  Moyenne</w:t>
            </w:r>
          </w:p>
        </w:tc>
        <w:tc>
          <w:tcPr>
            <w:tcW w:type="dxa" w:w="1440"/>
            <w:shd w:fill="FFDCE0" w:val="clear"/>
          </w:tcPr>
          <w:p>
            <w:r>
              <w:rPr>
                <w:sz w:val="17"/>
              </w:rPr>
              <w:t>2026-10-21</w:t>
            </w:r>
          </w:p>
        </w:tc>
        <w:tc>
          <w:tcPr>
            <w:tcW w:type="dxa" w:w="1440"/>
            <w:shd w:fill="FFDCE0" w:val="clear"/>
          </w:tcPr>
          <w:p>
            <w:r>
              <w:rPr>
                <w:sz w:val="17"/>
              </w:rPr>
              <w:t>7,772</w:t>
            </w:r>
          </w:p>
        </w:tc>
        <w:tc>
          <w:tcPr>
            <w:tcW w:type="dxa" w:w="1440"/>
            <w:shd w:fill="FFDCE0" w:val="clear"/>
          </w:tcPr>
          <w:p>
            <w:r>
              <w:rPr>
                <w:b/>
                <w:sz w:val="17"/>
              </w:rPr>
              <w:t>8,467</w:t>
            </w:r>
          </w:p>
        </w:tc>
        <w:tc>
          <w:tcPr>
            <w:tcW w:type="dxa" w:w="1440"/>
            <w:shd w:fill="FFDCE0" w:val="clear"/>
          </w:tcPr>
          <w:p>
            <w:r>
              <w:rPr>
                <w:sz w:val="17"/>
              </w:rPr>
              <w:t>9,162</w:t>
            </w:r>
          </w:p>
        </w:tc>
        <w:tc>
          <w:tcPr>
            <w:tcW w:type="dxa" w:w="1440"/>
            <w:shd w:fill="FFDCE0" w:val="clear"/>
          </w:tcPr>
          <w:p>
            <w:r>
              <w:rPr>
                <w:b/>
                <w:color w:val="C00000"/>
                <w:sz w:val="17"/>
              </w:rPr>
              <w:t>-3.6%</w:t>
            </w:r>
          </w:p>
        </w:tc>
      </w:tr>
      <w:tr>
        <w:tc>
          <w:tcPr>
            <w:tcW w:type="dxa" w:w="1440"/>
            <w:shd w:fill="FFDCE0" w:val="clear"/>
          </w:tcPr>
          <w:p>
            <w:r>
              <w:rPr>
                <w:sz w:val="17"/>
              </w:rPr>
              <w:t>J+8  Moyenne</w:t>
            </w:r>
          </w:p>
        </w:tc>
        <w:tc>
          <w:tcPr>
            <w:tcW w:type="dxa" w:w="1440"/>
            <w:shd w:fill="FFDCE0" w:val="clear"/>
          </w:tcPr>
          <w:p>
            <w:r>
              <w:rPr>
                <w:sz w:val="17"/>
              </w:rPr>
              <w:t>2026-10-22</w:t>
            </w:r>
          </w:p>
        </w:tc>
        <w:tc>
          <w:tcPr>
            <w:tcW w:type="dxa" w:w="1440"/>
            <w:shd w:fill="FFDCE0" w:val="clear"/>
          </w:tcPr>
          <w:p>
            <w:r>
              <w:rPr>
                <w:sz w:val="17"/>
              </w:rPr>
              <w:t>7,692</w:t>
            </w:r>
          </w:p>
        </w:tc>
        <w:tc>
          <w:tcPr>
            <w:tcW w:type="dxa" w:w="1440"/>
            <w:shd w:fill="FFDCE0" w:val="clear"/>
          </w:tcPr>
          <w:p>
            <w:r>
              <w:rPr>
                <w:b/>
                <w:sz w:val="17"/>
              </w:rPr>
              <w:t>8,432</w:t>
            </w:r>
          </w:p>
        </w:tc>
        <w:tc>
          <w:tcPr>
            <w:tcW w:type="dxa" w:w="1440"/>
            <w:shd w:fill="FFDCE0" w:val="clear"/>
          </w:tcPr>
          <w:p>
            <w:r>
              <w:rPr>
                <w:sz w:val="17"/>
              </w:rPr>
              <w:t>9,173</w:t>
            </w:r>
          </w:p>
        </w:tc>
        <w:tc>
          <w:tcPr>
            <w:tcW w:type="dxa" w:w="1440"/>
            <w:shd w:fill="FFDCE0" w:val="clear"/>
          </w:tcPr>
          <w:p>
            <w:r>
              <w:rPr>
                <w:b/>
                <w:color w:val="C00000"/>
                <w:sz w:val="17"/>
              </w:rPr>
              <w:t>-4.0%</w:t>
            </w:r>
          </w:p>
        </w:tc>
      </w:tr>
      <w:tr>
        <w:tc>
          <w:tcPr>
            <w:tcW w:type="dxa" w:w="1440"/>
            <w:shd w:fill="FFDCE0" w:val="clear"/>
          </w:tcPr>
          <w:p>
            <w:r>
              <w:rPr>
                <w:sz w:val="17"/>
              </w:rPr>
              <w:t>J+9  Moyenne</w:t>
            </w:r>
          </w:p>
        </w:tc>
        <w:tc>
          <w:tcPr>
            <w:tcW w:type="dxa" w:w="1440"/>
            <w:shd w:fill="FFDCE0" w:val="clear"/>
          </w:tcPr>
          <w:p>
            <w:r>
              <w:rPr>
                <w:sz w:val="17"/>
              </w:rPr>
              <w:t>2026-10-23</w:t>
            </w:r>
          </w:p>
        </w:tc>
        <w:tc>
          <w:tcPr>
            <w:tcW w:type="dxa" w:w="1440"/>
            <w:shd w:fill="FFDCE0" w:val="clear"/>
          </w:tcPr>
          <w:p>
            <w:r>
              <w:rPr>
                <w:sz w:val="17"/>
              </w:rPr>
              <w:t>7,618</w:t>
            </w:r>
          </w:p>
        </w:tc>
        <w:tc>
          <w:tcPr>
            <w:tcW w:type="dxa" w:w="1440"/>
            <w:shd w:fill="FFDCE0" w:val="clear"/>
          </w:tcPr>
          <w:p>
            <w:r>
              <w:rPr>
                <w:b/>
                <w:sz w:val="17"/>
              </w:rPr>
              <w:t>8,400</w:t>
            </w:r>
          </w:p>
        </w:tc>
        <w:tc>
          <w:tcPr>
            <w:tcW w:type="dxa" w:w="1440"/>
            <w:shd w:fill="FFDCE0" w:val="clear"/>
          </w:tcPr>
          <w:p>
            <w:r>
              <w:rPr>
                <w:sz w:val="17"/>
              </w:rPr>
              <w:t>9,182</w:t>
            </w:r>
          </w:p>
        </w:tc>
        <w:tc>
          <w:tcPr>
            <w:tcW w:type="dxa" w:w="1440"/>
            <w:shd w:fill="FFDCE0" w:val="clear"/>
          </w:tcPr>
          <w:p>
            <w:r>
              <w:rPr>
                <w:b/>
                <w:color w:val="C00000"/>
                <w:sz w:val="17"/>
              </w:rPr>
              <w:t>-4.3%</w:t>
            </w:r>
          </w:p>
        </w:tc>
      </w:tr>
      <w:tr>
        <w:tc>
          <w:tcPr>
            <w:tcW w:type="dxa" w:w="1440"/>
            <w:shd w:fill="FFDCE0" w:val="clear"/>
          </w:tcPr>
          <w:p>
            <w:r>
              <w:rPr>
                <w:sz w:val="17"/>
              </w:rPr>
              <w:t>J+10  Moyenne</w:t>
            </w:r>
          </w:p>
        </w:tc>
        <w:tc>
          <w:tcPr>
            <w:tcW w:type="dxa" w:w="1440"/>
            <w:shd w:fill="FFDCE0" w:val="clear"/>
          </w:tcPr>
          <w:p>
            <w:r>
              <w:rPr>
                <w:sz w:val="17"/>
              </w:rPr>
              <w:t>2026-10-26</w:t>
            </w:r>
          </w:p>
        </w:tc>
        <w:tc>
          <w:tcPr>
            <w:tcW w:type="dxa" w:w="1440"/>
            <w:shd w:fill="FFDCE0" w:val="clear"/>
          </w:tcPr>
          <w:p>
            <w:r>
              <w:rPr>
                <w:sz w:val="17"/>
              </w:rPr>
              <w:t>7,548</w:t>
            </w:r>
          </w:p>
        </w:tc>
        <w:tc>
          <w:tcPr>
            <w:tcW w:type="dxa" w:w="1440"/>
            <w:shd w:fill="FFDCE0" w:val="clear"/>
          </w:tcPr>
          <w:p>
            <w:r>
              <w:rPr>
                <w:b/>
                <w:sz w:val="17"/>
              </w:rPr>
              <w:t>8,369</w:t>
            </w:r>
          </w:p>
        </w:tc>
        <w:tc>
          <w:tcPr>
            <w:tcW w:type="dxa" w:w="1440"/>
            <w:shd w:fill="FFDCE0" w:val="clear"/>
          </w:tcPr>
          <w:p>
            <w:r>
              <w:rPr>
                <w:sz w:val="17"/>
              </w:rPr>
              <w:t>9,191</w:t>
            </w:r>
          </w:p>
        </w:tc>
        <w:tc>
          <w:tcPr>
            <w:tcW w:type="dxa" w:w="1440"/>
            <w:shd w:fill="FFDCE0" w:val="clear"/>
          </w:tcPr>
          <w:p>
            <w:r>
              <w:rPr>
                <w:b/>
                <w:color w:val="C00000"/>
                <w:sz w:val="17"/>
              </w:rPr>
              <w:t>-4.7%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**RAPPORT D'ANALYSE FINANCIÈRE — SIBC (Société Ivoirienne de Banque)**</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878,00 milliards FCFA, la SIBC s'impose comme l'une des toutes premières capitalisations de la BRVM, ce qui témoigne de son statut de valeur phare du compartiment bancaire ouest-africain. Le BPA de 556 FCFA/action signifie que chaque titre détenu génère près de 556 FCFA de bénéfice net, un niveau de rentabilité par action remarquable dans le contexte régional. Le PER de 15,8x place le titre au-dessus de la moyenne du marché BRVM (estimée entre 8 et 12x), ce qui indique que les investisseurs acceptent de payer une prime de qualité pour cette valeur bancaire, sans pour autant tomber dans une exubérance manifeste. Le P/B de 4,29x traduit une valorisation nettement supérieure à la valeur comptable (prime &gt;4x), justifiée par la rentabilité exceptionnelle des fonds propres (ROE &gt;27%) mais qui expose le titre à un risque de correction si la rentabilité venait à fléchir. Enfin, l'EV/EBITDA de 14,7x, situé dans la fourchette haute (10-15x), confirme que la valeur d'entreprise intègre déjà une large part des performances opérationnelles attendues, laissant peu de marge d'erreur aux investisseurs.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SIBC affiche une progression totale de +16,99%, portée par une dynamique haussière solide, bien que la dernière séance (J-1) marque un léger repli de -0,23%, signalant un essoufflement à court terme. Le cours actuel de 8 780 FCFA se situe dans la partie médiane du range de trading, entre un plus bas de 7 505 FCFA et un plus haut de 9 500 FCFA, ce qui représente une amplitude de près de 26% — un range relativement large qui traduit une certaine nervosité du marché. La moyenne (8 909 FCFA) étant inférieure à la médiane (8 995 FCFA) et au mode (9 000 FCFA), la distribution des cours est asymétrique vers le bas, confirmée par un skewness de -1,771 indiquant davantage de journées de cotation au-dessus de la moyenne, mais avec des baisses ponctuelles plus marquées. L'écart-type de 362 FCFA (CV de 4,1%) révèle une dispersion modérée du cours autour de sa moyenne, tandis que le kurtosis de 3,807 (leptokurtique) signale des queues épaisses, c'est-à-dire un risque accru de pics de volatilité brutaux. Avec une volatilité annualisée de 30,9%, le titre se situe dans la catégorie des valeurs à volatilité élevée (&gt;30%), ce qui implique un risque de marché significatif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(9 017,5 FCFA) et la MM50 (9 111,5 FCFA) se situent toutes deux au-dessus du cours actuel (8 780 FCFA), ce qui place le titre en position baissière sous ses moyennes mobiles. La MM20 étant inférieure à la MM50, la configuration est baissière à court terme, justifiant la décision de **Vente** émise par cet indicateur.</w:t>
      </w:r>
    </w:p>
    <w:p>
      <w:pPr>
        <w:spacing w:after="120" w:line="276" w:lineRule="auto"/>
      </w:pPr>
      <w:r>
        <w:t>**Bandes de Bollinger** : Le cours actuel (8 780 FCFA) évolue dans la partie basse de la bande, entre la borne inférieure (8 604,89 FCFA) et la borne supérieure (9 430,11 FCFA), sans atteindre les extrêmes. Cette position médiane-basse, combinée à un écart-type modéré, justifie la décision **Neutre**, le titre n'étant ni en survente ni en surachat selon ce critère.</w:t>
      </w:r>
    </w:p>
    <w:p>
      <w:pPr>
        <w:spacing w:after="120" w:line="276" w:lineRule="auto"/>
      </w:pPr>
      <w:r>
        <w:t>**MACD** : La valeur du MACD (-85,26) est inférieure à son signal (-52,818), confirmant une divergence baissière et un momentum négatif. Le MACD évoluant en territoire négatif, la pression vendeuse domine, ce qui justifie la décision de **Vente**.</w:t>
      </w:r>
    </w:p>
    <w:p>
      <w:pPr>
        <w:spacing w:after="120" w:line="276" w:lineRule="auto"/>
      </w:pPr>
      <w:r>
        <w:t>**RSI** : À 38,781, le RSI se situe dans la zone neutre basse (30-70), sans atteindre le seuil de survente (&lt;30). Cette position indique une faiblesse relative du titre sans capitulation, justifiant la décision **Neutre** avec un biais baissier.</w:t>
      </w:r>
    </w:p>
    <w:p>
      <w:pPr>
        <w:spacing w:after="120" w:line="276" w:lineRule="auto"/>
      </w:pPr>
      <w:r>
        <w:t>**Stochastique** : Le %K (40,0) et le %D (39,506) évoluent tous deux en zone basse, avec un %K légèrement supérieur au %D, suggérant un très léger croisement haussier naissant mais sans conviction. La décision reste **Neutre**, le signal étant trop faible pour être exploitable.</w:t>
      </w:r>
    </w:p>
    <w:p>
      <w:pPr>
        <w:spacing w:after="120" w:line="276" w:lineRule="auto"/>
      </w:pPr>
      <w:r>
        <w:t>**Conclusion technique** : L'ensemble des indicateurs techniques convergent vers un signal baissier à court terme : les moyennes mobiles sont en configuration descendante, le MACD est négatif et divergent, et le cours évolue sous ses moyennes. Seuls le RSI et le stochastique offrent une accalmie relative en zone neutre, mais sans signal d'achat clair. La tendance technique est donc défavorable, avec un risque de poursuite de la correction vers la borne inférieure des Bollinger (8 604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la SIBC affiche un Produit Net Bancaire (PNB) de 108,663 milliards FCFA, un résultat net de 55,623 milliards FCFA, un ROE exceptionnel de 27,16% et un ROA de 2,96%. Le coefficient d'exploitation s'établit à 38,59%, largement inférieur au seuil de 60%, ce qui témoigne d'une efficacité opérationnelle remarquable. Le ratio dépôts/crédits est très favorable : 1 503,441 milliards FCFA de dépôts clientèle pour 1 226,720 milliards FCFA de créances clientèle, soit un taux de transformation de 81,6%, indiquant une solide base de ressources. Le coût du risque, bien que le ratio fourni (363 900 000 000%) soit manifestement erroné ou mal calculé, peut être estimé à partir des provisions (14,124 milliards FCFA) rapportées aux charges financières (16,320 milliards FCFA), soit un ratio de 86,5% — un niveau élevé qui mérite une surveillance accrue. La marge nette de 51,19% et la marge opérationnelle de 58,06% confirment la rentabilité structurelle de la banque.</w:t>
      </w:r>
    </w:p>
    <w:p>
      <w:pPr>
        <w:spacing w:after="120" w:line="276" w:lineRule="auto"/>
      </w:pPr>
      <w:r>
        <w:t>**Estimations basées sur les rapports trimestriels** : Le rapport du T1 2026 (publié le 31/12/2026, analysé par DeepSeek le 07/05/2026) indique un PNB de 27,7 milliards FCFA (+4% en glissement annuel) et un résultat net de 15,2 milliards FCFA (+11%), avec une marge nette de 54,9%. Le rapport du S1 2026 (analysé par DeepSeek le 29/09/2026) confirme cette tendance avec un PNB de 56,592 milliards FCFA (+4,2%) et un résultat net de 32,140 milliards FCFA (+9,3%), pour une marge nette de 56,8%. Sur la base de ces performances semestrielles, on peut estimer que l'exercice 2026 devrait générer un résultat net annuel compris entre 62 et 65 milliards FCFA, en croissance de 12 à 17% par rapport à 2025, porté par la dynamique commerciale (crédits +12%, dépôts +12%) et la maîtrise du coût du risque (287 millions FCFA au S1 2026, en baisse de 75,3%).</w:t>
      </w:r>
    </w:p>
    <w:p>
      <w:pPr>
        <w:spacing w:after="120" w:line="276" w:lineRule="auto"/>
      </w:pPr>
      <w:r>
        <w:t>**Évolution pluriannuelle** : Les rapports antérieurs confirment une trajectoire de croissance régulière : le PNB est passé de 102,8 milliards FCFA en 2024 (rapport annuel 2024) à 108,663 milliards FCFA en 2025, tandis que le résultat net progressait de 50,2 à 55,623 milliards FCFA. Le ROE, déjà excellent à 30,56% en 2024, se maintient au-dessus de 27% en 2025, et la politique de dividende (375 FCFA/action proposé au titre de 2024, soit un rendement de ~10,55%) témoigne d'un retour attractif pour les actionnaires.</w:t>
      </w:r>
    </w:p>
    <w:p>
      <w:pPr>
        <w:spacing w:after="120" w:line="276" w:lineRule="auto"/>
      </w:pPr>
      <w:r>
        <w:t>**Recommandation fondamentale** : La SIBC présente des fondamentaux solides : croissance soutenue du PNB et du résultat net, rentabilité parmi les meilleures du secteur (ROE &gt;27%), efficacité opérationnelle remarquable (coefficient d'exploitation &lt;40%) et base de dépôts solide. Les principaux risques résident dans la pression concurrentielle, le risque de crédit lié à l'expansion des encours, et la dépendance à la conjoncture ivoirienne. La valorisation exigeante (P/B &gt;4x) intègre déjà ces bonnes performances, limitant le potentiel de hausse à court terme. **Recommandation fondamentale : CONSERVER avec biais positif**, en attendant la publication des résultats annuels 2026 pour confirmer la tendance et clarifier la politique de dividende.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notable entre les signaux. **Sur le plan de la valorisation (Partie 0)** , les ratios PER (15,8x) et P/B (4,29x) indiquent une surévaluation relative par rapport à la moyenne du marché BRVM, bien que justifiée par la qualité des fondamentaux. **Le comportement du cours (Partie 1)** montre une tendance haussière sur 100 jours (+16,99%) mais avec une asymétrie négative (skewness -1,771) et un risque de pics (kurtosis 3,807) qui incitent à la prudence. **Les signaux techniques (Partie 2)** sont majoritairement baissiers : les moyennes mobiles sont en configuration descendante, le MACD est négatif et divergent, et le cours évolue sous ses moyennes, bien que le RSI et le stochastique soient neutres. **Les fondamentaux (Partie 3)** restent solides : ROE &gt;27%, coefficient d'exploitation &lt;40%, croissance du résultat net estimée à 12-17% pour 2026, mais la valorisation exigeante limite le potentiel. **Les prédictions IA (J+1 à J+10)** anticipent une poursuite de la correction baissière, avec un cours cible de 8 542 FCFA à J+10 (soit -2,7% par rapport au cours actuel), ce qui confirme les signaux techniques baissiers à court terme.</w:t>
      </w:r>
    </w:p>
    <w:p>
      <w:pPr>
        <w:spacing w:after="120" w:line="276" w:lineRule="auto"/>
      </w:pPr>
      <w:r>
        <w:t>**Recommandation finale : CONSERVER** — La convergence entre la valorisation exigeante, les signaux techniques baissiers et les prédictions IA négatives à court terme plaide contre un achat immédiat, tandis que la solidité des fondamentaux et la croissance attendue justifient de ne pas vendre. **Niveau de confiance : Moyen** — Les fondamentaux sont robustes mais la technique et la prédiction sont défavorables à court terme. **Niveau de risque global : Moyen à Élevé** — La volatilité annualisée de 30,9% et le risque de pics (kurtosis) augmentent le risque de marché. **Horizon d'investissement optimal : Moyen terme (3-12 mois)** — Attendre une correction vers 8 500-8 600 FCFA pour renforcer, ou la publication des résultats annuels 2026 (prévue début 2027) pour confirmer la tendance et la politique de dividende avant toute décision d'achat.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"La SIB affiche une croissance solide de ses r\u00e9sultats et une solidit\u00e9 financi\u00e8re confirm\u00e9e, avec un ratio de solvabilit\u00e9 confortable. Toutefois, l'absence d'information sur le dividende et la valorisation limite le potentiel d'achat \u00e0 court terme."}</w:t>
      </w:r>
    </w:p>
    <w:p>
      <w:pPr>
        <w:spacing w:before="40"/>
        <w:ind w:left="400"/>
      </w:pPr>
      <w:r>
        <w:rPr>
          <w:sz w:val="18"/>
        </w:rPr>
        <w:t>La Société Ivoirienne de Banque (SIB) a réalisé une performance solide au premier semestre 2026, avec un Produit Net Bancaire de 56,6 milliards FCFA en hausse de 4% et un Résultat Net de 32,1 milliards FCFA en progression de 9%. La dynamique commerciale est confirmée par une croissance de 12% des crédits à la clientèle (1 169 milliards FCFA) et des dépôts (1 581 milliards FCFA). La banque maintient une solidité financière avec un ratio de solvabilité bien supérieur au minimum réglementaire de 11,5%. Ces résultats ont été salués par une double distinction internationale aux International Banker Awards 2026. Pour le second semestre, la SIB entend poursuivre son plan stratégique en accélérant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'1 581 milliards FCFA', 'credits_clientele': '1 169 milliards FCFA', 'ratio_solvabilite': '&gt; 11,5%', 'produit_net_bancaire': '56,6 milliards FCFA', 'resultat_brut_exploitation': '36,6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1 968 296 millions FCFA</w:t>
            </w:r>
          </w:p>
        </w:tc>
      </w:tr>
      <w:tr>
        <w:tc>
          <w:tcPr>
            <w:tcW w:type="dxa" w:w="2160"/>
          </w:tcPr>
          <w:p>
            <w:r/>
            <w:r>
              <w:rPr>
                <w:b/>
                <w:sz w:val="16"/>
              </w:rPr>
              <w:t>resultat_net</w:t>
              <w:br/>
            </w:r>
            <w:r>
              <w:rPr>
                <w:sz w:val="18"/>
              </w:rPr>
              <w:t>32,1 milliards FCFA</w:t>
            </w:r>
          </w:p>
        </w:tc>
        <w:tc>
          <w:tcPr>
            <w:tcW w:type="dxa" w:w="2160"/>
          </w:tcPr>
          <w:p>
            <w:r/>
            <w:r>
              <w:rPr>
                <w:b/>
                <w:sz w:val="16"/>
              </w:rPr>
              <w:t>capitaux_propres</w:t>
              <w:br/>
            </w:r>
            <w:r>
              <w:rPr>
                <w:sz w:val="18"/>
              </w:rPr>
              <w:t>204 764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4% à 56,6 milliards FCFA</w:t>
      </w:r>
    </w:p>
    <w:p>
      <w:pPr>
        <w:pStyle w:val="ListBullet"/>
        <w:spacing w:before="20" w:after="20"/>
        <w:ind w:left="700"/>
      </w:pPr>
      <w:r>
        <w:rPr>
          <w:sz w:val="18"/>
        </w:rPr>
        <w:t>Résultat Net en progression de 9% à 32,1 milliards FCFA</w:t>
      </w:r>
    </w:p>
    <w:p>
      <w:pPr>
        <w:pStyle w:val="ListBullet"/>
        <w:spacing w:before="20" w:after="20"/>
        <w:ind w:left="700"/>
      </w:pPr>
      <w:r>
        <w:rPr>
          <w:sz w:val="18"/>
        </w:rPr>
        <w:t>Crédits à la clientèle en croissance de 12% à 1 169 milliards FCFA</w:t>
      </w:r>
    </w:p>
    <w:p>
      <w:pPr>
        <w:pStyle w:val="ListBullet"/>
        <w:spacing w:before="20" w:after="20"/>
        <w:ind w:left="700"/>
      </w:pPr>
      <w:r>
        <w:rPr>
          <w:sz w:val="18"/>
        </w:rPr>
        <w:t>Dépôts de la clientèle en hausse de 12% à 1 581 milliards FCFA</w:t>
      </w:r>
    </w:p>
    <w:p>
      <w:pPr>
        <w:pStyle w:val="ListBullet"/>
        <w:spacing w:before="20" w:after="20"/>
        <w:ind w:left="700"/>
      </w:pPr>
      <w:r>
        <w:rPr>
          <w:sz w:val="18"/>
        </w:rPr>
        <w:t>Résultat Brut d'Exploitation en augmentation de 6% à 36,6 milliards FCFA</w:t>
      </w:r>
    </w:p>
    <w:p>
      <w:pPr>
        <w:pStyle w:val="ListBullet"/>
        <w:spacing w:before="20" w:after="20"/>
        <w:ind w:left="700"/>
      </w:pPr>
      <w:r>
        <w:rPr>
          <w:sz w:val="18"/>
        </w:rPr>
        <w:t>Ratio de solvabilité largement supérieur au seuil réglementaire de 11,5%</w:t>
      </w:r>
    </w:p>
    <w:p>
      <w:pPr>
        <w:spacing w:before="40"/>
        <w:ind w:left="400"/>
      </w:pPr>
      <w:r>
        <w:rPr>
          <w:b/>
          <w:color w:val="C05000"/>
          <w:sz w:val="18"/>
        </w:rPr>
        <w:t xml:space="preserve">⚠️ Risques : </w:t>
      </w:r>
      <w:r>
        <w:rPr>
          <w:sz w:val="18"/>
        </w:rPr>
        <w:t>["Concurrence bancaire accrue dans un environnement de march\u00e9 exigeant", "Renforcement des standards r\u00e9glementaires pouvant impacter les co\u00fbts de conformit\u00e9", "Exposition \u00e0 des chocs exog\u00e8nes majeurs dans un environnement r\u00e9gional incertain"]</w:t>
      </w:r>
    </w:p>
    <w:p>
      <w:pPr>
        <w:spacing w:before="40"/>
        <w:ind w:left="400"/>
      </w:pPr>
      <w:r>
        <w:rPr>
          <w:b/>
          <w:color w:val="0064A0"/>
          <w:sz w:val="18"/>
        </w:rPr>
        <w:t xml:space="preserve">🔮 Perspectives : </w:t>
      </w:r>
      <w:r>
        <w:rPr>
          <w:sz w:val="18"/>
        </w:rPr>
        <w:t xml:space="preserve">Pour le second semestre 2026, la SIB poursuivra l'exécution de son plan stratégique en accélérant la modernisation de ses services et en renforçant ses standards de gouvernance. La banque bénéficie d'un environnement régional globalement porteur, sous réserve de l'absence de chocs exogènes majeurs.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
      <w:r>
        <w:t>════════════════════════════════════════════════════════════════════════════════</w:t>
      </w:r>
    </w:p>
    <w:p>
      <w:r>
        <w:br w:type="page"/>
      </w:r>
    </w:p>
    <w:p>
      <w:pPr>
        <w:pStyle w:val="Heading2"/>
        <w:spacing w:before="360"/>
      </w:pPr>
      <w:r>
        <w:rPr>
          <w:color w:val="0066CC"/>
        </w:rPr>
        <w:t>36.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β=-1.0837 (Contre-cyclique) — Cov=-0.000042, Var(idx)=0.000038, ρ=-0.175, n=82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598627"/>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598627"/>
                    </a:xfrm>
                    <a:prstGeom prst="rect"/>
                  </pic:spPr>
                </pic:pic>
              </a:graphicData>
            </a:graphic>
          </wp:inline>
        </w:drawing>
      </w:r>
    </w:p>
    <w:p/>
    <w:p>
      <w:pPr>
        <w:spacing w:after="120" w:line="276" w:lineRule="auto"/>
      </w:pPr>
      <w:r>
        <w:t>**RAPPORT D'ANALYSE FINANCIÈRE — ACTION SICC (SICOR CI)**</w:t>
        <w:br/>
        <w:t>**Bourse Régionale des Valeurs Mobilières (BRVM) — Secteur Agro-industriel**</w:t>
        <w:br/>
        <w:t>**Date d'analyse : Mai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SICC s'établit à 5,04 milliards FCFA, un niveau modeste qui la classe parmi les petites capitalisations de la BRVM, ce qui implique une liquidité limitée et une sensibilité accrue aux mouvements de faible volume. Les ratios de valorisation classiques (BPA, PER, P/B, EV/EBITDA) ne sont pas calculables en l'état, faute de données financières structurées récentes et fiables dans la base (les derniers états financiers exploitables remontant à 2023-2024). Cette absence de ratios empêche toute comparaison directe avec le PER moyen de la BRVM (estimé entre 8x et 12x) et prive l'investisseur d'un repère essentiel pour juger si le titre est cher ou bon marché. On peut toutefois noter que la capitalisation de 5,04 Mds FCFA reste inférieure au total bilan historique de 3,58 Mds FCFA (2016), suggérant que le marché valorise l'entreprise à un multiple proche ou légèrement supérieur à sa valeur comptable passée, sans pouvoir confirmer un P/B précis. En l'absence de BPA et d'EBITDA actualisés, l'analyse de valorisation devra s'appuyer sur les fondamentaux narratifs disponibles et la dynamique technique du cours.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SICC affiche une performance spectaculaire de +95,35%, passant d'un plus bas de 3 985 FCFA à un plus haut de 10 200 FCFA, pour un cours actuel de 8 400 FCFA ; la dernière séance enregistre toutefois un repli de -1,12%, signalant une possible prise de bénéfices après le rallye. Le range de trading est exceptionnellement large (2,56x entre le plus bas et le plus haut), traduisant une tendance haussière puissante mais aussi une forte instabilité des prix. Les statistiques descriptives confirment cette asymétrie : la moyenne (5 815 FCFA) est nettement supérieure à la médiane (5 022 FCFA), ce qui indique une distribution tirée vers le haut par les récents sommets, tandis que le skewness positif de 0,913 révèle que la majorité des séances se sont déroulées sous la moyenne, avec quelques journées de forte hausse. L'écart-type de 1 813 FCFA (CV = 31,2%) traduit une dispersion élevée du cours, et le kurtosis de -0,630 (mésokurtique) suggère une distribution proche de la normale, sans pics extrêmes fréquents, ce qui est rassurant pour la modélisation du risque. La volatilité annualisée de 58,2% classe le titre dans la catégorie des valeurs à volatilité élevée (&gt;30%), ce qui implique un risque de perte en capital significatif à court terme, mais aussi un potentiel de gain attractif pour les investisseurs tolérants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(8 472,25 FCFA) et la MM50 (7 205,00 FCFA) sont toutes deux inférieures au cours actuel (8 400 FCFA), avec la MM20 au-dessus de la MM50, configurant un croisement haussier classique (golden cross) qui valide la décision d'ACHAT. Le cours évolue toutefois légèrement sous la MM20, ce qui pourrait signaler un essoufflement à court terme, mais la structure globale reste positive tant que la MM50 (7 205 FCFA) n'est pas enfoncée.</w:t>
      </w:r>
    </w:p>
    <w:p>
      <w:pPr>
        <w:spacing w:after="120" w:line="276" w:lineRule="auto"/>
      </w:pPr>
      <w:r>
        <w:t>**Bandes de Bollinger** : Le cours (8 400 FCFA) se situe à l'intérieur des bandes, entre la borne inférieure (7 354,78 FCFA) et la borne supérieure (9 589,72 FCFA), sans les toucher, ce qui justifie la décision NEUTRE. L'amplitude des bandes (2 234,94 FCFA) reflète une volatilité encore élevée, et la position médiane du cours suggère une absence de signal directionnel fort à très court terme, avec un risque de consolidation avant une nouvelle impulsion.</w:t>
      </w:r>
    </w:p>
    <w:p>
      <w:pPr>
        <w:spacing w:after="120" w:line="276" w:lineRule="auto"/>
      </w:pPr>
      <w:r>
        <w:t>**MACD** : La valeur du MACD (259,89) est inférieure à son signal (345,76), générant un croisement baissier qui justifie la décision de VENTE. Cette divergence indique un affaiblissement du momentum haussier, bien que le MACD reste en territoire positif, ce qui tempère le signal baissier : il s'agit davantage d'une correction technique que d'un retournement de tendance majeur.</w:t>
      </w:r>
    </w:p>
    <w:p>
      <w:pPr>
        <w:spacing w:after="120" w:line="276" w:lineRule="auto"/>
      </w:pPr>
      <w:r>
        <w:t>**RSI** : À 61,16, le RSI se situe en zone neutre (30-70), sans atteindre la zone de surachat (&gt;70), ce qui justifie la décision NEUTRE. Cette configuration laisse de la marge à la hausse avant un éventuel retournement, mais l'absence de survente limite également le potentiel de rebond immédiat.</w:t>
      </w:r>
    </w:p>
    <w:p>
      <w:pPr>
        <w:spacing w:after="120" w:line="276" w:lineRule="auto"/>
      </w:pPr>
      <w:r>
        <w:t>**Stochastique** : Le %K (85,71) et le %D (94,76) sont tous deux en zone de surachat (&gt;80), avec un %K inférieur au %D, ce qui génère un croisement baissier et justifie la décision de VENTE. Cette configuration suggère une probabilité élevée de correction à court terme, le marché étant techniquement suracheté après le rallye de +95%.</w:t>
      </w:r>
    </w:p>
    <w:p>
      <w:pPr>
        <w:spacing w:after="120" w:line="276" w:lineRule="auto"/>
      </w:pPr>
      <w:r>
        <w:t>**Conclusion technique** : Les indicateurs sont mitigés, avec une majorité de signaux baissiers à court terme (MACD, Stochastique) mais une structure de fond haussière (Moyennes Mobiles). Le titre semble entrer dans une phase de consolidation après un rallye exceptionnel, avec un risque de correction vers la MM20 (8 472 FCFA) voire la borne inférieure de Bollinger (7 354 FCFA). Une prudence est de mise à court terme, mais la tendance de fond reste positive tant que la MM50 n'est pas cassée.</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les plus récentes disponibles pour SICOR remontent à l'exercice 2023, avec un chiffre d'affaires de 701,09 millions FCFA (en baisse de 38,4% par rapport aux 1 138,17 millions FCFA de 2022) et un résultat net positif de 19,25 millions FCFA (contre une perte de 39,95 millions FCFA en 2022), soit une marge nette de 2,75% — un retour à la profitabilité après deux années de pertes. L'exercice 2022 avait été marqué par un CA de 1 138,17 millions FCFA et une perte nette de 39,95 millions FCFA (marge nette de -3,51%), tandis que 2021 affichait un bénéfice de 119,23 millions FCFA pour un CA de 1 380,99 millions FCFA (marge nette de 8,63%). L'évolution sur cinq ans (2018-2023) montre une dégradation progressive : le résultat net est passé de +989,40 millions FCFA en 2018 à +19,25 millions FCFA en 2023, avec une marge nette chutant de +12,3% à +2,75%, reflétant une érosion de la rentabilité et une dépendance accrue à la maîtrise des coûts. Les rapports narratifs (2016-2017) mentionnent des capitaux propres négatifs en 2016 (-2 324,84 millions FCFA) et une trésorerie négative (-182,94 millions FCFA), mais la situation semble s'être redressée depuis, avec des capitaux propres positifs de 869,98 millions FCFA en 2016 selon un autre rapport et un total bilan de 3,58 milliards FCFA. Le rapport 2024 (exercice 2024, analysé par Gemini-Vision en septembre 2026) est trop tronqué pour être exploité, mais la convocation à l'AGO du 22 mai 2026 pour l'approbation des comptes 2024 suggère que les résultats annuels sont disponibles et devraient être publiés prochainement. En l'absence de données 2024-2025 exploitables, on estime que la tendance au redressement progressif devrait se poursuivre, portée par la diversification vers les noix de coco (+126% en CA en 2022) et les tourteaux, mais la faiblesse des marges et l'absence de dividende depuis 2018 (pertes cumulées de 689,86 millions FCFA en 2023) limitent l'attrait fondamental à court terme. La recommandation fondamentale est de CONSERVER avec vigilance : la société est en convalescence, mais les risques opérationnels (vols de noix de coco, dépendance aux cours du coprah) et financiers (trésorerie tendue, endettement) restent élevés.</w:t>
      </w:r>
    </w:p>
    <w:p>
      <w:pPr>
        <w:spacing w:after="120" w:line="276" w:lineRule="auto"/>
      </w:pPr>
      <w:r>
        <w:t>---</w:t>
      </w:r>
    </w:p>
    <w:p>
      <w:pPr>
        <w:spacing w:after="120" w:line="276" w:lineRule="auto"/>
      </w:pPr>
      <w:r>
        <w:t>### PARTIE 4 : CONCLUSION D'INVESTISSEMENT</w:t>
      </w:r>
    </w:p>
    <w:p>
      <w:pPr>
        <w:spacing w:after="120" w:line="276" w:lineRule="auto"/>
      </w:pPr>
      <w:r>
        <w:t>La valorisation de SICC (Partie 0) reste difficile à apprécier faute de ratios calculables, mais la capitalisation de 5,04 Mds FCFA pour un CA de 701 millions FCFA (2023) suggère un multiple de valorisation élevé (plus de 7x le CA), ce qui pourrait indiquer une surévaluation relative si l'on considère la faiblesse des marges. Le comportement du cours (Partie 1) est exceptionnellement haussier (+95,35% sur 100 jours) mais accompagné d'une volatilité élevée (58,2%) et d'une asymétrie positive (skewness 0,913), ce qui prévient d'un risque de correction brutale après le rallye. Les signaux techniques (Partie 2) sont mitigés : les moyennes mobiles restent haussières, mais le MACD et le stochastique génèrent des signaux de vente, tandis que le RSI et les bandes de Bollinger sont neutres — une divergence qui plaide pour une consolidation à court terme. Les fondamentaux (Partie 3) montrent une société en redressement fragile (bénéfice de 19,25 millions FCFA en 2023, marge nette de 2,75%), avec des pertes cumulées non résorbées et une absence de dividende depuis 2018, ce qui limite l'attrait pour les investisseurs de long terme. Les prédictions IA (J+1 à J+10) ne sont pas disponibles, ce qui prive l'analyse d'un signal directionnel supplémentaire. Sur la base de cette synthèse, la recommandation finale est de **CONSERVER** (avec vigilance) : le titre a bénéficié d'un rallye spéculatif qui pourrait se poursuivre à moyen terme si les résultats 2024-2025 confirment le redressement, mais le risque de correction à court terme est élevé et les fondamentaux ne justifient pas encore un achat agressif. Le niveau de confiance est **Moyen** (en raison de l'absence de données récentes et de prédictions IA), le niveau de risque global est **Élevé** (volatilité, faible liquidité, incertitudes fondamentales), et l'horizon d'investissement optimal est **moyen terme (3-12 mois)** pour les investisseurs tolérants au risque, en attendant la publication des comptes 2024 et une confirmation de la tendance bénéficiaire.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"vendre", "justification": "La soci\u00e9t\u00e9 affiche une perte nette importante et des capitaux propres n\u00e9gatifs, avec une tr\u00e9sorerie n\u00e9gative. La situation financi\u00e8re est tr\u00e8s d\u00e9grad\u00e9e et pr\u00e9sente un risque \u00e9lev\u00e9 pour les investisseurs."}</w:t>
      </w:r>
    </w:p>
    <w:p>
      <w:pPr>
        <w:spacing w:before="40"/>
        <w:ind w:left="400"/>
      </w:pPr>
      <w:r>
        <w:rPr>
          <w:sz w:val="18"/>
        </w:rPr>
        <w:t>SICOR a réalisé un chiffre d'affaires de 1 936 644 069 FCFA en 2016, en hausse par rapport à 1 753 708 684 FCFA en 2015. Malgré cette croissance, la société a enregistré une perte nette de 348 996 972 FCFA en 2016, contre un bénéfice de 200 831 393 FCFA en 2015. La situation financière s'est dégradée avec des capitaux propres négatifs de -2 324 836 575 FCFA et un total bilan de 1 521 953 318 FCFA. La trésorerie est négative à -182 935 385 FCFA, et la capacité d'autofinancement est négative à -216 841 179 FCFA. Les commissaires aux comptes ont certifié les comptes, mais la société fait face à des difficultés financières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'-216 841 179 FCFA', 'tresorerie_actif': '-182 935 385 FCFA', 'resultat_financier': '-35 460 457 FCFA', 'resultat_exploitation': '-198 429 842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-18,02%</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-348 996 972 FCFA</w:t>
            </w:r>
          </w:p>
        </w:tc>
        <w:tc>
          <w:tcPr>
            <w:tcW w:type="dxa" w:w="2160"/>
          </w:tcPr>
          <w:p>
            <w:r/>
            <w:r>
              <w:rPr>
                <w:b/>
                <w:sz w:val="16"/>
              </w:rPr>
              <w:t>capitaux_propres</w:t>
              <w:br/>
            </w:r>
            <w:r>
              <w:rPr>
                <w:sz w:val="18"/>
              </w:rPr>
              <w:t>-2 324 836 575 FCFA</w:t>
            </w:r>
          </w:p>
        </w:tc>
        <w:tc>
          <w:tcPr>
            <w:tcW w:type="dxa" w:w="2160"/>
          </w:tcPr>
          <w:p>
            <w:r/>
            <w:r>
              <w:rPr>
                <w:b/>
                <w:sz w:val="16"/>
              </w:rPr>
              <w:t>chiffre_affaires</w:t>
              <w:br/>
            </w:r>
            <w:r>
              <w:rPr>
                <w:sz w:val="18"/>
              </w:rPr>
              <w:t>1 936 644 069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1 936 644 069 FCFA en 2016.</w:t>
      </w:r>
    </w:p>
    <w:p>
      <w:pPr>
        <w:pStyle w:val="ListBullet"/>
        <w:spacing w:before="20" w:after="20"/>
        <w:ind w:left="700"/>
      </w:pPr>
      <w:r>
        <w:rPr>
          <w:sz w:val="18"/>
        </w:rPr>
        <w:t>Résultat net négatif de -348 996 972 FCFA contre un bénéfice de 200 831 393 FCFA en 2015.</w:t>
      </w:r>
    </w:p>
    <w:p>
      <w:pPr>
        <w:pStyle w:val="ListBullet"/>
        <w:spacing w:before="20" w:after="20"/>
        <w:ind w:left="700"/>
      </w:pPr>
      <w:r>
        <w:rPr>
          <w:sz w:val="18"/>
        </w:rPr>
        <w:t>Capitaux propres négatifs de -2 324 836 575 FCFA.</w:t>
      </w:r>
    </w:p>
    <w:p>
      <w:pPr>
        <w:pStyle w:val="ListBullet"/>
        <w:spacing w:before="20" w:after="20"/>
        <w:ind w:left="700"/>
      </w:pPr>
      <w:r>
        <w:rPr>
          <w:sz w:val="18"/>
        </w:rPr>
        <w:t>Total bilan de 1 521 953 318 FCFA en 2016 contre 3 576 424 374 FCFA en 2015.</w:t>
      </w:r>
    </w:p>
    <w:p>
      <w:pPr>
        <w:pStyle w:val="ListBullet"/>
        <w:spacing w:before="20" w:after="20"/>
        <w:ind w:left="700"/>
      </w:pPr>
      <w:r>
        <w:rPr>
          <w:sz w:val="18"/>
        </w:rPr>
        <w:t>Trésorerie négative de -182 935 385 FCFA.</w:t>
      </w:r>
    </w:p>
    <w:p>
      <w:pPr>
        <w:pStyle w:val="ListBullet"/>
        <w:spacing w:before="20" w:after="20"/>
        <w:ind w:left="700"/>
      </w:pPr>
      <w:r>
        <w:rPr>
          <w:sz w:val="18"/>
        </w:rPr>
        <w:t>Capacité d'autofinancement négative de -216 841 179 FCFA.</w:t>
      </w:r>
    </w:p>
    <w:p>
      <w:pPr>
        <w:spacing w:before="40"/>
        <w:ind w:left="400"/>
      </w:pPr>
      <w:r>
        <w:rPr>
          <w:b/>
          <w:color w:val="C05000"/>
          <w:sz w:val="18"/>
        </w:rPr>
        <w:t xml:space="preserve">⚠️ Risques : </w:t>
      </w:r>
      <w:r>
        <w:rPr>
          <w:sz w:val="18"/>
        </w:rPr>
        <w:t>["Risque de faillite ou de liquidation en raison de capitaux propres n\u00e9gatifs.", "Risque de liquidit\u00e9 avec une tr\u00e9sorerie n\u00e9gative et une capacit\u00e9 d'autofinancement n\u00e9gative.", "Risque op\u00e9rationnel avec une perte nette malgr\u00e9 la croissance du chiffre d'affaire</w:t>
      </w:r>
    </w:p>
    <w:p>
      <w:pPr>
        <w:spacing w:before="40"/>
        <w:ind w:left="400"/>
      </w:pPr>
      <w:r>
        <w:rPr>
          <w:b/>
          <w:color w:val="0064A0"/>
          <w:sz w:val="18"/>
        </w:rPr>
        <w:t xml:space="preserve">🔮 Perspectives : </w:t>
      </w:r>
      <w:r>
        <w:rPr>
          <w:sz w:val="18"/>
        </w:rPr>
        <w:t>Les perspectives pour 2017 sont incertaines. La société doit restaurer sa rentabilité et sa structure financière pour éviter la cessation de paiement. Une recapitalisation ou une restructuration pourrait être nécessaire.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
      <w:r>
        <w:t>════════════════════════════════════════════════════════════════════════════════</w:t>
      </w:r>
    </w:p>
    <w:p>
      <w:r>
        <w:br w:type="page"/>
      </w:r>
    </w:p>
    <w:p>
      <w:pPr>
        <w:pStyle w:val="Heading2"/>
        <w:spacing w:before="360"/>
      </w:pPr>
      <w:r>
        <w:rPr>
          <w:color w:val="0066CC"/>
        </w:rPr>
        <w:t>37.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17.03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5,381 titres</w:t>
            </w:r>
          </w:p>
        </w:tc>
        <w:tc>
          <w:tcPr>
            <w:tcW w:type="dxa" w:w="2268"/>
            <w:shd w:fill="FFF2CC" w:val="clear"/>
          </w:tcPr>
          <w:p>
            <w:r>
              <w:rPr>
                <w:b/>
                <w:color w:val="503200"/>
                <w:sz w:val="16"/>
              </w:rPr>
              <w:t xml:space="preserve">Cours actuel : </w:t>
            </w:r>
            <w:r>
              <w:rPr>
                <w:color w:val="000000"/>
                <w:sz w:val="17"/>
              </w:rPr>
              <w:t>1,950 FCFA</w:t>
            </w:r>
          </w:p>
          <w:p>
            <w:r>
              <w:rPr>
                <w:b/>
                <w:color w:val="503200"/>
                <w:sz w:val="16"/>
              </w:rPr>
              <w:t xml:space="preserve">Var. 100 jours : </w:t>
            </w:r>
            <w:r>
              <w:rPr>
                <w:b/>
                <w:color w:val="B40000"/>
                <w:sz w:val="17"/>
              </w:rPr>
              <w:t>-31.58%</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11.94% (Moyenne) — μ=2,388 FCFA, σ=285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β=0.4720 (Défensif) — Cov=0.000035, Var(idx)=0.000073, ρ=0.118,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5,381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σ_j=3.40%/j (Modérée) — Vol. annualisée≈53.9%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2026-10-13</w:t>
            </w:r>
          </w:p>
        </w:tc>
        <w:tc>
          <w:tcPr>
            <w:tcW w:type="dxa" w:w="1440"/>
            <w:shd w:fill="FAFAFA" w:val="clear"/>
          </w:tcPr>
          <w:p>
            <w:r>
              <w:rPr>
                <w:sz w:val="17"/>
              </w:rPr>
              <w:t>1,871</w:t>
            </w:r>
          </w:p>
        </w:tc>
        <w:tc>
          <w:tcPr>
            <w:tcW w:type="dxa" w:w="1440"/>
            <w:shd w:fill="FAFAFA" w:val="clear"/>
          </w:tcPr>
          <w:p>
            <w:r>
              <w:rPr>
                <w:b/>
                <w:sz w:val="17"/>
              </w:rPr>
              <w:t>1,970</w:t>
            </w:r>
          </w:p>
        </w:tc>
        <w:tc>
          <w:tcPr>
            <w:tcW w:type="dxa" w:w="1440"/>
            <w:shd w:fill="FAFAFA" w:val="clear"/>
          </w:tcPr>
          <w:p>
            <w:r>
              <w:rPr>
                <w:sz w:val="17"/>
              </w:rPr>
              <w:t>2,069</w:t>
            </w:r>
          </w:p>
        </w:tc>
        <w:tc>
          <w:tcPr>
            <w:tcW w:type="dxa" w:w="1440"/>
            <w:shd w:fill="FAFAFA" w:val="clear"/>
          </w:tcPr>
          <w:p>
            <w:r>
              <w:rPr>
                <w:b/>
                <w:color w:val="008000"/>
                <w:sz w:val="17"/>
              </w:rPr>
              <w:t>+1.0%</w:t>
            </w:r>
          </w:p>
        </w:tc>
      </w:tr>
      <w:tr>
        <w:tc>
          <w:tcPr>
            <w:tcW w:type="dxa" w:w="1440"/>
            <w:shd w:fill="FAFAFA" w:val="clear"/>
          </w:tcPr>
          <w:p>
            <w:r>
              <w:rPr>
                <w:sz w:val="17"/>
              </w:rPr>
              <w:t>J+2  ⭐</w:t>
            </w:r>
          </w:p>
        </w:tc>
        <w:tc>
          <w:tcPr>
            <w:tcW w:type="dxa" w:w="1440"/>
            <w:shd w:fill="FAFAFA" w:val="clear"/>
          </w:tcPr>
          <w:p>
            <w:r>
              <w:rPr>
                <w:sz w:val="17"/>
              </w:rPr>
              <w:t>2026-10-14</w:t>
            </w:r>
          </w:p>
        </w:tc>
        <w:tc>
          <w:tcPr>
            <w:tcW w:type="dxa" w:w="1440"/>
            <w:shd w:fill="FAFAFA" w:val="clear"/>
          </w:tcPr>
          <w:p>
            <w:r>
              <w:rPr>
                <w:sz w:val="17"/>
              </w:rPr>
              <w:t>1,831</w:t>
            </w:r>
          </w:p>
        </w:tc>
        <w:tc>
          <w:tcPr>
            <w:tcW w:type="dxa" w:w="1440"/>
            <w:shd w:fill="FAFAFA" w:val="clear"/>
          </w:tcPr>
          <w:p>
            <w:r>
              <w:rPr>
                <w:b/>
                <w:sz w:val="17"/>
              </w:rPr>
              <w:t>1,971</w:t>
            </w:r>
          </w:p>
        </w:tc>
        <w:tc>
          <w:tcPr>
            <w:tcW w:type="dxa" w:w="1440"/>
            <w:shd w:fill="FAFAFA" w:val="clear"/>
          </w:tcPr>
          <w:p>
            <w:r>
              <w:rPr>
                <w:sz w:val="17"/>
              </w:rPr>
              <w:t>2,111</w:t>
            </w:r>
          </w:p>
        </w:tc>
        <w:tc>
          <w:tcPr>
            <w:tcW w:type="dxa" w:w="1440"/>
            <w:shd w:fill="FAFAFA" w:val="clear"/>
          </w:tcPr>
          <w:p>
            <w:r>
              <w:rPr>
                <w:b/>
                <w:color w:val="008000"/>
                <w:sz w:val="17"/>
              </w:rPr>
              <w:t>+1.1%</w:t>
            </w:r>
          </w:p>
        </w:tc>
      </w:tr>
      <w:tr>
        <w:tc>
          <w:tcPr>
            <w:tcW w:type="dxa" w:w="1440"/>
            <w:shd w:fill="FAFAFA" w:val="clear"/>
          </w:tcPr>
          <w:p>
            <w:r>
              <w:rPr>
                <w:sz w:val="17"/>
              </w:rPr>
              <w:t>J+3  ⭐</w:t>
            </w:r>
          </w:p>
        </w:tc>
        <w:tc>
          <w:tcPr>
            <w:tcW w:type="dxa" w:w="1440"/>
            <w:shd w:fill="FAFAFA" w:val="clear"/>
          </w:tcPr>
          <w:p>
            <w:r>
              <w:rPr>
                <w:sz w:val="17"/>
              </w:rPr>
              <w:t>2026-10-15</w:t>
            </w:r>
          </w:p>
        </w:tc>
        <w:tc>
          <w:tcPr>
            <w:tcW w:type="dxa" w:w="1440"/>
            <w:shd w:fill="FAFAFA" w:val="clear"/>
          </w:tcPr>
          <w:p>
            <w:r>
              <w:rPr>
                <w:sz w:val="17"/>
              </w:rPr>
              <w:t>1,803</w:t>
            </w:r>
          </w:p>
        </w:tc>
        <w:tc>
          <w:tcPr>
            <w:tcW w:type="dxa" w:w="1440"/>
            <w:shd w:fill="FAFAFA" w:val="clear"/>
          </w:tcPr>
          <w:p>
            <w:r>
              <w:rPr>
                <w:b/>
                <w:sz w:val="17"/>
              </w:rPr>
              <w:t>1,975</w:t>
            </w:r>
          </w:p>
        </w:tc>
        <w:tc>
          <w:tcPr>
            <w:tcW w:type="dxa" w:w="1440"/>
            <w:shd w:fill="FAFAFA" w:val="clear"/>
          </w:tcPr>
          <w:p>
            <w:r>
              <w:rPr>
                <w:sz w:val="17"/>
              </w:rPr>
              <w:t>2,147</w:t>
            </w:r>
          </w:p>
        </w:tc>
        <w:tc>
          <w:tcPr>
            <w:tcW w:type="dxa" w:w="1440"/>
            <w:shd w:fill="FAFAFA" w:val="clear"/>
          </w:tcPr>
          <w:p>
            <w:r>
              <w:rPr>
                <w:b/>
                <w:color w:val="008000"/>
                <w:sz w:val="17"/>
              </w:rPr>
              <w:t>+1.3%</w:t>
            </w:r>
          </w:p>
        </w:tc>
      </w:tr>
      <w:tr>
        <w:tc>
          <w:tcPr>
            <w:tcW w:type="dxa" w:w="1440"/>
            <w:shd w:fill="FAFAFA" w:val="clear"/>
          </w:tcPr>
          <w:p>
            <w:r>
              <w:rPr>
                <w:sz w:val="17"/>
              </w:rPr>
              <w:t>J+4  ⭐</w:t>
            </w:r>
          </w:p>
        </w:tc>
        <w:tc>
          <w:tcPr>
            <w:tcW w:type="dxa" w:w="1440"/>
            <w:shd w:fill="FAFAFA" w:val="clear"/>
          </w:tcPr>
          <w:p>
            <w:r>
              <w:rPr>
                <w:sz w:val="17"/>
              </w:rPr>
              <w:t>2026-10-16</w:t>
            </w:r>
          </w:p>
        </w:tc>
        <w:tc>
          <w:tcPr>
            <w:tcW w:type="dxa" w:w="1440"/>
            <w:shd w:fill="FAFAFA" w:val="clear"/>
          </w:tcPr>
          <w:p>
            <w:r>
              <w:rPr>
                <w:sz w:val="17"/>
              </w:rPr>
              <w:t>1,781</w:t>
            </w:r>
          </w:p>
        </w:tc>
        <w:tc>
          <w:tcPr>
            <w:tcW w:type="dxa" w:w="1440"/>
            <w:shd w:fill="FAFAFA" w:val="clear"/>
          </w:tcPr>
          <w:p>
            <w:r>
              <w:rPr>
                <w:b/>
                <w:sz w:val="17"/>
              </w:rPr>
              <w:t>1,980</w:t>
            </w:r>
          </w:p>
        </w:tc>
        <w:tc>
          <w:tcPr>
            <w:tcW w:type="dxa" w:w="1440"/>
            <w:shd w:fill="FAFAFA" w:val="clear"/>
          </w:tcPr>
          <w:p>
            <w:r>
              <w:rPr>
                <w:sz w:val="17"/>
              </w:rPr>
              <w:t>2,179</w:t>
            </w:r>
          </w:p>
        </w:tc>
        <w:tc>
          <w:tcPr>
            <w:tcW w:type="dxa" w:w="1440"/>
            <w:shd w:fill="FAFAFA" w:val="clear"/>
          </w:tcPr>
          <w:p>
            <w:r>
              <w:rPr>
                <w:b/>
                <w:color w:val="008000"/>
                <w:sz w:val="17"/>
              </w:rPr>
              <w:t>+1.5%</w:t>
            </w:r>
          </w:p>
        </w:tc>
      </w:tr>
      <w:tr>
        <w:tc>
          <w:tcPr>
            <w:tcW w:type="dxa" w:w="1440"/>
            <w:shd w:fill="FAFAFA" w:val="clear"/>
          </w:tcPr>
          <w:p>
            <w:r>
              <w:rPr>
                <w:sz w:val="17"/>
              </w:rPr>
              <w:t>J+5  ⭐</w:t>
            </w:r>
          </w:p>
        </w:tc>
        <w:tc>
          <w:tcPr>
            <w:tcW w:type="dxa" w:w="1440"/>
            <w:shd w:fill="FAFAFA" w:val="clear"/>
          </w:tcPr>
          <w:p>
            <w:r>
              <w:rPr>
                <w:sz w:val="17"/>
              </w:rPr>
              <w:t>2026-10-19</w:t>
            </w:r>
          </w:p>
        </w:tc>
        <w:tc>
          <w:tcPr>
            <w:tcW w:type="dxa" w:w="1440"/>
            <w:shd w:fill="FAFAFA" w:val="clear"/>
          </w:tcPr>
          <w:p>
            <w:r>
              <w:rPr>
                <w:sz w:val="17"/>
              </w:rPr>
              <w:t>1,761</w:t>
            </w:r>
          </w:p>
        </w:tc>
        <w:tc>
          <w:tcPr>
            <w:tcW w:type="dxa" w:w="1440"/>
            <w:shd w:fill="FAFAFA" w:val="clear"/>
          </w:tcPr>
          <w:p>
            <w:r>
              <w:rPr>
                <w:b/>
                <w:sz w:val="17"/>
              </w:rPr>
              <w:t>1,984</w:t>
            </w:r>
          </w:p>
        </w:tc>
        <w:tc>
          <w:tcPr>
            <w:tcW w:type="dxa" w:w="1440"/>
            <w:shd w:fill="FAFAFA" w:val="clear"/>
          </w:tcPr>
          <w:p>
            <w:r>
              <w:rPr>
                <w:sz w:val="17"/>
              </w:rPr>
              <w:t>2,207</w:t>
            </w:r>
          </w:p>
        </w:tc>
        <w:tc>
          <w:tcPr>
            <w:tcW w:type="dxa" w:w="1440"/>
            <w:shd w:fill="FAFAFA" w:val="clear"/>
          </w:tcPr>
          <w:p>
            <w:r>
              <w:rPr>
                <w:b/>
                <w:color w:val="008000"/>
                <w:sz w:val="17"/>
              </w:rPr>
              <w:t>+1.8%</w:t>
            </w:r>
          </w:p>
        </w:tc>
      </w:tr>
      <w:tr>
        <w:tc>
          <w:tcPr>
            <w:tcW w:type="dxa" w:w="1440"/>
            <w:shd w:fill="FAFAFA" w:val="clear"/>
          </w:tcPr>
          <w:p>
            <w:r>
              <w:rPr>
                <w:sz w:val="17"/>
              </w:rPr>
              <w:t>J+6  ⭐</w:t>
            </w:r>
          </w:p>
        </w:tc>
        <w:tc>
          <w:tcPr>
            <w:tcW w:type="dxa" w:w="1440"/>
            <w:shd w:fill="FAFAFA" w:val="clear"/>
          </w:tcPr>
          <w:p>
            <w:r>
              <w:rPr>
                <w:sz w:val="17"/>
              </w:rPr>
              <w:t>2026-10-20</w:t>
            </w:r>
          </w:p>
        </w:tc>
        <w:tc>
          <w:tcPr>
            <w:tcW w:type="dxa" w:w="1440"/>
            <w:shd w:fill="FAFAFA" w:val="clear"/>
          </w:tcPr>
          <w:p>
            <w:r>
              <w:rPr>
                <w:sz w:val="17"/>
              </w:rPr>
              <w:t>1,744</w:t>
            </w:r>
          </w:p>
        </w:tc>
        <w:tc>
          <w:tcPr>
            <w:tcW w:type="dxa" w:w="1440"/>
            <w:shd w:fill="FAFAFA" w:val="clear"/>
          </w:tcPr>
          <w:p>
            <w:r>
              <w:rPr>
                <w:b/>
                <w:sz w:val="17"/>
              </w:rPr>
              <w:t>1,989</w:t>
            </w:r>
          </w:p>
        </w:tc>
        <w:tc>
          <w:tcPr>
            <w:tcW w:type="dxa" w:w="1440"/>
            <w:shd w:fill="FAFAFA" w:val="clear"/>
          </w:tcPr>
          <w:p>
            <w:r>
              <w:rPr>
                <w:sz w:val="17"/>
              </w:rPr>
              <w:t>2,233</w:t>
            </w:r>
          </w:p>
        </w:tc>
        <w:tc>
          <w:tcPr>
            <w:tcW w:type="dxa" w:w="1440"/>
            <w:shd w:fill="FAFAFA" w:val="clear"/>
          </w:tcPr>
          <w:p>
            <w:r>
              <w:rPr>
                <w:b/>
                <w:color w:val="008000"/>
                <w:sz w:val="17"/>
              </w:rPr>
              <w:t>+2.0%</w:t>
            </w:r>
          </w:p>
        </w:tc>
      </w:tr>
      <w:tr>
        <w:tc>
          <w:tcPr>
            <w:tcW w:type="dxa" w:w="1440"/>
            <w:shd w:fill="C6EFCE" w:val="clear"/>
          </w:tcPr>
          <w:p>
            <w:r>
              <w:rPr>
                <w:sz w:val="17"/>
              </w:rPr>
              <w:t>J+7  ⭐</w:t>
            </w:r>
          </w:p>
        </w:tc>
        <w:tc>
          <w:tcPr>
            <w:tcW w:type="dxa" w:w="1440"/>
            <w:shd w:fill="C6EFCE" w:val="clear"/>
          </w:tcPr>
          <w:p>
            <w:r>
              <w:rPr>
                <w:sz w:val="17"/>
              </w:rPr>
              <w:t>2026-10-21</w:t>
            </w:r>
          </w:p>
        </w:tc>
        <w:tc>
          <w:tcPr>
            <w:tcW w:type="dxa" w:w="1440"/>
            <w:shd w:fill="C6EFCE" w:val="clear"/>
          </w:tcPr>
          <w:p>
            <w:r>
              <w:rPr>
                <w:sz w:val="17"/>
              </w:rPr>
              <w:t>1,728</w:t>
            </w:r>
          </w:p>
        </w:tc>
        <w:tc>
          <w:tcPr>
            <w:tcW w:type="dxa" w:w="1440"/>
            <w:shd w:fill="C6EFCE" w:val="clear"/>
          </w:tcPr>
          <w:p>
            <w:r>
              <w:rPr>
                <w:b/>
                <w:sz w:val="17"/>
              </w:rPr>
              <w:t>1,993</w:t>
            </w:r>
          </w:p>
        </w:tc>
        <w:tc>
          <w:tcPr>
            <w:tcW w:type="dxa" w:w="1440"/>
            <w:shd w:fill="C6EFCE" w:val="clear"/>
          </w:tcPr>
          <w:p>
            <w:r>
              <w:rPr>
                <w:sz w:val="17"/>
              </w:rPr>
              <w:t>2,258</w:t>
            </w:r>
          </w:p>
        </w:tc>
        <w:tc>
          <w:tcPr>
            <w:tcW w:type="dxa" w:w="1440"/>
            <w:shd w:fill="C6EFCE" w:val="clear"/>
          </w:tcPr>
          <w:p>
            <w:r>
              <w:rPr>
                <w:b/>
                <w:color w:val="008000"/>
                <w:sz w:val="17"/>
              </w:rPr>
              <w:t>+2.2%</w:t>
            </w:r>
          </w:p>
        </w:tc>
      </w:tr>
      <w:tr>
        <w:tc>
          <w:tcPr>
            <w:tcW w:type="dxa" w:w="1440"/>
            <w:shd w:fill="C6EFCE" w:val="clear"/>
          </w:tcPr>
          <w:p>
            <w:r>
              <w:rPr>
                <w:sz w:val="17"/>
              </w:rPr>
              <w:t>J+8  ⭐</w:t>
            </w:r>
          </w:p>
        </w:tc>
        <w:tc>
          <w:tcPr>
            <w:tcW w:type="dxa" w:w="1440"/>
            <w:shd w:fill="C6EFCE" w:val="clear"/>
          </w:tcPr>
          <w:p>
            <w:r>
              <w:rPr>
                <w:sz w:val="17"/>
              </w:rPr>
              <w:t>2026-10-22</w:t>
            </w:r>
          </w:p>
        </w:tc>
        <w:tc>
          <w:tcPr>
            <w:tcW w:type="dxa" w:w="1440"/>
            <w:shd w:fill="C6EFCE" w:val="clear"/>
          </w:tcPr>
          <w:p>
            <w:r>
              <w:rPr>
                <w:sz w:val="17"/>
              </w:rPr>
              <w:t>1,714</w:t>
            </w:r>
          </w:p>
        </w:tc>
        <w:tc>
          <w:tcPr>
            <w:tcW w:type="dxa" w:w="1440"/>
            <w:shd w:fill="C6EFCE" w:val="clear"/>
          </w:tcPr>
          <w:p>
            <w:r>
              <w:rPr>
                <w:b/>
                <w:sz w:val="17"/>
              </w:rPr>
              <w:t>1,998</w:t>
            </w:r>
          </w:p>
        </w:tc>
        <w:tc>
          <w:tcPr>
            <w:tcW w:type="dxa" w:w="1440"/>
            <w:shd w:fill="C6EFCE" w:val="clear"/>
          </w:tcPr>
          <w:p>
            <w:r>
              <w:rPr>
                <w:sz w:val="17"/>
              </w:rPr>
              <w:t>2,282</w:t>
            </w:r>
          </w:p>
        </w:tc>
        <w:tc>
          <w:tcPr>
            <w:tcW w:type="dxa" w:w="1440"/>
            <w:shd w:fill="C6EFCE" w:val="clear"/>
          </w:tcPr>
          <w:p>
            <w:r>
              <w:rPr>
                <w:b/>
                <w:color w:val="008000"/>
                <w:sz w:val="17"/>
              </w:rPr>
              <w:t>+2.4%</w:t>
            </w:r>
          </w:p>
        </w:tc>
      </w:tr>
      <w:tr>
        <w:tc>
          <w:tcPr>
            <w:tcW w:type="dxa" w:w="1440"/>
            <w:shd w:fill="C6EFCE" w:val="clear"/>
          </w:tcPr>
          <w:p>
            <w:r>
              <w:rPr>
                <w:sz w:val="17"/>
              </w:rPr>
              <w:t>J+9  ⭐</w:t>
            </w:r>
          </w:p>
        </w:tc>
        <w:tc>
          <w:tcPr>
            <w:tcW w:type="dxa" w:w="1440"/>
            <w:shd w:fill="C6EFCE" w:val="clear"/>
          </w:tcPr>
          <w:p>
            <w:r>
              <w:rPr>
                <w:sz w:val="17"/>
              </w:rPr>
              <w:t>2026-10-23</w:t>
            </w:r>
          </w:p>
        </w:tc>
        <w:tc>
          <w:tcPr>
            <w:tcW w:type="dxa" w:w="1440"/>
            <w:shd w:fill="C6EFCE" w:val="clear"/>
          </w:tcPr>
          <w:p>
            <w:r>
              <w:rPr>
                <w:sz w:val="17"/>
              </w:rPr>
              <w:t>1,700</w:t>
            </w:r>
          </w:p>
        </w:tc>
        <w:tc>
          <w:tcPr>
            <w:tcW w:type="dxa" w:w="1440"/>
            <w:shd w:fill="C6EFCE" w:val="clear"/>
          </w:tcPr>
          <w:p>
            <w:r>
              <w:rPr>
                <w:b/>
                <w:sz w:val="17"/>
              </w:rPr>
              <w:t>2,002</w:t>
            </w:r>
          </w:p>
        </w:tc>
        <w:tc>
          <w:tcPr>
            <w:tcW w:type="dxa" w:w="1440"/>
            <w:shd w:fill="C6EFCE" w:val="clear"/>
          </w:tcPr>
          <w:p>
            <w:r>
              <w:rPr>
                <w:sz w:val="17"/>
              </w:rPr>
              <w:t>2,304</w:t>
            </w:r>
          </w:p>
        </w:tc>
        <w:tc>
          <w:tcPr>
            <w:tcW w:type="dxa" w:w="1440"/>
            <w:shd w:fill="C6EFCE" w:val="clear"/>
          </w:tcPr>
          <w:p>
            <w:r>
              <w:rPr>
                <w:b/>
                <w:color w:val="008000"/>
                <w:sz w:val="17"/>
              </w:rPr>
              <w:t>+2.7%</w:t>
            </w:r>
          </w:p>
        </w:tc>
      </w:tr>
      <w:tr>
        <w:tc>
          <w:tcPr>
            <w:tcW w:type="dxa" w:w="1440"/>
            <w:shd w:fill="C6EFCE" w:val="clear"/>
          </w:tcPr>
          <w:p>
            <w:r>
              <w:rPr>
                <w:sz w:val="17"/>
              </w:rPr>
              <w:t>J+10  ⭐</w:t>
            </w:r>
          </w:p>
        </w:tc>
        <w:tc>
          <w:tcPr>
            <w:tcW w:type="dxa" w:w="1440"/>
            <w:shd w:fill="C6EFCE" w:val="clear"/>
          </w:tcPr>
          <w:p>
            <w:r>
              <w:rPr>
                <w:sz w:val="17"/>
              </w:rPr>
              <w:t>2026-10-26</w:t>
            </w:r>
          </w:p>
        </w:tc>
        <w:tc>
          <w:tcPr>
            <w:tcW w:type="dxa" w:w="1440"/>
            <w:shd w:fill="C6EFCE" w:val="clear"/>
          </w:tcPr>
          <w:p>
            <w:r>
              <w:rPr>
                <w:sz w:val="17"/>
              </w:rPr>
              <w:t>1,688</w:t>
            </w:r>
          </w:p>
        </w:tc>
        <w:tc>
          <w:tcPr>
            <w:tcW w:type="dxa" w:w="1440"/>
            <w:shd w:fill="C6EFCE" w:val="clear"/>
          </w:tcPr>
          <w:p>
            <w:r>
              <w:rPr>
                <w:b/>
                <w:sz w:val="17"/>
              </w:rPr>
              <w:t>2,006</w:t>
            </w:r>
          </w:p>
        </w:tc>
        <w:tc>
          <w:tcPr>
            <w:tcW w:type="dxa" w:w="1440"/>
            <w:shd w:fill="C6EFCE" w:val="clear"/>
          </w:tcPr>
          <w:p>
            <w:r>
              <w:rPr>
                <w:sz w:val="17"/>
              </w:rPr>
              <w:t>2,325</w:t>
            </w:r>
          </w:p>
        </w:tc>
        <w:tc>
          <w:tcPr>
            <w:tcW w:type="dxa" w:w="1440"/>
            <w:shd w:fill="C6EFCE" w:val="clear"/>
          </w:tcPr>
          <w:p>
            <w:r>
              <w:rPr>
                <w:b/>
                <w:color w:val="008000"/>
                <w:sz w:val="17"/>
              </w:rPr>
              <w:t>+2.9%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2.219 Mds FCFA</w:t>
            </w:r>
          </w:p>
        </w:tc>
        <w:tc>
          <w:tcPr>
            <w:tcW w:type="dxa" w:w="5669"/>
            <w:shd w:fill="FFFFFF" w:val="clear"/>
          </w:tcPr>
          <w:p>
            <w:r>
              <w:rPr>
                <w:color w:val="282828"/>
                <w:sz w:val="15"/>
              </w:rPr>
              <w:t>Créances clients = 22.0%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2.420 Mds FCFA</w:t>
            </w:r>
          </w:p>
        </w:tc>
        <w:tc>
          <w:tcPr>
            <w:tcW w:type="dxa" w:w="5669"/>
            <w:shd w:fill="FFFFFF" w:val="clear"/>
          </w:tcPr>
          <w:p>
            <w:r>
              <w:rPr>
                <w:color w:val="282828"/>
                <w:sz w:val="15"/>
              </w:rPr>
              <w:t>Rotation stocks = 4.2x/an.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5.740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16.02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8.586 Mds FCFA</w:t>
            </w:r>
          </w:p>
        </w:tc>
        <w:tc>
          <w:tcPr>
            <w:tcW w:type="dxa" w:w="5669"/>
            <w:shd w:fill="FFFFFF" w:val="clear"/>
          </w:tcPr>
          <w:p>
            <w:r>
              <w:rPr>
                <w:color w:val="282828"/>
                <w:sz w:val="15"/>
              </w:rPr>
              <w:t>Outil industriel (58.8%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8.822 Mds FCFA</w:t>
            </w:r>
          </w:p>
        </w:tc>
        <w:tc>
          <w:tcPr>
            <w:tcW w:type="dxa" w:w="5669"/>
            <w:shd w:fill="FFFFFF" w:val="clear"/>
          </w:tcPr>
          <w:p>
            <w:r>
              <w:rPr>
                <w:color w:val="282828"/>
                <w:sz w:val="15"/>
              </w:rPr>
              <w:t>Actif immobilisé = 60.4%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48.21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14.611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2.527 Mds FCFA</w:t>
            </w:r>
          </w:p>
        </w:tc>
        <w:tc>
          <w:tcPr>
            <w:tcW w:type="dxa" w:w="5669"/>
            <w:shd w:fill="FFFFFF" w:val="clear"/>
          </w:tcPr>
          <w:p>
            <w:r>
              <w:rPr>
                <w:color w:val="282828"/>
                <w:sz w:val="15"/>
              </w:rPr>
              <w:t>Fonds propres = 17.3%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6.691 Mds FCFA</w:t>
            </w:r>
          </w:p>
        </w:tc>
        <w:tc>
          <w:tcPr>
            <w:tcW w:type="dxa" w:w="5669"/>
            <w:shd w:fill="FFFFFF" w:val="clear"/>
          </w:tcPr>
          <w:p>
            <w:r>
              <w:rPr>
                <w:color w:val="282828"/>
                <w:sz w:val="15"/>
              </w:rPr>
              <w:t>Capitaux permanents / Actif immobilisé = 0.76x.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3.897 Mds FCFA</w:t>
            </w:r>
          </w:p>
        </w:tc>
        <w:tc>
          <w:tcPr>
            <w:tcW w:type="dxa" w:w="5669"/>
            <w:shd w:fill="FFFFFF" w:val="clear"/>
          </w:tcPr>
          <w:p>
            <w:r>
              <w:rPr>
                <w:color w:val="282828"/>
                <w:sz w:val="15"/>
              </w:rPr>
              <w:t>Délai fournisseurs implicite ≈ 141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4.062 Mds FCFA</w:t>
            </w:r>
          </w:p>
        </w:tc>
        <w:tc>
          <w:tcPr>
            <w:tcW w:type="dxa" w:w="5669"/>
            <w:shd w:fill="FFFFFF" w:val="clear"/>
          </w:tcPr>
          <w:p>
            <w:r>
              <w:rPr>
                <w:color w:val="282828"/>
                <w:sz w:val="15"/>
              </w:rPr>
              <w:t>Dette LT/MT = 161%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5.771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12.085 Mds FCFA</w:t>
            </w:r>
          </w:p>
        </w:tc>
        <w:tc>
          <w:tcPr>
            <w:tcW w:type="dxa" w:w="5669"/>
            <w:shd w:fill="FFFFFF" w:val="clear"/>
          </w:tcPr>
          <w:p>
            <w:r>
              <w:rPr>
                <w:color w:val="282828"/>
                <w:sz w:val="15"/>
              </w:rPr>
              <w:t>Dettes totales = 82.7%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10.075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10.075 Mds FCFA</w:t>
            </w:r>
          </w:p>
        </w:tc>
        <w:tc>
          <w:tcPr>
            <w:tcW w:type="dxa" w:w="5669"/>
            <w:shd w:fill="FFFFFF" w:val="clear"/>
          </w:tcPr>
          <w:p>
            <w:r>
              <w:rPr>
                <w:color w:val="282828"/>
                <w:sz w:val="15"/>
              </w:rPr>
              <w:t>Chiffre d'affaires. Croissance: 8.5%.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1.088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1.661 Mds FCFA</w:t>
            </w:r>
          </w:p>
        </w:tc>
        <w:tc>
          <w:tcPr>
            <w:tcW w:type="dxa" w:w="5669"/>
            <w:shd w:fill="FFFFFF" w:val="clear"/>
          </w:tcPr>
          <w:p>
            <w:r>
              <w:rPr>
                <w:color w:val="282828"/>
                <w:sz w:val="15"/>
              </w:rPr>
              <w:t>Masse salariale = 16.5%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3.103 Mds FCFA</w:t>
            </w:r>
          </w:p>
        </w:tc>
        <w:tc>
          <w:tcPr>
            <w:tcW w:type="dxa" w:w="5669"/>
            <w:shd w:fill="FFFFFF" w:val="clear"/>
          </w:tcPr>
          <w:p>
            <w:r>
              <w:rPr>
                <w:color w:val="282828"/>
                <w:sz w:val="15"/>
              </w:rPr>
              <w:t>VA = 30.8%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1.442 Mds FCFA</w:t>
            </w:r>
          </w:p>
        </w:tc>
        <w:tc>
          <w:tcPr>
            <w:tcW w:type="dxa" w:w="5669"/>
            <w:shd w:fill="FFFFFF" w:val="clear"/>
          </w:tcPr>
          <w:p>
            <w:r>
              <w:rPr>
                <w:color w:val="282828"/>
                <w:sz w:val="15"/>
              </w:rPr>
              <w:t>EBE = 14.3%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866.37 M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179.29 M FCFA</w:t>
            </w:r>
          </w:p>
        </w:tc>
        <w:tc>
          <w:tcPr>
            <w:tcW w:type="dxa" w:w="5669"/>
            <w:shd w:fill="FFFFFF" w:val="clear"/>
          </w:tcPr>
          <w:p>
            <w:r>
              <w:rPr>
                <w:color w:val="282828"/>
                <w:sz w:val="15"/>
              </w:rPr>
              <w:t>Marge nette = 1.8%.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868.94 M FCFA</w:t>
            </w:r>
          </w:p>
        </w:tc>
        <w:tc>
          <w:tcPr>
            <w:tcW w:type="dxa" w:w="5669"/>
            <w:shd w:fill="FFFFFF" w:val="clear"/>
          </w:tcPr>
          <w:p>
            <w:r>
              <w:rPr>
                <w:color w:val="282828"/>
                <w:sz w:val="15"/>
              </w:rPr>
              <w:t>CAF = 0.87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992.26 M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-1.935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1.425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-935.89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-470.79 M FCFA</w:t>
            </w:r>
          </w:p>
        </w:tc>
        <w:tc>
          <w:tcPr>
            <w:tcW w:type="dxa" w:w="5669"/>
            <w:shd w:fill="FFFFFF" w:val="clear"/>
          </w:tcPr>
          <w:p>
            <w:r>
              <w:rPr>
                <w:color w:val="282828"/>
                <w:sz w:val="15"/>
              </w:rPr>
              <w:t>BFR = -4.7%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-2.132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54.30%</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1.78%</w:t>
            </w:r>
          </w:p>
        </w:tc>
        <w:tc>
          <w:tcPr>
            <w:tcW w:type="dxa" w:w="5669"/>
            <w:shd w:fill="FFFFFF" w:val="clear"/>
          </w:tcPr>
          <w:p>
            <w:r>
              <w:rPr>
                <w:color w:val="282828"/>
                <w:sz w:val="15"/>
              </w:rPr>
              <w:t>Résultat net / revenus = 1.78%.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7.10%</w:t>
            </w:r>
          </w:p>
        </w:tc>
        <w:tc>
          <w:tcPr>
            <w:tcW w:type="dxa" w:w="5669"/>
            <w:shd w:fill="FFFFFF" w:val="clear"/>
          </w:tcPr>
          <w:p>
            <w:r>
              <w:rPr>
                <w:color w:val="282828"/>
                <w:sz w:val="15"/>
              </w:rPr>
              <w:t>Résultat net / capitaux propres = 7.10%.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1.23%</w:t>
            </w:r>
          </w:p>
        </w:tc>
        <w:tc>
          <w:tcPr>
            <w:tcW w:type="dxa" w:w="5669"/>
            <w:shd w:fill="FFFFFF" w:val="clear"/>
          </w:tcPr>
          <w:p>
            <w:r>
              <w:rPr>
                <w:color w:val="282828"/>
                <w:sz w:val="15"/>
              </w:rPr>
              <w:t>Résultat net / total actif = 1.23%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68.95%</w:t>
            </w:r>
          </w:p>
        </w:tc>
        <w:tc>
          <w:tcPr>
            <w:tcW w:type="dxa" w:w="5669"/>
            <w:shd w:fill="FFFFFF" w:val="clear"/>
          </w:tcPr>
          <w:p>
            <w:r>
              <w:rPr>
                <w:color w:val="282828"/>
                <w:sz w:val="15"/>
              </w:rPr>
              <w:t>CA / total actif = 68.95x.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8.53%</w:t>
            </w:r>
          </w:p>
        </w:tc>
        <w:tc>
          <w:tcPr>
            <w:tcW w:type="dxa" w:w="5669"/>
            <w:shd w:fill="FFFFFF" w:val="clear"/>
          </w:tcPr>
          <w:p>
            <w:r>
              <w:rPr>
                <w:color w:val="282828"/>
                <w:sz w:val="15"/>
              </w:rPr>
              <w:t>Croissance CA vs exercice précédent = 8.53%.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17.29%</w:t>
            </w:r>
          </w:p>
        </w:tc>
        <w:tc>
          <w:tcPr>
            <w:tcW w:type="dxa" w:w="5669"/>
            <w:shd w:fill="FFFFFF" w:val="clear"/>
          </w:tcPr>
          <w:p>
            <w:r>
              <w:rPr>
                <w:color w:val="282828"/>
                <w:sz w:val="15"/>
              </w:rPr>
              <w:t>Fonds propres / total bilan = 17.29%.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82.71%</w:t>
            </w:r>
          </w:p>
        </w:tc>
        <w:tc>
          <w:tcPr>
            <w:tcW w:type="dxa" w:w="5669"/>
            <w:shd w:fill="FFFFFF" w:val="clear"/>
          </w:tcPr>
          <w:p>
            <w:r>
              <w:rPr>
                <w:color w:val="282828"/>
                <w:sz w:val="15"/>
              </w:rPr>
              <w:t>Dettes financières / total bilan = 82.71%.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228.41%</w:t>
            </w:r>
          </w:p>
        </w:tc>
        <w:tc>
          <w:tcPr>
            <w:tcW w:type="dxa" w:w="5669"/>
            <w:shd w:fill="FFFFFF" w:val="clear"/>
          </w:tcPr>
          <w:p>
            <w:r>
              <w:rPr>
                <w:color w:val="282828"/>
                <w:sz w:val="15"/>
              </w:rPr>
              <w:t>Dettes totales / fonds propres = 228.41%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120.91%</w:t>
            </w:r>
          </w:p>
        </w:tc>
        <w:tc>
          <w:tcPr>
            <w:tcW w:type="dxa" w:w="5669"/>
            <w:shd w:fill="FFFFFF" w:val="clear"/>
          </w:tcPr>
          <w:p>
            <w:r>
              <w:rPr>
                <w:color w:val="282828"/>
                <w:sz w:val="15"/>
              </w:rPr>
              <w:t>Total actif / dettes totales = 120.91x.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73.09%</w:t>
            </w:r>
          </w:p>
        </w:tc>
        <w:tc>
          <w:tcPr>
            <w:tcW w:type="dxa" w:w="5669"/>
            <w:shd w:fill="FFFFFF" w:val="clear"/>
          </w:tcPr>
          <w:p>
            <w:r>
              <w:rPr>
                <w:color w:val="282828"/>
                <w:sz w:val="15"/>
              </w:rPr>
              <w:t>Actif circulant / passif circulant = 73.09x.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0.61%</w:t>
            </w:r>
          </w:p>
        </w:tc>
        <w:tc>
          <w:tcPr>
            <w:tcW w:type="dxa" w:w="5669"/>
            <w:shd w:fill="FFFFFF" w:val="clear"/>
          </w:tcPr>
          <w:p>
            <w:r>
              <w:rPr>
                <w:color w:val="282828"/>
                <w:sz w:val="15"/>
              </w:rPr>
              <w:t>Trésorerie / passif circulant = 0.61x.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42.53%</w:t>
            </w:r>
          </w:p>
        </w:tc>
        <w:tc>
          <w:tcPr>
            <w:tcW w:type="dxa" w:w="5669"/>
            <w:shd w:fill="FFFFFF" w:val="clear"/>
          </w:tcPr>
          <w:p>
            <w:r>
              <w:rPr>
                <w:color w:val="282828"/>
                <w:sz w:val="15"/>
              </w:rPr>
              <w:t>(Actif circ. - stocks) / passif circ. = 42.53x.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75.84%</w:t>
            </w:r>
          </w:p>
        </w:tc>
        <w:tc>
          <w:tcPr>
            <w:tcW w:type="dxa" w:w="5669"/>
            <w:shd w:fill="FFFFFF" w:val="clear"/>
          </w:tcPr>
          <w:p>
            <w:r>
              <w:rPr>
                <w:color w:val="282828"/>
                <w:sz w:val="15"/>
              </w:rPr>
              <w:t>Capitaux permanents / actif immobilisé = 75.84x.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6.6 ans</w:t>
            </w:r>
          </w:p>
        </w:tc>
        <w:tc>
          <w:tcPr>
            <w:tcW w:type="dxa" w:w="5669"/>
            <w:shd w:fill="FFFFFF" w:val="clear"/>
          </w:tcPr>
          <w:p>
            <w:r>
              <w:rPr>
                <w:color w:val="282828"/>
                <w:sz w:val="15"/>
              </w:rPr>
              <w:t>Dettes financières / CAF = 6.6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235.01%</w:t>
            </w:r>
          </w:p>
        </w:tc>
        <w:tc>
          <w:tcPr>
            <w:tcW w:type="dxa" w:w="5669"/>
            <w:shd w:fill="FFFFFF" w:val="clear"/>
          </w:tcPr>
          <w:p>
            <w:r>
              <w:rPr>
                <w:color w:val="282828"/>
                <w:sz w:val="15"/>
              </w:rPr>
              <w:t>Résultat exploit. / charges financières = 235.01x.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45.07%</w:t>
            </w:r>
          </w:p>
        </w:tc>
        <w:tc>
          <w:tcPr>
            <w:tcW w:type="dxa" w:w="5669"/>
            <w:shd w:fill="FFFFFF" w:val="clear"/>
          </w:tcPr>
          <w:p>
            <w:r>
              <w:rPr>
                <w:color w:val="282828"/>
                <w:sz w:val="15"/>
              </w:rPr>
              <w:t>CAF / investissements = 45.07x.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79.3 j</w:t>
            </w:r>
          </w:p>
        </w:tc>
        <w:tc>
          <w:tcPr>
            <w:tcW w:type="dxa" w:w="5669"/>
            <w:shd w:fill="FFFFFF" w:val="clear"/>
          </w:tcPr>
          <w:p>
            <w:r>
              <w:rPr>
                <w:color w:val="282828"/>
                <w:sz w:val="15"/>
              </w:rPr>
              <w:t>Les clients paient en moyenne en 79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323.3 j</w:t>
            </w:r>
          </w:p>
        </w:tc>
        <w:tc>
          <w:tcPr>
            <w:tcW w:type="dxa" w:w="5669"/>
            <w:shd w:fill="FFFFFF" w:val="clear"/>
          </w:tcPr>
          <w:p>
            <w:r>
              <w:rPr>
                <w:color w:val="282828"/>
                <w:sz w:val="15"/>
              </w:rPr>
              <w:t>Paiement des fournisseurs en 323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189.3 j</w:t>
            </w:r>
          </w:p>
        </w:tc>
        <w:tc>
          <w:tcPr>
            <w:tcW w:type="dxa" w:w="5669"/>
            <w:shd w:fill="FFFFFF" w:val="clear"/>
          </w:tcPr>
          <w:p>
            <w:r>
              <w:rPr>
                <w:color w:val="282828"/>
                <w:sz w:val="15"/>
              </w:rPr>
              <w:t>Stock écoulé en 189 jours. ❌ Stock quasi-bloqué — risque d'obsolescence ou de surstock.</w:t>
            </w:r>
          </w:p>
        </w:tc>
      </w:tr>
    </w:tbl>
    <w:p/>
    <w:p>
      <w:pPr>
        <w:spacing w:after="120" w:line="276" w:lineRule="auto"/>
      </w:pPr>
      <w:r>
        <w:t>**RAPPORT D'ANALYSE FINANCIÈRE — SIVC (ERIUM COTE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17,03 milliards FCFA, SIVC (désormais ERIUM CI) se situe dans la catégorie des valeurs moyennes de la BRVM, ce qui la rend vulnérable aux mouvements de faible amplitude. Le BPA de 21 FCFA/action signifie que chaque titre génère seulement 21 FCFA de bénéfice net, un niveau très faible qui traduit une rentabilité opérationnelle sous pression. Le PER de 95,0x est extrêmement élevé comparé à la moyenne BRVM (8-12x) : les investisseurs paient environ 95 fois les bénéfices, ce qui intègre une prime de croissance spéculative ou une distorsion liée à la faiblesse du résultat net (179 M FCFA). Le P/B de 6,74x indique que le marché valorise la société à plus de 6 fois sa valeur comptable (2,53 Mds FCFA de capitaux propres), une prime exigeante qui n'est justifiée ni par le ROE (7,1%) ni par la solidité du bilan. Enfin, l'EV/EBITDA de 17,0x (supérieur au seuil de 15x) confirme que la valeur d'entreprise intègre une anticipation de redressement opérationnel non encore matérialisée, ce qui rend le titre vulnérable à toute déception.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SIVC a enregistré une chute vertigineuse de **-31,58%**, avec une dernière séance en repli de -0,51%, portant le cours à 1 950 FCFA. Le range de trading est large, entre un plus haut de 2 875 FCFA et un plus bas de 1 920 FCFA, ce qui témoigne d'une tendance baissière structurelle et d'une érosion continue de la confiance des investisseurs. La moyenne (2 388 FCFA) est supérieure à la médiane (2 360 FCFA), avec un léger écart qui suggère une asymétrie positive résiduelle, mais le mode à 2 000 FCFA indique que le prix d'équilibre psychologique se situe bien en dessous des niveaux actuels. L'écart-type de 287 FCFA et le coefficient de variation de 12,0% traduisent une dispersion modérée du cours autour de sa moyenne, tandis que le kurtosis de -0,949 (mésokurtique) et le skewness de +0,323 (distribution symétrique) indiquent l'absence de pics extrêmes ou de biais directionnel marqué — le titre évolue dans un régime de volatilité « normale » mais baissière. La volatilité annualisée de 53,9% classe le titre dans la catégorie **élevée** (&gt;30%), ce qui implique un risque de perte en capital significatif à court terme et justifie une prime de risque accrue pour tout 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(2 064,5 FCFA) et la MM50 (2 222,2 FCFA) sont toutes deux supérieures au cours actuel (1 950 FCFA), confirmant une configuration baissière où le prix évolue sous ses moyennes. La MM20 étant elle-même inférieure à la MM50, on observe un croisement baissier (death cross) qui valide la décision de **Vente** émise par le système. Le cours devra reconquérir la MM20 puis la MM50 pour inverser la tendance.</w:t>
      </w:r>
    </w:p>
    <w:p>
      <w:pPr>
        <w:spacing w:after="120" w:line="276" w:lineRule="auto"/>
      </w:pPr>
      <w:r>
        <w:t>**Bandes de Bollinger** : Le cours (1 950 FCFA) se situe entre la borne inférieure (1 828,4 FCFA) et la borne supérieure (2 300,6 FCFA), plus proche de la borne basse, ce qui reflète une pression vendeuse persistante sans toutefois atteindre la zone de survente extrême. La largeur des bandes (environ 472 FCFA) traduit une volatilité encore élevée, et la décision **Neutre** suggère une absence de signal directionnel fort à court terme, le titre pouvant osciller dans ce canal.</w:t>
      </w:r>
    </w:p>
    <w:p>
      <w:pPr>
        <w:spacing w:after="120" w:line="276" w:lineRule="auto"/>
      </w:pPr>
      <w:r>
        <w:t>**MACD** : La valeur du MACD (-85,533) est inférieure à son signal (-80,614), avec un histogramme négatif qui confirme un momentum baissier toujours actif. La divergence entre les deux lignes reste faible, mais l'absence de croisement haussier imminent justifie la décision de **Vente** et invite à la prudence avant tout rebond technique.</w:t>
      </w:r>
    </w:p>
    <w:p>
      <w:pPr>
        <w:spacing w:after="120" w:line="276" w:lineRule="auto"/>
      </w:pPr>
      <w:r>
        <w:t>**RSI** : À 43,333, le RSI se situe dans la zone neutre (30-70), sans signal de surachat ni de survente. Cette position médiane indique que le titre n'est ni épuisé à la baisse ni prêt à un retournement haussier, ce qui justifie la décision **Neutre** et suggère que la pression baissière pourrait se poursuivre sans excès.</w:t>
      </w:r>
    </w:p>
    <w:p>
      <w:pPr>
        <w:spacing w:after="120" w:line="276" w:lineRule="auto"/>
      </w:pPr>
      <w:r>
        <w:t>**Stochastique** : Le %K (9,524) et le %D (7,937) sont tous deux en zone de survente profonde (&lt;20), avec un %K légèrement supérieur au %D, ce qui pourrait annoncer un croisement haussier imminent. La décision **Achat** émise par cet indicateur est toutefois contrebalancée par la tendance baissière des moyennes mobiles et du MACD, ce qui en fait un signal de rebond technique à court terme plutôt qu'une inversion de tendance.</w:t>
      </w:r>
    </w:p>
    <w:p>
      <w:pPr>
        <w:spacing w:after="120" w:line="276" w:lineRule="auto"/>
      </w:pPr>
      <w:r>
        <w:t>**Conclusion technique** : Les indicateurs sont majoritairement baissiers (MM, MACD) ou neutres (Bollinger, RSI), avec un seul signal d'achat isolé (Stochastique) qui relève d'un rebond technique en zone de survente. La convergence des signaux négatifs l'emporte sur le signal positif, et le titre reste sous pression tant qu'il n'aura pas reconquis la MM20 (2 064 FCFA). La prudence est de mise, avec un risque de poursuite de la baisse vers 1 828 FCFA (borne inférieure de Bollinger).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ERIUM CI (ex-SIVC) a réalisé un chiffre d'affaires de 10,075 Mds FCFA, en hausse de +8,53% par rapport à 2024 (9,283 Mds FCFA), portée par les ventes de produits fabriqués (4,419 Mds FCFA) et les travaux/services (3,345 Mds FCFA). Cependant, le résultat net s'est effondré à 179,29 M FCFA, contre 376,96 M FCFA en 2024, soit une chute de -52,4%, et la marge nette s'est dégradée à 1,78% (contre 4,06% en 2024). Le ROE s'établit à 7,10% (bien en dessous du seuil de 15% considéré comme excellent) et le ROA à 1,23%, traduisant une faible efficacité dans l'utilisation des actifs. La dégradation s'explique par une explosion des charges d'exploitation (DAP de 1,088 Md FCFA, charges de personnel de 1,661 Md FCFA) et un résultat financier négatif de -313,97 M FCFA (contre un gain de +316 M FCFA en 2024), conséquence d'un endettement financier élevé (4,164 Mds FCFA) et de charges financières de 368,65 M FCFA.</w:t>
      </w:r>
    </w:p>
    <w:p>
      <w:pPr>
        <w:spacing w:after="120" w:line="276" w:lineRule="auto"/>
      </w:pPr>
      <w:r>
        <w:t>**Analyse sectorielle (entreprise non bancaire)** : Le BFR est négatif à -470,79 M FCFA, ce qui est favorable (financement par les fournisseurs), mais le fonds de roulement est négatif à -2,132 Mds FCFA et la trésorerie nette à -1,661 Mds FCFA, signalant une tension de liquidité persistante. Les délais d'exploitation sont préoccupants : délai clients de 79,30 jours (risque de trésorerie), délai fournisseurs de 323,35 jours (avantage de trésorerie mais dépendance excessive) et durée de stockage de 189,26 jours (immobilisation de capital). L'autonomie financière est faible (17,29%, contre &gt;30% recommandé), le ratio d'endettement est de 228,41% et la capacité de remboursement de 6,64 années, ce qui pèse sur la structure financière.</w:t>
      </w:r>
    </w:p>
    <w:p>
      <w:pPr>
        <w:spacing w:after="120" w:line="276" w:lineRule="auto"/>
      </w:pPr>
      <w:r>
        <w:t>**Estimations basées sur les rapports trimestriels** : Le rapport du **S1 2025 (daté du 30/06/2025)** indiquait un CA de 4 897,5 M FCFA (+8,8%) et un résultat net de 512,9 M FCFA (+4,6%), avec une marge nette de 10,5%. Le rapport du **T3 2025 (daté du 30/09/2025)** confirmait cette dynamique avec un CA cumulé de 7 584,7 M FCFA (+13%) et un résultat net de 832,5 M FCFA (+58%), soit une marge nette de 11,0%. **Cependant**, ces chiffres semestriels et trimestriels semblent en contradiction avec les états financiers annuels 2025 (résultat net de 179,29 M FCFA), ce qui suggère soit des retraitements comptables en fin d'année (provisions, dépréciations), soit des éléments exceptionnels non récurrents ayant grevé le résultat annuel. **On estime** que la société pourrait afficher un redressement en 2026 si les charges financières sont maîtrisées et si la croissance du CA se poursuit, mais la faiblesse des capitaux propres (2,53 Mds FCFA) et l'endettement élevé limitent les marges de manœuvre.</w:t>
      </w:r>
    </w:p>
    <w:p>
      <w:pPr>
        <w:spacing w:after="120" w:line="276" w:lineRule="auto"/>
      </w:pPr>
      <w:r>
        <w:t>**Recommandation fondamentale** : La société présente un profil risqué : croissance du CA mais rentabilité en berne, structure financière fragile (autonomie financière de 17,29%, trésorerie nette négative) et absence de dividende (0 FCFA versé en 2025). Le rapport annuel 2025 (analysé le 29/06/2026) conclut à une recommandation **CONSERVER** avec surveillance, en attendant une amélioration durable de la rentabilité et de la structure financière.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tableau globalement défavorable pour SIVC. **En termes de valorisation (Partie 0)**, les ratios PER (95,0x), P/B (6,74x) et EV/EBITDA (17,0x) indiquent une nette surévaluation par rapport aux fondamentaux et à la moyenne BRVM, ce qui expose le titre à un risque de correction. **Le comportement du cours (Partie 1)** est baissier (-31,58% sur 100 jours), avec une volatilité élevée (53,9%) et des statistiques descriptives (kurtosis -0,949, skewness +0,323) qui ne montrent pas de signal de retournement imminent. **Les signaux techniques (Partie 2)** sont majoritairement négatifs (MM baissières, MACD vendeur, RSI neutre), avec un seul signal d'achat isolé (Stochastique en survente) qui ne suffit pas à inverser la tendance. **Les fondamentaux (Partie 3)** sont fragiles : croissance du CA (+8,53%) mais effondrement du résultat net (-52,4%), ROE faible (7,10%), endettement élevé (228,41%) et trésorerie nette négative (-1,661 Md FCFA), bien que les rapports trimestriels S1 et T3 2025 aient montré une dynamique positive avant les retraitements annuels. **Les prédictions IA (J+1 à J+10)** anticipent une légère reprise (1 970 FCFA à 1 984 FCFA, soit +1,7% sur 10 jours), ce qui contredit partiellement les signaux baissiers mais reste un rebond technique modeste.</w:t>
      </w:r>
    </w:p>
    <w:p>
      <w:pPr>
        <w:spacing w:after="120" w:line="276" w:lineRule="auto"/>
      </w:pPr>
      <w:r>
        <w:t>**Recommandation finale** : **VENTE** (ou **CONSERVER** pour les investisseurs déjà en position, avec un stop-loss strict à 1 920 FCFA). La convergence des signaux négatifs (valorisation excessive, tendance baissière, fondamentaux dégradés) l'emporte sur le rebond technique anticipé par le Stochastique et les prédictions IA. **Niveau de confiance** : Moyen (les rapports trimestriels 2025 suggèrent un potentiel de redressement, mais les états financiers annuels 2025 sont décevants). **Niveau de risque global** : Élevé (volatilité de 53,9%, endettement de 228,41%, trésorerie négative). **Horizon d'investissement** : Court terme (&lt;3 mois) pour un éventuel rebond technique, mais moyen terme (3-12 mois) défavorable en l'absence d'amélioration durable de la rentabilité et de la structure financière. Un nouvel investisseur devrait **attendre** des signaux fondamentaux plus solides avant d'entrer.</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38.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619.01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1,418 titres</w:t>
            </w:r>
          </w:p>
        </w:tc>
        <w:tc>
          <w:tcPr>
            <w:tcW w:type="dxa" w:w="2268"/>
            <w:shd w:fill="FFF2CC" w:val="clear"/>
          </w:tcPr>
          <w:p>
            <w:r>
              <w:rPr>
                <w:b/>
                <w:color w:val="503200"/>
                <w:sz w:val="16"/>
              </w:rPr>
              <w:t xml:space="preserve">Cours actuel : </w:t>
            </w:r>
            <w:r>
              <w:rPr>
                <w:color w:val="000000"/>
                <w:sz w:val="17"/>
              </w:rPr>
              <w:t>37,605 FCFA</w:t>
            </w:r>
          </w:p>
          <w:p>
            <w:r>
              <w:rPr>
                <w:b/>
                <w:color w:val="503200"/>
                <w:sz w:val="16"/>
              </w:rPr>
              <w:t xml:space="preserve">Var. 100 jours : </w:t>
            </w:r>
            <w:r>
              <w:rPr>
                <w:b/>
                <w:color w:val="007800"/>
                <w:sz w:val="17"/>
              </w:rPr>
              <w:t>+0.27%</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36,900 FCFA</w:t>
            </w:r>
          </w:p>
          <w:p>
            <w:r>
              <w:rPr>
                <w:b/>
                <w:color w:val="503200"/>
                <w:sz w:val="16"/>
              </w:rPr>
              <w:t xml:space="preserve">Volatilité ann. : </w:t>
            </w:r>
            <w:r>
              <w:rPr>
                <w:color w:val="000000"/>
                <w:sz w:val="17"/>
              </w:rPr>
              <w:t>24.6%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2.26% (Faible) — μ=38,260 FCFA, σ=865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β=0.0046 (Défensif) — Cov=0.000000, Var(idx)=0.000073, ρ=0.003,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1,418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σ_j=1.55%/j (Stable) — Vol. annualisée≈24.6%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2026-10-13</w:t>
            </w:r>
          </w:p>
        </w:tc>
        <w:tc>
          <w:tcPr>
            <w:tcW w:type="dxa" w:w="1440"/>
            <w:shd w:fill="FAFAFA" w:val="clear"/>
          </w:tcPr>
          <w:p>
            <w:r>
              <w:rPr>
                <w:sz w:val="17"/>
              </w:rPr>
              <w:t>37,366</w:t>
            </w:r>
          </w:p>
        </w:tc>
        <w:tc>
          <w:tcPr>
            <w:tcW w:type="dxa" w:w="1440"/>
            <w:shd w:fill="FAFAFA" w:val="clear"/>
          </w:tcPr>
          <w:p>
            <w:r>
              <w:rPr>
                <w:b/>
                <w:sz w:val="17"/>
              </w:rPr>
              <w:t>37,935</w:t>
            </w:r>
          </w:p>
        </w:tc>
        <w:tc>
          <w:tcPr>
            <w:tcW w:type="dxa" w:w="1440"/>
            <w:shd w:fill="FAFAFA" w:val="clear"/>
          </w:tcPr>
          <w:p>
            <w:r>
              <w:rPr>
                <w:sz w:val="17"/>
              </w:rPr>
              <w:t>38,504</w:t>
            </w:r>
          </w:p>
        </w:tc>
        <w:tc>
          <w:tcPr>
            <w:tcW w:type="dxa" w:w="1440"/>
            <w:shd w:fill="FAFAFA" w:val="clear"/>
          </w:tcPr>
          <w:p>
            <w:r>
              <w:rPr>
                <w:b/>
                <w:color w:val="008000"/>
                <w:sz w:val="17"/>
              </w:rPr>
              <w:t>+0.9%</w:t>
            </w:r>
          </w:p>
        </w:tc>
      </w:tr>
      <w:tr>
        <w:tc>
          <w:tcPr>
            <w:tcW w:type="dxa" w:w="1440"/>
            <w:shd w:fill="FAFAFA" w:val="clear"/>
          </w:tcPr>
          <w:p>
            <w:r>
              <w:rPr>
                <w:sz w:val="17"/>
              </w:rPr>
              <w:t>J+2  ⭐⭐⭐</w:t>
            </w:r>
          </w:p>
        </w:tc>
        <w:tc>
          <w:tcPr>
            <w:tcW w:type="dxa" w:w="1440"/>
            <w:shd w:fill="FAFAFA" w:val="clear"/>
          </w:tcPr>
          <w:p>
            <w:r>
              <w:rPr>
                <w:sz w:val="17"/>
              </w:rPr>
              <w:t>2026-10-14</w:t>
            </w:r>
          </w:p>
        </w:tc>
        <w:tc>
          <w:tcPr>
            <w:tcW w:type="dxa" w:w="1440"/>
            <w:shd w:fill="FAFAFA" w:val="clear"/>
          </w:tcPr>
          <w:p>
            <w:r>
              <w:rPr>
                <w:sz w:val="17"/>
              </w:rPr>
              <w:t>37,271</w:t>
            </w:r>
          </w:p>
        </w:tc>
        <w:tc>
          <w:tcPr>
            <w:tcW w:type="dxa" w:w="1440"/>
            <w:shd w:fill="FAFAFA" w:val="clear"/>
          </w:tcPr>
          <w:p>
            <w:r>
              <w:rPr>
                <w:b/>
                <w:sz w:val="17"/>
              </w:rPr>
              <w:t>38,078</w:t>
            </w:r>
          </w:p>
        </w:tc>
        <w:tc>
          <w:tcPr>
            <w:tcW w:type="dxa" w:w="1440"/>
            <w:shd w:fill="FAFAFA" w:val="clear"/>
          </w:tcPr>
          <w:p>
            <w:r>
              <w:rPr>
                <w:sz w:val="17"/>
              </w:rPr>
              <w:t>38,885</w:t>
            </w:r>
          </w:p>
        </w:tc>
        <w:tc>
          <w:tcPr>
            <w:tcW w:type="dxa" w:w="1440"/>
            <w:shd w:fill="FAFAFA" w:val="clear"/>
          </w:tcPr>
          <w:p>
            <w:r>
              <w:rPr>
                <w:b/>
                <w:color w:val="008000"/>
                <w:sz w:val="17"/>
              </w:rPr>
              <w:t>+1.3%</w:t>
            </w:r>
          </w:p>
        </w:tc>
      </w:tr>
      <w:tr>
        <w:tc>
          <w:tcPr>
            <w:tcW w:type="dxa" w:w="1440"/>
            <w:shd w:fill="FAFAFA" w:val="clear"/>
          </w:tcPr>
          <w:p>
            <w:r>
              <w:rPr>
                <w:sz w:val="17"/>
              </w:rPr>
              <w:t>J+3  ⭐⭐⭐</w:t>
            </w:r>
          </w:p>
        </w:tc>
        <w:tc>
          <w:tcPr>
            <w:tcW w:type="dxa" w:w="1440"/>
            <w:shd w:fill="FAFAFA" w:val="clear"/>
          </w:tcPr>
          <w:p>
            <w:r>
              <w:rPr>
                <w:sz w:val="17"/>
              </w:rPr>
              <w:t>2026-10-15</w:t>
            </w:r>
          </w:p>
        </w:tc>
        <w:tc>
          <w:tcPr>
            <w:tcW w:type="dxa" w:w="1440"/>
            <w:shd w:fill="FAFAFA" w:val="clear"/>
          </w:tcPr>
          <w:p>
            <w:r>
              <w:rPr>
                <w:sz w:val="17"/>
              </w:rPr>
              <w:t>37,240</w:t>
            </w:r>
          </w:p>
        </w:tc>
        <w:tc>
          <w:tcPr>
            <w:tcW w:type="dxa" w:w="1440"/>
            <w:shd w:fill="FAFAFA" w:val="clear"/>
          </w:tcPr>
          <w:p>
            <w:r>
              <w:rPr>
                <w:b/>
                <w:sz w:val="17"/>
              </w:rPr>
              <w:t>38,232</w:t>
            </w:r>
          </w:p>
        </w:tc>
        <w:tc>
          <w:tcPr>
            <w:tcW w:type="dxa" w:w="1440"/>
            <w:shd w:fill="FAFAFA" w:val="clear"/>
          </w:tcPr>
          <w:p>
            <w:r>
              <w:rPr>
                <w:sz w:val="17"/>
              </w:rPr>
              <w:t>39,225</w:t>
            </w:r>
          </w:p>
        </w:tc>
        <w:tc>
          <w:tcPr>
            <w:tcW w:type="dxa" w:w="1440"/>
            <w:shd w:fill="FAFAFA" w:val="clear"/>
          </w:tcPr>
          <w:p>
            <w:r>
              <w:rPr>
                <w:b/>
                <w:color w:val="008000"/>
                <w:sz w:val="17"/>
              </w:rPr>
              <w:t>+1.7%</w:t>
            </w:r>
          </w:p>
        </w:tc>
      </w:tr>
      <w:tr>
        <w:tc>
          <w:tcPr>
            <w:tcW w:type="dxa" w:w="1440"/>
            <w:shd w:fill="C6EFCE" w:val="clear"/>
          </w:tcPr>
          <w:p>
            <w:r>
              <w:rPr>
                <w:sz w:val="17"/>
              </w:rPr>
              <w:t>J+4  Moyenne</w:t>
            </w:r>
          </w:p>
        </w:tc>
        <w:tc>
          <w:tcPr>
            <w:tcW w:type="dxa" w:w="1440"/>
            <w:shd w:fill="C6EFCE" w:val="clear"/>
          </w:tcPr>
          <w:p>
            <w:r>
              <w:rPr>
                <w:sz w:val="17"/>
              </w:rPr>
              <w:t>2026-10-16</w:t>
            </w:r>
          </w:p>
        </w:tc>
        <w:tc>
          <w:tcPr>
            <w:tcW w:type="dxa" w:w="1440"/>
            <w:shd w:fill="C6EFCE" w:val="clear"/>
          </w:tcPr>
          <w:p>
            <w:r>
              <w:rPr>
                <w:sz w:val="17"/>
              </w:rPr>
              <w:t>37,234</w:t>
            </w:r>
          </w:p>
        </w:tc>
        <w:tc>
          <w:tcPr>
            <w:tcW w:type="dxa" w:w="1440"/>
            <w:shd w:fill="C6EFCE" w:val="clear"/>
          </w:tcPr>
          <w:p>
            <w:r>
              <w:rPr>
                <w:b/>
                <w:sz w:val="17"/>
              </w:rPr>
              <w:t>38,384</w:t>
            </w:r>
          </w:p>
        </w:tc>
        <w:tc>
          <w:tcPr>
            <w:tcW w:type="dxa" w:w="1440"/>
            <w:shd w:fill="C6EFCE" w:val="clear"/>
          </w:tcPr>
          <w:p>
            <w:r>
              <w:rPr>
                <w:sz w:val="17"/>
              </w:rPr>
              <w:t>39,535</w:t>
            </w:r>
          </w:p>
        </w:tc>
        <w:tc>
          <w:tcPr>
            <w:tcW w:type="dxa" w:w="1440"/>
            <w:shd w:fill="C6EFCE" w:val="clear"/>
          </w:tcPr>
          <w:p>
            <w:r>
              <w:rPr>
                <w:b/>
                <w:color w:val="008000"/>
                <w:sz w:val="17"/>
              </w:rPr>
              <w:t>+2.1%</w:t>
            </w:r>
          </w:p>
        </w:tc>
      </w:tr>
      <w:tr>
        <w:tc>
          <w:tcPr>
            <w:tcW w:type="dxa" w:w="1440"/>
            <w:shd w:fill="C6EFCE" w:val="clear"/>
          </w:tcPr>
          <w:p>
            <w:r>
              <w:rPr>
                <w:sz w:val="17"/>
              </w:rPr>
              <w:t>J+5  Moyenne</w:t>
            </w:r>
          </w:p>
        </w:tc>
        <w:tc>
          <w:tcPr>
            <w:tcW w:type="dxa" w:w="1440"/>
            <w:shd w:fill="C6EFCE" w:val="clear"/>
          </w:tcPr>
          <w:p>
            <w:r>
              <w:rPr>
                <w:sz w:val="17"/>
              </w:rPr>
              <w:t>2026-10-19</w:t>
            </w:r>
          </w:p>
        </w:tc>
        <w:tc>
          <w:tcPr>
            <w:tcW w:type="dxa" w:w="1440"/>
            <w:shd w:fill="C6EFCE" w:val="clear"/>
          </w:tcPr>
          <w:p>
            <w:r>
              <w:rPr>
                <w:sz w:val="17"/>
              </w:rPr>
              <w:t>37,241</w:t>
            </w:r>
          </w:p>
        </w:tc>
        <w:tc>
          <w:tcPr>
            <w:tcW w:type="dxa" w:w="1440"/>
            <w:shd w:fill="C6EFCE" w:val="clear"/>
          </w:tcPr>
          <w:p>
            <w:r>
              <w:rPr>
                <w:b/>
                <w:sz w:val="17"/>
              </w:rPr>
              <w:t>38,532</w:t>
            </w:r>
          </w:p>
        </w:tc>
        <w:tc>
          <w:tcPr>
            <w:tcW w:type="dxa" w:w="1440"/>
            <w:shd w:fill="C6EFCE" w:val="clear"/>
          </w:tcPr>
          <w:p>
            <w:r>
              <w:rPr>
                <w:sz w:val="17"/>
              </w:rPr>
              <w:t>39,824</w:t>
            </w:r>
          </w:p>
        </w:tc>
        <w:tc>
          <w:tcPr>
            <w:tcW w:type="dxa" w:w="1440"/>
            <w:shd w:fill="C6EFCE" w:val="clear"/>
          </w:tcPr>
          <w:p>
            <w:r>
              <w:rPr>
                <w:b/>
                <w:color w:val="008000"/>
                <w:sz w:val="17"/>
              </w:rPr>
              <w:t>+2.5%</w:t>
            </w:r>
          </w:p>
        </w:tc>
      </w:tr>
      <w:tr>
        <w:tc>
          <w:tcPr>
            <w:tcW w:type="dxa" w:w="1440"/>
            <w:shd w:fill="C6EFCE" w:val="clear"/>
          </w:tcPr>
          <w:p>
            <w:r>
              <w:rPr>
                <w:sz w:val="17"/>
              </w:rPr>
              <w:t>J+6  Moyenne</w:t>
            </w:r>
          </w:p>
        </w:tc>
        <w:tc>
          <w:tcPr>
            <w:tcW w:type="dxa" w:w="1440"/>
            <w:shd w:fill="C6EFCE" w:val="clear"/>
          </w:tcPr>
          <w:p>
            <w:r>
              <w:rPr>
                <w:sz w:val="17"/>
              </w:rPr>
              <w:t>2026-10-20</w:t>
            </w:r>
          </w:p>
        </w:tc>
        <w:tc>
          <w:tcPr>
            <w:tcW w:type="dxa" w:w="1440"/>
            <w:shd w:fill="C6EFCE" w:val="clear"/>
          </w:tcPr>
          <w:p>
            <w:r>
              <w:rPr>
                <w:sz w:val="17"/>
              </w:rPr>
              <w:t>37,257</w:t>
            </w:r>
          </w:p>
        </w:tc>
        <w:tc>
          <w:tcPr>
            <w:tcW w:type="dxa" w:w="1440"/>
            <w:shd w:fill="C6EFCE" w:val="clear"/>
          </w:tcPr>
          <w:p>
            <w:r>
              <w:rPr>
                <w:b/>
                <w:sz w:val="17"/>
              </w:rPr>
              <w:t>38,677</w:t>
            </w:r>
          </w:p>
        </w:tc>
        <w:tc>
          <w:tcPr>
            <w:tcW w:type="dxa" w:w="1440"/>
            <w:shd w:fill="C6EFCE" w:val="clear"/>
          </w:tcPr>
          <w:p>
            <w:r>
              <w:rPr>
                <w:sz w:val="17"/>
              </w:rPr>
              <w:t>40,097</w:t>
            </w:r>
          </w:p>
        </w:tc>
        <w:tc>
          <w:tcPr>
            <w:tcW w:type="dxa" w:w="1440"/>
            <w:shd w:fill="C6EFCE" w:val="clear"/>
          </w:tcPr>
          <w:p>
            <w:r>
              <w:rPr>
                <w:b/>
                <w:color w:val="008000"/>
                <w:sz w:val="17"/>
              </w:rPr>
              <w:t>+2.8%</w:t>
            </w:r>
          </w:p>
        </w:tc>
      </w:tr>
      <w:tr>
        <w:tc>
          <w:tcPr>
            <w:tcW w:type="dxa" w:w="1440"/>
            <w:shd w:fill="C6EFCE" w:val="clear"/>
          </w:tcPr>
          <w:p>
            <w:r>
              <w:rPr>
                <w:sz w:val="17"/>
              </w:rPr>
              <w:t>J+7  Moyenne</w:t>
            </w:r>
          </w:p>
        </w:tc>
        <w:tc>
          <w:tcPr>
            <w:tcW w:type="dxa" w:w="1440"/>
            <w:shd w:fill="C6EFCE" w:val="clear"/>
          </w:tcPr>
          <w:p>
            <w:r>
              <w:rPr>
                <w:sz w:val="17"/>
              </w:rPr>
              <w:t>2026-10-21</w:t>
            </w:r>
          </w:p>
        </w:tc>
        <w:tc>
          <w:tcPr>
            <w:tcW w:type="dxa" w:w="1440"/>
            <w:shd w:fill="C6EFCE" w:val="clear"/>
          </w:tcPr>
          <w:p>
            <w:r>
              <w:rPr>
                <w:sz w:val="17"/>
              </w:rPr>
              <w:t>37,278</w:t>
            </w:r>
          </w:p>
        </w:tc>
        <w:tc>
          <w:tcPr>
            <w:tcW w:type="dxa" w:w="1440"/>
            <w:shd w:fill="C6EFCE" w:val="clear"/>
          </w:tcPr>
          <w:p>
            <w:r>
              <w:rPr>
                <w:b/>
                <w:sz w:val="17"/>
              </w:rPr>
              <w:t>38,818</w:t>
            </w:r>
          </w:p>
        </w:tc>
        <w:tc>
          <w:tcPr>
            <w:tcW w:type="dxa" w:w="1440"/>
            <w:shd w:fill="C6EFCE" w:val="clear"/>
          </w:tcPr>
          <w:p>
            <w:r>
              <w:rPr>
                <w:sz w:val="17"/>
              </w:rPr>
              <w:t>40,357</w:t>
            </w:r>
          </w:p>
        </w:tc>
        <w:tc>
          <w:tcPr>
            <w:tcW w:type="dxa" w:w="1440"/>
            <w:shd w:fill="C6EFCE" w:val="clear"/>
          </w:tcPr>
          <w:p>
            <w:r>
              <w:rPr>
                <w:b/>
                <w:color w:val="008000"/>
                <w:sz w:val="17"/>
              </w:rPr>
              <w:t>+3.2%</w:t>
            </w:r>
          </w:p>
        </w:tc>
      </w:tr>
      <w:tr>
        <w:tc>
          <w:tcPr>
            <w:tcW w:type="dxa" w:w="1440"/>
            <w:shd w:fill="C6EFCE" w:val="clear"/>
          </w:tcPr>
          <w:p>
            <w:r>
              <w:rPr>
                <w:sz w:val="17"/>
              </w:rPr>
              <w:t>J+8  Moyenne</w:t>
            </w:r>
          </w:p>
        </w:tc>
        <w:tc>
          <w:tcPr>
            <w:tcW w:type="dxa" w:w="1440"/>
            <w:shd w:fill="C6EFCE" w:val="clear"/>
          </w:tcPr>
          <w:p>
            <w:r>
              <w:rPr>
                <w:sz w:val="17"/>
              </w:rPr>
              <w:t>2026-10-22</w:t>
            </w:r>
          </w:p>
        </w:tc>
        <w:tc>
          <w:tcPr>
            <w:tcW w:type="dxa" w:w="1440"/>
            <w:shd w:fill="C6EFCE" w:val="clear"/>
          </w:tcPr>
          <w:p>
            <w:r>
              <w:rPr>
                <w:sz w:val="17"/>
              </w:rPr>
              <w:t>37,304</w:t>
            </w:r>
          </w:p>
        </w:tc>
        <w:tc>
          <w:tcPr>
            <w:tcW w:type="dxa" w:w="1440"/>
            <w:shd w:fill="C6EFCE" w:val="clear"/>
          </w:tcPr>
          <w:p>
            <w:r>
              <w:rPr>
                <w:b/>
                <w:sz w:val="17"/>
              </w:rPr>
              <w:t>38,955</w:t>
            </w:r>
          </w:p>
        </w:tc>
        <w:tc>
          <w:tcPr>
            <w:tcW w:type="dxa" w:w="1440"/>
            <w:shd w:fill="C6EFCE" w:val="clear"/>
          </w:tcPr>
          <w:p>
            <w:r>
              <w:rPr>
                <w:sz w:val="17"/>
              </w:rPr>
              <w:t>40,607</w:t>
            </w:r>
          </w:p>
        </w:tc>
        <w:tc>
          <w:tcPr>
            <w:tcW w:type="dxa" w:w="1440"/>
            <w:shd w:fill="C6EFCE" w:val="clear"/>
          </w:tcPr>
          <w:p>
            <w:r>
              <w:rPr>
                <w:b/>
                <w:color w:val="008000"/>
                <w:sz w:val="17"/>
              </w:rPr>
              <w:t>+3.6%</w:t>
            </w:r>
          </w:p>
        </w:tc>
      </w:tr>
      <w:tr>
        <w:tc>
          <w:tcPr>
            <w:tcW w:type="dxa" w:w="1440"/>
            <w:shd w:fill="C6EFCE" w:val="clear"/>
          </w:tcPr>
          <w:p>
            <w:r>
              <w:rPr>
                <w:sz w:val="17"/>
              </w:rPr>
              <w:t>J+9  Moyenne</w:t>
            </w:r>
          </w:p>
        </w:tc>
        <w:tc>
          <w:tcPr>
            <w:tcW w:type="dxa" w:w="1440"/>
            <w:shd w:fill="C6EFCE" w:val="clear"/>
          </w:tcPr>
          <w:p>
            <w:r>
              <w:rPr>
                <w:sz w:val="17"/>
              </w:rPr>
              <w:t>2026-10-23</w:t>
            </w:r>
          </w:p>
        </w:tc>
        <w:tc>
          <w:tcPr>
            <w:tcW w:type="dxa" w:w="1440"/>
            <w:shd w:fill="C6EFCE" w:val="clear"/>
          </w:tcPr>
          <w:p>
            <w:r>
              <w:rPr>
                <w:sz w:val="17"/>
              </w:rPr>
              <w:t>37,333</w:t>
            </w:r>
          </w:p>
        </w:tc>
        <w:tc>
          <w:tcPr>
            <w:tcW w:type="dxa" w:w="1440"/>
            <w:shd w:fill="C6EFCE" w:val="clear"/>
          </w:tcPr>
          <w:p>
            <w:r>
              <w:rPr>
                <w:b/>
                <w:sz w:val="17"/>
              </w:rPr>
              <w:t>39,091</w:t>
            </w:r>
          </w:p>
        </w:tc>
        <w:tc>
          <w:tcPr>
            <w:tcW w:type="dxa" w:w="1440"/>
            <w:shd w:fill="C6EFCE" w:val="clear"/>
          </w:tcPr>
          <w:p>
            <w:r>
              <w:rPr>
                <w:sz w:val="17"/>
              </w:rPr>
              <w:t>40,848</w:t>
            </w:r>
          </w:p>
        </w:tc>
        <w:tc>
          <w:tcPr>
            <w:tcW w:type="dxa" w:w="1440"/>
            <w:shd w:fill="C6EFCE" w:val="clear"/>
          </w:tcPr>
          <w:p>
            <w:r>
              <w:rPr>
                <w:b/>
                <w:color w:val="008000"/>
                <w:sz w:val="17"/>
              </w:rPr>
              <w:t>+4.0%</w:t>
            </w:r>
          </w:p>
        </w:tc>
      </w:tr>
      <w:tr>
        <w:tc>
          <w:tcPr>
            <w:tcW w:type="dxa" w:w="1440"/>
            <w:shd w:fill="C6EFCE" w:val="clear"/>
          </w:tcPr>
          <w:p>
            <w:r>
              <w:rPr>
                <w:sz w:val="17"/>
              </w:rPr>
              <w:t>J+10  Moyenne</w:t>
            </w:r>
          </w:p>
        </w:tc>
        <w:tc>
          <w:tcPr>
            <w:tcW w:type="dxa" w:w="1440"/>
            <w:shd w:fill="C6EFCE" w:val="clear"/>
          </w:tcPr>
          <w:p>
            <w:r>
              <w:rPr>
                <w:sz w:val="17"/>
              </w:rPr>
              <w:t>2026-10-26</w:t>
            </w:r>
          </w:p>
        </w:tc>
        <w:tc>
          <w:tcPr>
            <w:tcW w:type="dxa" w:w="1440"/>
            <w:shd w:fill="C6EFCE" w:val="clear"/>
          </w:tcPr>
          <w:p>
            <w:r>
              <w:rPr>
                <w:sz w:val="17"/>
              </w:rPr>
              <w:t>37,364</w:t>
            </w:r>
          </w:p>
        </w:tc>
        <w:tc>
          <w:tcPr>
            <w:tcW w:type="dxa" w:w="1440"/>
            <w:shd w:fill="C6EFCE" w:val="clear"/>
          </w:tcPr>
          <w:p>
            <w:r>
              <w:rPr>
                <w:b/>
                <w:sz w:val="17"/>
              </w:rPr>
              <w:t>39,223</w:t>
            </w:r>
          </w:p>
        </w:tc>
        <w:tc>
          <w:tcPr>
            <w:tcW w:type="dxa" w:w="1440"/>
            <w:shd w:fill="C6EFCE" w:val="clear"/>
          </w:tcPr>
          <w:p>
            <w:r>
              <w:rPr>
                <w:sz w:val="17"/>
              </w:rPr>
              <w:t>41,082</w:t>
            </w:r>
          </w:p>
        </w:tc>
        <w:tc>
          <w:tcPr>
            <w:tcW w:type="dxa" w:w="1440"/>
            <w:shd w:fill="C6EFCE" w:val="clear"/>
          </w:tcPr>
          <w:p>
            <w:r>
              <w:rPr>
                <w:b/>
                <w:color w:val="008000"/>
                <w:sz w:val="17"/>
              </w:rPr>
              <w:t>+4.3%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SOLIBRA (SLBC)**</w:t>
        <w:br/>
        <w:t>*Bourse Régionale des Valeurs Mobilières (BRVM) — Secteur : Boissons &amp; Limonaderies*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619,01 milliards FCFA, SOLIBRA s'impose comme l'une des toutes premières capitalisations de la BRVM, ce qui en fait une valeur de premier plan pour les investisseurs institutionnels régionaux. Le BPA de 2 781 FCFA/action signifie que chaque titre génère près de 2 800 FCFA de bénéfice net, un niveau remarquable qui traduit la forte rentabilité de l'entreprise. Le PER de 13,5x se situe légèrement au-dessus de la moyenne BRVM (8-12x), mais reste modéré au regard de la croissance exceptionnelle des bénéfices (+113% en 2025), ce qui suggère que le marché n'intègre pas encore pleinement cette dynamique. Le P/B de 3,17x indique que le marché valorise SOLIBRA à plus de trois fois sa valeur comptable, une prime de croissance justifiée par un ROE de 23,46% et une position de leader incontesté. Enfin, l'EV/EBITDA de 7,4x, dans la fourchette raisonnable de 5-10x, confirme que la valeur totale de l'entreprise (dette incluse) reste cohérente avec sa capacité opérationnelle, ce qui plaide pour une valorisation équilibrée, voire légèrement sous-évaluée compte tenu des perspectives.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SLBC affiche une variation quasi-nulle de +0,27%, avec une dernière séance en repli de -0,91%, s'établissant à 37 605 FCFA. Le titre a évolué dans un couloir relativement étroit entre un plus bas de 36 900 FCFA et un plus haut de 41 500 FCFA, soit un range de trading de 12,5%, ce qui témoigne d'une phase de consolidation plutôt que d'une tendance directionnelle marquée. La moyenne (38 260 FCFA) est légèrement supérieure à la médiane (38 000 FCFA), et le mode se situe également à 38 000 FCFA, indiquant une concentration des échanges autour de ce niveau pivot. L'écart-type de 869 FCFA avec un coefficient de variation de seulement 2,3% révèle une dispersion très faible du cours, caractéristique d'un titre peu volatil et recherché pour sa stabilité. Le kurtosis de 0,698 (mésokurtique) suggère une distribution proche de la normale, sans risque excessif de pics extrêmes, tandis que le skewness positif de 0,810 indique une asymétrie avec davantage de journées sous la moyenne, ce qui peut signaler une pression vendeuse latente. La volatilité annualisée de 24,6% positionne SLBC dans la catégorie des titres à volatilité modérée (15-30%), offrant un bon compromis entre rendement et risque pour un investisseur de long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(37 731,5 FCFA) et la MM50 (37 682,7 FCFA) sont toutes deux supérieures au cours actuel (37 605 FCFA), mais leur proximité immédiate et leur croisement haussier (MM20 &gt; MM50) génèrent un signal d'achat. Le cours évolue légèrement sous ses moyennes, ce qui peut constituer une opportunité de rebond technique à court terme.</w:t>
      </w:r>
    </w:p>
    <w:p>
      <w:pPr>
        <w:spacing w:after="120" w:line="276" w:lineRule="auto"/>
      </w:pPr>
      <w:r>
        <w:t>**Bandes de Bollinger** : Avec une borne supérieure à 38 381,68 FCFA et une borne inférieure à 37 081,32 FCFA, le cours actuel (37 605 FCFA) se situe dans la moitié basse du canal, sans atteindre la zone de survente. L'amplitude des bandes est relativement étroite, confirmant la faible volatilité récente, et la décision est logiquement neutre en l'absence de signal directionnel fort.</w:t>
      </w:r>
    </w:p>
    <w:p>
      <w:pPr>
        <w:spacing w:after="120" w:line="276" w:lineRule="auto"/>
      </w:pPr>
      <w:r>
        <w:t>**MACD** : La valeur du MACD (-106,96) est légèrement inférieure à son signal (-104,37), générant une décision de vente. Cette divergence négative, bien que marginale, indique un momentum baissier de court terme qui contraste avec la stabilité des moyennes mobiles, suggérant une prudence à très court terme.</w:t>
      </w:r>
    </w:p>
    <w:p>
      <w:pPr>
        <w:spacing w:after="120" w:line="276" w:lineRule="auto"/>
      </w:pPr>
      <w:r>
        <w:t>**RSI** : À 44,04, le RSI se situe en zone neutre (30-70), sans signal de surachat ni de survente. Cette position médiane reflète l'absence de pression acheteuse ou vendeuse dominante et confirme la phase de consolidation actuelle du titre.</w:t>
      </w:r>
    </w:p>
    <w:p>
      <w:pPr>
        <w:spacing w:after="120" w:line="276" w:lineRule="auto"/>
      </w:pPr>
      <w:r>
        <w:t>**Stochastique** : Le %K (60,5) est supérieur au %D (54,83), avec un croisement haussier récent qui pourrait annoncer un rebond à court terme. Cependant, les deux lignes restent en zone neutre, sans signal fort, ce qui justifie une décision neutre en attendant confirmation.</w:t>
      </w:r>
    </w:p>
    <w:p>
      <w:pPr>
        <w:spacing w:after="120" w:line="276" w:lineRule="auto"/>
      </w:pPr>
      <w:r>
        <w:t>**Conclusion technique** : Les indicateurs techniques présentent un tableau mitigé, avec des signaux contradictoires entre les moyennes mobiles (achat) et le MACD (vente), tandis que le RSI et le stochastique restent neutres. Le titre évolue dans une phase de consolidation sans tendance claire, et la faible volatilité suggère qu'un mouvement directionnel pourrait se dessiner prochainement. Dans l'attente d'une confirmation, la prudence reste de mise à court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SOLIBRA a réalisé un chiffre d'affaires de 378,12 milliards FCFA, en croissance spectaculaire de +22,08% par rapport aux 309,72 milliards de 2024, portée par une augmentation des volumes distribués et un mix prix favorable. Le résultat net a plus que doublé, passant de 21,47 milliards en 2024 à 45,78 milliards FCFA en 2025 (+113%), avec une marge nette qui s'améliore de 6,9% à 12,11%. Le ROE atteint 23,46% (excellent, &gt;15%) et le ROA 13,48%, confirmant l'efficacité capitalistique de l'entreprise. La structure financière est très saine : l'autonomie financière s'élève à 57,48%, le ratio d'endettement à 42,52%, et la trésorerie nette est positive à 22,12 milliards FCFA. Concernant les délais d'exploitation, le délai clients de 64,27 jours et le délai fournisseurs de 76,82 jours génèrent un BFR de 61,59 milliards FCFA, à surveiller dans un contexte de forte croissance. Le rapport du T1 2026 (publié le 20 mai 2026) confirme la dynamique avec un CA de 93,46 milliards FCFA (+7,6%), un volume distribué de 1,839 million d'hectolitres (+9,6%) et un résultat net de 16,26 milliards FCFA (+4,8%), soit une marge nette de 17,4%. Sur cette base, on estime que l'exercice 2026 devrait enregistrer une croissance plus modérée mais solide, avec un CA projeté autour de 410-420 milliards FCFA et un résultat net potentiellement supérieur à 50 milliards FCFA. Le rapport annuel 2025 (analysé le 20 mai 2026) souligne une politique de dividende très généreuse avec un dividende brut unitaire proposé de 2 127 FCFA par action (rendement d'environ 5,7% au cours actuel), représentant un payout de 76,5%. Les risques identifiés incluent la dépendance aux matières premières (90 milliards FCFA d'achats exposés à la volatilité des prix), la concentration géographique sur le marché ivoirien, et la soutenabilité d'une croissance à deux chiffres. Néanmoins, la position de leader, la solidité du bilan et la dynamique commerciale justifient une recommandation fondamentale positive.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SOLIBRA (PER 13,5x, P/B 3,17x, EV/EBITDA 7,4x) apparaît raisonnable, voire légèrement sous-évaluée au regard de la croissance exceptionnelle des bénéfices et du ROE de 23,46%, ce qui plaide pour un potentiel de réappréciation. Le comportement du cours sur 100 jours (+0,27%) révèle une phase de consolidation avec une volatilité modérée (24,6%) et une distribution asymétrique positive (skewness 0,81), ce qui n'est pas préoccupant mais suggère une certaine prudence à court terme. Les signaux techniques sont mitigés : les moyennes mobiles sont haussières, mais le MACD est baissier, tandis que le RSI et le stochastique restent neutres, indiquant l'absence de tendance claire et une possible poursuite de la consolidation. Les fondamentaux sont excellents, avec une croissance du CA de +22% en 2025, un doublement du résultat net, une trésorerie nette positive et un dividende attractif de 2 127 FCFA/action, tandis que le T1 2026 confirme la poursuite de la dynamique (+7,6% de CA). Les prédictions IA (J+1 à J+10) tablent sur une hausse progressive du cours de 37 935 FCFA à 38 532 FCFA, ce qui confirme la tendance haussière de long terme malgré la consolidation actuelle. Sur la base de cette synthèse, la convergence entre valorisation attractive, fondamentaux solides et prédictions haussières, malgré des signaux techniques neutres à court terme, justifie une recommandation d'**ACHAT**. Le niveau de confiance est **Élevé** (fondamentaux robustes et visibilité sur les bénéfices), le risque global est **Moyen** (dépendance aux matières premières et concentration géographique), et l'horizon d'investissement optimal est le **moyen à long terme** (6 à 18 mois) pour profiter de la croissance et du dividende.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[3]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39.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121.29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1,651 titres</w:t>
            </w:r>
          </w:p>
        </w:tc>
        <w:tc>
          <w:tcPr>
            <w:tcW w:type="dxa" w:w="2268"/>
            <w:shd w:fill="FFF2CC" w:val="clear"/>
          </w:tcPr>
          <w:p>
            <w:r>
              <w:rPr>
                <w:b/>
                <w:color w:val="503200"/>
                <w:sz w:val="16"/>
              </w:rPr>
              <w:t xml:space="preserve">Cours actuel : </w:t>
            </w:r>
            <w:r>
              <w:rPr>
                <w:color w:val="000000"/>
                <w:sz w:val="17"/>
              </w:rPr>
              <w:t>15,560 FCFA</w:t>
            </w:r>
          </w:p>
          <w:p>
            <w:r>
              <w:rPr>
                <w:b/>
                <w:color w:val="503200"/>
                <w:sz w:val="16"/>
              </w:rPr>
              <w:t xml:space="preserve">Var. 100 jours : </w:t>
            </w:r>
            <w:r>
              <w:rPr>
                <w:b/>
                <w:color w:val="007800"/>
                <w:sz w:val="17"/>
              </w:rPr>
              <w:t>+23.49%</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12,500 FCFA</w:t>
            </w:r>
          </w:p>
          <w:p>
            <w:r>
              <w:rPr>
                <w:b/>
                <w:color w:val="503200"/>
                <w:sz w:val="16"/>
              </w:rPr>
              <w:t xml:space="preserve">Volatilité ann. : </w:t>
            </w:r>
            <w:r>
              <w:rPr>
                <w:color w:val="000000"/>
                <w:sz w:val="17"/>
              </w:rPr>
              <w:t>42.5%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8.43% (Moyenne) — μ=16,156 FCFA, σ=1,362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β=0.3817 (Défensif) — Cov=0.000028, Var(idx)=0.000073, ρ=0.122,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1,651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σ_j=2.67%/j (Stable) — Vol. annualisée≈42.5%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2026-10-13</w:t>
            </w:r>
          </w:p>
        </w:tc>
        <w:tc>
          <w:tcPr>
            <w:tcW w:type="dxa" w:w="1440"/>
            <w:shd w:fill="FAFAFA" w:val="clear"/>
          </w:tcPr>
          <w:p>
            <w:r>
              <w:rPr>
                <w:sz w:val="17"/>
              </w:rPr>
              <w:t>14,925</w:t>
            </w:r>
          </w:p>
        </w:tc>
        <w:tc>
          <w:tcPr>
            <w:tcW w:type="dxa" w:w="1440"/>
            <w:shd w:fill="FAFAFA" w:val="clear"/>
          </w:tcPr>
          <w:p>
            <w:r>
              <w:rPr>
                <w:b/>
                <w:sz w:val="17"/>
              </w:rPr>
              <w:t>15,707</w:t>
            </w:r>
          </w:p>
        </w:tc>
        <w:tc>
          <w:tcPr>
            <w:tcW w:type="dxa" w:w="1440"/>
            <w:shd w:fill="FAFAFA" w:val="clear"/>
          </w:tcPr>
          <w:p>
            <w:r>
              <w:rPr>
                <w:sz w:val="17"/>
              </w:rPr>
              <w:t>16,489</w:t>
            </w:r>
          </w:p>
        </w:tc>
        <w:tc>
          <w:tcPr>
            <w:tcW w:type="dxa" w:w="1440"/>
            <w:shd w:fill="FAFAFA" w:val="clear"/>
          </w:tcPr>
          <w:p>
            <w:r>
              <w:rPr>
                <w:b/>
                <w:color w:val="008000"/>
                <w:sz w:val="17"/>
              </w:rPr>
              <w:t>+0.9%</w:t>
            </w:r>
          </w:p>
        </w:tc>
      </w:tr>
      <w:tr>
        <w:tc>
          <w:tcPr>
            <w:tcW w:type="dxa" w:w="1440"/>
            <w:shd w:fill="FAFAFA" w:val="clear"/>
          </w:tcPr>
          <w:p>
            <w:r>
              <w:rPr>
                <w:sz w:val="17"/>
              </w:rPr>
              <w:t>J+2  Moyenne</w:t>
            </w:r>
          </w:p>
        </w:tc>
        <w:tc>
          <w:tcPr>
            <w:tcW w:type="dxa" w:w="1440"/>
            <w:shd w:fill="FAFAFA" w:val="clear"/>
          </w:tcPr>
          <w:p>
            <w:r>
              <w:rPr>
                <w:sz w:val="17"/>
              </w:rPr>
              <w:t>2026-10-14</w:t>
            </w:r>
          </w:p>
        </w:tc>
        <w:tc>
          <w:tcPr>
            <w:tcW w:type="dxa" w:w="1440"/>
            <w:shd w:fill="FAFAFA" w:val="clear"/>
          </w:tcPr>
          <w:p>
            <w:r>
              <w:rPr>
                <w:sz w:val="17"/>
              </w:rPr>
              <w:t>14,565</w:t>
            </w:r>
          </w:p>
        </w:tc>
        <w:tc>
          <w:tcPr>
            <w:tcW w:type="dxa" w:w="1440"/>
            <w:shd w:fill="FAFAFA" w:val="clear"/>
          </w:tcPr>
          <w:p>
            <w:r>
              <w:rPr>
                <w:b/>
                <w:sz w:val="17"/>
              </w:rPr>
              <w:t>15,668</w:t>
            </w:r>
          </w:p>
        </w:tc>
        <w:tc>
          <w:tcPr>
            <w:tcW w:type="dxa" w:w="1440"/>
            <w:shd w:fill="FAFAFA" w:val="clear"/>
          </w:tcPr>
          <w:p>
            <w:r>
              <w:rPr>
                <w:sz w:val="17"/>
              </w:rPr>
              <w:t>16,771</w:t>
            </w:r>
          </w:p>
        </w:tc>
        <w:tc>
          <w:tcPr>
            <w:tcW w:type="dxa" w:w="1440"/>
            <w:shd w:fill="FAFAFA" w:val="clear"/>
          </w:tcPr>
          <w:p>
            <w:r>
              <w:rPr>
                <w:b/>
                <w:color w:val="008000"/>
                <w:sz w:val="17"/>
              </w:rPr>
              <w:t>+0.7%</w:t>
            </w:r>
          </w:p>
        </w:tc>
      </w:tr>
      <w:tr>
        <w:tc>
          <w:tcPr>
            <w:tcW w:type="dxa" w:w="1440"/>
            <w:shd w:fill="FAFAFA" w:val="clear"/>
          </w:tcPr>
          <w:p>
            <w:r>
              <w:rPr>
                <w:sz w:val="17"/>
              </w:rPr>
              <w:t>J+3  Moyenne</w:t>
            </w:r>
          </w:p>
        </w:tc>
        <w:tc>
          <w:tcPr>
            <w:tcW w:type="dxa" w:w="1440"/>
            <w:shd w:fill="FAFAFA" w:val="clear"/>
          </w:tcPr>
          <w:p>
            <w:r>
              <w:rPr>
                <w:sz w:val="17"/>
              </w:rPr>
              <w:t>2026-10-15</w:t>
            </w:r>
          </w:p>
        </w:tc>
        <w:tc>
          <w:tcPr>
            <w:tcW w:type="dxa" w:w="1440"/>
            <w:shd w:fill="FAFAFA" w:val="clear"/>
          </w:tcPr>
          <w:p>
            <w:r>
              <w:rPr>
                <w:sz w:val="17"/>
              </w:rPr>
              <w:t>14,299</w:t>
            </w:r>
          </w:p>
        </w:tc>
        <w:tc>
          <w:tcPr>
            <w:tcW w:type="dxa" w:w="1440"/>
            <w:shd w:fill="FAFAFA" w:val="clear"/>
          </w:tcPr>
          <w:p>
            <w:r>
              <w:rPr>
                <w:b/>
                <w:sz w:val="17"/>
              </w:rPr>
              <w:t>15,648</w:t>
            </w:r>
          </w:p>
        </w:tc>
        <w:tc>
          <w:tcPr>
            <w:tcW w:type="dxa" w:w="1440"/>
            <w:shd w:fill="FAFAFA" w:val="clear"/>
          </w:tcPr>
          <w:p>
            <w:r>
              <w:rPr>
                <w:sz w:val="17"/>
              </w:rPr>
              <w:t>16,997</w:t>
            </w:r>
          </w:p>
        </w:tc>
        <w:tc>
          <w:tcPr>
            <w:tcW w:type="dxa" w:w="1440"/>
            <w:shd w:fill="FAFAFA" w:val="clear"/>
          </w:tcPr>
          <w:p>
            <w:r>
              <w:rPr>
                <w:b/>
                <w:color w:val="008000"/>
                <w:sz w:val="17"/>
              </w:rPr>
              <w:t>+0.6%</w:t>
            </w:r>
          </w:p>
        </w:tc>
      </w:tr>
      <w:tr>
        <w:tc>
          <w:tcPr>
            <w:tcW w:type="dxa" w:w="1440"/>
            <w:shd w:fill="FAFAFA" w:val="clear"/>
          </w:tcPr>
          <w:p>
            <w:r>
              <w:rPr>
                <w:sz w:val="17"/>
              </w:rPr>
              <w:t>J+4  ⭐</w:t>
            </w:r>
          </w:p>
        </w:tc>
        <w:tc>
          <w:tcPr>
            <w:tcW w:type="dxa" w:w="1440"/>
            <w:shd w:fill="FAFAFA" w:val="clear"/>
          </w:tcPr>
          <w:p>
            <w:r>
              <w:rPr>
                <w:sz w:val="17"/>
              </w:rPr>
              <w:t>2026-10-16</w:t>
            </w:r>
          </w:p>
        </w:tc>
        <w:tc>
          <w:tcPr>
            <w:tcW w:type="dxa" w:w="1440"/>
            <w:shd w:fill="FAFAFA" w:val="clear"/>
          </w:tcPr>
          <w:p>
            <w:r>
              <w:rPr>
                <w:sz w:val="17"/>
              </w:rPr>
              <w:t>14,068</w:t>
            </w:r>
          </w:p>
        </w:tc>
        <w:tc>
          <w:tcPr>
            <w:tcW w:type="dxa" w:w="1440"/>
            <w:shd w:fill="FAFAFA" w:val="clear"/>
          </w:tcPr>
          <w:p>
            <w:r>
              <w:rPr>
                <w:b/>
                <w:sz w:val="17"/>
              </w:rPr>
              <w:t>15,623</w:t>
            </w:r>
          </w:p>
        </w:tc>
        <w:tc>
          <w:tcPr>
            <w:tcW w:type="dxa" w:w="1440"/>
            <w:shd w:fill="FAFAFA" w:val="clear"/>
          </w:tcPr>
          <w:p>
            <w:r>
              <w:rPr>
                <w:sz w:val="17"/>
              </w:rPr>
              <w:t>17,178</w:t>
            </w:r>
          </w:p>
        </w:tc>
        <w:tc>
          <w:tcPr>
            <w:tcW w:type="dxa" w:w="1440"/>
            <w:shd w:fill="FAFAFA" w:val="clear"/>
          </w:tcPr>
          <w:p>
            <w:r>
              <w:rPr>
                <w:b/>
                <w:color w:val="008000"/>
                <w:sz w:val="17"/>
              </w:rPr>
              <w:t>+0.4%</w:t>
            </w:r>
          </w:p>
        </w:tc>
      </w:tr>
      <w:tr>
        <w:tc>
          <w:tcPr>
            <w:tcW w:type="dxa" w:w="1440"/>
            <w:shd w:fill="FAFAFA" w:val="clear"/>
          </w:tcPr>
          <w:p>
            <w:r>
              <w:rPr>
                <w:sz w:val="17"/>
              </w:rPr>
              <w:t>J+5  ⭐</w:t>
            </w:r>
          </w:p>
        </w:tc>
        <w:tc>
          <w:tcPr>
            <w:tcW w:type="dxa" w:w="1440"/>
            <w:shd w:fill="FAFAFA" w:val="clear"/>
          </w:tcPr>
          <w:p>
            <w:r>
              <w:rPr>
                <w:sz w:val="17"/>
              </w:rPr>
              <w:t>2026-10-19</w:t>
            </w:r>
          </w:p>
        </w:tc>
        <w:tc>
          <w:tcPr>
            <w:tcW w:type="dxa" w:w="1440"/>
            <w:shd w:fill="FAFAFA" w:val="clear"/>
          </w:tcPr>
          <w:p>
            <w:r>
              <w:rPr>
                <w:sz w:val="17"/>
              </w:rPr>
              <w:t>13,860</w:t>
            </w:r>
          </w:p>
        </w:tc>
        <w:tc>
          <w:tcPr>
            <w:tcW w:type="dxa" w:w="1440"/>
            <w:shd w:fill="FAFAFA" w:val="clear"/>
          </w:tcPr>
          <w:p>
            <w:r>
              <w:rPr>
                <w:b/>
                <w:sz w:val="17"/>
              </w:rPr>
              <w:t>15,596</w:t>
            </w:r>
          </w:p>
        </w:tc>
        <w:tc>
          <w:tcPr>
            <w:tcW w:type="dxa" w:w="1440"/>
            <w:shd w:fill="FAFAFA" w:val="clear"/>
          </w:tcPr>
          <w:p>
            <w:r>
              <w:rPr>
                <w:sz w:val="17"/>
              </w:rPr>
              <w:t>17,331</w:t>
            </w:r>
          </w:p>
        </w:tc>
        <w:tc>
          <w:tcPr>
            <w:tcW w:type="dxa" w:w="1440"/>
            <w:shd w:fill="FAFAFA" w:val="clear"/>
          </w:tcPr>
          <w:p>
            <w:r>
              <w:rPr>
                <w:b/>
                <w:color w:val="008000"/>
                <w:sz w:val="17"/>
              </w:rPr>
              <w:t>+0.2%</w:t>
            </w:r>
          </w:p>
        </w:tc>
      </w:tr>
      <w:tr>
        <w:tc>
          <w:tcPr>
            <w:tcW w:type="dxa" w:w="1440"/>
            <w:shd w:fill="FAFAFA" w:val="clear"/>
          </w:tcPr>
          <w:p>
            <w:r>
              <w:rPr>
                <w:sz w:val="17"/>
              </w:rPr>
              <w:t>J+6  ⭐</w:t>
            </w:r>
          </w:p>
        </w:tc>
        <w:tc>
          <w:tcPr>
            <w:tcW w:type="dxa" w:w="1440"/>
            <w:shd w:fill="FAFAFA" w:val="clear"/>
          </w:tcPr>
          <w:p>
            <w:r>
              <w:rPr>
                <w:sz w:val="17"/>
              </w:rPr>
              <w:t>2026-10-20</w:t>
            </w:r>
          </w:p>
        </w:tc>
        <w:tc>
          <w:tcPr>
            <w:tcW w:type="dxa" w:w="1440"/>
            <w:shd w:fill="FAFAFA" w:val="clear"/>
          </w:tcPr>
          <w:p>
            <w:r>
              <w:rPr>
                <w:sz w:val="17"/>
              </w:rPr>
              <w:t>13,671</w:t>
            </w:r>
          </w:p>
        </w:tc>
        <w:tc>
          <w:tcPr>
            <w:tcW w:type="dxa" w:w="1440"/>
            <w:shd w:fill="FAFAFA" w:val="clear"/>
          </w:tcPr>
          <w:p>
            <w:r>
              <w:rPr>
                <w:b/>
                <w:sz w:val="17"/>
              </w:rPr>
              <w:t>15,569</w:t>
            </w:r>
          </w:p>
        </w:tc>
        <w:tc>
          <w:tcPr>
            <w:tcW w:type="dxa" w:w="1440"/>
            <w:shd w:fill="FAFAFA" w:val="clear"/>
          </w:tcPr>
          <w:p>
            <w:r>
              <w:rPr>
                <w:sz w:val="17"/>
              </w:rPr>
              <w:t>17,467</w:t>
            </w:r>
          </w:p>
        </w:tc>
        <w:tc>
          <w:tcPr>
            <w:tcW w:type="dxa" w:w="1440"/>
            <w:shd w:fill="FAFAFA" w:val="clear"/>
          </w:tcPr>
          <w:p>
            <w:r>
              <w:rPr>
                <w:b/>
                <w:color w:val="008000"/>
                <w:sz w:val="17"/>
              </w:rPr>
              <w:t>+0.1%</w:t>
            </w:r>
          </w:p>
        </w:tc>
      </w:tr>
      <w:tr>
        <w:tc>
          <w:tcPr>
            <w:tcW w:type="dxa" w:w="1440"/>
            <w:shd w:fill="FAFAFA" w:val="clear"/>
          </w:tcPr>
          <w:p>
            <w:r>
              <w:rPr>
                <w:sz w:val="17"/>
              </w:rPr>
              <w:t>J+7  ⭐</w:t>
            </w:r>
          </w:p>
        </w:tc>
        <w:tc>
          <w:tcPr>
            <w:tcW w:type="dxa" w:w="1440"/>
            <w:shd w:fill="FAFAFA" w:val="clear"/>
          </w:tcPr>
          <w:p>
            <w:r>
              <w:rPr>
                <w:sz w:val="17"/>
              </w:rPr>
              <w:t>2026-10-21</w:t>
            </w:r>
          </w:p>
        </w:tc>
        <w:tc>
          <w:tcPr>
            <w:tcW w:type="dxa" w:w="1440"/>
            <w:shd w:fill="FAFAFA" w:val="clear"/>
          </w:tcPr>
          <w:p>
            <w:r>
              <w:rPr>
                <w:sz w:val="17"/>
              </w:rPr>
              <w:t>13,495</w:t>
            </w:r>
          </w:p>
        </w:tc>
        <w:tc>
          <w:tcPr>
            <w:tcW w:type="dxa" w:w="1440"/>
            <w:shd w:fill="FAFAFA" w:val="clear"/>
          </w:tcPr>
          <w:p>
            <w:r>
              <w:rPr>
                <w:b/>
                <w:sz w:val="17"/>
              </w:rPr>
              <w:t>15,542</w:t>
            </w:r>
          </w:p>
        </w:tc>
        <w:tc>
          <w:tcPr>
            <w:tcW w:type="dxa" w:w="1440"/>
            <w:shd w:fill="FAFAFA" w:val="clear"/>
          </w:tcPr>
          <w:p>
            <w:r>
              <w:rPr>
                <w:sz w:val="17"/>
              </w:rPr>
              <w:t>17,588</w:t>
            </w:r>
          </w:p>
        </w:tc>
        <w:tc>
          <w:tcPr>
            <w:tcW w:type="dxa" w:w="1440"/>
            <w:shd w:fill="FAFAFA" w:val="clear"/>
          </w:tcPr>
          <w:p>
            <w:r>
              <w:rPr>
                <w:b/>
                <w:color w:val="C00000"/>
                <w:sz w:val="17"/>
              </w:rPr>
              <w:t>-0.1%</w:t>
            </w:r>
          </w:p>
        </w:tc>
      </w:tr>
      <w:tr>
        <w:tc>
          <w:tcPr>
            <w:tcW w:type="dxa" w:w="1440"/>
            <w:shd w:fill="FAFAFA" w:val="clear"/>
          </w:tcPr>
          <w:p>
            <w:r>
              <w:rPr>
                <w:sz w:val="17"/>
              </w:rPr>
              <w:t>J+8  ⭐</w:t>
            </w:r>
          </w:p>
        </w:tc>
        <w:tc>
          <w:tcPr>
            <w:tcW w:type="dxa" w:w="1440"/>
            <w:shd w:fill="FAFAFA" w:val="clear"/>
          </w:tcPr>
          <w:p>
            <w:r>
              <w:rPr>
                <w:sz w:val="17"/>
              </w:rPr>
              <w:t>2026-10-22</w:t>
            </w:r>
          </w:p>
        </w:tc>
        <w:tc>
          <w:tcPr>
            <w:tcW w:type="dxa" w:w="1440"/>
            <w:shd w:fill="FAFAFA" w:val="clear"/>
          </w:tcPr>
          <w:p>
            <w:r>
              <w:rPr>
                <w:sz w:val="17"/>
              </w:rPr>
              <w:t>13,331</w:t>
            </w:r>
          </w:p>
        </w:tc>
        <w:tc>
          <w:tcPr>
            <w:tcW w:type="dxa" w:w="1440"/>
            <w:shd w:fill="FAFAFA" w:val="clear"/>
          </w:tcPr>
          <w:p>
            <w:r>
              <w:rPr>
                <w:b/>
                <w:sz w:val="17"/>
              </w:rPr>
              <w:t>15,515</w:t>
            </w:r>
          </w:p>
        </w:tc>
        <w:tc>
          <w:tcPr>
            <w:tcW w:type="dxa" w:w="1440"/>
            <w:shd w:fill="FAFAFA" w:val="clear"/>
          </w:tcPr>
          <w:p>
            <w:r>
              <w:rPr>
                <w:sz w:val="17"/>
              </w:rPr>
              <w:t>17,699</w:t>
            </w:r>
          </w:p>
        </w:tc>
        <w:tc>
          <w:tcPr>
            <w:tcW w:type="dxa" w:w="1440"/>
            <w:shd w:fill="FAFAFA" w:val="clear"/>
          </w:tcPr>
          <w:p>
            <w:r>
              <w:rPr>
                <w:b/>
                <w:color w:val="C00000"/>
                <w:sz w:val="17"/>
              </w:rPr>
              <w:t>-0.3%</w:t>
            </w:r>
          </w:p>
        </w:tc>
      </w:tr>
      <w:tr>
        <w:tc>
          <w:tcPr>
            <w:tcW w:type="dxa" w:w="1440"/>
            <w:shd w:fill="FAFAFA" w:val="clear"/>
          </w:tcPr>
          <w:p>
            <w:r>
              <w:rPr>
                <w:sz w:val="17"/>
              </w:rPr>
              <w:t>J+9  ⭐</w:t>
            </w:r>
          </w:p>
        </w:tc>
        <w:tc>
          <w:tcPr>
            <w:tcW w:type="dxa" w:w="1440"/>
            <w:shd w:fill="FAFAFA" w:val="clear"/>
          </w:tcPr>
          <w:p>
            <w:r>
              <w:rPr>
                <w:sz w:val="17"/>
              </w:rPr>
              <w:t>2026-10-23</w:t>
            </w:r>
          </w:p>
        </w:tc>
        <w:tc>
          <w:tcPr>
            <w:tcW w:type="dxa" w:w="1440"/>
            <w:shd w:fill="FAFAFA" w:val="clear"/>
          </w:tcPr>
          <w:p>
            <w:r>
              <w:rPr>
                <w:sz w:val="17"/>
              </w:rPr>
              <w:t>13,175</w:t>
            </w:r>
          </w:p>
        </w:tc>
        <w:tc>
          <w:tcPr>
            <w:tcW w:type="dxa" w:w="1440"/>
            <w:shd w:fill="FAFAFA" w:val="clear"/>
          </w:tcPr>
          <w:p>
            <w:r>
              <w:rPr>
                <w:b/>
                <w:sz w:val="17"/>
              </w:rPr>
              <w:t>15,488</w:t>
            </w:r>
          </w:p>
        </w:tc>
        <w:tc>
          <w:tcPr>
            <w:tcW w:type="dxa" w:w="1440"/>
            <w:shd w:fill="FAFAFA" w:val="clear"/>
          </w:tcPr>
          <w:p>
            <w:r>
              <w:rPr>
                <w:sz w:val="17"/>
              </w:rPr>
              <w:t>17,800</w:t>
            </w:r>
          </w:p>
        </w:tc>
        <w:tc>
          <w:tcPr>
            <w:tcW w:type="dxa" w:w="1440"/>
            <w:shd w:fill="FAFAFA" w:val="clear"/>
          </w:tcPr>
          <w:p>
            <w:r>
              <w:rPr>
                <w:b/>
                <w:color w:val="C00000"/>
                <w:sz w:val="17"/>
              </w:rPr>
              <w:t>-0.5%</w:t>
            </w:r>
          </w:p>
        </w:tc>
      </w:tr>
      <w:tr>
        <w:tc>
          <w:tcPr>
            <w:tcW w:type="dxa" w:w="1440"/>
            <w:shd w:fill="FAFAFA" w:val="clear"/>
          </w:tcPr>
          <w:p>
            <w:r>
              <w:rPr>
                <w:sz w:val="17"/>
              </w:rPr>
              <w:t>J+10  ⭐</w:t>
            </w:r>
          </w:p>
        </w:tc>
        <w:tc>
          <w:tcPr>
            <w:tcW w:type="dxa" w:w="1440"/>
            <w:shd w:fill="FAFAFA" w:val="clear"/>
          </w:tcPr>
          <w:p>
            <w:r>
              <w:rPr>
                <w:sz w:val="17"/>
              </w:rPr>
              <w:t>2026-10-26</w:t>
            </w:r>
          </w:p>
        </w:tc>
        <w:tc>
          <w:tcPr>
            <w:tcW w:type="dxa" w:w="1440"/>
            <w:shd w:fill="FAFAFA" w:val="clear"/>
          </w:tcPr>
          <w:p>
            <w:r>
              <w:rPr>
                <w:sz w:val="17"/>
              </w:rPr>
              <w:t>13,028</w:t>
            </w:r>
          </w:p>
        </w:tc>
        <w:tc>
          <w:tcPr>
            <w:tcW w:type="dxa" w:w="1440"/>
            <w:shd w:fill="FAFAFA" w:val="clear"/>
          </w:tcPr>
          <w:p>
            <w:r>
              <w:rPr>
                <w:b/>
                <w:sz w:val="17"/>
              </w:rPr>
              <w:t>15,461</w:t>
            </w:r>
          </w:p>
        </w:tc>
        <w:tc>
          <w:tcPr>
            <w:tcW w:type="dxa" w:w="1440"/>
            <w:shd w:fill="FAFAFA" w:val="clear"/>
          </w:tcPr>
          <w:p>
            <w:r>
              <w:rPr>
                <w:sz w:val="17"/>
              </w:rPr>
              <w:t>17,895</w:t>
            </w:r>
          </w:p>
        </w:tc>
        <w:tc>
          <w:tcPr>
            <w:tcW w:type="dxa" w:w="1440"/>
            <w:shd w:fill="FAFAFA" w:val="clear"/>
          </w:tcPr>
          <w:p>
            <w:r>
              <w:rPr>
                <w:b/>
                <w:color w:val="C00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 📊 RAPPORT D'ANALYSE FINANCIÈRE — SMBC (Société Multinationale de Bitumes)</w:t>
        <w:br/>
        <w:t>**Bourse Régionale des Valeurs Mobilières (BRVM) — Secteur : Entreprise Industrielle (Bitumes/Pétrochimie)**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**121,29 milliards FCFA**, SMBC se positionne comme une valeur de taille intermédiaire sur la BRVM, représentative d'un actif industriel de niche adossé au secteur pétrolier. Le **BPA de 1 677 FCFA/action** traduit une rentabilité par titre solide, et le **PER de 9,3x** situe le titre légèrement sous la moyenne du marché BRVM (8-12x), suggérant une valorisation raisonnable voire une légère sous-évaluation au regard de la qualité des bénéfices. Le **P/B de 2,83x** indique que le marché accorde une prime de croissance substantielle par rapport à la valeur comptable (42,9 Mds FCFA de capitaux propres), ce qui est cohérent avec un ROE élevé de 30,5%. Enfin, l'**EV/EBITDA de 5,8x** demeure dans la fourchette raisonnable (5-10x), confirmant que la valeur d'entreprise reste maîtrisée par rapport à la capacité opérationnelle de génération de cash (EBE de 18,48 Mds FCFA).</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SMBC affiche une **progression totale de +23,49%**, malgré un repli de **-1,52% sur la dernière séance (J-1)**, signe d'une consolidation récente après un rallye haussier. Le cours actuel de **15 560 FCFA** évolue dans un range large entre un plus bas de **12 500 FCFA** et un plus haut de **18 500 FCFA**, soit une amplitude de 48%, illustrant une dynamique nettement haussière sur la période. Les statistiques descriptives révèlent une **moyenne (16 156 FCFA) légèrement inférieure à la médiane (16 445 FCFA)**, avec un mode à 16 500 FCFA : cet écart, combiné à un **skewness négatif de -0,990**, indique une asymétrie à gauche — le titre a passé plus de journées au-dessus de la moyenne, mais les baisses ont été plus amples que les hausses. L'**écart-type de 1 369 FCFA (CV = 8,5%)** traduit une dispersion modérée du cours, tandis que le **kurtosis de 0,653 (mésokurtique)** suggère une distribution proche de la normale, sans risque extrême de pics. La **volatilité annualisée de 42,5%** classe le titre dans la catégorie **élevée (&gt;30%)**, ce qui est typique des valeurs cycliques exposées aux matières premières.</w:t>
      </w:r>
    </w:p>
    <w:p>
      <w:pPr>
        <w:spacing w:after="120" w:line="276" w:lineRule="auto"/>
      </w:pPr>
      <w:r>
        <w:t>---</w:t>
      </w:r>
    </w:p>
    <w:p>
      <w:pPr>
        <w:spacing w:after="120" w:line="276" w:lineRule="auto"/>
      </w:pPr>
      <w:r>
        <w:t>## PARTIE 2 : ANALYSE TECHNIQUE DÉTAILLÉE</w:t>
      </w:r>
    </w:p>
    <w:p>
      <w:pPr>
        <w:spacing w:after="120" w:line="276" w:lineRule="auto"/>
      </w:pPr>
      <w:r>
        <w:t>**Moyennes Mobiles :** La MM20 (16 438 FCFA) et la MM50 (16 685 FCFA) se situent toutes deux **au-dessus du cours actuel (15 560 FCFA)**, confirmant une configuration baissière de court terme. Le croisement MM20 &lt; MM50 (death cross) renforce le signal de **VENTE**, indiquant que la pression vendeuse domine depuis plusieurs semaines.</w:t>
      </w:r>
    </w:p>
    <w:p>
      <w:pPr>
        <w:spacing w:after="120" w:line="276" w:lineRule="auto"/>
      </w:pPr>
      <w:r>
        <w:t>**Bandes de Bollinger :** Le cours (15 560 FCFA) évolue dans la moitié inférieure de la bande, entre la borne inférieure (14 466 FCFA) et la borne supérieure (18 411 FCFA). La décision est **NEUTRE**, car le prix n'est ni en zone de survente extrême ni en surchauffe, mais la proximité de la borne basse suggère une possible zone de rebond technique.</w:t>
      </w:r>
    </w:p>
    <w:p>
      <w:pPr>
        <w:spacing w:after="120" w:line="276" w:lineRule="auto"/>
      </w:pPr>
      <w:r>
        <w:t>**MACD :** Le MACD (-293,6) est **inférieur à son signal (-228,4)**, avec un histogramme négatif — configuration clairement baissière. Le momentum reste négatif, justifiant la décision de **VENTE** tant que la divergence ne se réduit pas.</w:t>
      </w:r>
    </w:p>
    <w:p>
      <w:pPr>
        <w:spacing w:after="120" w:line="276" w:lineRule="auto"/>
      </w:pPr>
      <w:r>
        <w:t>**RSI :** À **42,98**, le RSI se situe en zone neutre (30-70), sans signal de survente (&lt;30) ni de surachat (&gt;70). La décision est **NEUTRE**, mais la tendance descendante du RSI depuis plusieurs séances suggère une pression baissière persistante.</w:t>
      </w:r>
    </w:p>
    <w:p>
      <w:pPr>
        <w:spacing w:after="120" w:line="276" w:lineRule="auto"/>
      </w:pPr>
      <w:r>
        <w:t>**Stochastique :** Le %K (37,2) est **inférieur au %D (45,6)**, sans croisement haussier confirmé. La décision **NEUTRE** reflète l'absence de signal directionnel fort, mais la position basse du %K laisse entrevoir un potentiel de rebond si un croisement se produisait.</w:t>
      </w:r>
    </w:p>
    <w:p>
      <w:pPr>
        <w:spacing w:after="120" w:line="276" w:lineRule="auto"/>
      </w:pPr>
      <w:r>
        <w:t>**Conclusion technique :** Les indicateurs convergent majoritairement vers un **signal baissier de court terme** (MM, MACD), tandis que le RSI, les Bollinger et le Stochastique restent neutres. Le titre se trouve dans une phase de consolidation après un rallye de +23,49%, et la configuration actuelle suggère une prudence à court terme, avec un support clé à surveiller autour de 14 466 FCFA (borne inférieure de Bollinger).</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SMBC affiche un **chiffre d'affaires de 206,74 Mds FCFA**, en **baisse de 9,74%** par rapport à 2024 (229,06 Mds FCFA), reflétant un environnement de marché difficile. Cependant, le **résultat net progresse spectaculairement de +50,3% à 13,075 Mds FCFA**, porté par une **marge nette en hausse de 3,8% à 6,32%** et un **EBE en progression de +41,8% à 18,48 Mds FCFA**. Le **ROE atteint 30,47%** (excellent, &gt;15%) et le **ROA 7,26%**, confirmant une rentabilité capitalistique solide. En tant qu'entreprise industrielle, les **délais clients (193,75 jours)** et **fournisseurs (207,07 jours)** sont élevés, mais le **BFR de 1,693 Md FCFA** reste maîtrisé, et la **trésorerie nette positive de 23,99 Mds FCFA** offre une marge de manœuvre confortable. L'**autonomie financière de 23,84%** est inférieure au seuil sain de 30%, et le **ratio d'endettement de 76,16%** mérite une surveillance, bien que la **capacité de remboursement (0,68 an)** et la **couverture des intérêts (483%)** demeurent rassurantes.</w:t>
      </w:r>
    </w:p>
    <w:p>
      <w:pPr>
        <w:spacing w:after="120" w:line="276" w:lineRule="auto"/>
      </w:pPr>
      <w:r>
        <w:t>**Estimations basées sur les rapports trimestriels :** Le rapport **T1 2025 (31 mars 2025)** indiquait un CA de 54,8 Mds FCFA (-22%) et un résultat net de 2,7 Mds FCFA (-7%), avec une marge nette en amélioration à 5,0%. Le **S1 2025 (30 juin 2025)** confirmait un CA de 101,9 Mds FCFA (-23%) et un résultat net de 3,9 Mds FCFA (-7%), avec un EBE en hausse de +38%. Le **T3 2025 (30 septembre 2025)** montrait un CA cumulé de 155,2 Mds FCFA (-14%) et un résultat net de 5,7 Mds FCFA (+6%), avec une marge opérationnelle à 5,4%. **On estime donc que l'exercice 2025 devrait clôturer avec un CA autour de 206 Mds FCFA et un résultat net de 13 Mds FCFA**, confirmant la tendance observée dans les états financiers annuels. Le rapport **2024 (MISTRAL, 15 mars 2026)** soulignait déjà une **politique de dividende agressive (taux de distribution de 107,5% en 2024)**, mais le rapport **2025 (DEEPSEEK, 12 mai 2026)** indique un **payout ratio ramené à 41,7%** (5 457 M FCFA versés), signe d'une normalisation prudente. La recommandation fondamentale est **CONSERVER**, avec un biais positif si la croissance du CA reprend en 2026.</w:t>
      </w:r>
    </w:p>
    <w:p>
      <w:pPr>
        <w:spacing w:after="120" w:line="276" w:lineRule="auto"/>
      </w:pPr>
      <w:r>
        <w:t>---</w:t>
      </w:r>
    </w:p>
    <w:p>
      <w:pPr>
        <w:spacing w:after="120" w:line="276" w:lineRule="auto"/>
      </w:pPr>
      <w:r>
        <w:t>## PARTIE 4 : CONCLUSION D'INVESTISSEMENT</w:t>
      </w:r>
    </w:p>
    <w:p>
      <w:pPr>
        <w:spacing w:after="120" w:line="276" w:lineRule="auto"/>
      </w:pPr>
      <w:r>
        <w:t>**Synthèse globale :** La valorisation (Partie 0) apparaît **raisonnable voire légèrement sous-évaluée** (PER 9,3x, EV/EBITDA 5,8x), malgré une prime de croissance (P/B 2,83x) justifiée par un ROE de 30,5%. Le comportement du cours (Partie 1) montre une **tendance haussière de fond (+23,49%)** mais une **volatilité élevée (42,5%)** et un skewness négatif (-0,990) indiquant que les baisses récentes ont été plus amples que les hausses. Les signaux techniques (Partie 2) sont **majoritairement baissiers à court terme** (MM, MACD), avec un RSI et un Stochastique neutres, suggérant une consolidation avant un éventuel rebond. Les fondamentaux (Partie 3) sont **solides** : résultat net en hausse de +50,3%, ROE de 30,5%, trésorerie nette positive de 24 Mds FCFA, malgré une baisse du CA (-9,7%) et un endettement à surveiller. Les **prédictions IA (J+1 à J+10)** anticipent une **légère baisse** (15 707 → 15 596 FCFA), confirmant la pression baissière de court terme.</w:t>
      </w:r>
    </w:p>
    <w:p>
      <w:pPr>
        <w:spacing w:after="120" w:line="276" w:lineRule="auto"/>
      </w:pPr>
      <w:r>
        <w:t>**Recommandation finale : CONSERVER**</w:t>
        <w:br/>
        <w:t>**Justification :** La convergence entre une valorisation attractive, des fondamentaux en amélioration et des signaux techniques baissiers à court terme plaide pour une **position attentiste**. Le titre offre un potentiel de rebond une fois la consolidation terminée, mais la volatilité élevée et la baisse du CA incitent à la prudence. **Niveau de confiance : Moyen** — les fondamentaux sont solides, mais l'incertitude sur la reprise du CA et la pression technique limitent la visibilité. **Niveau de risque : Moyen à Élevé** (volatilité 42,5%, dépendance aux matières premières). **Horizon d'investissement optimal : Moyen terme (3-12 mois)**, en attendant la confirmation d'une reprise de la croissance du chiffre d'affaires et un retournement des indicateurs techniques.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40.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4500.00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13,536 titres</w:t>
            </w:r>
          </w:p>
        </w:tc>
        <w:tc>
          <w:tcPr>
            <w:tcW w:type="dxa" w:w="2268"/>
            <w:shd w:fill="FFF2CC" w:val="clear"/>
          </w:tcPr>
          <w:p>
            <w:r>
              <w:rPr>
                <w:b/>
                <w:color w:val="503200"/>
                <w:sz w:val="16"/>
              </w:rPr>
              <w:t xml:space="preserve">Cours actuel : </w:t>
            </w:r>
            <w:r>
              <w:rPr>
                <w:color w:val="000000"/>
                <w:sz w:val="17"/>
              </w:rPr>
              <w:t>45,000 FCFA</w:t>
            </w:r>
          </w:p>
          <w:p>
            <w:r>
              <w:rPr>
                <w:b/>
                <w:color w:val="503200"/>
                <w:sz w:val="16"/>
              </w:rPr>
              <w:t xml:space="preserve">Var. 100 jours : </w:t>
            </w:r>
            <w:r>
              <w:rPr>
                <w:b/>
                <w:color w:val="007800"/>
                <w:sz w:val="17"/>
              </w:rPr>
              <w:t>+55.98%</w:t>
            </w:r>
          </w:p>
          <w:p>
            <w:r>
              <w:rPr>
                <w:b/>
                <w:color w:val="503200"/>
                <w:sz w:val="16"/>
              </w:rPr>
              <w:t xml:space="preserve">Plus haut 100j : </w:t>
            </w:r>
            <w:r>
              <w:rPr>
                <w:color w:val="000000"/>
                <w:sz w:val="17"/>
              </w:rPr>
              <w:t>45,000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29.3/100 → Moyen</w:t>
      </w:r>
    </w:p>
    <w:p>
      <w:pPr>
        <w:spacing w:before="40" w:after="80"/>
      </w:pPr>
      <w:r>
        <w:rPr>
          <w:rFonts w:ascii="Courier New" w:hAnsi="Courier New"/>
          <w:color w:val="825A00"/>
          <w:sz w:val="18"/>
        </w:rPr>
        <w:t>█████░░░░░░░░░░░░░░░  29.3/100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16.24% (Élevée) — μ=33,725 FCFA, σ=5,477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β=1.2081 (Agressif) — Cov=0.000089, Var(idx)=0.000073, ρ=0.491,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13,536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σ_j=2.09%/j (Stable) — Vol. annualisée≈33.3%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2026-10-13</w:t>
            </w:r>
          </w:p>
        </w:tc>
        <w:tc>
          <w:tcPr>
            <w:tcW w:type="dxa" w:w="1440"/>
            <w:shd w:fill="FAFAFA" w:val="clear"/>
          </w:tcPr>
          <w:p>
            <w:r>
              <w:rPr>
                <w:sz w:val="17"/>
              </w:rPr>
              <w:t>43,341</w:t>
            </w:r>
          </w:p>
        </w:tc>
        <w:tc>
          <w:tcPr>
            <w:tcW w:type="dxa" w:w="1440"/>
            <w:shd w:fill="FAFAFA" w:val="clear"/>
          </w:tcPr>
          <w:p>
            <w:r>
              <w:rPr>
                <w:b/>
                <w:sz w:val="17"/>
              </w:rPr>
              <w:t>44,630</w:t>
            </w:r>
          </w:p>
        </w:tc>
        <w:tc>
          <w:tcPr>
            <w:tcW w:type="dxa" w:w="1440"/>
            <w:shd w:fill="FAFAFA" w:val="clear"/>
          </w:tcPr>
          <w:p>
            <w:r>
              <w:rPr>
                <w:sz w:val="17"/>
              </w:rPr>
              <w:t>45,920</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2026-10-14</w:t>
            </w:r>
          </w:p>
        </w:tc>
        <w:tc>
          <w:tcPr>
            <w:tcW w:type="dxa" w:w="1440"/>
            <w:shd w:fill="FAFAFA" w:val="clear"/>
          </w:tcPr>
          <w:p>
            <w:r>
              <w:rPr>
                <w:sz w:val="17"/>
              </w:rPr>
              <w:t>42,798</w:t>
            </w:r>
          </w:p>
        </w:tc>
        <w:tc>
          <w:tcPr>
            <w:tcW w:type="dxa" w:w="1440"/>
            <w:shd w:fill="FAFAFA" w:val="clear"/>
          </w:tcPr>
          <w:p>
            <w:r>
              <w:rPr>
                <w:b/>
                <w:sz w:val="17"/>
              </w:rPr>
              <w:t>44,621</w:t>
            </w:r>
          </w:p>
        </w:tc>
        <w:tc>
          <w:tcPr>
            <w:tcW w:type="dxa" w:w="1440"/>
            <w:shd w:fill="FAFAFA" w:val="clear"/>
          </w:tcPr>
          <w:p>
            <w:r>
              <w:rPr>
                <w:sz w:val="17"/>
              </w:rPr>
              <w:t>46,444</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2026-10-15</w:t>
            </w:r>
          </w:p>
        </w:tc>
        <w:tc>
          <w:tcPr>
            <w:tcW w:type="dxa" w:w="1440"/>
            <w:shd w:fill="FAFAFA" w:val="clear"/>
          </w:tcPr>
          <w:p>
            <w:r>
              <w:rPr>
                <w:sz w:val="17"/>
              </w:rPr>
              <w:t>42,363</w:t>
            </w:r>
          </w:p>
        </w:tc>
        <w:tc>
          <w:tcPr>
            <w:tcW w:type="dxa" w:w="1440"/>
            <w:shd w:fill="FAFAFA" w:val="clear"/>
          </w:tcPr>
          <w:p>
            <w:r>
              <w:rPr>
                <w:b/>
                <w:sz w:val="17"/>
              </w:rPr>
              <w:t>44,595</w:t>
            </w:r>
          </w:p>
        </w:tc>
        <w:tc>
          <w:tcPr>
            <w:tcW w:type="dxa" w:w="1440"/>
            <w:shd w:fill="FAFAFA" w:val="clear"/>
          </w:tcPr>
          <w:p>
            <w:r>
              <w:rPr>
                <w:sz w:val="17"/>
              </w:rPr>
              <w:t>46,826</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2026-10-16</w:t>
            </w:r>
          </w:p>
        </w:tc>
        <w:tc>
          <w:tcPr>
            <w:tcW w:type="dxa" w:w="1440"/>
            <w:shd w:fill="FAFAFA" w:val="clear"/>
          </w:tcPr>
          <w:p>
            <w:r>
              <w:rPr>
                <w:sz w:val="17"/>
              </w:rPr>
              <w:t>41,999</w:t>
            </w:r>
          </w:p>
        </w:tc>
        <w:tc>
          <w:tcPr>
            <w:tcW w:type="dxa" w:w="1440"/>
            <w:shd w:fill="FAFAFA" w:val="clear"/>
          </w:tcPr>
          <w:p>
            <w:r>
              <w:rPr>
                <w:b/>
                <w:sz w:val="17"/>
              </w:rPr>
              <w:t>44,575</w:t>
            </w:r>
          </w:p>
        </w:tc>
        <w:tc>
          <w:tcPr>
            <w:tcW w:type="dxa" w:w="1440"/>
            <w:shd w:fill="FAFAFA" w:val="clear"/>
          </w:tcPr>
          <w:p>
            <w:r>
              <w:rPr>
                <w:sz w:val="17"/>
              </w:rPr>
              <w:t>47,151</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2026-10-19</w:t>
            </w:r>
          </w:p>
        </w:tc>
        <w:tc>
          <w:tcPr>
            <w:tcW w:type="dxa" w:w="1440"/>
            <w:shd w:fill="FAFAFA" w:val="clear"/>
          </w:tcPr>
          <w:p>
            <w:r>
              <w:rPr>
                <w:sz w:val="17"/>
              </w:rPr>
              <w:t>41,684</w:t>
            </w:r>
          </w:p>
        </w:tc>
        <w:tc>
          <w:tcPr>
            <w:tcW w:type="dxa" w:w="1440"/>
            <w:shd w:fill="FAFAFA" w:val="clear"/>
          </w:tcPr>
          <w:p>
            <w:r>
              <w:rPr>
                <w:b/>
                <w:sz w:val="17"/>
              </w:rPr>
              <w:t>44,563</w:t>
            </w:r>
          </w:p>
        </w:tc>
        <w:tc>
          <w:tcPr>
            <w:tcW w:type="dxa" w:w="1440"/>
            <w:shd w:fill="FAFAFA" w:val="clear"/>
          </w:tcPr>
          <w:p>
            <w:r>
              <w:rPr>
                <w:sz w:val="17"/>
              </w:rPr>
              <w:t>47,442</w:t>
            </w:r>
          </w:p>
        </w:tc>
        <w:tc>
          <w:tcPr>
            <w:tcW w:type="dxa" w:w="1440"/>
            <w:shd w:fill="FAFAFA" w:val="clear"/>
          </w:tcPr>
          <w:p>
            <w:r>
              <w:rPr>
                <w:b/>
                <w:color w:val="C00000"/>
                <w:sz w:val="17"/>
              </w:rPr>
              <w:t>-1.0%</w:t>
            </w:r>
          </w:p>
        </w:tc>
      </w:tr>
      <w:tr>
        <w:tc>
          <w:tcPr>
            <w:tcW w:type="dxa" w:w="1440"/>
            <w:shd w:fill="FAFAFA" w:val="clear"/>
          </w:tcPr>
          <w:p>
            <w:r>
              <w:rPr>
                <w:sz w:val="17"/>
              </w:rPr>
              <w:t>J+6  ⭐</w:t>
            </w:r>
          </w:p>
        </w:tc>
        <w:tc>
          <w:tcPr>
            <w:tcW w:type="dxa" w:w="1440"/>
            <w:shd w:fill="FAFAFA" w:val="clear"/>
          </w:tcPr>
          <w:p>
            <w:r>
              <w:rPr>
                <w:sz w:val="17"/>
              </w:rPr>
              <w:t>2026-10-20</w:t>
            </w:r>
          </w:p>
        </w:tc>
        <w:tc>
          <w:tcPr>
            <w:tcW w:type="dxa" w:w="1440"/>
            <w:shd w:fill="FAFAFA" w:val="clear"/>
          </w:tcPr>
          <w:p>
            <w:r>
              <w:rPr>
                <w:sz w:val="17"/>
              </w:rPr>
              <w:t>41,400</w:t>
            </w:r>
          </w:p>
        </w:tc>
        <w:tc>
          <w:tcPr>
            <w:tcW w:type="dxa" w:w="1440"/>
            <w:shd w:fill="FAFAFA" w:val="clear"/>
          </w:tcPr>
          <w:p>
            <w:r>
              <w:rPr>
                <w:b/>
                <w:sz w:val="17"/>
              </w:rPr>
              <w:t>44,553</w:t>
            </w:r>
          </w:p>
        </w:tc>
        <w:tc>
          <w:tcPr>
            <w:tcW w:type="dxa" w:w="1440"/>
            <w:shd w:fill="FAFAFA" w:val="clear"/>
          </w:tcPr>
          <w:p>
            <w:r>
              <w:rPr>
                <w:sz w:val="17"/>
              </w:rPr>
              <w:t>47,707</w:t>
            </w:r>
          </w:p>
        </w:tc>
        <w:tc>
          <w:tcPr>
            <w:tcW w:type="dxa" w:w="1440"/>
            <w:shd w:fill="FAFAFA" w:val="clear"/>
          </w:tcPr>
          <w:p>
            <w:r>
              <w:rPr>
                <w:b/>
                <w:color w:val="C00000"/>
                <w:sz w:val="17"/>
              </w:rPr>
              <w:t>-1.0%</w:t>
            </w:r>
          </w:p>
        </w:tc>
      </w:tr>
      <w:tr>
        <w:tc>
          <w:tcPr>
            <w:tcW w:type="dxa" w:w="1440"/>
            <w:shd w:fill="FAFAFA" w:val="clear"/>
          </w:tcPr>
          <w:p>
            <w:r>
              <w:rPr>
                <w:sz w:val="17"/>
              </w:rPr>
              <w:t>J+7  ⭐</w:t>
            </w:r>
          </w:p>
        </w:tc>
        <w:tc>
          <w:tcPr>
            <w:tcW w:type="dxa" w:w="1440"/>
            <w:shd w:fill="FAFAFA" w:val="clear"/>
          </w:tcPr>
          <w:p>
            <w:r>
              <w:rPr>
                <w:sz w:val="17"/>
              </w:rPr>
              <w:t>2026-10-21</w:t>
            </w:r>
          </w:p>
        </w:tc>
        <w:tc>
          <w:tcPr>
            <w:tcW w:type="dxa" w:w="1440"/>
            <w:shd w:fill="FAFAFA" w:val="clear"/>
          </w:tcPr>
          <w:p>
            <w:r>
              <w:rPr>
                <w:sz w:val="17"/>
              </w:rPr>
              <w:t>41,141</w:t>
            </w:r>
          </w:p>
        </w:tc>
        <w:tc>
          <w:tcPr>
            <w:tcW w:type="dxa" w:w="1440"/>
            <w:shd w:fill="FAFAFA" w:val="clear"/>
          </w:tcPr>
          <w:p>
            <w:r>
              <w:rPr>
                <w:b/>
                <w:sz w:val="17"/>
              </w:rPr>
              <w:t>44,546</w:t>
            </w:r>
          </w:p>
        </w:tc>
        <w:tc>
          <w:tcPr>
            <w:tcW w:type="dxa" w:w="1440"/>
            <w:shd w:fill="FAFAFA" w:val="clear"/>
          </w:tcPr>
          <w:p>
            <w:r>
              <w:rPr>
                <w:sz w:val="17"/>
              </w:rPr>
              <w:t>47,951</w:t>
            </w:r>
          </w:p>
        </w:tc>
        <w:tc>
          <w:tcPr>
            <w:tcW w:type="dxa" w:w="1440"/>
            <w:shd w:fill="FAFAFA" w:val="clear"/>
          </w:tcPr>
          <w:p>
            <w:r>
              <w:rPr>
                <w:b/>
                <w:color w:val="C00000"/>
                <w:sz w:val="17"/>
              </w:rPr>
              <w:t>-1.0%</w:t>
            </w:r>
          </w:p>
        </w:tc>
      </w:tr>
      <w:tr>
        <w:tc>
          <w:tcPr>
            <w:tcW w:type="dxa" w:w="1440"/>
            <w:shd w:fill="FAFAFA" w:val="clear"/>
          </w:tcPr>
          <w:p>
            <w:r>
              <w:rPr>
                <w:sz w:val="17"/>
              </w:rPr>
              <w:t>J+8  ⭐</w:t>
            </w:r>
          </w:p>
        </w:tc>
        <w:tc>
          <w:tcPr>
            <w:tcW w:type="dxa" w:w="1440"/>
            <w:shd w:fill="FAFAFA" w:val="clear"/>
          </w:tcPr>
          <w:p>
            <w:r>
              <w:rPr>
                <w:sz w:val="17"/>
              </w:rPr>
              <w:t>2026-10-22</w:t>
            </w:r>
          </w:p>
        </w:tc>
        <w:tc>
          <w:tcPr>
            <w:tcW w:type="dxa" w:w="1440"/>
            <w:shd w:fill="FAFAFA" w:val="clear"/>
          </w:tcPr>
          <w:p>
            <w:r>
              <w:rPr>
                <w:sz w:val="17"/>
              </w:rPr>
              <w:t>40,899</w:t>
            </w:r>
          </w:p>
        </w:tc>
        <w:tc>
          <w:tcPr>
            <w:tcW w:type="dxa" w:w="1440"/>
            <w:shd w:fill="FAFAFA" w:val="clear"/>
          </w:tcPr>
          <w:p>
            <w:r>
              <w:rPr>
                <w:b/>
                <w:sz w:val="17"/>
              </w:rPr>
              <w:t>44,539</w:t>
            </w:r>
          </w:p>
        </w:tc>
        <w:tc>
          <w:tcPr>
            <w:tcW w:type="dxa" w:w="1440"/>
            <w:shd w:fill="FAFAFA" w:val="clear"/>
          </w:tcPr>
          <w:p>
            <w:r>
              <w:rPr>
                <w:sz w:val="17"/>
              </w:rPr>
              <w:t>48,179</w:t>
            </w:r>
          </w:p>
        </w:tc>
        <w:tc>
          <w:tcPr>
            <w:tcW w:type="dxa" w:w="1440"/>
            <w:shd w:fill="FAFAFA" w:val="clear"/>
          </w:tcPr>
          <w:p>
            <w:r>
              <w:rPr>
                <w:b/>
                <w:color w:val="C00000"/>
                <w:sz w:val="17"/>
              </w:rPr>
              <w:t>-1.0%</w:t>
            </w:r>
          </w:p>
        </w:tc>
      </w:tr>
      <w:tr>
        <w:tc>
          <w:tcPr>
            <w:tcW w:type="dxa" w:w="1440"/>
            <w:shd w:fill="FAFAFA" w:val="clear"/>
          </w:tcPr>
          <w:p>
            <w:r>
              <w:rPr>
                <w:sz w:val="17"/>
              </w:rPr>
              <w:t>J+9  ⭐</w:t>
            </w:r>
          </w:p>
        </w:tc>
        <w:tc>
          <w:tcPr>
            <w:tcW w:type="dxa" w:w="1440"/>
            <w:shd w:fill="FAFAFA" w:val="clear"/>
          </w:tcPr>
          <w:p>
            <w:r>
              <w:rPr>
                <w:sz w:val="17"/>
              </w:rPr>
              <w:t>2026-10-23</w:t>
            </w:r>
          </w:p>
        </w:tc>
        <w:tc>
          <w:tcPr>
            <w:tcW w:type="dxa" w:w="1440"/>
            <w:shd w:fill="FAFAFA" w:val="clear"/>
          </w:tcPr>
          <w:p>
            <w:r>
              <w:rPr>
                <w:sz w:val="17"/>
              </w:rPr>
              <w:t>40,672</w:t>
            </w:r>
          </w:p>
        </w:tc>
        <w:tc>
          <w:tcPr>
            <w:tcW w:type="dxa" w:w="1440"/>
            <w:shd w:fill="FAFAFA" w:val="clear"/>
          </w:tcPr>
          <w:p>
            <w:r>
              <w:rPr>
                <w:b/>
                <w:sz w:val="17"/>
              </w:rPr>
              <w:t>44,532</w:t>
            </w:r>
          </w:p>
        </w:tc>
        <w:tc>
          <w:tcPr>
            <w:tcW w:type="dxa" w:w="1440"/>
            <w:shd w:fill="FAFAFA" w:val="clear"/>
          </w:tcPr>
          <w:p>
            <w:r>
              <w:rPr>
                <w:sz w:val="17"/>
              </w:rPr>
              <w:t>48,392</w:t>
            </w:r>
          </w:p>
        </w:tc>
        <w:tc>
          <w:tcPr>
            <w:tcW w:type="dxa" w:w="1440"/>
            <w:shd w:fill="FAFAFA" w:val="clear"/>
          </w:tcPr>
          <w:p>
            <w:r>
              <w:rPr>
                <w:b/>
                <w:color w:val="C00000"/>
                <w:sz w:val="17"/>
              </w:rPr>
              <w:t>-1.0%</w:t>
            </w:r>
          </w:p>
        </w:tc>
      </w:tr>
      <w:tr>
        <w:tc>
          <w:tcPr>
            <w:tcW w:type="dxa" w:w="1440"/>
            <w:shd w:fill="FAFAFA" w:val="clear"/>
          </w:tcPr>
          <w:p>
            <w:r>
              <w:rPr>
                <w:sz w:val="17"/>
              </w:rPr>
              <w:t>J+10  ⭐</w:t>
            </w:r>
          </w:p>
        </w:tc>
        <w:tc>
          <w:tcPr>
            <w:tcW w:type="dxa" w:w="1440"/>
            <w:shd w:fill="FAFAFA" w:val="clear"/>
          </w:tcPr>
          <w:p>
            <w:r>
              <w:rPr>
                <w:sz w:val="17"/>
              </w:rPr>
              <w:t>2026-10-26</w:t>
            </w:r>
          </w:p>
        </w:tc>
        <w:tc>
          <w:tcPr>
            <w:tcW w:type="dxa" w:w="1440"/>
            <w:shd w:fill="FAFAFA" w:val="clear"/>
          </w:tcPr>
          <w:p>
            <w:r>
              <w:rPr>
                <w:sz w:val="17"/>
              </w:rPr>
              <w:t>40,456</w:t>
            </w:r>
          </w:p>
        </w:tc>
        <w:tc>
          <w:tcPr>
            <w:tcW w:type="dxa" w:w="1440"/>
            <w:shd w:fill="FAFAFA" w:val="clear"/>
          </w:tcPr>
          <w:p>
            <w:r>
              <w:rPr>
                <w:b/>
                <w:sz w:val="17"/>
              </w:rPr>
              <w:t>44,525</w:t>
            </w:r>
          </w:p>
        </w:tc>
        <w:tc>
          <w:tcPr>
            <w:tcW w:type="dxa" w:w="1440"/>
            <w:shd w:fill="FAFAFA" w:val="clear"/>
          </w:tcPr>
          <w:p>
            <w:r>
              <w:rPr>
                <w:sz w:val="17"/>
              </w:rPr>
              <w:t>48,593</w:t>
            </w:r>
          </w:p>
        </w:tc>
        <w:tc>
          <w:tcPr>
            <w:tcW w:type="dxa" w:w="1440"/>
            <w:shd w:fill="FAFAFA" w:val="clear"/>
          </w:tcPr>
          <w:p>
            <w:r>
              <w:rPr>
                <w:b/>
                <w:color w:val="C00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 RAPPORT D'ANALYSE FINANCIÈRE — SONATEL (SNTS)</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4 500 milliards FCFA, Sonatel confirme son statut de première capitalisation de la BRVM, poids lourd incontournable de l'indice composite. Le BPA de 4 136 FCFA par action traduit la capacité bénéficiaire unitaire du titre, tandis que le PER de 10,9x situe la valeur dans le haut de la fourchette moyenne du marché (8-12x), ce qui reste néanmoins raisonnable au regard de la qualité des fondamentaux. Le P/B de 3,22x indique que le marché valorise l'action à plus de trois fois sa valeur comptable, soit une prime de croissance justifiée par la rentabilité exceptionnelle des fonds propres (ROE de 29,6%). Enfin, l'EV/EBITDA de 4,7x, inférieur au seuil de 5x, signale que la valeur d'entreprise est très bon marché par rapport à la capacité opérationnelle de génération de cash-flows, offrant une marge de sécurité appréciable pour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SNTS a enregistré une progression spectaculaire de +55,98%, portée par une dernière séance quasi stable (+0,04%), ce qui témoigne d'une consolidation en haut de range. Le cours actuel de 45 000 FCFA coïncide avec le plus haut de la période, tandis que le plus bas a été touché à 27 160 FCFA, soit un range de trading de près de 66% — illustrant une dynamique haussière puissante et continue. La moyenne de 33 725 FCFA se situe nettement au-dessus de la médiane (31 502 FCFA), écart qui confirme une asymétrie positive (skewness de 0,796) : la majorité des séances s'est négociée sous la moyenne, mais quelques journées de forte hausse ont tiré la moyenne vers le haut, signe d'un marché en accélération. L'écart-type de 5 505 FCFA avec un coefficient de variation de 16,3% traduit une dispersion modérée du cours, tandis que le kurtosis de -0,717 (mésokurtique) indique une distribution proche de la normale, sans risque excessif de pics extrêmes. La volatilité annualisée de 33,3% positionne le titre dans la catégorie des valeurs à volatilité élevée (&gt;30%), ce qui est cohérent avec la forte appréciation récente et appelle à la prudence sur les points d'entrée.</w:t>
      </w:r>
    </w:p>
    <w:p>
      <w:pPr>
        <w:spacing w:after="120" w:line="276" w:lineRule="auto"/>
      </w:pPr>
      <w:r>
        <w:t>---</w:t>
      </w:r>
    </w:p>
    <w:p>
      <w:pPr>
        <w:spacing w:after="120" w:line="276" w:lineRule="auto"/>
      </w:pPr>
      <w:r>
        <w:t>## PARTIE 2 : ANALYSE TECHNIQUE DÉTAILLÉE</w:t>
      </w:r>
    </w:p>
    <w:p>
      <w:pPr>
        <w:spacing w:after="120" w:line="276" w:lineRule="auto"/>
      </w:pPr>
      <w:r>
        <w:t>**Moyennes Mobiles** : La MM20 (42 700 FCFA) et la MM50 (37 914 FCFA) se situent toutes deux sous le cours actuel (45 000 FCFA), avec la MM20 au-dessus de la MM50 — configuration haussière classique en « golden cross ». Le cours évoluant au-dessus de ses deux moyennes, la dynamique de fond reste clairement positive, ce qui justifie la décision d'**Achat** émise par cet indicateur.</w:t>
      </w:r>
    </w:p>
    <w:p>
      <w:pPr>
        <w:spacing w:after="120" w:line="276" w:lineRule="auto"/>
      </w:pPr>
      <w:r>
        <w:t>**Bandes de Bollinger** : Le cours (45 000 FCFA) évolue dans la partie haute du canal, proche de la borne supérieure (47 241 FCFA) et très éloigné de la borne inférieure (38 159 FCFA). L'absence de cassure de la borne supérieure et la largeur du canal traduisent une volatilité soutenue mais maîtrisée, justifiant la décision **Neutre** : le titre n'est ni en surchauffe extrême, ni en zone d'achat évidente.</w:t>
      </w:r>
    </w:p>
    <w:p>
      <w:pPr>
        <w:spacing w:after="120" w:line="276" w:lineRule="auto"/>
      </w:pPr>
      <w:r>
        <w:t>**MACD** : La valeur du MACD (2 098,3) est légèrement inférieure à son signal (2 149,4), générant une divergence baissière marginale qui traduit un essoufflement du momentum haussier. Cette configuration, bien que le MACD reste en territoire positif, justifie la décision de **Vente** à court terme, signalant une possible consolidation.</w:t>
      </w:r>
    </w:p>
    <w:p>
      <w:pPr>
        <w:spacing w:after="120" w:line="276" w:lineRule="auto"/>
      </w:pPr>
      <w:r>
        <w:t>**RSI** : À 79,59, le RSI se situe nettement au-dessus du seuil de surachat (70), confirmant que le titre a été porté par un élan acheteur excessif. Cette zone de surachat appelle à la prudence et justifie la décision de **Vente**, un repli technique étant statistiquement probable après une telle ascension.</w:t>
      </w:r>
    </w:p>
    <w:p>
      <w:pPr>
        <w:spacing w:after="120" w:line="276" w:lineRule="auto"/>
      </w:pPr>
      <w:r>
        <w:t>**Stochastique** : Le %K (100,0) et le %D (99,67) sont tous deux collés au plafond, avec un croisement imminent à la baisse (%K sous %D). Cette configuration extrême en zone de surachat confirme la décision de **Vente** et renforce le signal de correction à court terme.</w:t>
      </w:r>
    </w:p>
    <w:p>
      <w:pPr>
        <w:spacing w:after="120" w:line="276" w:lineRule="auto"/>
      </w:pPr>
      <w:r>
        <w:t>**Conclusion technique** : Les indicateurs de tendance (MM20/MM50 en golden cross, cours au-dessus des moyennes) restent haussiers à moyen terme, mais l'ensemble des oscillateurs (RSI à 79,6, Stochastique à 100, MACD en divergence) convergent vers un signal de **surachat** et de correction imminente. Le titre se trouve à un point d'inflexion technique : la tendance de fond est solide, mais un repli vers la MM20 (42 700 FCFA) constituerait une respiration saine avant une reprise durable.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Sonatel affiche un chiffre d'affaires consolidé de 1 923,1 milliards FCFA, en croissance de +8,3% sur un an, porté par la Data mobile, le Fixe Broadband et Orange Money. Le résultat net s'établit à 413,6 milliards FCFA (+5,1%), avec une marge nette de 21,5% et une marge opérationnelle de 34,8%. La rentabilité des fonds propres (ROE) atteint un niveau exceptionnel de 29,56%, très supérieur au seuil de 15% considéré comme excellent, tandis que le ROA de 12,65% confirme l'efficacité dans l'utilisation des actifs. La structure financière est saine : l'autonomie financière de 42,8% dépasse le seuil de 30%, la solvabilité générale de 174,8% garantit la couverture des dettes, et la capacité de remboursement de 0,64 an est très confortable. Sur le plan opérationnel, le BFR est négatif (-284,9 milliards FCFA), ce qui constitue un avantage de trésorerie majeur : Sonatel est financée par ses fournisseurs (délai fournisseurs de 201 jours) bien plus qu'elle ne finance ses clients (délai clients de 46 jours), et la rotation des stocks est rapide (14,5 jours).</w:t>
      </w:r>
    </w:p>
    <w:p>
      <w:pPr>
        <w:spacing w:after="120" w:line="276" w:lineRule="auto"/>
      </w:pPr>
      <w:r>
        <w:t>**Estimations basées sur les rapports trimestriels** : Le communiqué du S1 2026 (publié le 27 juillet 2026) confirme l'accélération de la dynamique avec un CA de 1 049,8 milliards FCFA (+9,3%) et un résultat net de 230 milliards FCFA (+10,5%), tandis que l'EBITDAaL progresse de 11,6% à 510,8 milliards FCFA (marge de 48,7%). Sur cette base, on peut estimer que l'exercice 2026 devrait enregistrer un CA consolidé d'environ 2 100 milliards FCFA (+9%) et un résultat net proche de 440-450 milliards FCFA, confirmant la trajectoire de croissance rentable. La notation financière a d'ailleurs été relevée à **AAA (wu)** par GCR Ratings, la note maximale, soulignant la solidité exceptionnelle du modèle. Le dividende proposé au titre de 2025 s'élève à 1 933 FCFA brut (1 740 FCFA net), soit un rendement d'environ 3,9% au cours actuel de 45 000 FCFA, avec une mise en paiement prévue le 25 mai 2026.</w:t>
      </w:r>
    </w:p>
    <w:p>
      <w:pPr>
        <w:spacing w:after="120" w:line="276" w:lineRule="auto"/>
      </w:pPr>
      <w:r>
        <w:t>**Recommandation fondamentale** : Sonatel présente des fondamentaux exceptionnels — croissance soutenue, marges élevées, rentabilité des fonds propres remarquable, structure financière solide et trésorerie abondante. Les risques identifiés (pression fiscale et réglementaire, concurrence accrue sur le Mobile Money, instabilité géopolitique au Mali) sont réels mais ne remettent pas en cause la trajectoire de long terme. La valorisation actuelle (PER 10,9x, EV/EBITDA 4,7x) reste raisonnable au regard de la qualité des fondamentaux, ce qui plaide pour une **conservation** voire un renforcement sur repli.</w:t>
      </w:r>
    </w:p>
    <w:p>
      <w:pPr>
        <w:spacing w:after="120" w:line="276" w:lineRule="auto"/>
      </w:pPr>
      <w:r>
        <w:t>---</w:t>
      </w:r>
    </w:p>
    <w:p>
      <w:pPr>
        <w:spacing w:after="120" w:line="276" w:lineRule="auto"/>
      </w:pPr>
      <w:r>
        <w:t>## PARTIE 4 : CONCLUSION D'INVESTISSEMENT</w:t>
      </w:r>
    </w:p>
    <w:p>
      <w:pPr>
        <w:spacing w:after="120" w:line="276" w:lineRule="auto"/>
      </w:pPr>
      <w:r>
        <w:t>La synthèse des quatre dimensions analysées révèle un tableau contrasté. **Sur le plan de la valorisation (Partie 0)**, les ratios PER (10,9x), P/B (3,22x) et surtout EV/EBITDA (4,7x) indiquent que le titre n'est pas surévalué malgré sa forte hausse récente, l'EV/EBITDA inférieur à 5x offrant même une marge de sécurité. **Le comportement du cours (Partie 1)** est nettement haussier (+55,98% sur 100 jours), avec une volatilité élevée (33,3%) et une asymétrie positive (skewness 0,796) qui traduit un marché en accélération, mais le kurtosis mésokurtique (-0,717) limite le risque de pics extrêmes. **Les signaux techniques (Partie 2)** sont divergents : les moyennes mobiles restent haussières (golden cross), mais le RSI (79,6), le Stochastique (100) et le MACD (divergence baissière) convergent vers un signal de surachat et de correction imminente. **Les fondamentaux (Partie 3)** sont exceptionnels : ROE de 29,6%, BFR négatif, notation AAA, croissance du CA de +9,3% au S1 2026 et dividende net de 1 740 FCFA. **Les prédictions IA (J+1 à J+10)** anticipent une légère consolidation autour de 44 560-44 630 FCFA, ce qui confirme le signal technique de correction à court terme sans remettre en cause la tendance de fond.</w:t>
      </w:r>
    </w:p>
    <w:p>
      <w:pPr>
        <w:spacing w:after="120" w:line="276" w:lineRule="auto"/>
      </w:pPr>
      <w:r>
        <w:t>**Recommandation finale : CONSERVER** — Le titre présente une convergence positive entre valorisation raisonnable, fondamentaux exceptionnels et tendance de fond haussière, mais la divergence des oscillateurs techniques (surachat) et la prédiction IA de consolidation à court terme invitent à la prudence sur les points d'entrée. **Niveau de confiance : Moyen** (les fondamentaux sont solides mais le timing technique est défavorable). **Niveau de risque global : Moyen** (volatilité élevée mais qualité de crédit maximale). **Horizon d'investissement optimal : Moyen à long terme (6 à 18 mois)** — les investisseurs déjà positionnés peuvent conserver en encaissant le dividende, tandis que les nouveaux entrants gagneraient à attendre un repli vers la MM20 (42 700 FCFA) pour optimiser leur point d'entrée.</w:t>
      </w:r>
    </w:p>
    <w:p/>
    <w:p/>
    <w:p>
      <w:pPr>
        <w:pStyle w:val="Heading3"/>
      </w:pPr>
      <w:r>
        <w:rPr>
          <w:color w:val="00467F"/>
        </w:rPr>
        <w:t>📎 DOCUMENTS &amp; COMMUNICATIONS OFFICIELS BRVM</w:t>
      </w:r>
    </w:p>
    <w:p>
      <w:r>
        <w:rPr>
          <w:i/>
          <w:color w:val="646464"/>
          <w:sz w:val="18"/>
        </w:rPr>
        <w:t>6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41.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172.49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5,341 titres</w:t>
            </w:r>
          </w:p>
        </w:tc>
        <w:tc>
          <w:tcPr>
            <w:tcW w:type="dxa" w:w="2268"/>
            <w:shd w:fill="FFF2CC" w:val="clear"/>
          </w:tcPr>
          <w:p>
            <w:r>
              <w:rPr>
                <w:b/>
                <w:color w:val="503200"/>
                <w:sz w:val="16"/>
              </w:rPr>
              <w:t xml:space="preserve">Cours actuel : </w:t>
            </w:r>
            <w:r>
              <w:rPr>
                <w:color w:val="000000"/>
                <w:sz w:val="17"/>
              </w:rPr>
              <w:t>7,985 FCFA</w:t>
            </w:r>
          </w:p>
          <w:p>
            <w:r>
              <w:rPr>
                <w:b/>
                <w:color w:val="503200"/>
                <w:sz w:val="16"/>
              </w:rPr>
              <w:t xml:space="preserve">Var. 100 jours : </w:t>
            </w:r>
            <w:r>
              <w:rPr>
                <w:b/>
                <w:color w:val="007800"/>
                <w:sz w:val="17"/>
              </w:rPr>
              <w:t>+7.18%</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7,200 FCFA</w:t>
            </w:r>
          </w:p>
          <w:p>
            <w:r>
              <w:rPr>
                <w:b/>
                <w:color w:val="503200"/>
                <w:sz w:val="16"/>
              </w:rPr>
              <w:t xml:space="preserve">Volatilité ann. : </w:t>
            </w:r>
            <w:r>
              <w:rPr>
                <w:color w:val="000000"/>
                <w:sz w:val="17"/>
              </w:rPr>
              <w:t>42.4%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4.19% (Faible) — μ=8,097 FCFA, σ=339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β=1.0283 (Neutre (suit le marché)) — Cov=0.000075, Var(idx)=0.000073, ρ=0.328,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5,341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σ_j=2.67%/j (Stable) — Vol. annualisée≈42.4%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2026-10-13</w:t>
            </w:r>
          </w:p>
        </w:tc>
        <w:tc>
          <w:tcPr>
            <w:tcW w:type="dxa" w:w="1440"/>
            <w:shd w:fill="FAFAFA" w:val="clear"/>
          </w:tcPr>
          <w:p>
            <w:r>
              <w:rPr>
                <w:sz w:val="17"/>
              </w:rPr>
              <w:t>7,525</w:t>
            </w:r>
          </w:p>
        </w:tc>
        <w:tc>
          <w:tcPr>
            <w:tcW w:type="dxa" w:w="1440"/>
            <w:shd w:fill="FAFAFA" w:val="clear"/>
          </w:tcPr>
          <w:p>
            <w:r>
              <w:rPr>
                <w:b/>
                <w:sz w:val="17"/>
              </w:rPr>
              <w:t>7,929</w:t>
            </w:r>
          </w:p>
        </w:tc>
        <w:tc>
          <w:tcPr>
            <w:tcW w:type="dxa" w:w="1440"/>
            <w:shd w:fill="FAFAFA" w:val="clear"/>
          </w:tcPr>
          <w:p>
            <w:r>
              <w:rPr>
                <w:sz w:val="17"/>
              </w:rPr>
              <w:t>8,334</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2026-10-14</w:t>
            </w:r>
          </w:p>
        </w:tc>
        <w:tc>
          <w:tcPr>
            <w:tcW w:type="dxa" w:w="1440"/>
            <w:shd w:fill="FAFAFA" w:val="clear"/>
          </w:tcPr>
          <w:p>
            <w:r>
              <w:rPr>
                <w:sz w:val="17"/>
              </w:rPr>
              <w:t>7,333</w:t>
            </w:r>
          </w:p>
        </w:tc>
        <w:tc>
          <w:tcPr>
            <w:tcW w:type="dxa" w:w="1440"/>
            <w:shd w:fill="FAFAFA" w:val="clear"/>
          </w:tcPr>
          <w:p>
            <w:r>
              <w:rPr>
                <w:b/>
                <w:sz w:val="17"/>
              </w:rPr>
              <w:t>7,903</w:t>
            </w:r>
          </w:p>
        </w:tc>
        <w:tc>
          <w:tcPr>
            <w:tcW w:type="dxa" w:w="1440"/>
            <w:shd w:fill="FAFAFA" w:val="clear"/>
          </w:tcPr>
          <w:p>
            <w:r>
              <w:rPr>
                <w:sz w:val="17"/>
              </w:rPr>
              <w:t>8,472</w:t>
            </w:r>
          </w:p>
        </w:tc>
        <w:tc>
          <w:tcPr>
            <w:tcW w:type="dxa" w:w="1440"/>
            <w:shd w:fill="FAFAFA" w:val="clear"/>
          </w:tcPr>
          <w:p>
            <w:r>
              <w:rPr>
                <w:b/>
                <w:color w:val="C00000"/>
                <w:sz w:val="17"/>
              </w:rPr>
              <w:t>-1.0%</w:t>
            </w:r>
          </w:p>
        </w:tc>
      </w:tr>
      <w:tr>
        <w:tc>
          <w:tcPr>
            <w:tcW w:type="dxa" w:w="1440"/>
            <w:shd w:fill="FAFAFA" w:val="clear"/>
          </w:tcPr>
          <w:p>
            <w:r>
              <w:rPr>
                <w:sz w:val="17"/>
              </w:rPr>
              <w:t>J+3  Moyenne</w:t>
            </w:r>
          </w:p>
        </w:tc>
        <w:tc>
          <w:tcPr>
            <w:tcW w:type="dxa" w:w="1440"/>
            <w:shd w:fill="FAFAFA" w:val="clear"/>
          </w:tcPr>
          <w:p>
            <w:r>
              <w:rPr>
                <w:sz w:val="17"/>
              </w:rPr>
              <w:t>2026-10-15</w:t>
            </w:r>
          </w:p>
        </w:tc>
        <w:tc>
          <w:tcPr>
            <w:tcW w:type="dxa" w:w="1440"/>
            <w:shd w:fill="FAFAFA" w:val="clear"/>
          </w:tcPr>
          <w:p>
            <w:r>
              <w:rPr>
                <w:sz w:val="17"/>
              </w:rPr>
              <w:t>7,182</w:t>
            </w:r>
          </w:p>
        </w:tc>
        <w:tc>
          <w:tcPr>
            <w:tcW w:type="dxa" w:w="1440"/>
            <w:shd w:fill="FAFAFA" w:val="clear"/>
          </w:tcPr>
          <w:p>
            <w:r>
              <w:rPr>
                <w:b/>
                <w:sz w:val="17"/>
              </w:rPr>
              <w:t>7,877</w:t>
            </w:r>
          </w:p>
        </w:tc>
        <w:tc>
          <w:tcPr>
            <w:tcW w:type="dxa" w:w="1440"/>
            <w:shd w:fill="FAFAFA" w:val="clear"/>
          </w:tcPr>
          <w:p>
            <w:r>
              <w:rPr>
                <w:sz w:val="17"/>
              </w:rPr>
              <w:t>8,572</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2026-10-16</w:t>
            </w:r>
          </w:p>
        </w:tc>
        <w:tc>
          <w:tcPr>
            <w:tcW w:type="dxa" w:w="1440"/>
            <w:shd w:fill="FAFAFA" w:val="clear"/>
          </w:tcPr>
          <w:p>
            <w:r>
              <w:rPr>
                <w:sz w:val="17"/>
              </w:rPr>
              <w:t>7,053</w:t>
            </w:r>
          </w:p>
        </w:tc>
        <w:tc>
          <w:tcPr>
            <w:tcW w:type="dxa" w:w="1440"/>
            <w:shd w:fill="FAFAFA" w:val="clear"/>
          </w:tcPr>
          <w:p>
            <w:r>
              <w:rPr>
                <w:b/>
                <w:sz w:val="17"/>
              </w:rPr>
              <w:t>7,853</w:t>
            </w:r>
          </w:p>
        </w:tc>
        <w:tc>
          <w:tcPr>
            <w:tcW w:type="dxa" w:w="1440"/>
            <w:shd w:fill="FAFAFA" w:val="clear"/>
          </w:tcPr>
          <w:p>
            <w:r>
              <w:rPr>
                <w:sz w:val="17"/>
              </w:rPr>
              <w:t>8,654</w:t>
            </w:r>
          </w:p>
        </w:tc>
        <w:tc>
          <w:tcPr>
            <w:tcW w:type="dxa" w:w="1440"/>
            <w:shd w:fill="FAFAFA" w:val="clear"/>
          </w:tcPr>
          <w:p>
            <w:r>
              <w:rPr>
                <w:b/>
                <w:color w:val="C00000"/>
                <w:sz w:val="17"/>
              </w:rPr>
              <w:t>-1.7%</w:t>
            </w:r>
          </w:p>
        </w:tc>
      </w:tr>
      <w:tr>
        <w:tc>
          <w:tcPr>
            <w:tcW w:type="dxa" w:w="1440"/>
            <w:shd w:fill="FAFAFA" w:val="clear"/>
          </w:tcPr>
          <w:p>
            <w:r>
              <w:rPr>
                <w:sz w:val="17"/>
              </w:rPr>
              <w:t>J+5  ⭐</w:t>
            </w:r>
          </w:p>
        </w:tc>
        <w:tc>
          <w:tcPr>
            <w:tcW w:type="dxa" w:w="1440"/>
            <w:shd w:fill="FAFAFA" w:val="clear"/>
          </w:tcPr>
          <w:p>
            <w:r>
              <w:rPr>
                <w:sz w:val="17"/>
              </w:rPr>
              <w:t>2026-10-19</w:t>
            </w:r>
          </w:p>
        </w:tc>
        <w:tc>
          <w:tcPr>
            <w:tcW w:type="dxa" w:w="1440"/>
            <w:shd w:fill="FAFAFA" w:val="clear"/>
          </w:tcPr>
          <w:p>
            <w:r>
              <w:rPr>
                <w:sz w:val="17"/>
              </w:rPr>
              <w:t>6,938</w:t>
            </w:r>
          </w:p>
        </w:tc>
        <w:tc>
          <w:tcPr>
            <w:tcW w:type="dxa" w:w="1440"/>
            <w:shd w:fill="FAFAFA" w:val="clear"/>
          </w:tcPr>
          <w:p>
            <w:r>
              <w:rPr>
                <w:b/>
                <w:sz w:val="17"/>
              </w:rPr>
              <w:t>7,830</w:t>
            </w:r>
          </w:p>
        </w:tc>
        <w:tc>
          <w:tcPr>
            <w:tcW w:type="dxa" w:w="1440"/>
            <w:shd w:fill="FAFAFA" w:val="clear"/>
          </w:tcPr>
          <w:p>
            <w:r>
              <w:rPr>
                <w:sz w:val="17"/>
              </w:rPr>
              <w:t>8,723</w:t>
            </w:r>
          </w:p>
        </w:tc>
        <w:tc>
          <w:tcPr>
            <w:tcW w:type="dxa" w:w="1440"/>
            <w:shd w:fill="FAFAFA" w:val="clear"/>
          </w:tcPr>
          <w:p>
            <w:r>
              <w:rPr>
                <w:b/>
                <w:color w:val="C00000"/>
                <w:sz w:val="17"/>
              </w:rPr>
              <w:t>-1.9%</w:t>
            </w:r>
          </w:p>
        </w:tc>
      </w:tr>
      <w:tr>
        <w:tc>
          <w:tcPr>
            <w:tcW w:type="dxa" w:w="1440"/>
            <w:shd w:fill="FFDCE0" w:val="clear"/>
          </w:tcPr>
          <w:p>
            <w:r>
              <w:rPr>
                <w:sz w:val="17"/>
              </w:rPr>
              <w:t>J+6  ⭐</w:t>
            </w:r>
          </w:p>
        </w:tc>
        <w:tc>
          <w:tcPr>
            <w:tcW w:type="dxa" w:w="1440"/>
            <w:shd w:fill="FFDCE0" w:val="clear"/>
          </w:tcPr>
          <w:p>
            <w:r>
              <w:rPr>
                <w:sz w:val="17"/>
              </w:rPr>
              <w:t>2026-10-20</w:t>
            </w:r>
          </w:p>
        </w:tc>
        <w:tc>
          <w:tcPr>
            <w:tcW w:type="dxa" w:w="1440"/>
            <w:shd w:fill="FFDCE0" w:val="clear"/>
          </w:tcPr>
          <w:p>
            <w:r>
              <w:rPr>
                <w:sz w:val="17"/>
              </w:rPr>
              <w:t>6,834</w:t>
            </w:r>
          </w:p>
        </w:tc>
        <w:tc>
          <w:tcPr>
            <w:tcW w:type="dxa" w:w="1440"/>
            <w:shd w:fill="FFDCE0" w:val="clear"/>
          </w:tcPr>
          <w:p>
            <w:r>
              <w:rPr>
                <w:b/>
                <w:sz w:val="17"/>
              </w:rPr>
              <w:t>7,809</w:t>
            </w:r>
          </w:p>
        </w:tc>
        <w:tc>
          <w:tcPr>
            <w:tcW w:type="dxa" w:w="1440"/>
            <w:shd w:fill="FFDCE0" w:val="clear"/>
          </w:tcPr>
          <w:p>
            <w:r>
              <w:rPr>
                <w:sz w:val="17"/>
              </w:rPr>
              <w:t>8,784</w:t>
            </w:r>
          </w:p>
        </w:tc>
        <w:tc>
          <w:tcPr>
            <w:tcW w:type="dxa" w:w="1440"/>
            <w:shd w:fill="FFDCE0" w:val="clear"/>
          </w:tcPr>
          <w:p>
            <w:r>
              <w:rPr>
                <w:b/>
                <w:color w:val="C00000"/>
                <w:sz w:val="17"/>
              </w:rPr>
              <w:t>-2.2%</w:t>
            </w:r>
          </w:p>
        </w:tc>
      </w:tr>
      <w:tr>
        <w:tc>
          <w:tcPr>
            <w:tcW w:type="dxa" w:w="1440"/>
            <w:shd w:fill="FFDCE0" w:val="clear"/>
          </w:tcPr>
          <w:p>
            <w:r>
              <w:rPr>
                <w:sz w:val="17"/>
              </w:rPr>
              <w:t>J+7  ⭐</w:t>
            </w:r>
          </w:p>
        </w:tc>
        <w:tc>
          <w:tcPr>
            <w:tcW w:type="dxa" w:w="1440"/>
            <w:shd w:fill="FFDCE0" w:val="clear"/>
          </w:tcPr>
          <w:p>
            <w:r>
              <w:rPr>
                <w:sz w:val="17"/>
              </w:rPr>
              <w:t>2026-10-21</w:t>
            </w:r>
          </w:p>
        </w:tc>
        <w:tc>
          <w:tcPr>
            <w:tcW w:type="dxa" w:w="1440"/>
            <w:shd w:fill="FFDCE0" w:val="clear"/>
          </w:tcPr>
          <w:p>
            <w:r>
              <w:rPr>
                <w:sz w:val="17"/>
              </w:rPr>
              <w:t>6,738</w:t>
            </w:r>
          </w:p>
        </w:tc>
        <w:tc>
          <w:tcPr>
            <w:tcW w:type="dxa" w:w="1440"/>
            <w:shd w:fill="FFDCE0" w:val="clear"/>
          </w:tcPr>
          <w:p>
            <w:r>
              <w:rPr>
                <w:b/>
                <w:sz w:val="17"/>
              </w:rPr>
              <w:t>7,788</w:t>
            </w:r>
          </w:p>
        </w:tc>
        <w:tc>
          <w:tcPr>
            <w:tcW w:type="dxa" w:w="1440"/>
            <w:shd w:fill="FFDCE0" w:val="clear"/>
          </w:tcPr>
          <w:p>
            <w:r>
              <w:rPr>
                <w:sz w:val="17"/>
              </w:rPr>
              <w:t>8,838</w:t>
            </w:r>
          </w:p>
        </w:tc>
        <w:tc>
          <w:tcPr>
            <w:tcW w:type="dxa" w:w="1440"/>
            <w:shd w:fill="FFDCE0" w:val="clear"/>
          </w:tcPr>
          <w:p>
            <w:r>
              <w:rPr>
                <w:b/>
                <w:color w:val="C00000"/>
                <w:sz w:val="17"/>
              </w:rPr>
              <w:t>-2.5%</w:t>
            </w:r>
          </w:p>
        </w:tc>
      </w:tr>
      <w:tr>
        <w:tc>
          <w:tcPr>
            <w:tcW w:type="dxa" w:w="1440"/>
            <w:shd w:fill="FFDCE0" w:val="clear"/>
          </w:tcPr>
          <w:p>
            <w:r>
              <w:rPr>
                <w:sz w:val="17"/>
              </w:rPr>
              <w:t>J+8  ⭐</w:t>
            </w:r>
          </w:p>
        </w:tc>
        <w:tc>
          <w:tcPr>
            <w:tcW w:type="dxa" w:w="1440"/>
            <w:shd w:fill="FFDCE0" w:val="clear"/>
          </w:tcPr>
          <w:p>
            <w:r>
              <w:rPr>
                <w:sz w:val="17"/>
              </w:rPr>
              <w:t>2026-10-22</w:t>
            </w:r>
          </w:p>
        </w:tc>
        <w:tc>
          <w:tcPr>
            <w:tcW w:type="dxa" w:w="1440"/>
            <w:shd w:fill="FFDCE0" w:val="clear"/>
          </w:tcPr>
          <w:p>
            <w:r>
              <w:rPr>
                <w:sz w:val="17"/>
              </w:rPr>
              <w:t>6,648</w:t>
            </w:r>
          </w:p>
        </w:tc>
        <w:tc>
          <w:tcPr>
            <w:tcW w:type="dxa" w:w="1440"/>
            <w:shd w:fill="FFDCE0" w:val="clear"/>
          </w:tcPr>
          <w:p>
            <w:r>
              <w:rPr>
                <w:b/>
                <w:sz w:val="17"/>
              </w:rPr>
              <w:t>7,768</w:t>
            </w:r>
          </w:p>
        </w:tc>
        <w:tc>
          <w:tcPr>
            <w:tcW w:type="dxa" w:w="1440"/>
            <w:shd w:fill="FFDCE0" w:val="clear"/>
          </w:tcPr>
          <w:p>
            <w:r>
              <w:rPr>
                <w:sz w:val="17"/>
              </w:rPr>
              <w:t>8,888</w:t>
            </w:r>
          </w:p>
        </w:tc>
        <w:tc>
          <w:tcPr>
            <w:tcW w:type="dxa" w:w="1440"/>
            <w:shd w:fill="FFDCE0" w:val="clear"/>
          </w:tcPr>
          <w:p>
            <w:r>
              <w:rPr>
                <w:b/>
                <w:color w:val="C00000"/>
                <w:sz w:val="17"/>
              </w:rPr>
              <w:t>-2.7%</w:t>
            </w:r>
          </w:p>
        </w:tc>
      </w:tr>
      <w:tr>
        <w:tc>
          <w:tcPr>
            <w:tcW w:type="dxa" w:w="1440"/>
            <w:shd w:fill="FFDCE0" w:val="clear"/>
          </w:tcPr>
          <w:p>
            <w:r>
              <w:rPr>
                <w:sz w:val="17"/>
              </w:rPr>
              <w:t>J+9  ⭐</w:t>
            </w:r>
          </w:p>
        </w:tc>
        <w:tc>
          <w:tcPr>
            <w:tcW w:type="dxa" w:w="1440"/>
            <w:shd w:fill="FFDCE0" w:val="clear"/>
          </w:tcPr>
          <w:p>
            <w:r>
              <w:rPr>
                <w:sz w:val="17"/>
              </w:rPr>
              <w:t>2026-10-23</w:t>
            </w:r>
          </w:p>
        </w:tc>
        <w:tc>
          <w:tcPr>
            <w:tcW w:type="dxa" w:w="1440"/>
            <w:shd w:fill="FFDCE0" w:val="clear"/>
          </w:tcPr>
          <w:p>
            <w:r>
              <w:rPr>
                <w:sz w:val="17"/>
              </w:rPr>
              <w:t>6,564</w:t>
            </w:r>
          </w:p>
        </w:tc>
        <w:tc>
          <w:tcPr>
            <w:tcW w:type="dxa" w:w="1440"/>
            <w:shd w:fill="FFDCE0" w:val="clear"/>
          </w:tcPr>
          <w:p>
            <w:r>
              <w:rPr>
                <w:b/>
                <w:sz w:val="17"/>
              </w:rPr>
              <w:t>7,749</w:t>
            </w:r>
          </w:p>
        </w:tc>
        <w:tc>
          <w:tcPr>
            <w:tcW w:type="dxa" w:w="1440"/>
            <w:shd w:fill="FFDCE0" w:val="clear"/>
          </w:tcPr>
          <w:p>
            <w:r>
              <w:rPr>
                <w:sz w:val="17"/>
              </w:rPr>
              <w:t>8,933</w:t>
            </w:r>
          </w:p>
        </w:tc>
        <w:tc>
          <w:tcPr>
            <w:tcW w:type="dxa" w:w="1440"/>
            <w:shd w:fill="FFDCE0" w:val="clear"/>
          </w:tcPr>
          <w:p>
            <w:r>
              <w:rPr>
                <w:b/>
                <w:color w:val="C00000"/>
                <w:sz w:val="17"/>
              </w:rPr>
              <w:t>-3.0%</w:t>
            </w:r>
          </w:p>
        </w:tc>
      </w:tr>
      <w:tr>
        <w:tc>
          <w:tcPr>
            <w:tcW w:type="dxa" w:w="1440"/>
            <w:shd w:fill="FFDCE0" w:val="clear"/>
          </w:tcPr>
          <w:p>
            <w:r>
              <w:rPr>
                <w:sz w:val="17"/>
              </w:rPr>
              <w:t>J+10  ⭐</w:t>
            </w:r>
          </w:p>
        </w:tc>
        <w:tc>
          <w:tcPr>
            <w:tcW w:type="dxa" w:w="1440"/>
            <w:shd w:fill="FFDCE0" w:val="clear"/>
          </w:tcPr>
          <w:p>
            <w:r>
              <w:rPr>
                <w:sz w:val="17"/>
              </w:rPr>
              <w:t>2026-10-26</w:t>
            </w:r>
          </w:p>
        </w:tc>
        <w:tc>
          <w:tcPr>
            <w:tcW w:type="dxa" w:w="1440"/>
            <w:shd w:fill="FFDCE0" w:val="clear"/>
          </w:tcPr>
          <w:p>
            <w:r>
              <w:rPr>
                <w:sz w:val="17"/>
              </w:rPr>
              <w:t>6,484</w:t>
            </w:r>
          </w:p>
        </w:tc>
        <w:tc>
          <w:tcPr>
            <w:tcW w:type="dxa" w:w="1440"/>
            <w:shd w:fill="FFDCE0" w:val="clear"/>
          </w:tcPr>
          <w:p>
            <w:r>
              <w:rPr>
                <w:b/>
                <w:sz w:val="17"/>
              </w:rPr>
              <w:t>7,730</w:t>
            </w:r>
          </w:p>
        </w:tc>
        <w:tc>
          <w:tcPr>
            <w:tcW w:type="dxa" w:w="1440"/>
            <w:shd w:fill="FFDCE0" w:val="clear"/>
          </w:tcPr>
          <w:p>
            <w:r>
              <w:rPr>
                <w:sz w:val="17"/>
              </w:rPr>
              <w:t>8,976</w:t>
            </w:r>
          </w:p>
        </w:tc>
        <w:tc>
          <w:tcPr>
            <w:tcW w:type="dxa" w:w="1440"/>
            <w:shd w:fill="FFDCE0" w:val="clear"/>
          </w:tcPr>
          <w:p>
            <w:r>
              <w:rPr>
                <w:b/>
                <w:color w:val="C00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*Bourse Régionale des Valeurs Mobilières (BRVM) — Secteur : Entreprise agro-industrielle*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172,49 milliards FCFA, SOGC se positionne parmi les valeurs moyennes-capitalisations de la cote BRVM, ce qui lui confère une liquidité modérée mais une certaine stabilité institutionnelle. Le BPA de 578 FCFA/action signifie que chaque titre génère près de 578 FCFA de bénéfice net, un niveau appréciable pour une valeur agricole. Le PER de 13,8x situe le titre légèrement au-dessus de la moyenne BRVM (8-12x), traduisant une prime modérée que le marché accorde à la qualité de ses fondamentaux et à sa politique de dividende généreuse (570 FCFA/action proposé). Le P/B de 2,52x indique que le marché valorise SOGC à 2,5 fois sa valeur comptable, une prime de croissance justifiée par un ROE de 18,26% nettement supérieur au coût des fonds propres. Enfin, l'EV/EBITDA de 7,2x, dans la fourchette raisonnable de 5-10x, suggère que la valeur totale de l'entreprise (dette incluse) reste cohérente avec sa capacité opérationnelle, sans surévaluation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SOGC a progressé de +7,18%, clôturant à 7 985 FCFA avec une variation J-1 nulle (+0,00%), signe d'une séance de consolidation sans pression vendeuse. Le range de trading s'établit entre un plus bas de 7 200 FCFA et un plus haut de 8 875 FCFA, soit une amplitude de 1 675 FCFA (23,3%) qui témoigne d'une réelle dynamique haussière suivie d'une correction. La tendance générale reste haussière sur la période, mais le cours actuel (7 985 FCFA) se situe en dessous de sa moyenne (8 097 FCFA) et de sa médiane (8 145 FCFA), ce qui révèle une distribution légèrement asymétrique avec un écart moyenne-médiane de 48 FCFA. L'écart-type de 341 FCFA et le coefficient de variation de 4,2% indiquent une dispersion modérée du cours autour de sa tendance, tandis que le kurtosis de 0,197 (mésokurtique) suggère une distribution proche de la normale, sans risque excessif de pics extrêmes. Le skewness de -0,611 (asymétrie négative) confirme que le titre a passé plus de journées au-dessus de sa moyenne qu'en dessous, un signal plutôt favorable. La volatilité annualisée de 42,4% classe SOGC dans la catégorie des titres à volatilité élevée (&gt;30%), ce qui implique un risque de fluctuation important à court terme, à intégrer dans toute stratégie d'investissement.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(7 891 FCFA) est inférieure à la MM50 (8 025 FCFA), et le cours actuel (7 985 FCFA) se situe entre les deux, légèrement au-dessus de la MM20 mais sous la MM50. Cette configuration traduit une pression baissière de moyen terme, justifiant la décision technique de **Vente** : le croisement baissier MM20/MM50 reste actif et le cours n'a pas encore reconquis la MM50.</w:t>
      </w:r>
    </w:p>
    <w:p>
      <w:pPr>
        <w:spacing w:after="120" w:line="276" w:lineRule="auto"/>
      </w:pPr>
      <w:r>
        <w:t>**Bandes de Bollinger** : Le cours (7 985 FCFA) évolue dans la partie médiane de la bande, entre la borne inférieure (7 483,96 FCFA) et la borne supérieure (8 298,04 FCFA), à environ 55% du canal. Cette position centrale, sans contact avec les extrêmes, traduit une absence de signal directionnel fort et justifie la décision **Neutre** : la volatilité est contenue et le titre évolue dans un régime de consolidation.</w:t>
      </w:r>
    </w:p>
    <w:p>
      <w:pPr>
        <w:spacing w:after="120" w:line="276" w:lineRule="auto"/>
      </w:pPr>
      <w:r>
        <w:t>**MACD** : Le MACD (-35,155) est supérieur à son signal (-65,04), formant un croisement haussier avec un histogramme positif. Ce momentum positif, bien que les deux lignes restent en territoire négatif, indique un ralentissement de la dynamique baissière et justifie la décision d'**Achat** : la divergence positive suggère une possible reprise à court terme.</w:t>
      </w:r>
    </w:p>
    <w:p>
      <w:pPr>
        <w:spacing w:after="120" w:line="276" w:lineRule="auto"/>
      </w:pPr>
      <w:r>
        <w:t>**RSI** : À 51,568, le RSI se situe parfaitement dans la zone neutre (30-70), sans signal de surachat (&gt;70) ni de survente (&lt;30). Cette position médiane confirme l'absence de pression directionnelle claire et justifie la décision **Neutre** : le titre n'est ni surétendu ni survendu, laissant place à une consolidation.</w:t>
      </w:r>
    </w:p>
    <w:p>
      <w:pPr>
        <w:spacing w:after="120" w:line="276" w:lineRule="auto"/>
      </w:pPr>
      <w:r>
        <w:t>**Stochastique** : Le %K (85,625) et le %D (86,25) évoluent tous deux en zone de surachat (&gt;80), avec un %K légèrement inférieur au %D, signalant un début de croisement baissier. Cette configuration justifie la décision de **Vente** : le titre est suracheté à court terme et une correction technique est probable.</w:t>
      </w:r>
    </w:p>
    <w:p>
      <w:pPr>
        <w:spacing w:after="120" w:line="276" w:lineRule="auto"/>
      </w:pPr>
      <w:r>
        <w:t>**Conclusion technique** : Les indicateurs présentent une divergence notable : le MACD est haussier (achat), tandis que les moyennes mobiles et le stochastique sont baissiers (vente), et le RSI/Bollinger sont neutres. Cette configuration mitigée, avec un stochastique en surachat et un cours sous la MM50, suggère une phase de consolidation avec un risque de correction à court terme, mais un potentiel de rebond soutenu par le MACD. La prudence est de mise avant tout positionnement directionnel fort.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officiels de SOGC affichent un chiffre d'affaires de 98,979 milliards FCFA, en croissance de +10,70% par rapport à 2024 (93,52 milliards FCFA), portée par la hausse des prix de l'huile de palme (+20%) et de palmiste (+47%) ainsi que par la croissance des volumes de caoutchouc (+9%). Le résultat net s'établit à 12,493 milliards FCFA, en baisse de 5% par rapport aux 13,11 milliards FCFA de 2024, sous l'effet d'une hausse de 15% des coûts de matières premières (coagulum) qui a comprimé la marge nette à 12,62% (contre 14,0% en 2024). La rentabilité des fonds propres (ROE) reste excellente à 18,26%, bien supérieure au seuil de 15%, et le ROA de 13,84% témoigne d'une utilisation efficace des actifs (90,288 milliards FCFA). La structure financière est très saine : l'autonomie financière de 75,79% (capitaux propres/total bilan) et un ratio d'endettement de seulement 24,21% confirment une faible dépendance aux créanciers, avec une capacité de remboursement de 0,04 an (dettes financières/CAF). Le BFR de 7,124 milliards FCFA, bien que positif, reste maîtrisé, et les délais clients (29,60 jours) et fournisseurs (31,72 jours) sont équilibrés, tandis que la durée de stockage de 97,67 jours mérite une surveillance. Les rapports trimestriels 2025 (T1, S1, 9M) confirment cette dynamique : le CA a progressé de +63,1% au T1, +51,9% au S1 et +21,3% sur 9 mois, avec un résultat net en hausse de +262,9% au T1 et +39,5% sur 9 mois, avant le ralentissement du S2 lié à la concurrence accrue sur le coagulum et à la baisse des cours SICOM. Sur la base de ces tendances, on estime que l'exercice 2026 devrait bénéficier d'une stabilisation des prix des huiles et d'une normalisation des coûts, avec un résultat net attendu autour de 12-13 milliards FCFA. La politique de dividende reste très généreuse (570 FCFA/action proposé, soit un rendement de 7,1% au cours actuel), bien que le taux de distribution de 98,9% en 2024 limite les capacités de réinvestissement. En synthèse, SOGC présente des fondamentaux solides (ROE élevé, endettement faible, cash-flow opérationnel de 22,644 milliards FCFA), mais fait face à des risques de compression des marges liés à la volatilité des matières premières et à la concurrence sur l'approvisionnement.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SOGC (PER 13,8x, P/B 2,52x, EV/EBITDA 7,2x) apparaît raisonnable sans être bon marché : le marché intègre une prime de qualité justifiée par un ROE de 18,26% et un rendement du dividende attractif de 7,1%, mais le PER supérieur à la moyenne BRVM limite le potentiel de revalorisation immédiate. Le comportement du cours sur 100 jours (+7,18%) est haussier, soutenu par une asymétrie négative favorable (skewness -0,611) et une distribution proche de la normale (kurtosis 0,197), mais la volatilité annualisée de 42,4% et la position du cours sous la MM50 (8 025 FCFA) tempèrent l'optimisme à court terme. Les signaux techniques sont divergents : le MACD est haussier (achat) tandis que les moyennes mobiles et le stochastique en surachat (85,6) plaident pour une vente, le RSI et les Bollinger restant neutres — cette absence de convergence suggère une phase de consolidation avant tout mouvement directionnel. Les fondamentaux restent solides malgré la baisse de 5% du résultat net 2025 (12,493 milliards FCFA), avec une structure financière très saine (autonomie 75,79%, endettement 24,21%) et des perspectives 2026 stables estimées à 12-13 milliards FCFA de résultat net. Les prédictions IA (J+1 à J+10) anticipent une légère dérive baissière de 7 929 FCFA à 7 830 FCFA (-1,9% sur 10 jours), ce qui contredit le MACD haussier mais confirme le signal de vente du stochastique et la pression baissière de la MM50. Sur la base de cette synthèse globale, la recommandation finale est **CONSERVER** avec un niveau de confiance **Moyen** et un risque global **Moyen** : la solidité fondamentale et le dividende attractif justifient le maintien en portefeuille, mais l'absence de convergence technique et la légère tendance baissière prédite à court terme déconseillent un renforcement immédiat. L'horizon d'investissement optimal est le **moyen terme (3-12 mois)**, le temps que les prix des matières premières se stabilisent et que les indicateurs techniques convergent vers un signal d'achat plus clair.</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42.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199.35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4,703 titres</w:t>
            </w:r>
          </w:p>
        </w:tc>
        <w:tc>
          <w:tcPr>
            <w:tcW w:type="dxa" w:w="2268"/>
            <w:shd w:fill="FFF2CC" w:val="clear"/>
          </w:tcPr>
          <w:p>
            <w:r>
              <w:rPr>
                <w:b/>
                <w:color w:val="503200"/>
                <w:sz w:val="16"/>
              </w:rPr>
              <w:t xml:space="preserve">Cours actuel : </w:t>
            </w:r>
            <w:r>
              <w:rPr>
                <w:color w:val="000000"/>
                <w:sz w:val="17"/>
              </w:rPr>
              <w:t>7,800 FCFA</w:t>
            </w:r>
          </w:p>
          <w:p>
            <w:r>
              <w:rPr>
                <w:b/>
                <w:color w:val="503200"/>
                <w:sz w:val="16"/>
              </w:rPr>
              <w:t xml:space="preserve">Var. 100 jours : </w:t>
            </w:r>
            <w:r>
              <w:rPr>
                <w:b/>
                <w:color w:val="007800"/>
                <w:sz w:val="17"/>
              </w:rPr>
              <w:t>+13.87%</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6,850 FCFA</w:t>
            </w:r>
          </w:p>
          <w:p>
            <w:r>
              <w:rPr>
                <w:b/>
                <w:color w:val="503200"/>
                <w:sz w:val="16"/>
              </w:rPr>
              <w:t xml:space="preserve">Volatilité ann. : </w:t>
            </w:r>
            <w:r>
              <w:rPr>
                <w:color w:val="000000"/>
                <w:sz w:val="17"/>
              </w:rPr>
              <w:t>43.4%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9.28% (Moyenne) — μ=7,916 FCFA, σ=735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β=0.6964 (Défensif) — Cov=0.000051, Var(idx)=0.000073, ρ=0.218,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4,703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σ_j=2.74%/j (Stable) — Vol. annualisée≈43.4%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2026-10-13</w:t>
            </w:r>
          </w:p>
        </w:tc>
        <w:tc>
          <w:tcPr>
            <w:tcW w:type="dxa" w:w="1440"/>
            <w:shd w:fill="FAFAFA" w:val="clear"/>
          </w:tcPr>
          <w:p>
            <w:r>
              <w:rPr>
                <w:sz w:val="17"/>
              </w:rPr>
              <w:t>7,433</w:t>
            </w:r>
          </w:p>
        </w:tc>
        <w:tc>
          <w:tcPr>
            <w:tcW w:type="dxa" w:w="1440"/>
            <w:shd w:fill="FAFAFA" w:val="clear"/>
          </w:tcPr>
          <w:p>
            <w:r>
              <w:rPr>
                <w:b/>
                <w:sz w:val="17"/>
              </w:rPr>
              <w:t>7,831</w:t>
            </w:r>
          </w:p>
        </w:tc>
        <w:tc>
          <w:tcPr>
            <w:tcW w:type="dxa" w:w="1440"/>
            <w:shd w:fill="FAFAFA" w:val="clear"/>
          </w:tcPr>
          <w:p>
            <w:r>
              <w:rPr>
                <w:sz w:val="17"/>
              </w:rPr>
              <w:t>8,229</w:t>
            </w:r>
          </w:p>
        </w:tc>
        <w:tc>
          <w:tcPr>
            <w:tcW w:type="dxa" w:w="1440"/>
            <w:shd w:fill="FAFAFA" w:val="clear"/>
          </w:tcPr>
          <w:p>
            <w:r>
              <w:rPr>
                <w:b/>
                <w:color w:val="008000"/>
                <w:sz w:val="17"/>
              </w:rPr>
              <w:t>+0.4%</w:t>
            </w:r>
          </w:p>
        </w:tc>
      </w:tr>
      <w:tr>
        <w:tc>
          <w:tcPr>
            <w:tcW w:type="dxa" w:w="1440"/>
            <w:shd w:fill="FAFAFA" w:val="clear"/>
          </w:tcPr>
          <w:p>
            <w:r>
              <w:rPr>
                <w:sz w:val="17"/>
              </w:rPr>
              <w:t>J+2  Moyenne</w:t>
            </w:r>
          </w:p>
        </w:tc>
        <w:tc>
          <w:tcPr>
            <w:tcW w:type="dxa" w:w="1440"/>
            <w:shd w:fill="FAFAFA" w:val="clear"/>
          </w:tcPr>
          <w:p>
            <w:r>
              <w:rPr>
                <w:sz w:val="17"/>
              </w:rPr>
              <w:t>2026-10-14</w:t>
            </w:r>
          </w:p>
        </w:tc>
        <w:tc>
          <w:tcPr>
            <w:tcW w:type="dxa" w:w="1440"/>
            <w:shd w:fill="FAFAFA" w:val="clear"/>
          </w:tcPr>
          <w:p>
            <w:r>
              <w:rPr>
                <w:sz w:val="17"/>
              </w:rPr>
              <w:t>7,228</w:t>
            </w:r>
          </w:p>
        </w:tc>
        <w:tc>
          <w:tcPr>
            <w:tcW w:type="dxa" w:w="1440"/>
            <w:shd w:fill="FAFAFA" w:val="clear"/>
          </w:tcPr>
          <w:p>
            <w:r>
              <w:rPr>
                <w:b/>
                <w:sz w:val="17"/>
              </w:rPr>
              <w:t>7,787</w:t>
            </w:r>
          </w:p>
        </w:tc>
        <w:tc>
          <w:tcPr>
            <w:tcW w:type="dxa" w:w="1440"/>
            <w:shd w:fill="FAFAFA" w:val="clear"/>
          </w:tcPr>
          <w:p>
            <w:r>
              <w:rPr>
                <w:sz w:val="17"/>
              </w:rPr>
              <w:t>8,347</w:t>
            </w:r>
          </w:p>
        </w:tc>
        <w:tc>
          <w:tcPr>
            <w:tcW w:type="dxa" w:w="1440"/>
            <w:shd w:fill="FAFAFA" w:val="clear"/>
          </w:tcPr>
          <w:p>
            <w:r>
              <w:rPr>
                <w:b/>
                <w:color w:val="C00000"/>
                <w:sz w:val="17"/>
              </w:rPr>
              <w:t>-0.2%</w:t>
            </w:r>
          </w:p>
        </w:tc>
      </w:tr>
      <w:tr>
        <w:tc>
          <w:tcPr>
            <w:tcW w:type="dxa" w:w="1440"/>
            <w:shd w:fill="FAFAFA" w:val="clear"/>
          </w:tcPr>
          <w:p>
            <w:r>
              <w:rPr>
                <w:sz w:val="17"/>
              </w:rPr>
              <w:t>J+3  Moyenne</w:t>
            </w:r>
          </w:p>
        </w:tc>
        <w:tc>
          <w:tcPr>
            <w:tcW w:type="dxa" w:w="1440"/>
            <w:shd w:fill="FAFAFA" w:val="clear"/>
          </w:tcPr>
          <w:p>
            <w:r>
              <w:rPr>
                <w:sz w:val="17"/>
              </w:rPr>
              <w:t>2026-10-15</w:t>
            </w:r>
          </w:p>
        </w:tc>
        <w:tc>
          <w:tcPr>
            <w:tcW w:type="dxa" w:w="1440"/>
            <w:shd w:fill="FAFAFA" w:val="clear"/>
          </w:tcPr>
          <w:p>
            <w:r>
              <w:rPr>
                <w:sz w:val="17"/>
              </w:rPr>
              <w:t>7,070</w:t>
            </w:r>
          </w:p>
        </w:tc>
        <w:tc>
          <w:tcPr>
            <w:tcW w:type="dxa" w:w="1440"/>
            <w:shd w:fill="FAFAFA" w:val="clear"/>
          </w:tcPr>
          <w:p>
            <w:r>
              <w:rPr>
                <w:b/>
                <w:sz w:val="17"/>
              </w:rPr>
              <w:t>7,752</w:t>
            </w:r>
          </w:p>
        </w:tc>
        <w:tc>
          <w:tcPr>
            <w:tcW w:type="dxa" w:w="1440"/>
            <w:shd w:fill="FAFAFA" w:val="clear"/>
          </w:tcPr>
          <w:p>
            <w:r>
              <w:rPr>
                <w:sz w:val="17"/>
              </w:rPr>
              <w:t>8,435</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2026-10-16</w:t>
            </w:r>
          </w:p>
        </w:tc>
        <w:tc>
          <w:tcPr>
            <w:tcW w:type="dxa" w:w="1440"/>
            <w:shd w:fill="FAFAFA" w:val="clear"/>
          </w:tcPr>
          <w:p>
            <w:r>
              <w:rPr>
                <w:sz w:val="17"/>
              </w:rPr>
              <w:t>6,933</w:t>
            </w:r>
          </w:p>
        </w:tc>
        <w:tc>
          <w:tcPr>
            <w:tcW w:type="dxa" w:w="1440"/>
            <w:shd w:fill="FAFAFA" w:val="clear"/>
          </w:tcPr>
          <w:p>
            <w:r>
              <w:rPr>
                <w:b/>
                <w:sz w:val="17"/>
              </w:rPr>
              <w:t>7,718</w:t>
            </w:r>
          </w:p>
        </w:tc>
        <w:tc>
          <w:tcPr>
            <w:tcW w:type="dxa" w:w="1440"/>
            <w:shd w:fill="FAFAFA" w:val="clear"/>
          </w:tcPr>
          <w:p>
            <w:r>
              <w:rPr>
                <w:sz w:val="17"/>
              </w:rPr>
              <w:t>8,503</w:t>
            </w:r>
          </w:p>
        </w:tc>
        <w:tc>
          <w:tcPr>
            <w:tcW w:type="dxa" w:w="1440"/>
            <w:shd w:fill="FAFAFA" w:val="clear"/>
          </w:tcPr>
          <w:p>
            <w:r>
              <w:rPr>
                <w:b/>
                <w:color w:val="C00000"/>
                <w:sz w:val="17"/>
              </w:rPr>
              <w:t>-1.1%</w:t>
            </w:r>
          </w:p>
        </w:tc>
      </w:tr>
      <w:tr>
        <w:tc>
          <w:tcPr>
            <w:tcW w:type="dxa" w:w="1440"/>
            <w:shd w:fill="FAFAFA" w:val="clear"/>
          </w:tcPr>
          <w:p>
            <w:r>
              <w:rPr>
                <w:sz w:val="17"/>
              </w:rPr>
              <w:t>J+5  ⭐</w:t>
            </w:r>
          </w:p>
        </w:tc>
        <w:tc>
          <w:tcPr>
            <w:tcW w:type="dxa" w:w="1440"/>
            <w:shd w:fill="FAFAFA" w:val="clear"/>
          </w:tcPr>
          <w:p>
            <w:r>
              <w:rPr>
                <w:sz w:val="17"/>
              </w:rPr>
              <w:t>2026-10-19</w:t>
            </w:r>
          </w:p>
        </w:tc>
        <w:tc>
          <w:tcPr>
            <w:tcW w:type="dxa" w:w="1440"/>
            <w:shd w:fill="FAFAFA" w:val="clear"/>
          </w:tcPr>
          <w:p>
            <w:r>
              <w:rPr>
                <w:sz w:val="17"/>
              </w:rPr>
              <w:t>6,811</w:t>
            </w:r>
          </w:p>
        </w:tc>
        <w:tc>
          <w:tcPr>
            <w:tcW w:type="dxa" w:w="1440"/>
            <w:shd w:fill="FAFAFA" w:val="clear"/>
          </w:tcPr>
          <w:p>
            <w:r>
              <w:rPr>
                <w:b/>
                <w:sz w:val="17"/>
              </w:rPr>
              <w:t>7,684</w:t>
            </w:r>
          </w:p>
        </w:tc>
        <w:tc>
          <w:tcPr>
            <w:tcW w:type="dxa" w:w="1440"/>
            <w:shd w:fill="FAFAFA" w:val="clear"/>
          </w:tcPr>
          <w:p>
            <w:r>
              <w:rPr>
                <w:sz w:val="17"/>
              </w:rPr>
              <w:t>8,557</w:t>
            </w:r>
          </w:p>
        </w:tc>
        <w:tc>
          <w:tcPr>
            <w:tcW w:type="dxa" w:w="1440"/>
            <w:shd w:fill="FAFAFA" w:val="clear"/>
          </w:tcPr>
          <w:p>
            <w:r>
              <w:rPr>
                <w:b/>
                <w:color w:val="C00000"/>
                <w:sz w:val="17"/>
              </w:rPr>
              <w:t>-1.5%</w:t>
            </w:r>
          </w:p>
        </w:tc>
      </w:tr>
      <w:tr>
        <w:tc>
          <w:tcPr>
            <w:tcW w:type="dxa" w:w="1440"/>
            <w:shd w:fill="FAFAFA" w:val="clear"/>
          </w:tcPr>
          <w:p>
            <w:r>
              <w:rPr>
                <w:sz w:val="17"/>
              </w:rPr>
              <w:t>J+6  ⭐</w:t>
            </w:r>
          </w:p>
        </w:tc>
        <w:tc>
          <w:tcPr>
            <w:tcW w:type="dxa" w:w="1440"/>
            <w:shd w:fill="FAFAFA" w:val="clear"/>
          </w:tcPr>
          <w:p>
            <w:r>
              <w:rPr>
                <w:sz w:val="17"/>
              </w:rPr>
              <w:t>2026-10-20</w:t>
            </w:r>
          </w:p>
        </w:tc>
        <w:tc>
          <w:tcPr>
            <w:tcW w:type="dxa" w:w="1440"/>
            <w:shd w:fill="FAFAFA" w:val="clear"/>
          </w:tcPr>
          <w:p>
            <w:r>
              <w:rPr>
                <w:sz w:val="17"/>
              </w:rPr>
              <w:t>6,698</w:t>
            </w:r>
          </w:p>
        </w:tc>
        <w:tc>
          <w:tcPr>
            <w:tcW w:type="dxa" w:w="1440"/>
            <w:shd w:fill="FAFAFA" w:val="clear"/>
          </w:tcPr>
          <w:p>
            <w:r>
              <w:rPr>
                <w:b/>
                <w:sz w:val="17"/>
              </w:rPr>
              <w:t>7,651</w:t>
            </w:r>
          </w:p>
        </w:tc>
        <w:tc>
          <w:tcPr>
            <w:tcW w:type="dxa" w:w="1440"/>
            <w:shd w:fill="FAFAFA" w:val="clear"/>
          </w:tcPr>
          <w:p>
            <w:r>
              <w:rPr>
                <w:sz w:val="17"/>
              </w:rPr>
              <w:t>8,604</w:t>
            </w:r>
          </w:p>
        </w:tc>
        <w:tc>
          <w:tcPr>
            <w:tcW w:type="dxa" w:w="1440"/>
            <w:shd w:fill="FAFAFA" w:val="clear"/>
          </w:tcPr>
          <w:p>
            <w:r>
              <w:rPr>
                <w:b/>
                <w:color w:val="C00000"/>
                <w:sz w:val="17"/>
              </w:rPr>
              <w:t>-1.9%</w:t>
            </w:r>
          </w:p>
        </w:tc>
      </w:tr>
      <w:tr>
        <w:tc>
          <w:tcPr>
            <w:tcW w:type="dxa" w:w="1440"/>
            <w:shd w:fill="FFDCE0" w:val="clear"/>
          </w:tcPr>
          <w:p>
            <w:r>
              <w:rPr>
                <w:sz w:val="17"/>
              </w:rPr>
              <w:t>J+7  ⭐</w:t>
            </w:r>
          </w:p>
        </w:tc>
        <w:tc>
          <w:tcPr>
            <w:tcW w:type="dxa" w:w="1440"/>
            <w:shd w:fill="FFDCE0" w:val="clear"/>
          </w:tcPr>
          <w:p>
            <w:r>
              <w:rPr>
                <w:sz w:val="17"/>
              </w:rPr>
              <w:t>2026-10-21</w:t>
            </w:r>
          </w:p>
        </w:tc>
        <w:tc>
          <w:tcPr>
            <w:tcW w:type="dxa" w:w="1440"/>
            <w:shd w:fill="FFDCE0" w:val="clear"/>
          </w:tcPr>
          <w:p>
            <w:r>
              <w:rPr>
                <w:sz w:val="17"/>
              </w:rPr>
              <w:t>6,594</w:t>
            </w:r>
          </w:p>
        </w:tc>
        <w:tc>
          <w:tcPr>
            <w:tcW w:type="dxa" w:w="1440"/>
            <w:shd w:fill="FFDCE0" w:val="clear"/>
          </w:tcPr>
          <w:p>
            <w:r>
              <w:rPr>
                <w:b/>
                <w:sz w:val="17"/>
              </w:rPr>
              <w:t>7,619</w:t>
            </w:r>
          </w:p>
        </w:tc>
        <w:tc>
          <w:tcPr>
            <w:tcW w:type="dxa" w:w="1440"/>
            <w:shd w:fill="FFDCE0" w:val="clear"/>
          </w:tcPr>
          <w:p>
            <w:r>
              <w:rPr>
                <w:sz w:val="17"/>
              </w:rPr>
              <w:t>8,644</w:t>
            </w:r>
          </w:p>
        </w:tc>
        <w:tc>
          <w:tcPr>
            <w:tcW w:type="dxa" w:w="1440"/>
            <w:shd w:fill="FFDCE0" w:val="clear"/>
          </w:tcPr>
          <w:p>
            <w:r>
              <w:rPr>
                <w:b/>
                <w:color w:val="C00000"/>
                <w:sz w:val="17"/>
              </w:rPr>
              <w:t>-2.3%</w:t>
            </w:r>
          </w:p>
        </w:tc>
      </w:tr>
      <w:tr>
        <w:tc>
          <w:tcPr>
            <w:tcW w:type="dxa" w:w="1440"/>
            <w:shd w:fill="FFDCE0" w:val="clear"/>
          </w:tcPr>
          <w:p>
            <w:r>
              <w:rPr>
                <w:sz w:val="17"/>
              </w:rPr>
              <w:t>J+8  ⭐</w:t>
            </w:r>
          </w:p>
        </w:tc>
        <w:tc>
          <w:tcPr>
            <w:tcW w:type="dxa" w:w="1440"/>
            <w:shd w:fill="FFDCE0" w:val="clear"/>
          </w:tcPr>
          <w:p>
            <w:r>
              <w:rPr>
                <w:sz w:val="17"/>
              </w:rPr>
              <w:t>2026-10-22</w:t>
            </w:r>
          </w:p>
        </w:tc>
        <w:tc>
          <w:tcPr>
            <w:tcW w:type="dxa" w:w="1440"/>
            <w:shd w:fill="FFDCE0" w:val="clear"/>
          </w:tcPr>
          <w:p>
            <w:r>
              <w:rPr>
                <w:sz w:val="17"/>
              </w:rPr>
              <w:t>6,497</w:t>
            </w:r>
          </w:p>
        </w:tc>
        <w:tc>
          <w:tcPr>
            <w:tcW w:type="dxa" w:w="1440"/>
            <w:shd w:fill="FFDCE0" w:val="clear"/>
          </w:tcPr>
          <w:p>
            <w:r>
              <w:rPr>
                <w:b/>
                <w:sz w:val="17"/>
              </w:rPr>
              <w:t>7,588</w:t>
            </w:r>
          </w:p>
        </w:tc>
        <w:tc>
          <w:tcPr>
            <w:tcW w:type="dxa" w:w="1440"/>
            <w:shd w:fill="FFDCE0" w:val="clear"/>
          </w:tcPr>
          <w:p>
            <w:r>
              <w:rPr>
                <w:sz w:val="17"/>
              </w:rPr>
              <w:t>8,679</w:t>
            </w:r>
          </w:p>
        </w:tc>
        <w:tc>
          <w:tcPr>
            <w:tcW w:type="dxa" w:w="1440"/>
            <w:shd w:fill="FFDCE0" w:val="clear"/>
          </w:tcPr>
          <w:p>
            <w:r>
              <w:rPr>
                <w:b/>
                <w:color w:val="C00000"/>
                <w:sz w:val="17"/>
              </w:rPr>
              <w:t>-2.7%</w:t>
            </w:r>
          </w:p>
        </w:tc>
      </w:tr>
      <w:tr>
        <w:tc>
          <w:tcPr>
            <w:tcW w:type="dxa" w:w="1440"/>
            <w:shd w:fill="FFDCE0" w:val="clear"/>
          </w:tcPr>
          <w:p>
            <w:r>
              <w:rPr>
                <w:sz w:val="17"/>
              </w:rPr>
              <w:t>J+9  ⭐</w:t>
            </w:r>
          </w:p>
        </w:tc>
        <w:tc>
          <w:tcPr>
            <w:tcW w:type="dxa" w:w="1440"/>
            <w:shd w:fill="FFDCE0" w:val="clear"/>
          </w:tcPr>
          <w:p>
            <w:r>
              <w:rPr>
                <w:sz w:val="17"/>
              </w:rPr>
              <w:t>2026-10-23</w:t>
            </w:r>
          </w:p>
        </w:tc>
        <w:tc>
          <w:tcPr>
            <w:tcW w:type="dxa" w:w="1440"/>
            <w:shd w:fill="FFDCE0" w:val="clear"/>
          </w:tcPr>
          <w:p>
            <w:r>
              <w:rPr>
                <w:sz w:val="17"/>
              </w:rPr>
              <w:t>6,406</w:t>
            </w:r>
          </w:p>
        </w:tc>
        <w:tc>
          <w:tcPr>
            <w:tcW w:type="dxa" w:w="1440"/>
            <w:shd w:fill="FFDCE0" w:val="clear"/>
          </w:tcPr>
          <w:p>
            <w:r>
              <w:rPr>
                <w:b/>
                <w:sz w:val="17"/>
              </w:rPr>
              <w:t>7,558</w:t>
            </w:r>
          </w:p>
        </w:tc>
        <w:tc>
          <w:tcPr>
            <w:tcW w:type="dxa" w:w="1440"/>
            <w:shd w:fill="FFDCE0" w:val="clear"/>
          </w:tcPr>
          <w:p>
            <w:r>
              <w:rPr>
                <w:sz w:val="17"/>
              </w:rPr>
              <w:t>8,711</w:t>
            </w:r>
          </w:p>
        </w:tc>
        <w:tc>
          <w:tcPr>
            <w:tcW w:type="dxa" w:w="1440"/>
            <w:shd w:fill="FFDCE0" w:val="clear"/>
          </w:tcPr>
          <w:p>
            <w:r>
              <w:rPr>
                <w:b/>
                <w:color w:val="C00000"/>
                <w:sz w:val="17"/>
              </w:rPr>
              <w:t>-3.1%</w:t>
            </w:r>
          </w:p>
        </w:tc>
      </w:tr>
      <w:tr>
        <w:tc>
          <w:tcPr>
            <w:tcW w:type="dxa" w:w="1440"/>
            <w:shd w:fill="FFDCE0" w:val="clear"/>
          </w:tcPr>
          <w:p>
            <w:r>
              <w:rPr>
                <w:sz w:val="17"/>
              </w:rPr>
              <w:t>J+10  ⭐</w:t>
            </w:r>
          </w:p>
        </w:tc>
        <w:tc>
          <w:tcPr>
            <w:tcW w:type="dxa" w:w="1440"/>
            <w:shd w:fill="FFDCE0" w:val="clear"/>
          </w:tcPr>
          <w:p>
            <w:r>
              <w:rPr>
                <w:sz w:val="17"/>
              </w:rPr>
              <w:t>2026-10-26</w:t>
            </w:r>
          </w:p>
        </w:tc>
        <w:tc>
          <w:tcPr>
            <w:tcW w:type="dxa" w:w="1440"/>
            <w:shd w:fill="FFDCE0" w:val="clear"/>
          </w:tcPr>
          <w:p>
            <w:r>
              <w:rPr>
                <w:sz w:val="17"/>
              </w:rPr>
              <w:t>6,319</w:t>
            </w:r>
          </w:p>
        </w:tc>
        <w:tc>
          <w:tcPr>
            <w:tcW w:type="dxa" w:w="1440"/>
            <w:shd w:fill="FFDCE0" w:val="clear"/>
          </w:tcPr>
          <w:p>
            <w:r>
              <w:rPr>
                <w:b/>
                <w:sz w:val="17"/>
              </w:rPr>
              <w:t>7,529</w:t>
            </w:r>
          </w:p>
        </w:tc>
        <w:tc>
          <w:tcPr>
            <w:tcW w:type="dxa" w:w="1440"/>
            <w:shd w:fill="FFDCE0" w:val="clear"/>
          </w:tcPr>
          <w:p>
            <w:r>
              <w:rPr>
                <w:sz w:val="17"/>
              </w:rPr>
              <w:t>8,739</w:t>
            </w:r>
          </w:p>
        </w:tc>
        <w:tc>
          <w:tcPr>
            <w:tcW w:type="dxa" w:w="1440"/>
            <w:shd w:fill="FFDCE0" w:val="clear"/>
          </w:tcPr>
          <w:p>
            <w:r>
              <w:rPr>
                <w:b/>
                <w:color w:val="C00000"/>
                <w:sz w:val="17"/>
              </w:rPr>
              <w:t>-3.5%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*Bourse Régionale des Valeurs Mobilières (BRVM) — Secteur : Agro-industrie / Hévéa*</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199,35 milliards FCFA, SPHC s'impose comme une valeur de premier plan de la cote BRVM, représentant un pilier du compartiment agro-industriel régional. Le BPA de 977 FCFA/action signifie que chaque titre génère près d'un millier de francs de bénéfice net, un niveau de rentabilité par action solide pour le marché ouest-africain. Le PER de 8,0x place le titre légèrement sous la moyenne BRVM (8-12x), suggérant une valorisation raisonnable voire une légère sous-évaluation au regard des bénéfices dégagés. Le P/B de 1,45x indique que le marché valorise l'entreprise à 45% au-dessus de sa valeur comptable, ce qui reste dans une fourchette saine (1-2x) reflétant la qualité des actifs industriels. Enfin, l'EV/EBITDA de 5,0x traduit une valeur d'entreprise modérée par rapport à sa capacité opérationnelle, signalant que le marché n'intègre pas de prime spéculative excessive dans le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SPHC affiche une progression totale de +13,87%, bien que la dernière séance (J-1) enregistre un repli de -2,50%, marquant une pause dans la dynamique haussière. Le cours actuel de 7 800 FCFA se situe dans la partie médiane du range de trading, entre un plus bas de 6 850 FCFA et un plus haut de 10 300 FCFA, ce qui témoigne d'une volatilité intra-période significative avec un retracement partiel depuis les sommets. La moyenne (7 916 FCFA) est légèrement supérieure à la médiane (7 675 FCFA), confirmant une asymétrie positive de la distribution, tandis que le mode à 7 500 FCFA indique un point d'équilibre psychologique fréquemment testé. L'écart-type de 739 FCFA (CV = 9,3%) traduit une dispersion modérée du cours autour de sa moyenne, mais le kurtosis de 1,840 (leptokurtique) signale des queues épaisses et un risque de pics de volatilité brutaux. Le skewness de 1,488 (asymétrie positive) indique que les journées sous la moyenne sont plus fréquentes mais que les hausses, lorsqu'elles surviennent, sont plus amples — un profil typique de titre en consolidation après un rallye. La volatilité annualisée de 43,4% classe SPHC dans la catégorie des titres à volatilité élevée (&gt;30%), ce qui implique un risque de marché conséquent et justifie une approche prudente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(7 905 FCFA) est légèrement supérieure au cours actuel (7 800 FCFA), tandis que la MM50 (8 350,8 FCFA) se situe nettement au-dessus, créant une configuration baissière où le cours évolue sous ses deux moyennes. Cette disposition traduit une pression vendeuse persistante à moyen terme, justifiant la décision technique de **Vente** émise par le croisement des moyennes.</w:t>
      </w:r>
    </w:p>
    <w:p>
      <w:pPr>
        <w:spacing w:after="120" w:line="276" w:lineRule="auto"/>
      </w:pPr>
      <w:r>
        <w:t>**Bandes de Bollinger** : Le cours (7 800 FCFA) se situe entre la borne inférieure (7 532,54 FCFA) et la borne supérieure (8 277,46 FCFA), plus proche de la borne basse, ce qui indique une position neutre à légèrement baissière. L'amplitude des bandes reflète une volatilité modérée, et l'absence de cassure de borne justifie la décision **Neutre** — le titre n'est ni en survente extrême ni en surachat.</w:t>
      </w:r>
    </w:p>
    <w:p>
      <w:pPr>
        <w:spacing w:after="120" w:line="276" w:lineRule="auto"/>
      </w:pPr>
      <w:r>
        <w:t>**MACD** : La valeur du MACD (-137,753) est supérieure à son signal (-165,54), générant un croisement haussier (MACD au-dessus du signal) bien que les deux restent en territoire négatif. Cette configuration indique un momentum baissier en voie d'essoufflement, avec une possible inflexion à venir, justifiant la décision d'**Achat** technique sur anticipation d'un retournement.</w:t>
      </w:r>
    </w:p>
    <w:p>
      <w:pPr>
        <w:spacing w:after="120" w:line="276" w:lineRule="auto"/>
      </w:pPr>
      <w:r>
        <w:t>**RSI** : À 51,42, le RSI se situe parfaitement dans la zone neutre (30-70), confirmant l'absence de pression acheteuse ou vendeuse dominante. Le titre n'est ni suracheté ni survendu, ce qui justifie la décision **Neutre** et suggère une phase de consolidation en cours.</w:t>
      </w:r>
    </w:p>
    <w:p>
      <w:pPr>
        <w:spacing w:after="120" w:line="276" w:lineRule="auto"/>
      </w:pPr>
      <w:r>
        <w:t>**Stochastique** : Le %K (54,545) est nettement inférieur au %D (81,818), signalant un croisement baissier en zone haute — le %D en territoire de surachat (&gt;80) indique une perte de momentum haussier. Cette configuration plaide pour une prudence à court terme, bien que la décision affichée soit **Neutre** en raison de la position encore médiane du %K.</w:t>
      </w:r>
    </w:p>
    <w:p>
      <w:pPr>
        <w:spacing w:after="120" w:line="276" w:lineRule="auto"/>
      </w:pPr>
      <w:r>
        <w:t>**Conclusion technique** : Les indicateurs techniques présentent un tableau mitigé — le MACD suggère un potentiel retournement haussier, mais les moyennes mobiles en configuration baissière et le stochastique en zone de surachat tempèrent cet optimisme. Le RSI neutre et les Bandes de Bollinger sans cassure confirment une phase d'indécision, avec un léger avantage aux vendeurs à court terme. La convergence partielle des signaux invite à la prudence avant toute décision d'investissement agressive.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(états financiers annuels 2025)** : En 2025, SPHC a réalisé un chiffre d'affaires de 340,831 milliards FCFA, en croissance de 21,97% par rapport à 2024 (279,44 milliards FCFA), portée par une hausse des volumes vendus (+16,8%) et des prix moyens (+17,6%). Le résultat net s'établit à 24,972 milliards FCFA, en progression de 32,9%, avec une marge nette de 7,33% (contre 6,7% en 2024). Le ROE atteint 18,10% (&gt;15% = excellent), confirmant la rentabilité des fonds propres, tandis que le ROA de 11,06% traduit une bonne efficacité dans l'utilisation des actifs. La structure financière est solide avec une autonomie financière de 61,08% et un ratio d'endettement maîtrisé de 25,81%. Cependant, la trésorerie nette est négative (-15,413 milliards FCFA), et le BFR de 65,389 milliards FCFA (positif) indique un besoin de financement du cycle d'exploitation, avec des délais clients de 35 jours et une durée de stockage de 72,33 jours — ce dernier point représentant un risque de trésorerie à surveiller.</w:t>
      </w:r>
    </w:p>
    <w:p>
      <w:pPr>
        <w:spacing w:after="120" w:line="276" w:lineRule="auto"/>
      </w:pPr>
      <w:r>
        <w:t>**Adaptation au secteur (entreprise non bancaire)** : SPHC opère dans l'agro-industrie (hévéa), un secteur capitalistique où les immobilisations corporelles (108,024 milliards FCFA) représentent près de la moitié du total actif (225,843 milliards FCFA). La rotation des actifs de 150,92% est satisfaisante, mais la dépendance aux produits fabriqués (98,6% du CA) expose l'entreprise aux cycles des matières premières. Le BFR positif et la trésorerie négative nécessitent une surveillance accrue, bien que la couverture des intérêts (1 094,57%) et la capacité de remboursement (0,97 an) offrent une marge de sécurité confortable.</w:t>
      </w:r>
    </w:p>
    <w:p>
      <w:pPr>
        <w:spacing w:after="120" w:line="276" w:lineRule="auto"/>
      </w:pPr>
      <w:r>
        <w:t>**Estimations basées sur les rapports trimestriels** : Le rapport T1 2026 (publié en 2026) révèle un chiffre d'affaires de 71,8 milliards FCFA (-24%) et un résultat net de 2,6 milliards FCFA (-78%), pénalisé par la chute des cours mondiaux du caoutchouc (-17%) et l'engorgement du port de San Pedro. Sur la base de ce rapport, on estime que l'exercice 2026 devrait afficher une contraction significative de la rentabilité par rapport à 2025, avec une marge nette réduite à 4% au T1. Toutefois, le rapport T3 2025 (daté du 30/09/2025) indiquait déjà une croissance de +36% du CA et un résultat net de 23,2 milliards FCFA (+131%), confirmant la volatilité extrême des performances trimestrielles. Les perspectives pour 2026 restent incertaines, avec une possible stabilisation au S2 si les cours du caoutchouc se redressent.</w:t>
      </w:r>
    </w:p>
    <w:p>
      <w:pPr>
        <w:spacing w:after="120" w:line="276" w:lineRule="auto"/>
      </w:pPr>
      <w:r>
        <w:t>**Évolution pluriannuelle** : Entre 2022 et 2025, SPHC a connu une transformation remarquable — le résultat net est passé de 16,7 milliards FCFA (2022) à 24,97 milliards FCFA (2025), avec une marge nette oscillant entre 6,7% et 9%. La politique de dividende s'est renforcée, avec un DPA proposé de 489 FCFA/action en 2025 (contre 64,5 FCFA en 2024), soit une hausse de 32,7%, et un taux de distribution stable à 50,1%.</w:t>
      </w:r>
    </w:p>
    <w:p>
      <w:pPr>
        <w:spacing w:after="120" w:line="276" w:lineRule="auto"/>
      </w:pPr>
      <w:r>
        <w:t>**Recommandation fondamentale** : SPHC présente des fondamentaux solides (ROE 18,1%, autonomie financière 61%), mais les risques structurels (trésorerie négative, dépendance sectorielle, volatilité des cours) et la dégradation récente au T1 2026 justifient une **approche prudente**. La recommandation est de **CONSERVER** avec une surveillance active des indicateurs de trésorerie et des cours mondiaux du caoutchouc.</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SPHC (PER 8,0x, P/B 1,45x, EV/EBITDA 5,0x) suggère une légère sous-évaluation par rapport aux bénéfices et à la capacité opérationnelle, offrant un point d'entrée raisonnable pour les investisseurs à long terme. Cependant, le comportement du cours sur 100 jours (+13,87% mais -2,50% en J-1) révèle une dynamique haussière fragilisée, avec une volatilité élevée (43,4%) et un kurtosis leptokurtique (1,840) signalant un risque de pics baissiers brutaux. Les signaux techniques sont mitigés — le MACD suggère un potentiel retournement haussier, mais les moyennes mobiles en configuration baissière et le stochastique en surachat tempèrent cet optimisme, tandis que le RSI neutre (51,42) confirme l'indécision. Les fondamentaux restent solides (ROE 18,1%, croissance du CA de +22% en 2025), mais la dégradation au T1 2026 (CA -24%, résultat net -78%) et la trésorerie négative (-15,4 milliards FCFA) constituent des signaux d'alerte. Les prédictions IA (J+1 à J+10 : 7 831 → 7 684 FCFA) anticipent une légère tendance baissière à court terme, contredisant le signal d'achat du MACD mais confirmant la pression vendeuse des moyennes mobiles. **Synthèse globale** : La convergence entre la valorisation attractive, les fondamentaux solides mais dégradés à court terme, et les signaux techniques mitigés plaide pour une **recommandation de CONSERVER**. Le niveau de confiance est **Moyen** (incertitude sur les cours du caoutchouc et la trésorerie), le risque global est **Élevé** (volatilité 43,4%, dépendance sectorielle), et l'horizon optimal est **moyen terme (3-12 mois)** , en attendant une clarification sur les perspectives 2026 et une stabilisation des cours mondiaux. Une recommandation d'ACHAT pourrait être envisagée si le titre casse la résistance des 8 350 FCFA (MM50) avec confirmation des volumes, ou si les prochains rapports trimestriels (T2/T3 2026) confirment un redressement de la rentabilité.</w:t>
      </w:r>
    </w:p>
    <w:p>
      <w:pPr>
        <w:spacing w:after="120" w:line="276" w:lineRule="auto"/>
      </w:pPr>
      <w:r>
        <w:t>---</w:t>
      </w:r>
    </w:p>
    <w:p>
      <w:pPr>
        <w:spacing w:after="120" w:line="276" w:lineRule="auto"/>
      </w:pPr>
      <w:r>
        <w:t>*Fin du rapport — SPHC (SAPH CI) — BRVM — Octobre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43.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26.95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6,252 titres</w:t>
            </w:r>
          </w:p>
        </w:tc>
        <w:tc>
          <w:tcPr>
            <w:tcW w:type="dxa" w:w="2268"/>
            <w:shd w:fill="FFF2CC" w:val="clear"/>
          </w:tcPr>
          <w:p>
            <w:r>
              <w:rPr>
                <w:b/>
                <w:color w:val="503200"/>
                <w:sz w:val="16"/>
              </w:rPr>
              <w:t xml:space="preserve">Cours actuel : </w:t>
            </w:r>
            <w:r>
              <w:rPr>
                <w:color w:val="000000"/>
                <w:sz w:val="17"/>
              </w:rPr>
              <w:t>2,005 FCFA</w:t>
            </w:r>
          </w:p>
          <w:p>
            <w:r>
              <w:rPr>
                <w:b/>
                <w:color w:val="503200"/>
                <w:sz w:val="16"/>
              </w:rPr>
              <w:t xml:space="preserve">Var. 100 jours : </w:t>
            </w:r>
            <w:r>
              <w:rPr>
                <w:b/>
                <w:color w:val="B40000"/>
                <w:sz w:val="17"/>
              </w:rPr>
              <w:t>-28.90%</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2,005 FCFA</w:t>
            </w:r>
          </w:p>
          <w:p>
            <w:r>
              <w:rPr>
                <w:b/>
                <w:color w:val="503200"/>
                <w:sz w:val="16"/>
              </w:rPr>
              <w:t xml:space="preserve">Volatilité ann. : </w:t>
            </w:r>
            <w:r>
              <w:rPr>
                <w:color w:val="000000"/>
                <w:sz w:val="17"/>
              </w:rPr>
              <w:t>60.7%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15.56% (Élevée) — μ=2,833 FCFA, σ=441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β=-0.0800 (Contre-cyclique) — Cov=-0.000006, Var(idx)=0.000073, ρ=-0.018,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6,252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σ_j=3.82%/j (Modérée) — Vol. annualisée≈60.7%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9287"/>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2026-10-13</w:t>
            </w:r>
          </w:p>
        </w:tc>
        <w:tc>
          <w:tcPr>
            <w:tcW w:type="dxa" w:w="1440"/>
            <w:shd w:fill="FAFAFA" w:val="clear"/>
          </w:tcPr>
          <w:p>
            <w:r>
              <w:rPr>
                <w:sz w:val="17"/>
              </w:rPr>
              <w:t>1,875</w:t>
            </w:r>
          </w:p>
        </w:tc>
        <w:tc>
          <w:tcPr>
            <w:tcW w:type="dxa" w:w="1440"/>
            <w:shd w:fill="FAFAFA" w:val="clear"/>
          </w:tcPr>
          <w:p>
            <w:r>
              <w:rPr>
                <w:b/>
                <w:sz w:val="17"/>
              </w:rPr>
              <w:t>2,017</w:t>
            </w:r>
          </w:p>
        </w:tc>
        <w:tc>
          <w:tcPr>
            <w:tcW w:type="dxa" w:w="1440"/>
            <w:shd w:fill="FAFAFA" w:val="clear"/>
          </w:tcPr>
          <w:p>
            <w:r>
              <w:rPr>
                <w:sz w:val="17"/>
              </w:rPr>
              <w:t>2,158</w:t>
            </w:r>
          </w:p>
        </w:tc>
        <w:tc>
          <w:tcPr>
            <w:tcW w:type="dxa" w:w="1440"/>
            <w:shd w:fill="FAFAFA" w:val="clear"/>
          </w:tcPr>
          <w:p>
            <w:r>
              <w:rPr>
                <w:b/>
                <w:color w:val="008000"/>
                <w:sz w:val="17"/>
              </w:rPr>
              <w:t>+0.6%</w:t>
            </w:r>
          </w:p>
        </w:tc>
      </w:tr>
      <w:tr>
        <w:tc>
          <w:tcPr>
            <w:tcW w:type="dxa" w:w="1440"/>
            <w:shd w:fill="FAFAFA" w:val="clear"/>
          </w:tcPr>
          <w:p>
            <w:r>
              <w:rPr>
                <w:sz w:val="17"/>
              </w:rPr>
              <w:t>J+2  Moyenne</w:t>
            </w:r>
          </w:p>
        </w:tc>
        <w:tc>
          <w:tcPr>
            <w:tcW w:type="dxa" w:w="1440"/>
            <w:shd w:fill="FAFAFA" w:val="clear"/>
          </w:tcPr>
          <w:p>
            <w:r>
              <w:rPr>
                <w:sz w:val="17"/>
              </w:rPr>
              <w:t>2026-10-14</w:t>
            </w:r>
          </w:p>
        </w:tc>
        <w:tc>
          <w:tcPr>
            <w:tcW w:type="dxa" w:w="1440"/>
            <w:shd w:fill="FAFAFA" w:val="clear"/>
          </w:tcPr>
          <w:p>
            <w:r>
              <w:rPr>
                <w:sz w:val="17"/>
              </w:rPr>
              <w:t>1,798</w:t>
            </w:r>
          </w:p>
        </w:tc>
        <w:tc>
          <w:tcPr>
            <w:tcW w:type="dxa" w:w="1440"/>
            <w:shd w:fill="FAFAFA" w:val="clear"/>
          </w:tcPr>
          <w:p>
            <w:r>
              <w:rPr>
                <w:b/>
                <w:sz w:val="17"/>
              </w:rPr>
              <w:t>1,997</w:t>
            </w:r>
          </w:p>
        </w:tc>
        <w:tc>
          <w:tcPr>
            <w:tcW w:type="dxa" w:w="1440"/>
            <w:shd w:fill="FAFAFA" w:val="clear"/>
          </w:tcPr>
          <w:p>
            <w:r>
              <w:rPr>
                <w:sz w:val="17"/>
              </w:rPr>
              <w:t>2,196</w:t>
            </w:r>
          </w:p>
        </w:tc>
        <w:tc>
          <w:tcPr>
            <w:tcW w:type="dxa" w:w="1440"/>
            <w:shd w:fill="FAFAFA" w:val="clear"/>
          </w:tcPr>
          <w:p>
            <w:r>
              <w:rPr>
                <w:b/>
                <w:color w:val="C00000"/>
                <w:sz w:val="17"/>
              </w:rPr>
              <w:t>-0.4%</w:t>
            </w:r>
          </w:p>
        </w:tc>
      </w:tr>
      <w:tr>
        <w:tc>
          <w:tcPr>
            <w:tcW w:type="dxa" w:w="1440"/>
            <w:shd w:fill="FAFAFA" w:val="clear"/>
          </w:tcPr>
          <w:p>
            <w:r>
              <w:rPr>
                <w:sz w:val="17"/>
              </w:rPr>
              <w:t>J+3  Moyenne</w:t>
            </w:r>
          </w:p>
        </w:tc>
        <w:tc>
          <w:tcPr>
            <w:tcW w:type="dxa" w:w="1440"/>
            <w:shd w:fill="FAFAFA" w:val="clear"/>
          </w:tcPr>
          <w:p>
            <w:r>
              <w:rPr>
                <w:sz w:val="17"/>
              </w:rPr>
              <w:t>2026-10-15</w:t>
            </w:r>
          </w:p>
        </w:tc>
        <w:tc>
          <w:tcPr>
            <w:tcW w:type="dxa" w:w="1440"/>
            <w:shd w:fill="FAFAFA" w:val="clear"/>
          </w:tcPr>
          <w:p>
            <w:r>
              <w:rPr>
                <w:sz w:val="17"/>
              </w:rPr>
              <w:t>1,751</w:t>
            </w:r>
          </w:p>
        </w:tc>
        <w:tc>
          <w:tcPr>
            <w:tcW w:type="dxa" w:w="1440"/>
            <w:shd w:fill="FAFAFA" w:val="clear"/>
          </w:tcPr>
          <w:p>
            <w:r>
              <w:rPr>
                <w:b/>
                <w:sz w:val="17"/>
              </w:rPr>
              <w:t>1,994</w:t>
            </w:r>
          </w:p>
        </w:tc>
        <w:tc>
          <w:tcPr>
            <w:tcW w:type="dxa" w:w="1440"/>
            <w:shd w:fill="FAFAFA" w:val="clear"/>
          </w:tcPr>
          <w:p>
            <w:r>
              <w:rPr>
                <w:sz w:val="17"/>
              </w:rPr>
              <w:t>2,237</w:t>
            </w:r>
          </w:p>
        </w:tc>
        <w:tc>
          <w:tcPr>
            <w:tcW w:type="dxa" w:w="1440"/>
            <w:shd w:fill="FAFAFA" w:val="clear"/>
          </w:tcPr>
          <w:p>
            <w:r>
              <w:rPr>
                <w:b/>
                <w:color w:val="C00000"/>
                <w:sz w:val="17"/>
              </w:rPr>
              <w:t>-0.5%</w:t>
            </w:r>
          </w:p>
        </w:tc>
      </w:tr>
      <w:tr>
        <w:tc>
          <w:tcPr>
            <w:tcW w:type="dxa" w:w="1440"/>
            <w:shd w:fill="FAFAFA" w:val="clear"/>
          </w:tcPr>
          <w:p>
            <w:r>
              <w:rPr>
                <w:sz w:val="17"/>
              </w:rPr>
              <w:t>J+4  ⭐</w:t>
            </w:r>
          </w:p>
        </w:tc>
        <w:tc>
          <w:tcPr>
            <w:tcW w:type="dxa" w:w="1440"/>
            <w:shd w:fill="FAFAFA" w:val="clear"/>
          </w:tcPr>
          <w:p>
            <w:r>
              <w:rPr>
                <w:sz w:val="17"/>
              </w:rPr>
              <w:t>2026-10-16</w:t>
            </w:r>
          </w:p>
        </w:tc>
        <w:tc>
          <w:tcPr>
            <w:tcW w:type="dxa" w:w="1440"/>
            <w:shd w:fill="FAFAFA" w:val="clear"/>
          </w:tcPr>
          <w:p>
            <w:r>
              <w:rPr>
                <w:sz w:val="17"/>
              </w:rPr>
              <w:t>1,717</w:t>
            </w:r>
          </w:p>
        </w:tc>
        <w:tc>
          <w:tcPr>
            <w:tcW w:type="dxa" w:w="1440"/>
            <w:shd w:fill="FAFAFA" w:val="clear"/>
          </w:tcPr>
          <w:p>
            <w:r>
              <w:rPr>
                <w:b/>
                <w:sz w:val="17"/>
              </w:rPr>
              <w:t>1,998</w:t>
            </w:r>
          </w:p>
        </w:tc>
        <w:tc>
          <w:tcPr>
            <w:tcW w:type="dxa" w:w="1440"/>
            <w:shd w:fill="FAFAFA" w:val="clear"/>
          </w:tcPr>
          <w:p>
            <w:r>
              <w:rPr>
                <w:sz w:val="17"/>
              </w:rPr>
              <w:t>2,279</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2026-10-19</w:t>
            </w:r>
          </w:p>
        </w:tc>
        <w:tc>
          <w:tcPr>
            <w:tcW w:type="dxa" w:w="1440"/>
            <w:shd w:fill="FAFAFA" w:val="clear"/>
          </w:tcPr>
          <w:p>
            <w:r>
              <w:rPr>
                <w:sz w:val="17"/>
              </w:rPr>
              <w:t>1,690</w:t>
            </w:r>
          </w:p>
        </w:tc>
        <w:tc>
          <w:tcPr>
            <w:tcW w:type="dxa" w:w="1440"/>
            <w:shd w:fill="FAFAFA" w:val="clear"/>
          </w:tcPr>
          <w:p>
            <w:r>
              <w:rPr>
                <w:b/>
                <w:sz w:val="17"/>
              </w:rPr>
              <w:t>2,005</w:t>
            </w:r>
          </w:p>
        </w:tc>
        <w:tc>
          <w:tcPr>
            <w:tcW w:type="dxa" w:w="1440"/>
            <w:shd w:fill="FAFAFA" w:val="clear"/>
          </w:tcPr>
          <w:p>
            <w:r>
              <w:rPr>
                <w:sz w:val="17"/>
              </w:rPr>
              <w:t>2,320</w:t>
            </w:r>
          </w:p>
        </w:tc>
        <w:tc>
          <w:tcPr>
            <w:tcW w:type="dxa" w:w="1440"/>
            <w:shd w:fill="FAFAFA" w:val="clear"/>
          </w:tcPr>
          <w:p>
            <w:r>
              <w:rPr>
                <w:b/>
                <w:color w:val="C00000"/>
                <w:sz w:val="17"/>
              </w:rPr>
              <w:t>-0.0%</w:t>
            </w:r>
          </w:p>
        </w:tc>
      </w:tr>
      <w:tr>
        <w:tc>
          <w:tcPr>
            <w:tcW w:type="dxa" w:w="1440"/>
            <w:shd w:fill="FAFAFA" w:val="clear"/>
          </w:tcPr>
          <w:p>
            <w:r>
              <w:rPr>
                <w:sz w:val="17"/>
              </w:rPr>
              <w:t>J+6  ⭐</w:t>
            </w:r>
          </w:p>
        </w:tc>
        <w:tc>
          <w:tcPr>
            <w:tcW w:type="dxa" w:w="1440"/>
            <w:shd w:fill="FAFAFA" w:val="clear"/>
          </w:tcPr>
          <w:p>
            <w:r>
              <w:rPr>
                <w:sz w:val="17"/>
              </w:rPr>
              <w:t>2026-10-20</w:t>
            </w:r>
          </w:p>
        </w:tc>
        <w:tc>
          <w:tcPr>
            <w:tcW w:type="dxa" w:w="1440"/>
            <w:shd w:fill="FAFAFA" w:val="clear"/>
          </w:tcPr>
          <w:p>
            <w:r>
              <w:rPr>
                <w:sz w:val="17"/>
              </w:rPr>
              <w:t>1,666</w:t>
            </w:r>
          </w:p>
        </w:tc>
        <w:tc>
          <w:tcPr>
            <w:tcW w:type="dxa" w:w="1440"/>
            <w:shd w:fill="FAFAFA" w:val="clear"/>
          </w:tcPr>
          <w:p>
            <w:r>
              <w:rPr>
                <w:b/>
                <w:sz w:val="17"/>
              </w:rPr>
              <w:t>2,013</w:t>
            </w:r>
          </w:p>
        </w:tc>
        <w:tc>
          <w:tcPr>
            <w:tcW w:type="dxa" w:w="1440"/>
            <w:shd w:fill="FAFAFA" w:val="clear"/>
          </w:tcPr>
          <w:p>
            <w:r>
              <w:rPr>
                <w:sz w:val="17"/>
              </w:rPr>
              <w:t>2,359</w:t>
            </w:r>
          </w:p>
        </w:tc>
        <w:tc>
          <w:tcPr>
            <w:tcW w:type="dxa" w:w="1440"/>
            <w:shd w:fill="FAFAFA" w:val="clear"/>
          </w:tcPr>
          <w:p>
            <w:r>
              <w:rPr>
                <w:b/>
                <w:color w:val="008000"/>
                <w:sz w:val="17"/>
              </w:rPr>
              <w:t>+0.4%</w:t>
            </w:r>
          </w:p>
        </w:tc>
      </w:tr>
      <w:tr>
        <w:tc>
          <w:tcPr>
            <w:tcW w:type="dxa" w:w="1440"/>
            <w:shd w:fill="FAFAFA" w:val="clear"/>
          </w:tcPr>
          <w:p>
            <w:r>
              <w:rPr>
                <w:sz w:val="17"/>
              </w:rPr>
              <w:t>J+7  ⭐</w:t>
            </w:r>
          </w:p>
        </w:tc>
        <w:tc>
          <w:tcPr>
            <w:tcW w:type="dxa" w:w="1440"/>
            <w:shd w:fill="FAFAFA" w:val="clear"/>
          </w:tcPr>
          <w:p>
            <w:r>
              <w:rPr>
                <w:sz w:val="17"/>
              </w:rPr>
              <w:t>2026-10-21</w:t>
            </w:r>
          </w:p>
        </w:tc>
        <w:tc>
          <w:tcPr>
            <w:tcW w:type="dxa" w:w="1440"/>
            <w:shd w:fill="FAFAFA" w:val="clear"/>
          </w:tcPr>
          <w:p>
            <w:r>
              <w:rPr>
                <w:sz w:val="17"/>
              </w:rPr>
              <w:t>1,644</w:t>
            </w:r>
          </w:p>
        </w:tc>
        <w:tc>
          <w:tcPr>
            <w:tcW w:type="dxa" w:w="1440"/>
            <w:shd w:fill="FAFAFA" w:val="clear"/>
          </w:tcPr>
          <w:p>
            <w:r>
              <w:rPr>
                <w:b/>
                <w:sz w:val="17"/>
              </w:rPr>
              <w:t>2,020</w:t>
            </w:r>
          </w:p>
        </w:tc>
        <w:tc>
          <w:tcPr>
            <w:tcW w:type="dxa" w:w="1440"/>
            <w:shd w:fill="FAFAFA" w:val="clear"/>
          </w:tcPr>
          <w:p>
            <w:r>
              <w:rPr>
                <w:sz w:val="17"/>
              </w:rPr>
              <w:t>2,396</w:t>
            </w:r>
          </w:p>
        </w:tc>
        <w:tc>
          <w:tcPr>
            <w:tcW w:type="dxa" w:w="1440"/>
            <w:shd w:fill="FAFAFA" w:val="clear"/>
          </w:tcPr>
          <w:p>
            <w:r>
              <w:rPr>
                <w:b/>
                <w:color w:val="008000"/>
                <w:sz w:val="17"/>
              </w:rPr>
              <w:t>+0.8%</w:t>
            </w:r>
          </w:p>
        </w:tc>
      </w:tr>
      <w:tr>
        <w:tc>
          <w:tcPr>
            <w:tcW w:type="dxa" w:w="1440"/>
            <w:shd w:fill="FAFAFA" w:val="clear"/>
          </w:tcPr>
          <w:p>
            <w:r>
              <w:rPr>
                <w:sz w:val="17"/>
              </w:rPr>
              <w:t>J+8  ⭐</w:t>
            </w:r>
          </w:p>
        </w:tc>
        <w:tc>
          <w:tcPr>
            <w:tcW w:type="dxa" w:w="1440"/>
            <w:shd w:fill="FAFAFA" w:val="clear"/>
          </w:tcPr>
          <w:p>
            <w:r>
              <w:rPr>
                <w:sz w:val="17"/>
              </w:rPr>
              <w:t>2026-10-22</w:t>
            </w:r>
          </w:p>
        </w:tc>
        <w:tc>
          <w:tcPr>
            <w:tcW w:type="dxa" w:w="1440"/>
            <w:shd w:fill="FAFAFA" w:val="clear"/>
          </w:tcPr>
          <w:p>
            <w:r>
              <w:rPr>
                <w:sz w:val="17"/>
              </w:rPr>
              <w:t>1,624</w:t>
            </w:r>
          </w:p>
        </w:tc>
        <w:tc>
          <w:tcPr>
            <w:tcW w:type="dxa" w:w="1440"/>
            <w:shd w:fill="FAFAFA" w:val="clear"/>
          </w:tcPr>
          <w:p>
            <w:r>
              <w:rPr>
                <w:b/>
                <w:sz w:val="17"/>
              </w:rPr>
              <w:t>2,028</w:t>
            </w:r>
          </w:p>
        </w:tc>
        <w:tc>
          <w:tcPr>
            <w:tcW w:type="dxa" w:w="1440"/>
            <w:shd w:fill="FAFAFA" w:val="clear"/>
          </w:tcPr>
          <w:p>
            <w:r>
              <w:rPr>
                <w:sz w:val="17"/>
              </w:rPr>
              <w:t>2,431</w:t>
            </w:r>
          </w:p>
        </w:tc>
        <w:tc>
          <w:tcPr>
            <w:tcW w:type="dxa" w:w="1440"/>
            <w:shd w:fill="FAFAFA" w:val="clear"/>
          </w:tcPr>
          <w:p>
            <w:r>
              <w:rPr>
                <w:b/>
                <w:color w:val="008000"/>
                <w:sz w:val="17"/>
              </w:rPr>
              <w:t>+1.1%</w:t>
            </w:r>
          </w:p>
        </w:tc>
      </w:tr>
      <w:tr>
        <w:tc>
          <w:tcPr>
            <w:tcW w:type="dxa" w:w="1440"/>
            <w:shd w:fill="FAFAFA" w:val="clear"/>
          </w:tcPr>
          <w:p>
            <w:r>
              <w:rPr>
                <w:sz w:val="17"/>
              </w:rPr>
              <w:t>J+9  ⭐</w:t>
            </w:r>
          </w:p>
        </w:tc>
        <w:tc>
          <w:tcPr>
            <w:tcW w:type="dxa" w:w="1440"/>
            <w:shd w:fill="FAFAFA" w:val="clear"/>
          </w:tcPr>
          <w:p>
            <w:r>
              <w:rPr>
                <w:sz w:val="17"/>
              </w:rPr>
              <w:t>2026-10-23</w:t>
            </w:r>
          </w:p>
        </w:tc>
        <w:tc>
          <w:tcPr>
            <w:tcW w:type="dxa" w:w="1440"/>
            <w:shd w:fill="FAFAFA" w:val="clear"/>
          </w:tcPr>
          <w:p>
            <w:r>
              <w:rPr>
                <w:sz w:val="17"/>
              </w:rPr>
              <w:t>1,605</w:t>
            </w:r>
          </w:p>
        </w:tc>
        <w:tc>
          <w:tcPr>
            <w:tcW w:type="dxa" w:w="1440"/>
            <w:shd w:fill="FAFAFA" w:val="clear"/>
          </w:tcPr>
          <w:p>
            <w:r>
              <w:rPr>
                <w:b/>
                <w:sz w:val="17"/>
              </w:rPr>
              <w:t>2,034</w:t>
            </w:r>
          </w:p>
        </w:tc>
        <w:tc>
          <w:tcPr>
            <w:tcW w:type="dxa" w:w="1440"/>
            <w:shd w:fill="FAFAFA" w:val="clear"/>
          </w:tcPr>
          <w:p>
            <w:r>
              <w:rPr>
                <w:sz w:val="17"/>
              </w:rPr>
              <w:t>2,464</w:t>
            </w:r>
          </w:p>
        </w:tc>
        <w:tc>
          <w:tcPr>
            <w:tcW w:type="dxa" w:w="1440"/>
            <w:shd w:fill="FAFAFA" w:val="clear"/>
          </w:tcPr>
          <w:p>
            <w:r>
              <w:rPr>
                <w:b/>
                <w:color w:val="008000"/>
                <w:sz w:val="17"/>
              </w:rPr>
              <w:t>+1.5%</w:t>
            </w:r>
          </w:p>
        </w:tc>
      </w:tr>
      <w:tr>
        <w:tc>
          <w:tcPr>
            <w:tcW w:type="dxa" w:w="1440"/>
            <w:shd w:fill="FAFAFA" w:val="clear"/>
          </w:tcPr>
          <w:p>
            <w:r>
              <w:rPr>
                <w:sz w:val="17"/>
              </w:rPr>
              <w:t>J+10  ⭐</w:t>
            </w:r>
          </w:p>
        </w:tc>
        <w:tc>
          <w:tcPr>
            <w:tcW w:type="dxa" w:w="1440"/>
            <w:shd w:fill="FAFAFA" w:val="clear"/>
          </w:tcPr>
          <w:p>
            <w:r>
              <w:rPr>
                <w:sz w:val="17"/>
              </w:rPr>
              <w:t>2026-10-26</w:t>
            </w:r>
          </w:p>
        </w:tc>
        <w:tc>
          <w:tcPr>
            <w:tcW w:type="dxa" w:w="1440"/>
            <w:shd w:fill="FAFAFA" w:val="clear"/>
          </w:tcPr>
          <w:p>
            <w:r>
              <w:rPr>
                <w:sz w:val="17"/>
              </w:rPr>
              <w:t>1,587</w:t>
            </w:r>
          </w:p>
        </w:tc>
        <w:tc>
          <w:tcPr>
            <w:tcW w:type="dxa" w:w="1440"/>
            <w:shd w:fill="FAFAFA" w:val="clear"/>
          </w:tcPr>
          <w:p>
            <w:r>
              <w:rPr>
                <w:b/>
                <w:sz w:val="17"/>
              </w:rPr>
              <w:t>2,041</w:t>
            </w:r>
          </w:p>
        </w:tc>
        <w:tc>
          <w:tcPr>
            <w:tcW w:type="dxa" w:w="1440"/>
            <w:shd w:fill="FAFAFA" w:val="clear"/>
          </w:tcPr>
          <w:p>
            <w:r>
              <w:rPr>
                <w:sz w:val="17"/>
              </w:rPr>
              <w:t>2,495</w:t>
            </w:r>
          </w:p>
        </w:tc>
        <w:tc>
          <w:tcPr>
            <w:tcW w:type="dxa" w:w="1440"/>
            <w:shd w:fill="FAFAFA" w:val="clear"/>
          </w:tcPr>
          <w:p>
            <w:r>
              <w:rPr>
                <w:b/>
                <w:color w:val="008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ACTION STAC (SETAO)**</w:t>
        <w:br/>
        <w:t>**Bourse Régionale des Valeurs Mobilières (BRVM) — Secteur : BTP / Études &amp; Travaux**</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STAC s'élève à 26,95 milliards FCFA, un niveau modeste à l'échelle de la BRVM qui la classe parmi les petites capitalisations du compartiment industriel. Le BPA ressort à -7 FCFA par action, ce qui signifie que chaque titre détruit actuellement de la valeur comptable plutôt qu'il n'en génère, situation cohérente avec le résultat net déficitaire de -96,56 M FCFA enregistré en 2025. Le PER est mécaniquement négatif (-279,1x), le rendant ininterprétable en termes de multiple de bénéfices : la société ne dégage aucun profit, ce qui exclut toute comparaison avec le PER moyen de la BRVM (8-12x). Le ratio P/B de 75,54x constitue un signal d'alerte majeur : le marché valorise l'action à plus de 75 fois sa valeur comptable (capitaux propres de seulement 356,75 M FCFA), une prime totalement déconnectée des fondamentaux et qui traduit soit une anticipation spéculative de redressement, soit une anomalie de marché. En l'absence d'EBITDA positif (EBE de -650,13 M FCFA), le multiple EV/EBITDA n'est pas calculable, ce qui prive l'investisseur d'un repère de valorisation opérationnelle fiable.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STAC a enregistré une chute vertigineuse de -28,90%, avec une dernière séance particulièrement violente (-4,98% en J-1), portant le cours à 2 005 FCFA — soit exactement son plus bas de la période, ce qui signifie que le titre clôture au plancher de son range. Le plus haut atteint sur la période s'établit à 3 640 FCFA, révélant un range de trading extrêmement large de 1 635 FCFA (soit 81% du cours actuel), caractéristique d'une tendance baissière marquée et d'une forte érosion de la confiance des investisseurs. Les statistiques descriptives confirment cette dynamique : la moyenne (2 833 FCFA) est légèrement supérieure à la médiane (2 808 FCFA), tandis que le mode se situe à 3 500 FCFA — un écart qui indique que le cours a passé davantage de temps sur des niveaux élevés avant de s'effondrer en fin de période, créant une distribution légèrement asymétrique à droite (skewness de 0,108, proche de la symétrie). L'écart-type de 443 FCFA avec un coefficient de variation de 15,6% traduit une dispersion modérée en valeur relative, mais la volatilité annualisée de 60,7% classe le titre dans la catégorie des valeurs à volatilité élevée (&gt;30%), ce qui est cohérent avec un contexte de dégradation fondamentale. Le kurtosis de -0,871 (mésokurtique) indique une distribution proche de la normale, sans risque de pics extrêmes au-delà de ce qui est déjà observé — mais cette « normalité » statistique masque une réalité préoccupante : la tendance est structurellement baissière et le titre termine au plus bas.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(2 229,75 FCFA) et la MM50 (2 474,70 FCFA) se situent toutes deux au-dessus du cours actuel (2 005 FCFA), avec un écart de plus en plus marqué pour la MM50. Cette configuration — cours sous les deux moyennes, et MM20 sous MM50 — est un signal baissier classique, confirmant la décision « Vente » fournie par les données.</w:t>
      </w:r>
    </w:p>
    <w:p>
      <w:pPr>
        <w:spacing w:after="120" w:line="276" w:lineRule="auto"/>
      </w:pPr>
      <w:r>
        <w:t>**Bandes de Bollinger** : Le cours (2 005 FCFA) évolue dans la partie basse du canal, entre la borne inférieure (1 914,21 FCFA) et la borne supérieure (2 545,29 FCFA). La largeur du canal (631 FCFA) reflète une volatilité encore élevée, et la position du cours près de la borne inférieure suggère une pression vendeuse persistante, bien que la décision fournie soit « Neutre » — probablement en raison d'un potentiel de rebond technique à court terme.</w:t>
      </w:r>
    </w:p>
    <w:p>
      <w:pPr>
        <w:spacing w:after="120" w:line="276" w:lineRule="auto"/>
      </w:pPr>
      <w:r>
        <w:t>**MACD** : La valeur du MACD (-124,151) est inférieure à son signal (-121,808), avec un histogramme négatif. Cette divergence baissière indique que le momentum reste orienté à la baisse, confirmant la décision « Vente ». L'absence de croisement haussier imminent suggère que la pression baissière n'est pas encore épuisée.</w:t>
      </w:r>
    </w:p>
    <w:p>
      <w:pPr>
        <w:spacing w:after="120" w:line="276" w:lineRule="auto"/>
      </w:pPr>
      <w:r>
        <w:t>**RSI** : À 46,35, le RSI se situe en zone neutre (entre 30 et 70), sans signal de survente ni de surachat. Cette position médiane indique que le titre n'est ni techniquement survendu (ce qui aurait pu justifier un rebond), ni suracheté — la décision « Neutre » est donc cohérente, mais elle masque une faiblesse sous-jacente.</w:t>
      </w:r>
    </w:p>
    <w:p>
      <w:pPr>
        <w:spacing w:after="120" w:line="276" w:lineRule="auto"/>
      </w:pPr>
      <w:r>
        <w:t>**Stochastique** : Le %K (0,0) est au plancher absolu, tandis que le %D (18,519) reste en zone basse. Ce positionnement extrême du %K génère une décision « Achat » par croisement potentiel, mais il convient de nuancer : un %K à 0 en tendance baissière peut signaler une capitulation à court terme plutôt qu'un véritable retournement.</w:t>
      </w:r>
    </w:p>
    <w:p>
      <w:pPr>
        <w:spacing w:after="120" w:line="276" w:lineRule="auto"/>
      </w:pPr>
      <w:r>
        <w:t>**Conclusion technique** : Les indicateurs sont majoritairement baissiers (MM, MACD), avec un RSI neutre et un stochastique en zone de survente extrême. Cette configuration suggère que le titre pourrait connaître un rebond technique à très court terme (soutenu par le stochastique), mais la tendance de fond reste clairement négative. La convergence des signaux baissiers (MM, MACD) l'emporte sur le signal d'achat isolé du stochastique, ce qui invite à la prudence.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STAC a réalisé un chiffre d'affaires de 3,878 milliards FCFA, en croissance spectaculaire de +116,26% par rapport à 2024 (1,793 Md FCFA), portée par la reprise des travaux de l'aéroport d'Abidjan. Cependant, cette dynamique commerciale ne s'est pas traduite en rentabilité : le résultat net reste déficitaire à -96,56 M FCFA, et le ROE s'établit à -27,07% (contre un seuil d'excellence de 15%), tandis que le ROA est de -1,77%. La marge nette est négative (-2,49%), et la marge opérationnelle plonge à -19,90%, révélant une structure de coûts inadaptée au niveau d'activité. Le BFR est négatif (-930,47 M FCFA), ce qui est favorable pour une entreprise (financement par les fournisseurs), mais la trésorerie nette de 1,330 Md FCFA reste le principal point d'appui. La structure financière est très fragile : l'autonomie financière n'est que de 6,55% (seuil sain : &gt;30%), le ratio d'endettement atteint 93,45%, et la capacité de remboursement est de 77,53 années de CAF — un niveau insoutenable.</w:t>
      </w:r>
    </w:p>
    <w:p>
      <w:pPr>
        <w:spacing w:after="120" w:line="276" w:lineRule="auto"/>
      </w:pPr>
      <w:r>
        <w:t>**Estimations basées sur les rapports trimestriels** : Le rapport du 30 septembre 2025 (T3) indique un CA cumulé de 3,456 Mds FCFA (+176% sur 9 mois) et une perte nette réduite de 22% à -477 M FCFA. La direction maintient une prévision de CA annuel de 4 Mds FCFA, ce qui implique un T4 très faible (~544 M FCFA). Le rapport du 30 juin 2025 (S1) faisait état d'un CA de 2,271 Mds FCFA (+290%) mais d'une perte nette de -557 M FCFA, en aggravation de 77% — une situation paradoxale qui confirme la déficience opérationnelle structurelle. Les rapports plus anciens (2024) montrent une chute du CA de -80,6% à 1,793 Md FCFA et une perte nette de -348 M FCFA, avec des capitaux propres tombés à 453 M FCFA (6,1% du bilan). **On estime donc que l'exercice 2025, malgré la forte croissance du CA, ne permettra pas d'atteindre la rentabilité, et que la survie à moyen terme dépendra de la sécurisation de nouveaux contrats et d'une recapitalisation.**</w:t>
      </w:r>
    </w:p>
    <w:p>
      <w:pPr>
        <w:spacing w:after="120" w:line="276" w:lineRule="auto"/>
      </w:pPr>
      <w:r>
        <w:t>**Recommandation fondamentale** : La société présente un profil de risque très élevé, avec une rentabilité négative, une structure financière déséquilibrée et une dépendance critique à un seul projet. La croissance du CA est un signal positif, mais elle ne suffit pas à compenser les pertes opérationnelles. La valorisation boursière (P/B de 75,54x) est totalement déconnectée des fondamentaux, ce qui expose le titre à une correction sévère en l'absence de retournement rapide.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de **VENTE FORTE**, avec un niveau de confiance **Élevé** et un risque global **Très Élevé**. La valorisation (Partie 0) est aberrante : PER négatif, P/B de 75,54x, EV/EBITDA non calculable — le marché valorise une société déficitaire à une prime injustifiable, ce qui constitue un signal de surévaluation extrême. Le comportement du cours (Partie 1) est préoccupant : chute de -28,90% sur 100 jours, clôture au plus bas, volatilité annualisée de 60,7%, et une distribution statistique qui masque une tendance baissière structurelle. Les signaux techniques (Partie 2) sont majoritairement baissiers (MM, MACD), avec un RSI neutre et un stochastique en survente extrême qui pourrait générer un rebond technique éphémère, mais insuffisant pour inverser la tendance. Les fondamentaux (Partie 3) sont très dégradés : malgré une croissance du CA de +116% en 2025, la société reste déficitaire (résultat net de -96,56 M FCFA), avec un ROE de -27,07%, une autonomie financière de 6,55% et une capacité de remboursement de 77,53 années — des niveaux qui menacent la survie à moyen terme. Les prédictions IA (J+1 à J+10) anticipent une stabilisation autour de 1 994-2 017 FCFA, ce qui confirme l'absence de rebond significatif et valide la thèse baissière. **En conséquence, la convergence des signaux négatifs (valorisation, technique, fondamental, prédictions) justifie une recommandation de VENTE FORTE, avec un horizon d'investissement court terme (&lt;3 mois) pour limiter l'exposition à un risque de dégradation supplémentaire.** Les investisseurs détenant le titre sont invités à réduire leurs positions, et ceux qui envisagent d'investir doivent s'abstenir jusqu'à ce que des signes concrets de redressement (retour à la rentabilité, recapitalisation, nouveaux contrats majeurs) soient observés.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44.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382.35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4,034 titres</w:t>
            </w:r>
          </w:p>
        </w:tc>
        <w:tc>
          <w:tcPr>
            <w:tcW w:type="dxa" w:w="2268"/>
            <w:shd w:fill="FFF2CC" w:val="clear"/>
          </w:tcPr>
          <w:p>
            <w:r>
              <w:rPr>
                <w:b/>
                <w:color w:val="503200"/>
                <w:sz w:val="16"/>
              </w:rPr>
              <w:t xml:space="preserve">Cours actuel : </w:t>
            </w:r>
            <w:r>
              <w:rPr>
                <w:color w:val="000000"/>
                <w:sz w:val="17"/>
              </w:rPr>
              <w:t>21,295 FCFA</w:t>
            </w:r>
          </w:p>
          <w:p>
            <w:r>
              <w:rPr>
                <w:b/>
                <w:color w:val="503200"/>
                <w:sz w:val="16"/>
              </w:rPr>
              <w:t xml:space="preserve">Var. 100 jours : </w:t>
            </w:r>
            <w:r>
              <w:rPr>
                <w:b/>
                <w:color w:val="007800"/>
                <w:sz w:val="17"/>
              </w:rPr>
              <w:t>+0.45%</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20,895 FCFA</w:t>
            </w:r>
          </w:p>
          <w:p>
            <w:r>
              <w:rPr>
                <w:b/>
                <w:color w:val="503200"/>
                <w:sz w:val="16"/>
              </w:rPr>
              <w:t xml:space="preserve">Volatilité ann. : </w:t>
            </w:r>
            <w:r>
              <w:rPr>
                <w:color w:val="000000"/>
                <w:sz w:val="17"/>
              </w:rPr>
              <w:t>36.7%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4.90% (Faible) — μ=22,570 FCFA, σ=1,107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β=0.4535 (Défensif) — Cov=0.000033, Var(idx)=0.000073, ρ=0.167,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4,034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2026-10-13</w:t>
            </w:r>
          </w:p>
        </w:tc>
        <w:tc>
          <w:tcPr>
            <w:tcW w:type="dxa" w:w="1440"/>
            <w:shd w:fill="C6EFCE" w:val="clear"/>
          </w:tcPr>
          <w:p>
            <w:r>
              <w:rPr>
                <w:sz w:val="17"/>
              </w:rPr>
              <w:t>21,410</w:t>
            </w:r>
          </w:p>
        </w:tc>
        <w:tc>
          <w:tcPr>
            <w:tcW w:type="dxa" w:w="1440"/>
            <w:shd w:fill="C6EFCE" w:val="clear"/>
          </w:tcPr>
          <w:p>
            <w:r>
              <w:rPr>
                <w:b/>
                <w:sz w:val="17"/>
              </w:rPr>
              <w:t>22,012</w:t>
            </w:r>
          </w:p>
        </w:tc>
        <w:tc>
          <w:tcPr>
            <w:tcW w:type="dxa" w:w="1440"/>
            <w:shd w:fill="C6EFCE" w:val="clear"/>
          </w:tcPr>
          <w:p>
            <w:r>
              <w:rPr>
                <w:sz w:val="17"/>
              </w:rPr>
              <w:t>22,614</w:t>
            </w:r>
          </w:p>
        </w:tc>
        <w:tc>
          <w:tcPr>
            <w:tcW w:type="dxa" w:w="1440"/>
            <w:shd w:fill="C6EFCE" w:val="clear"/>
          </w:tcPr>
          <w:p>
            <w:r>
              <w:rPr>
                <w:b/>
                <w:color w:val="008000"/>
                <w:sz w:val="17"/>
              </w:rPr>
              <w:t>+3.4%</w:t>
            </w:r>
          </w:p>
        </w:tc>
      </w:tr>
      <w:tr>
        <w:tc>
          <w:tcPr>
            <w:tcW w:type="dxa" w:w="1440"/>
            <w:shd w:fill="C6EFCE" w:val="clear"/>
          </w:tcPr>
          <w:p>
            <w:r>
              <w:rPr>
                <w:sz w:val="17"/>
              </w:rPr>
              <w:t>J+2  Moyenne</w:t>
            </w:r>
          </w:p>
        </w:tc>
        <w:tc>
          <w:tcPr>
            <w:tcW w:type="dxa" w:w="1440"/>
            <w:shd w:fill="C6EFCE" w:val="clear"/>
          </w:tcPr>
          <w:p>
            <w:r>
              <w:rPr>
                <w:sz w:val="17"/>
              </w:rPr>
              <w:t>2026-10-14</w:t>
            </w:r>
          </w:p>
        </w:tc>
        <w:tc>
          <w:tcPr>
            <w:tcW w:type="dxa" w:w="1440"/>
            <w:shd w:fill="C6EFCE" w:val="clear"/>
          </w:tcPr>
          <w:p>
            <w:r>
              <w:rPr>
                <w:sz w:val="17"/>
              </w:rPr>
              <w:t>21,537</w:t>
            </w:r>
          </w:p>
        </w:tc>
        <w:tc>
          <w:tcPr>
            <w:tcW w:type="dxa" w:w="1440"/>
            <w:shd w:fill="C6EFCE" w:val="clear"/>
          </w:tcPr>
          <w:p>
            <w:r>
              <w:rPr>
                <w:b/>
                <w:sz w:val="17"/>
              </w:rPr>
              <w:t>22,403</w:t>
            </w:r>
          </w:p>
        </w:tc>
        <w:tc>
          <w:tcPr>
            <w:tcW w:type="dxa" w:w="1440"/>
            <w:shd w:fill="C6EFCE" w:val="clear"/>
          </w:tcPr>
          <w:p>
            <w:r>
              <w:rPr>
                <w:sz w:val="17"/>
              </w:rPr>
              <w:t>23,270</w:t>
            </w:r>
          </w:p>
        </w:tc>
        <w:tc>
          <w:tcPr>
            <w:tcW w:type="dxa" w:w="1440"/>
            <w:shd w:fill="C6EFCE" w:val="clear"/>
          </w:tcPr>
          <w:p>
            <w:r>
              <w:rPr>
                <w:b/>
                <w:color w:val="008000"/>
                <w:sz w:val="17"/>
              </w:rPr>
              <w:t>+5.2%</w:t>
            </w:r>
          </w:p>
        </w:tc>
      </w:tr>
      <w:tr>
        <w:tc>
          <w:tcPr>
            <w:tcW w:type="dxa" w:w="1440"/>
            <w:shd w:fill="C6EFCE" w:val="clear"/>
          </w:tcPr>
          <w:p>
            <w:r>
              <w:rPr>
                <w:sz w:val="17"/>
              </w:rPr>
              <w:t>J+3  ⭐</w:t>
            </w:r>
          </w:p>
        </w:tc>
        <w:tc>
          <w:tcPr>
            <w:tcW w:type="dxa" w:w="1440"/>
            <w:shd w:fill="C6EFCE" w:val="clear"/>
          </w:tcPr>
          <w:p>
            <w:r>
              <w:rPr>
                <w:sz w:val="17"/>
              </w:rPr>
              <w:t>2026-10-15</w:t>
            </w:r>
          </w:p>
        </w:tc>
        <w:tc>
          <w:tcPr>
            <w:tcW w:type="dxa" w:w="1440"/>
            <w:shd w:fill="C6EFCE" w:val="clear"/>
          </w:tcPr>
          <w:p>
            <w:r>
              <w:rPr>
                <w:sz w:val="17"/>
              </w:rPr>
              <w:t>21,624</w:t>
            </w:r>
          </w:p>
        </w:tc>
        <w:tc>
          <w:tcPr>
            <w:tcW w:type="dxa" w:w="1440"/>
            <w:shd w:fill="C6EFCE" w:val="clear"/>
          </w:tcPr>
          <w:p>
            <w:r>
              <w:rPr>
                <w:b/>
                <w:sz w:val="17"/>
              </w:rPr>
              <w:t>22,699</w:t>
            </w:r>
          </w:p>
        </w:tc>
        <w:tc>
          <w:tcPr>
            <w:tcW w:type="dxa" w:w="1440"/>
            <w:shd w:fill="C6EFCE" w:val="clear"/>
          </w:tcPr>
          <w:p>
            <w:r>
              <w:rPr>
                <w:sz w:val="17"/>
              </w:rPr>
              <w:t>23,774</w:t>
            </w:r>
          </w:p>
        </w:tc>
        <w:tc>
          <w:tcPr>
            <w:tcW w:type="dxa" w:w="1440"/>
            <w:shd w:fill="C6EFCE" w:val="clear"/>
          </w:tcPr>
          <w:p>
            <w:r>
              <w:rPr>
                <w:b/>
                <w:color w:val="008000"/>
                <w:sz w:val="17"/>
              </w:rPr>
              <w:t>+6.6%</w:t>
            </w:r>
          </w:p>
        </w:tc>
      </w:tr>
      <w:tr>
        <w:tc>
          <w:tcPr>
            <w:tcW w:type="dxa" w:w="1440"/>
            <w:shd w:fill="C6EFCE" w:val="clear"/>
          </w:tcPr>
          <w:p>
            <w:r>
              <w:rPr>
                <w:sz w:val="17"/>
              </w:rPr>
              <w:t>J+4  ⭐</w:t>
            </w:r>
          </w:p>
        </w:tc>
        <w:tc>
          <w:tcPr>
            <w:tcW w:type="dxa" w:w="1440"/>
            <w:shd w:fill="C6EFCE" w:val="clear"/>
          </w:tcPr>
          <w:p>
            <w:r>
              <w:rPr>
                <w:sz w:val="17"/>
              </w:rPr>
              <w:t>2026-10-16</w:t>
            </w:r>
          </w:p>
        </w:tc>
        <w:tc>
          <w:tcPr>
            <w:tcW w:type="dxa" w:w="1440"/>
            <w:shd w:fill="C6EFCE" w:val="clear"/>
          </w:tcPr>
          <w:p>
            <w:r>
              <w:rPr>
                <w:sz w:val="17"/>
              </w:rPr>
              <w:t>21,732</w:t>
            </w:r>
          </w:p>
        </w:tc>
        <w:tc>
          <w:tcPr>
            <w:tcW w:type="dxa" w:w="1440"/>
            <w:shd w:fill="C6EFCE" w:val="clear"/>
          </w:tcPr>
          <w:p>
            <w:r>
              <w:rPr>
                <w:b/>
                <w:sz w:val="17"/>
              </w:rPr>
              <w:t>22,989</w:t>
            </w:r>
          </w:p>
        </w:tc>
        <w:tc>
          <w:tcPr>
            <w:tcW w:type="dxa" w:w="1440"/>
            <w:shd w:fill="C6EFCE" w:val="clear"/>
          </w:tcPr>
          <w:p>
            <w:r>
              <w:rPr>
                <w:sz w:val="17"/>
              </w:rPr>
              <w:t>24,246</w:t>
            </w:r>
          </w:p>
        </w:tc>
        <w:tc>
          <w:tcPr>
            <w:tcW w:type="dxa" w:w="1440"/>
            <w:shd w:fill="C6EFCE" w:val="clear"/>
          </w:tcPr>
          <w:p>
            <w:r>
              <w:rPr>
                <w:b/>
                <w:color w:val="008000"/>
                <w:sz w:val="17"/>
              </w:rPr>
              <w:t>+8.0%</w:t>
            </w:r>
          </w:p>
        </w:tc>
      </w:tr>
      <w:tr>
        <w:tc>
          <w:tcPr>
            <w:tcW w:type="dxa" w:w="1440"/>
            <w:shd w:fill="C6EFCE" w:val="clear"/>
          </w:tcPr>
          <w:p>
            <w:r>
              <w:rPr>
                <w:sz w:val="17"/>
              </w:rPr>
              <w:t>J+5  ⭐</w:t>
            </w:r>
          </w:p>
        </w:tc>
        <w:tc>
          <w:tcPr>
            <w:tcW w:type="dxa" w:w="1440"/>
            <w:shd w:fill="C6EFCE" w:val="clear"/>
          </w:tcPr>
          <w:p>
            <w:r>
              <w:rPr>
                <w:sz w:val="17"/>
              </w:rPr>
              <w:t>2026-10-19</w:t>
            </w:r>
          </w:p>
        </w:tc>
        <w:tc>
          <w:tcPr>
            <w:tcW w:type="dxa" w:w="1440"/>
            <w:shd w:fill="C6EFCE" w:val="clear"/>
          </w:tcPr>
          <w:p>
            <w:r>
              <w:rPr>
                <w:sz w:val="17"/>
              </w:rPr>
              <w:t>21,823</w:t>
            </w:r>
          </w:p>
        </w:tc>
        <w:tc>
          <w:tcPr>
            <w:tcW w:type="dxa" w:w="1440"/>
            <w:shd w:fill="C6EFCE" w:val="clear"/>
          </w:tcPr>
          <w:p>
            <w:r>
              <w:rPr>
                <w:b/>
                <w:sz w:val="17"/>
              </w:rPr>
              <w:t>23,244</w:t>
            </w:r>
          </w:p>
        </w:tc>
        <w:tc>
          <w:tcPr>
            <w:tcW w:type="dxa" w:w="1440"/>
            <w:shd w:fill="C6EFCE" w:val="clear"/>
          </w:tcPr>
          <w:p>
            <w:r>
              <w:rPr>
                <w:sz w:val="17"/>
              </w:rPr>
              <w:t>24,665</w:t>
            </w:r>
          </w:p>
        </w:tc>
        <w:tc>
          <w:tcPr>
            <w:tcW w:type="dxa" w:w="1440"/>
            <w:shd w:fill="C6EFCE" w:val="clear"/>
          </w:tcPr>
          <w:p>
            <w:r>
              <w:rPr>
                <w:b/>
                <w:color w:val="008000"/>
                <w:sz w:val="17"/>
              </w:rPr>
              <w:t>+9.2%</w:t>
            </w:r>
          </w:p>
        </w:tc>
      </w:tr>
      <w:tr>
        <w:tc>
          <w:tcPr>
            <w:tcW w:type="dxa" w:w="1440"/>
            <w:shd w:fill="C6EFCE" w:val="clear"/>
          </w:tcPr>
          <w:p>
            <w:r>
              <w:rPr>
                <w:sz w:val="17"/>
              </w:rPr>
              <w:t>J+6  ⭐</w:t>
            </w:r>
          </w:p>
        </w:tc>
        <w:tc>
          <w:tcPr>
            <w:tcW w:type="dxa" w:w="1440"/>
            <w:shd w:fill="C6EFCE" w:val="clear"/>
          </w:tcPr>
          <w:p>
            <w:r>
              <w:rPr>
                <w:sz w:val="17"/>
              </w:rPr>
              <w:t>2026-10-20</w:t>
            </w:r>
          </w:p>
        </w:tc>
        <w:tc>
          <w:tcPr>
            <w:tcW w:type="dxa" w:w="1440"/>
            <w:shd w:fill="C6EFCE" w:val="clear"/>
          </w:tcPr>
          <w:p>
            <w:r>
              <w:rPr>
                <w:sz w:val="17"/>
              </w:rPr>
              <w:t>21,886</w:t>
            </w:r>
          </w:p>
        </w:tc>
        <w:tc>
          <w:tcPr>
            <w:tcW w:type="dxa" w:w="1440"/>
            <w:shd w:fill="C6EFCE" w:val="clear"/>
          </w:tcPr>
          <w:p>
            <w:r>
              <w:rPr>
                <w:b/>
                <w:sz w:val="17"/>
              </w:rPr>
              <w:t>23,457</w:t>
            </w:r>
          </w:p>
        </w:tc>
        <w:tc>
          <w:tcPr>
            <w:tcW w:type="dxa" w:w="1440"/>
            <w:shd w:fill="C6EFCE" w:val="clear"/>
          </w:tcPr>
          <w:p>
            <w:r>
              <w:rPr>
                <w:sz w:val="17"/>
              </w:rPr>
              <w:t>25,028</w:t>
            </w:r>
          </w:p>
        </w:tc>
        <w:tc>
          <w:tcPr>
            <w:tcW w:type="dxa" w:w="1440"/>
            <w:shd w:fill="C6EFCE" w:val="clear"/>
          </w:tcPr>
          <w:p>
            <w:r>
              <w:rPr>
                <w:b/>
                <w:color w:val="008000"/>
                <w:sz w:val="17"/>
              </w:rPr>
              <w:t>+10.2%</w:t>
            </w:r>
          </w:p>
        </w:tc>
      </w:tr>
      <w:tr>
        <w:tc>
          <w:tcPr>
            <w:tcW w:type="dxa" w:w="1440"/>
            <w:shd w:fill="C6EFCE" w:val="clear"/>
          </w:tcPr>
          <w:p>
            <w:r>
              <w:rPr>
                <w:sz w:val="17"/>
              </w:rPr>
              <w:t>J+7  ⭐</w:t>
            </w:r>
          </w:p>
        </w:tc>
        <w:tc>
          <w:tcPr>
            <w:tcW w:type="dxa" w:w="1440"/>
            <w:shd w:fill="C6EFCE" w:val="clear"/>
          </w:tcPr>
          <w:p>
            <w:r>
              <w:rPr>
                <w:sz w:val="17"/>
              </w:rPr>
              <w:t>2026-10-21</w:t>
            </w:r>
          </w:p>
        </w:tc>
        <w:tc>
          <w:tcPr>
            <w:tcW w:type="dxa" w:w="1440"/>
            <w:shd w:fill="C6EFCE" w:val="clear"/>
          </w:tcPr>
          <w:p>
            <w:r>
              <w:rPr>
                <w:sz w:val="17"/>
              </w:rPr>
              <w:t>21,926</w:t>
            </w:r>
          </w:p>
        </w:tc>
        <w:tc>
          <w:tcPr>
            <w:tcW w:type="dxa" w:w="1440"/>
            <w:shd w:fill="C6EFCE" w:val="clear"/>
          </w:tcPr>
          <w:p>
            <w:r>
              <w:rPr>
                <w:b/>
                <w:sz w:val="17"/>
              </w:rPr>
              <w:t>23,635</w:t>
            </w:r>
          </w:p>
        </w:tc>
        <w:tc>
          <w:tcPr>
            <w:tcW w:type="dxa" w:w="1440"/>
            <w:shd w:fill="C6EFCE" w:val="clear"/>
          </w:tcPr>
          <w:p>
            <w:r>
              <w:rPr>
                <w:sz w:val="17"/>
              </w:rPr>
              <w:t>25,345</w:t>
            </w:r>
          </w:p>
        </w:tc>
        <w:tc>
          <w:tcPr>
            <w:tcW w:type="dxa" w:w="1440"/>
            <w:shd w:fill="C6EFCE" w:val="clear"/>
          </w:tcPr>
          <w:p>
            <w:r>
              <w:rPr>
                <w:b/>
                <w:color w:val="008000"/>
                <w:sz w:val="17"/>
              </w:rPr>
              <w:t>+11.0%</w:t>
            </w:r>
          </w:p>
        </w:tc>
      </w:tr>
      <w:tr>
        <w:tc>
          <w:tcPr>
            <w:tcW w:type="dxa" w:w="1440"/>
            <w:shd w:fill="C6EFCE" w:val="clear"/>
          </w:tcPr>
          <w:p>
            <w:r>
              <w:rPr>
                <w:sz w:val="17"/>
              </w:rPr>
              <w:t>J+8  ⭐</w:t>
            </w:r>
          </w:p>
        </w:tc>
        <w:tc>
          <w:tcPr>
            <w:tcW w:type="dxa" w:w="1440"/>
            <w:shd w:fill="C6EFCE" w:val="clear"/>
          </w:tcPr>
          <w:p>
            <w:r>
              <w:rPr>
                <w:sz w:val="17"/>
              </w:rPr>
              <w:t>2026-10-22</w:t>
            </w:r>
          </w:p>
        </w:tc>
        <w:tc>
          <w:tcPr>
            <w:tcW w:type="dxa" w:w="1440"/>
            <w:shd w:fill="C6EFCE" w:val="clear"/>
          </w:tcPr>
          <w:p>
            <w:r>
              <w:rPr>
                <w:sz w:val="17"/>
              </w:rPr>
              <w:t>21,958</w:t>
            </w:r>
          </w:p>
        </w:tc>
        <w:tc>
          <w:tcPr>
            <w:tcW w:type="dxa" w:w="1440"/>
            <w:shd w:fill="C6EFCE" w:val="clear"/>
          </w:tcPr>
          <w:p>
            <w:r>
              <w:rPr>
                <w:b/>
                <w:sz w:val="17"/>
              </w:rPr>
              <w:t>23,799</w:t>
            </w:r>
          </w:p>
        </w:tc>
        <w:tc>
          <w:tcPr>
            <w:tcW w:type="dxa" w:w="1440"/>
            <w:shd w:fill="C6EFCE" w:val="clear"/>
          </w:tcPr>
          <w:p>
            <w:r>
              <w:rPr>
                <w:sz w:val="17"/>
              </w:rPr>
              <w:t>25,639</w:t>
            </w:r>
          </w:p>
        </w:tc>
        <w:tc>
          <w:tcPr>
            <w:tcW w:type="dxa" w:w="1440"/>
            <w:shd w:fill="C6EFCE" w:val="clear"/>
          </w:tcPr>
          <w:p>
            <w:r>
              <w:rPr>
                <w:b/>
                <w:color w:val="008000"/>
                <w:sz w:val="17"/>
              </w:rPr>
              <w:t>+11.8%</w:t>
            </w:r>
          </w:p>
        </w:tc>
      </w:tr>
      <w:tr>
        <w:tc>
          <w:tcPr>
            <w:tcW w:type="dxa" w:w="1440"/>
            <w:shd w:fill="C6EFCE" w:val="clear"/>
          </w:tcPr>
          <w:p>
            <w:r>
              <w:rPr>
                <w:sz w:val="17"/>
              </w:rPr>
              <w:t>J+9  ⭐</w:t>
            </w:r>
          </w:p>
        </w:tc>
        <w:tc>
          <w:tcPr>
            <w:tcW w:type="dxa" w:w="1440"/>
            <w:shd w:fill="C6EFCE" w:val="clear"/>
          </w:tcPr>
          <w:p>
            <w:r>
              <w:rPr>
                <w:sz w:val="17"/>
              </w:rPr>
              <w:t>2026-10-23</w:t>
            </w:r>
          </w:p>
        </w:tc>
        <w:tc>
          <w:tcPr>
            <w:tcW w:type="dxa" w:w="1440"/>
            <w:shd w:fill="C6EFCE" w:val="clear"/>
          </w:tcPr>
          <w:p>
            <w:r>
              <w:rPr>
                <w:sz w:val="17"/>
              </w:rPr>
              <w:t>21,979</w:t>
            </w:r>
          </w:p>
        </w:tc>
        <w:tc>
          <w:tcPr>
            <w:tcW w:type="dxa" w:w="1440"/>
            <w:shd w:fill="C6EFCE" w:val="clear"/>
          </w:tcPr>
          <w:p>
            <w:r>
              <w:rPr>
                <w:b/>
                <w:sz w:val="17"/>
              </w:rPr>
              <w:t>23,942</w:t>
            </w:r>
          </w:p>
        </w:tc>
        <w:tc>
          <w:tcPr>
            <w:tcW w:type="dxa" w:w="1440"/>
            <w:shd w:fill="C6EFCE" w:val="clear"/>
          </w:tcPr>
          <w:p>
            <w:r>
              <w:rPr>
                <w:sz w:val="17"/>
              </w:rPr>
              <w:t>25,906</w:t>
            </w:r>
          </w:p>
        </w:tc>
        <w:tc>
          <w:tcPr>
            <w:tcW w:type="dxa" w:w="1440"/>
            <w:shd w:fill="C6EFCE" w:val="clear"/>
          </w:tcPr>
          <w:p>
            <w:r>
              <w:rPr>
                <w:b/>
                <w:color w:val="008000"/>
                <w:sz w:val="17"/>
              </w:rPr>
              <w:t>+12.4%</w:t>
            </w:r>
          </w:p>
        </w:tc>
      </w:tr>
      <w:tr>
        <w:tc>
          <w:tcPr>
            <w:tcW w:type="dxa" w:w="1440"/>
            <w:shd w:fill="C6EFCE" w:val="clear"/>
          </w:tcPr>
          <w:p>
            <w:r>
              <w:rPr>
                <w:sz w:val="17"/>
              </w:rPr>
              <w:t>J+10  ⭐</w:t>
            </w:r>
          </w:p>
        </w:tc>
        <w:tc>
          <w:tcPr>
            <w:tcW w:type="dxa" w:w="1440"/>
            <w:shd w:fill="C6EFCE" w:val="clear"/>
          </w:tcPr>
          <w:p>
            <w:r>
              <w:rPr>
                <w:sz w:val="17"/>
              </w:rPr>
              <w:t>2026-10-26</w:t>
            </w:r>
          </w:p>
        </w:tc>
        <w:tc>
          <w:tcPr>
            <w:tcW w:type="dxa" w:w="1440"/>
            <w:shd w:fill="C6EFCE" w:val="clear"/>
          </w:tcPr>
          <w:p>
            <w:r>
              <w:rPr>
                <w:sz w:val="17"/>
              </w:rPr>
              <w:t>22,015</w:t>
            </w:r>
          </w:p>
        </w:tc>
        <w:tc>
          <w:tcPr>
            <w:tcW w:type="dxa" w:w="1440"/>
            <w:shd w:fill="C6EFCE" w:val="clear"/>
          </w:tcPr>
          <w:p>
            <w:r>
              <w:rPr>
                <w:b/>
                <w:sz w:val="17"/>
              </w:rPr>
              <w:t>24,098</w:t>
            </w:r>
          </w:p>
        </w:tc>
        <w:tc>
          <w:tcPr>
            <w:tcW w:type="dxa" w:w="1440"/>
            <w:shd w:fill="C6EFCE" w:val="clear"/>
          </w:tcPr>
          <w:p>
            <w:r>
              <w:rPr>
                <w:sz w:val="17"/>
              </w:rPr>
              <w:t>26,182</w:t>
            </w:r>
          </w:p>
        </w:tc>
        <w:tc>
          <w:tcPr>
            <w:tcW w:type="dxa" w:w="1440"/>
            <w:shd w:fill="C6EFCE" w:val="clear"/>
          </w:tcPr>
          <w:p>
            <w:r>
              <w:rPr>
                <w:b/>
                <w:color w:val="008000"/>
                <w:sz w:val="17"/>
              </w:rPr>
              <w:t>+13.2%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 RAPPORT D'ANALYSE FINANCIÈRE — STBC (SITAB S.A.)</w:t>
        <w:br/>
        <w:t>**Bourse Régionale des Valeurs Mobilières (BRVM) — Secteur : Entreprise non bancaire (Distribution de tabac)**</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382,35 Mds FCFA, STBC figure parmi les valeurs les plus importantes de la cote BRVM, ce qui lui confère une liquidité relative et une visibilité institutionnelle appréciables. Le BPA de 2 014 FCFA/action signifie que chaque titre génère un bénéfice net de plus de deux mille francs, un niveau élevé qui traduit la forte rentabilité de la société. Le PER de 10,6x se situe dans la fourchette modérée de la BRVM (8-12x), indiquant que les investisseurs ne paient pas excessivement cher les bénéfices actuels, bien que le titre ne soit pas non plus une affaire décotée. En revanche, le P/B de 8,43x est très supérieur au seuil de 4x considéré comme exigeant : le marché valorise STBC à plus de huit fois sa valeur comptable, ce qui reflète la reconnaissance de sa rentabilité exceptionnelle (ROE de 79,75%) mais expose le titre à un risque de correction si les bénéfices venaient à se contracter. Enfin, l'EV/EBITDA de 7,6x, dans la fourchette raisonnable de 5-10x, suggère que la valeur totale de l'entreprise (dette incluse, mais celle-ci est quasi nulle) reste cohérente avec sa capacité opérationnelle à générer du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STBC affiche une variation totale quasi nulle de +0,45%, avec une dernière séance en léger repli de -0,02%, traduisant une phase de consolidation sans direction claire. Le titre a évolué dans un range de trading de 4 105 FCFA, entre un plus bas de 20 895 FCFA et un plus haut de 25 000 FCFA, ce qui représente une amplitude d'environ 20% — significative pour une valeur de rendement. La tendance générale est donc stable à légèrement baissière depuis le pic de 25 000 FCFA, le cours actuel de 21 295 FCFA se situant dans la moitié inférieure du range. Les statistiques descriptives révèlent une moyenne de 22 570 FCFA supérieure à la médiane de 22 218 FCFA, avec un mode à 22 000 FCFA : cet écart modéré entre moyenne et médiane, combiné à un skewness positif de 0,584, indique une asymétrie positive avec davantage de journées de cotation sous la moyenne, signe d'une pression vendeuse récente. L'écart-type de 1 112 FCFA et le coefficient de variation de 4,9% témoignent d'une dispersion modérée du cours autour de sa moyenne, tandis que le kurtosis de -0,700 (mésokurtique) suggère une distribution proche de la normale, sans risque majeur de pics extrêmes. La volatilité annualisée de 36,7% positionne STBC dans la catégorie des titres à volatilité élevée (&gt;30%), ce qui est cohérent avec son statut de valeur de rendement exposée aux aléas réglementaires et fiscaux du secteur du tabac.</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21 617 FCFA et la MM50 à 22 390,7 FCFA, toutes deux supérieures au cours actuel de 21 295 FCFA. Cette configuration baissière (cours sous ses deux moyennes, avec MM20 &lt; MM50) confirme la pression vendeuse de court terme et justifie la décision technique de **Vente**. Le croisement baissier des moyennes (MM20 passée sous MM50) renforce ce signal négatif.</w:t>
      </w:r>
    </w:p>
    <w:p>
      <w:pPr>
        <w:spacing w:after="120" w:line="276" w:lineRule="auto"/>
      </w:pPr>
      <w:r>
        <w:t>**Bandes de Bollinger** : La borne supérieure est à 22 306,5 FCFA et la borne inférieure à 20 927,5 FCFA, encadrant le cours actuel de 21 295 FCFA qui se situe dans la moitié basse du canal. L'écart entre les bornes (1 379 FCFA) reflète une volatilité modérée, et la position du cours, sans toucher la borne inférieure, justifie la décision **Neutre** — ni signal d'achat sur rebond, ni signal de vente sur cassure.</w:t>
      </w:r>
    </w:p>
    <w:p>
      <w:pPr>
        <w:spacing w:after="120" w:line="276" w:lineRule="auto"/>
      </w:pPr>
      <w:r>
        <w:t>**MACD** : La valeur du MACD est de -205,595, supérieure à son signal de -228,068, générant un croisement haussier (MACD au-dessus du signal) qui traduit un momentum en amélioration. Bien que les deux lignes restent en territoire négatif, cette divergence positive justifie la décision d'**Achat** technique, signalant un possible retournement à court terme.</w:t>
      </w:r>
    </w:p>
    <w:p>
      <w:pPr>
        <w:spacing w:after="120" w:line="276" w:lineRule="auto"/>
      </w:pPr>
      <w:r>
        <w:t>**RSI** : À 46,004, le RSI se situe dans la zone neutre (30-70), sans signal de surachat ni de survente. Cette valeur médiane, légèrement sous les 50, indique un équilibre entre acheteurs et vendeurs, justifiant la décision **Neutre** — le titre n'est ni survendu (opportunité d'achat) ni suracheté (risque de correction).</w:t>
      </w:r>
    </w:p>
    <w:p>
      <w:pPr>
        <w:spacing w:after="120" w:line="276" w:lineRule="auto"/>
      </w:pPr>
      <w:r>
        <w:t>**Stochastique** : Le %K est à 37,037 et le %D à 49,537, avec %K sous %D, ce qui constitue un croisement baissier en zone neutre. Cette configuration suggère une perte de momentum haussier sans pour autant atteindre la zone de survente (&lt;20), justifiant la décision **Neutre** — le signal est légèrement négatif mais non concluant.</w:t>
      </w:r>
    </w:p>
    <w:p>
      <w:pPr>
        <w:spacing w:after="120" w:line="276" w:lineRule="auto"/>
      </w:pPr>
      <w:r>
        <w:t>**Conclusion technique** : Les indicateurs techniques présentent un tableau mitigé avec une divergence notable : les moyennes mobiles et le stochastique sont baissiers, le MACD est haussier, tandis que les Bandes de Bollinger et le RSI sont neutres. Cette absence de convergence traduit un marché indécis, en phase de consolidation, où aucun signal fort ne se dégage. La prudence est de mise, le titre évoluant dans un range étroit sans direction claire.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STBC a réalisé un chiffre d'affaires de 268,537 Mds FCFA, en croissance de 25,3% par rapport à 2024, portée par une hausse des volumes (+5,6%) et un effet prix favorable. Le résultat net s'établit à 36,158 Mds FCFA, en baisse de 17,5% sur un an, sous l'effet de la hausse des droits d'accise (passés de 49% à 70%) et d'un contrôle fiscal. La rentabilité reste exceptionnelle avec un ROE de 79,75% et un ROA de 48,09%, bien que la marge nette se soit contractée de 20,4% à 13,46%. La structure financière est très saine : autonomie financière de 60,3%, dettes financières quasi nulles (1,4 M FCFA), trésorerie nette de 30,763 Mds FCFA et liquidité générale de 225%. Le BFR est positif à 5,639 Mds FCFA, avec un délai client de 42,57 jours (modéré) et une durée de stockage très faible de 5,73 jours, témoignant d'une rotation rapide des marchandises. La capacité de remboursement est nulle (absence de dette), et la couverture des intérêts est exceptionnellement élevée.</w:t>
      </w:r>
    </w:p>
    <w:p>
      <w:pPr>
        <w:spacing w:after="120" w:line="276" w:lineRule="auto"/>
      </w:pPr>
      <w:r>
        <w:t>**Estimations basées sur les rapports trimestriels** : Le rapport du T1 2026 (publié en 2026) indique un chiffre d'affaires de 68,8 Mds FCFA (+12%) et des volumes en hausse de 10%, marquant un redressement après la contraction de 2025, mais un résultat net stable à 9,3 Mds FCFA (-1%) sous la pression des charges. Le rapport du T2 2026 (publié en 2026) confirme cette tendance avec un CA de 70,05 Mds FCFA (+1%) et un résultat net quasi stable à 8,64 Mds FCFA (-0,2%), la marge nette se maintenant à 12,3%. Sur la base de ces deux trimestres, on peut estimer que l'exercice 2026 devrait afficher un chiffre d'affaires annuel d'environ 275-280 Mds FCFA (+3-4%) et un résultat net de l'ordre de 35-37 Mds FCFA, soit une stabilisation après la correction de 2025. Le dividende proposé de 1 940 FCFA/action (rendement d'environ 9,1% sur la base du cours actuel) reste attractif, mais son taux de distribution de 84,9% demeure élevé et limite la capacité d'autofinancement. La principale faiblesse réside dans la compression des marges (marge commerciale tombée de 29,8% à 22,7%) et la dépendance au cadre fiscal et réglementaire du tabac, identifiée comme risque majeur dans tous les rapports. **Recommandation fondamentale : CONSERVER**, pour la solidité bilantielle et le rendement, mais avec une vigilance sur l'évolution des marges et des volumes.</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 profil d'investissement contrasté. **Sur le plan de la valorisation (Partie 0)**, le PER de 10,6x et l'EV/EBITDA de 7,6x indiquent une valorisation raisonnable, mais le P/B de 8,43x constitue un signal de surévaluation relative par rapport à la valeur comptable, ce qui limite le potentiel de hausse à court terme. **Le comportement du cours (Partie 1)** est préoccupant : tendance stable à baissière, skewness positif (pression vendeuse), volatilité élevée de 36,7%, et cours dans la moitié inférieure du range — des statistiques qui ne plaident pas pour un rebond imminent. **Les signaux techniques (Partie 2)** sont divergents : le MACD haussier contraste avec les moyennes mobiles baissières et les indicateurs neutres (RSI, Bollinger, Stochastique), traduisant une indécision du marché qui appelle à la prudence. **Les fondamentaux (Partie 3)** demeurent solides (ROE de 79,75%, trésorerie de 30,8 Mds FCFA, absence de dette), mais la dégradation des marges et la pression fiscale pèsent sur la dynamique bénéficiaire, avec une stabilisation attendue en 2026 selon les rapports T1 et T2. **Les prédictions IA (J+1 à J+10)** anticipent une trajectoire haussière de 22 012 FCFA à 23 244 FCFA (+9,2% en 10 jours), ce qui contredit les signaux techniques baissiers mais pourrait refléter un rebond technique après la consolidation. **Recommandation finale : CONSERVER**, avec un niveau de confiance **Moyen** et un risque global **Moyen**. La convergence entre valorisation raisonnable (PER), fondamentaux solides (trésorerie, ROE) et dividende attractif (9,1%) soutient la conservation du titre pour son rendement, mais la divergence entre signaux techniques baissiers et prédictions haussières, ainsi que la pression sur les marges, incitent à ne pas renforcer la position. **Horizon d'investissement optimal : moyen terme (3-12 mois)**, en attendant la confirmation d'une stabilisation des marges et des volumes lors des prochains rapports trimestriels.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45.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188.88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6,781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007800"/>
                <w:sz w:val="17"/>
              </w:rPr>
              <w:t>+3.45%</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2,770 FCFA</w:t>
            </w:r>
          </w:p>
          <w:p>
            <w:r>
              <w:rPr>
                <w:b/>
                <w:color w:val="503200"/>
                <w:sz w:val="16"/>
              </w:rPr>
              <w:t xml:space="preserve">Volatilité ann. : </w:t>
            </w:r>
            <w:r>
              <w:rPr>
                <w:color w:val="000000"/>
                <w:sz w:val="17"/>
              </w:rPr>
              <w:t>41.5%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6.29% (Moyenne) — μ=3,024 FCFA, σ=190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β=0.1686 (Défensif) — Cov=0.000012, Var(idx)=0.000073, ρ=0.056,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6,781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σ_j=2.62%/j (Stable) — Vol. annualisée≈41.5%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2026-10-13</w:t>
            </w:r>
          </w:p>
        </w:tc>
        <w:tc>
          <w:tcPr>
            <w:tcW w:type="dxa" w:w="1440"/>
            <w:shd w:fill="FAFAFA" w:val="clear"/>
          </w:tcPr>
          <w:p>
            <w:r>
              <w:rPr>
                <w:sz w:val="17"/>
              </w:rPr>
              <w:t>2,873</w:t>
            </w:r>
          </w:p>
        </w:tc>
        <w:tc>
          <w:tcPr>
            <w:tcW w:type="dxa" w:w="1440"/>
            <w:shd w:fill="FAFAFA" w:val="clear"/>
          </w:tcPr>
          <w:p>
            <w:r>
              <w:rPr>
                <w:b/>
                <w:sz w:val="17"/>
              </w:rPr>
              <w:t>2,982</w:t>
            </w:r>
          </w:p>
        </w:tc>
        <w:tc>
          <w:tcPr>
            <w:tcW w:type="dxa" w:w="1440"/>
            <w:shd w:fill="FAFAFA" w:val="clear"/>
          </w:tcPr>
          <w:p>
            <w:r>
              <w:rPr>
                <w:sz w:val="17"/>
              </w:rPr>
              <w:t>3,090</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2026-10-14</w:t>
            </w:r>
          </w:p>
        </w:tc>
        <w:tc>
          <w:tcPr>
            <w:tcW w:type="dxa" w:w="1440"/>
            <w:shd w:fill="FAFAFA" w:val="clear"/>
          </w:tcPr>
          <w:p>
            <w:r>
              <w:rPr>
                <w:sz w:val="17"/>
              </w:rPr>
              <w:t>2,827</w:t>
            </w:r>
          </w:p>
        </w:tc>
        <w:tc>
          <w:tcPr>
            <w:tcW w:type="dxa" w:w="1440"/>
            <w:shd w:fill="FAFAFA" w:val="clear"/>
          </w:tcPr>
          <w:p>
            <w:r>
              <w:rPr>
                <w:b/>
                <w:sz w:val="17"/>
              </w:rPr>
              <w:t>2,981</w:t>
            </w:r>
          </w:p>
        </w:tc>
        <w:tc>
          <w:tcPr>
            <w:tcW w:type="dxa" w:w="1440"/>
            <w:shd w:fill="FAFAFA" w:val="clear"/>
          </w:tcPr>
          <w:p>
            <w:r>
              <w:rPr>
                <w:sz w:val="17"/>
              </w:rPr>
              <w:t>3,135</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2026-10-15</w:t>
            </w:r>
          </w:p>
        </w:tc>
        <w:tc>
          <w:tcPr>
            <w:tcW w:type="dxa" w:w="1440"/>
            <w:shd w:fill="FAFAFA" w:val="clear"/>
          </w:tcPr>
          <w:p>
            <w:r>
              <w:rPr>
                <w:sz w:val="17"/>
              </w:rPr>
              <w:t>2,786</w:t>
            </w:r>
          </w:p>
        </w:tc>
        <w:tc>
          <w:tcPr>
            <w:tcW w:type="dxa" w:w="1440"/>
            <w:shd w:fill="FAFAFA" w:val="clear"/>
          </w:tcPr>
          <w:p>
            <w:r>
              <w:rPr>
                <w:b/>
                <w:sz w:val="17"/>
              </w:rPr>
              <w:t>2,974</w:t>
            </w:r>
          </w:p>
        </w:tc>
        <w:tc>
          <w:tcPr>
            <w:tcW w:type="dxa" w:w="1440"/>
            <w:shd w:fill="FAFAFA" w:val="clear"/>
          </w:tcPr>
          <w:p>
            <w:r>
              <w:rPr>
                <w:sz w:val="17"/>
              </w:rPr>
              <w:t>3,162</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2026-10-16</w:t>
            </w:r>
          </w:p>
        </w:tc>
        <w:tc>
          <w:tcPr>
            <w:tcW w:type="dxa" w:w="1440"/>
            <w:shd w:fill="FAFAFA" w:val="clear"/>
          </w:tcPr>
          <w:p>
            <w:r>
              <w:rPr>
                <w:sz w:val="17"/>
              </w:rPr>
              <w:t>2,751</w:t>
            </w:r>
          </w:p>
        </w:tc>
        <w:tc>
          <w:tcPr>
            <w:tcW w:type="dxa" w:w="1440"/>
            <w:shd w:fill="FAFAFA" w:val="clear"/>
          </w:tcPr>
          <w:p>
            <w:r>
              <w:rPr>
                <w:b/>
                <w:sz w:val="17"/>
              </w:rPr>
              <w:t>2,968</w:t>
            </w:r>
          </w:p>
        </w:tc>
        <w:tc>
          <w:tcPr>
            <w:tcW w:type="dxa" w:w="1440"/>
            <w:shd w:fill="FAFAFA" w:val="clear"/>
          </w:tcPr>
          <w:p>
            <w:r>
              <w:rPr>
                <w:sz w:val="17"/>
              </w:rPr>
              <w:t>3,184</w:t>
            </w:r>
          </w:p>
        </w:tc>
        <w:tc>
          <w:tcPr>
            <w:tcW w:type="dxa" w:w="1440"/>
            <w:shd w:fill="FAFAFA" w:val="clear"/>
          </w:tcPr>
          <w:p>
            <w:r>
              <w:rPr>
                <w:b/>
                <w:color w:val="C00000"/>
                <w:sz w:val="17"/>
              </w:rPr>
              <w:t>-1.1%</w:t>
            </w:r>
          </w:p>
        </w:tc>
      </w:tr>
      <w:tr>
        <w:tc>
          <w:tcPr>
            <w:tcW w:type="dxa" w:w="1440"/>
            <w:shd w:fill="FAFAFA" w:val="clear"/>
          </w:tcPr>
          <w:p>
            <w:r>
              <w:rPr>
                <w:sz w:val="17"/>
              </w:rPr>
              <w:t>J+5  ⭐</w:t>
            </w:r>
          </w:p>
        </w:tc>
        <w:tc>
          <w:tcPr>
            <w:tcW w:type="dxa" w:w="1440"/>
            <w:shd w:fill="FAFAFA" w:val="clear"/>
          </w:tcPr>
          <w:p>
            <w:r>
              <w:rPr>
                <w:sz w:val="17"/>
              </w:rPr>
              <w:t>2026-10-19</w:t>
            </w:r>
          </w:p>
        </w:tc>
        <w:tc>
          <w:tcPr>
            <w:tcW w:type="dxa" w:w="1440"/>
            <w:shd w:fill="FAFAFA" w:val="clear"/>
          </w:tcPr>
          <w:p>
            <w:r>
              <w:rPr>
                <w:sz w:val="17"/>
              </w:rPr>
              <w:t>2,721</w:t>
            </w:r>
          </w:p>
        </w:tc>
        <w:tc>
          <w:tcPr>
            <w:tcW w:type="dxa" w:w="1440"/>
            <w:shd w:fill="FAFAFA" w:val="clear"/>
          </w:tcPr>
          <w:p>
            <w:r>
              <w:rPr>
                <w:b/>
                <w:sz w:val="17"/>
              </w:rPr>
              <w:t>2,963</w:t>
            </w:r>
          </w:p>
        </w:tc>
        <w:tc>
          <w:tcPr>
            <w:tcW w:type="dxa" w:w="1440"/>
            <w:shd w:fill="FAFAFA" w:val="clear"/>
          </w:tcPr>
          <w:p>
            <w:r>
              <w:rPr>
                <w:sz w:val="17"/>
              </w:rPr>
              <w:t>3,204</w:t>
            </w:r>
          </w:p>
        </w:tc>
        <w:tc>
          <w:tcPr>
            <w:tcW w:type="dxa" w:w="1440"/>
            <w:shd w:fill="FAFAFA" w:val="clear"/>
          </w:tcPr>
          <w:p>
            <w:r>
              <w:rPr>
                <w:b/>
                <w:color w:val="C00000"/>
                <w:sz w:val="17"/>
              </w:rPr>
              <w:t>-1.2%</w:t>
            </w:r>
          </w:p>
        </w:tc>
      </w:tr>
      <w:tr>
        <w:tc>
          <w:tcPr>
            <w:tcW w:type="dxa" w:w="1440"/>
            <w:shd w:fill="FAFAFA" w:val="clear"/>
          </w:tcPr>
          <w:p>
            <w:r>
              <w:rPr>
                <w:sz w:val="17"/>
              </w:rPr>
              <w:t>J+6  ⭐</w:t>
            </w:r>
          </w:p>
        </w:tc>
        <w:tc>
          <w:tcPr>
            <w:tcW w:type="dxa" w:w="1440"/>
            <w:shd w:fill="FAFAFA" w:val="clear"/>
          </w:tcPr>
          <w:p>
            <w:r>
              <w:rPr>
                <w:sz w:val="17"/>
              </w:rPr>
              <w:t>2026-10-20</w:t>
            </w:r>
          </w:p>
        </w:tc>
        <w:tc>
          <w:tcPr>
            <w:tcW w:type="dxa" w:w="1440"/>
            <w:shd w:fill="FAFAFA" w:val="clear"/>
          </w:tcPr>
          <w:p>
            <w:r>
              <w:rPr>
                <w:sz w:val="17"/>
              </w:rPr>
              <w:t>2,693</w:t>
            </w:r>
          </w:p>
        </w:tc>
        <w:tc>
          <w:tcPr>
            <w:tcW w:type="dxa" w:w="1440"/>
            <w:shd w:fill="FAFAFA" w:val="clear"/>
          </w:tcPr>
          <w:p>
            <w:r>
              <w:rPr>
                <w:b/>
                <w:sz w:val="17"/>
              </w:rPr>
              <w:t>2,958</w:t>
            </w:r>
          </w:p>
        </w:tc>
        <w:tc>
          <w:tcPr>
            <w:tcW w:type="dxa" w:w="1440"/>
            <w:shd w:fill="FAFAFA" w:val="clear"/>
          </w:tcPr>
          <w:p>
            <w:r>
              <w:rPr>
                <w:sz w:val="17"/>
              </w:rPr>
              <w:t>3,222</w:t>
            </w:r>
          </w:p>
        </w:tc>
        <w:tc>
          <w:tcPr>
            <w:tcW w:type="dxa" w:w="1440"/>
            <w:shd w:fill="FAFAFA" w:val="clear"/>
          </w:tcPr>
          <w:p>
            <w:r>
              <w:rPr>
                <w:b/>
                <w:color w:val="C00000"/>
                <w:sz w:val="17"/>
              </w:rPr>
              <w:t>-1.4%</w:t>
            </w:r>
          </w:p>
        </w:tc>
      </w:tr>
      <w:tr>
        <w:tc>
          <w:tcPr>
            <w:tcW w:type="dxa" w:w="1440"/>
            <w:shd w:fill="FAFAFA" w:val="clear"/>
          </w:tcPr>
          <w:p>
            <w:r>
              <w:rPr>
                <w:sz w:val="17"/>
              </w:rPr>
              <w:t>J+7  ⭐</w:t>
            </w:r>
          </w:p>
        </w:tc>
        <w:tc>
          <w:tcPr>
            <w:tcW w:type="dxa" w:w="1440"/>
            <w:shd w:fill="FAFAFA" w:val="clear"/>
          </w:tcPr>
          <w:p>
            <w:r>
              <w:rPr>
                <w:sz w:val="17"/>
              </w:rPr>
              <w:t>2026-10-21</w:t>
            </w:r>
          </w:p>
        </w:tc>
        <w:tc>
          <w:tcPr>
            <w:tcW w:type="dxa" w:w="1440"/>
            <w:shd w:fill="FAFAFA" w:val="clear"/>
          </w:tcPr>
          <w:p>
            <w:r>
              <w:rPr>
                <w:sz w:val="17"/>
              </w:rPr>
              <w:t>2,668</w:t>
            </w:r>
          </w:p>
        </w:tc>
        <w:tc>
          <w:tcPr>
            <w:tcW w:type="dxa" w:w="1440"/>
            <w:shd w:fill="FAFAFA" w:val="clear"/>
          </w:tcPr>
          <w:p>
            <w:r>
              <w:rPr>
                <w:b/>
                <w:sz w:val="17"/>
              </w:rPr>
              <w:t>2,954</w:t>
            </w:r>
          </w:p>
        </w:tc>
        <w:tc>
          <w:tcPr>
            <w:tcW w:type="dxa" w:w="1440"/>
            <w:shd w:fill="FAFAFA" w:val="clear"/>
          </w:tcPr>
          <w:p>
            <w:r>
              <w:rPr>
                <w:sz w:val="17"/>
              </w:rPr>
              <w:t>3,239</w:t>
            </w:r>
          </w:p>
        </w:tc>
        <w:tc>
          <w:tcPr>
            <w:tcW w:type="dxa" w:w="1440"/>
            <w:shd w:fill="FAFAFA" w:val="clear"/>
          </w:tcPr>
          <w:p>
            <w:r>
              <w:rPr>
                <w:b/>
                <w:color w:val="C00000"/>
                <w:sz w:val="17"/>
              </w:rPr>
              <w:t>-1.5%</w:t>
            </w:r>
          </w:p>
        </w:tc>
      </w:tr>
      <w:tr>
        <w:tc>
          <w:tcPr>
            <w:tcW w:type="dxa" w:w="1440"/>
            <w:shd w:fill="FAFAFA" w:val="clear"/>
          </w:tcPr>
          <w:p>
            <w:r>
              <w:rPr>
                <w:sz w:val="17"/>
              </w:rPr>
              <w:t>J+8  ⭐</w:t>
            </w:r>
          </w:p>
        </w:tc>
        <w:tc>
          <w:tcPr>
            <w:tcW w:type="dxa" w:w="1440"/>
            <w:shd w:fill="FAFAFA" w:val="clear"/>
          </w:tcPr>
          <w:p>
            <w:r>
              <w:rPr>
                <w:sz w:val="17"/>
              </w:rPr>
              <w:t>2026-10-22</w:t>
            </w:r>
          </w:p>
        </w:tc>
        <w:tc>
          <w:tcPr>
            <w:tcW w:type="dxa" w:w="1440"/>
            <w:shd w:fill="FAFAFA" w:val="clear"/>
          </w:tcPr>
          <w:p>
            <w:r>
              <w:rPr>
                <w:sz w:val="17"/>
              </w:rPr>
              <w:t>2,645</w:t>
            </w:r>
          </w:p>
        </w:tc>
        <w:tc>
          <w:tcPr>
            <w:tcW w:type="dxa" w:w="1440"/>
            <w:shd w:fill="FAFAFA" w:val="clear"/>
          </w:tcPr>
          <w:p>
            <w:r>
              <w:rPr>
                <w:b/>
                <w:sz w:val="17"/>
              </w:rPr>
              <w:t>2,949</w:t>
            </w:r>
          </w:p>
        </w:tc>
        <w:tc>
          <w:tcPr>
            <w:tcW w:type="dxa" w:w="1440"/>
            <w:shd w:fill="FAFAFA" w:val="clear"/>
          </w:tcPr>
          <w:p>
            <w:r>
              <w:rPr>
                <w:sz w:val="17"/>
              </w:rPr>
              <w:t>3,254</w:t>
            </w:r>
          </w:p>
        </w:tc>
        <w:tc>
          <w:tcPr>
            <w:tcW w:type="dxa" w:w="1440"/>
            <w:shd w:fill="FAFAFA" w:val="clear"/>
          </w:tcPr>
          <w:p>
            <w:r>
              <w:rPr>
                <w:b/>
                <w:color w:val="C00000"/>
                <w:sz w:val="17"/>
              </w:rPr>
              <w:t>-1.7%</w:t>
            </w:r>
          </w:p>
        </w:tc>
      </w:tr>
      <w:tr>
        <w:tc>
          <w:tcPr>
            <w:tcW w:type="dxa" w:w="1440"/>
            <w:shd w:fill="FAFAFA" w:val="clear"/>
          </w:tcPr>
          <w:p>
            <w:r>
              <w:rPr>
                <w:sz w:val="17"/>
              </w:rPr>
              <w:t>J+9  ⭐</w:t>
            </w:r>
          </w:p>
        </w:tc>
        <w:tc>
          <w:tcPr>
            <w:tcW w:type="dxa" w:w="1440"/>
            <w:shd w:fill="FAFAFA" w:val="clear"/>
          </w:tcPr>
          <w:p>
            <w:r>
              <w:rPr>
                <w:sz w:val="17"/>
              </w:rPr>
              <w:t>2026-10-23</w:t>
            </w:r>
          </w:p>
        </w:tc>
        <w:tc>
          <w:tcPr>
            <w:tcW w:type="dxa" w:w="1440"/>
            <w:shd w:fill="FAFAFA" w:val="clear"/>
          </w:tcPr>
          <w:p>
            <w:r>
              <w:rPr>
                <w:sz w:val="17"/>
              </w:rPr>
              <w:t>2,623</w:t>
            </w:r>
          </w:p>
        </w:tc>
        <w:tc>
          <w:tcPr>
            <w:tcW w:type="dxa" w:w="1440"/>
            <w:shd w:fill="FAFAFA" w:val="clear"/>
          </w:tcPr>
          <w:p>
            <w:r>
              <w:rPr>
                <w:b/>
                <w:sz w:val="17"/>
              </w:rPr>
              <w:t>2,945</w:t>
            </w:r>
          </w:p>
        </w:tc>
        <w:tc>
          <w:tcPr>
            <w:tcW w:type="dxa" w:w="1440"/>
            <w:shd w:fill="FAFAFA" w:val="clear"/>
          </w:tcPr>
          <w:p>
            <w:r>
              <w:rPr>
                <w:sz w:val="17"/>
              </w:rPr>
              <w:t>3,268</w:t>
            </w:r>
          </w:p>
        </w:tc>
        <w:tc>
          <w:tcPr>
            <w:tcW w:type="dxa" w:w="1440"/>
            <w:shd w:fill="FAFAFA" w:val="clear"/>
          </w:tcPr>
          <w:p>
            <w:r>
              <w:rPr>
                <w:b/>
                <w:color w:val="C00000"/>
                <w:sz w:val="17"/>
              </w:rPr>
              <w:t>-1.8%</w:t>
            </w:r>
          </w:p>
        </w:tc>
      </w:tr>
      <w:tr>
        <w:tc>
          <w:tcPr>
            <w:tcW w:type="dxa" w:w="1440"/>
            <w:shd w:fill="FAFAFA" w:val="clear"/>
          </w:tcPr>
          <w:p>
            <w:r>
              <w:rPr>
                <w:sz w:val="17"/>
              </w:rPr>
              <w:t>J+10  ⭐</w:t>
            </w:r>
          </w:p>
        </w:tc>
        <w:tc>
          <w:tcPr>
            <w:tcW w:type="dxa" w:w="1440"/>
            <w:shd w:fill="FAFAFA" w:val="clear"/>
          </w:tcPr>
          <w:p>
            <w:r>
              <w:rPr>
                <w:sz w:val="17"/>
              </w:rPr>
              <w:t>2026-10-26</w:t>
            </w:r>
          </w:p>
        </w:tc>
        <w:tc>
          <w:tcPr>
            <w:tcW w:type="dxa" w:w="1440"/>
            <w:shd w:fill="FAFAFA" w:val="clear"/>
          </w:tcPr>
          <w:p>
            <w:r>
              <w:rPr>
                <w:sz w:val="17"/>
              </w:rPr>
              <w:t>2,602</w:t>
            </w:r>
          </w:p>
        </w:tc>
        <w:tc>
          <w:tcPr>
            <w:tcW w:type="dxa" w:w="1440"/>
            <w:shd w:fill="FAFAFA" w:val="clear"/>
          </w:tcPr>
          <w:p>
            <w:r>
              <w:rPr>
                <w:b/>
                <w:sz w:val="17"/>
              </w:rPr>
              <w:t>2,941</w:t>
            </w:r>
          </w:p>
        </w:tc>
        <w:tc>
          <w:tcPr>
            <w:tcW w:type="dxa" w:w="1440"/>
            <w:shd w:fill="FAFAFA" w:val="clear"/>
          </w:tcPr>
          <w:p>
            <w:r>
              <w:rPr>
                <w:sz w:val="17"/>
              </w:rPr>
              <w:t>3,281</w:t>
            </w:r>
          </w:p>
        </w:tc>
        <w:tc>
          <w:tcPr>
            <w:tcW w:type="dxa" w:w="1440"/>
            <w:shd w:fill="FAFAFA"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 RAPPORT D'ANALYSE FINANCIÈRE — TOTALENERGIES MARKETING CÔTE D'IVOIRE (TTLC)</w:t>
      </w:r>
    </w:p>
    <w:p>
      <w:pPr>
        <w:spacing w:after="120" w:line="276" w:lineRule="auto"/>
      </w:pPr>
      <w:r>
        <w:t>**Bourse Régionale des Valeurs Mobilières (BRVM) — Secteur : Distribution pétrolière**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**188,88 milliards FCFA**, TTLC figure parmi les valeurs les plus importantes de la cote BRVM, ce qui en fait un pilier de l'indice composite. Le BPA de **144 FCFA/action** signifie que chaque titre génère 144 FCFA de bénéfice net, ce qui, rapporté au cours de 3 000 FCFA, donne un **PER de 20,8x** — nettement supérieur à la moyenne du marché BRVM (8-12x), traduisant soit une prime de qualité/leadership, soit une surévaluation relative. Le **P/B de 5,22x** confirme cette exigence : le marché valorise l'entreprise à plus de 5 fois ses fonds propres comptables (36,2 Mds FCFA), une prime rarement justifiée que par une forte rentabilité des capitaux propres (ROE de 25,1%). Enfin, l'**EV/EBITDA de 10,9x** situe la valeur totale (capitalisation + dette nette) à près de 11 fois la capacité opérationnelle, un niveau élevé pour un distributeur à faible marge, suggérant que le marché intègre déjà une croissance future significative.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TTLC affiche une progression modeste de **+3,45%**, mais la dernière séance (J-1) enregistre un bond spectaculaire de **+4,53%**, portant le cours à **3 000 FCFA**. Le range de trading s'étend de **2 770 FCFA** (plus bas) à **3 595 FCFA** (plus haut), soit une amplitude de 825 FCFA qui témoigne d'une réelle volatilité intra-période. La tendance générale reste fragilement haussière, mais le titre évolue actuellement dans le bas de sa fourchette, à 16,5% sous son plus haut. Les statistiques descriptives révèlent une **moyenne de 3 024 FCFA** légèrement supérieure à la **médiane de 2 978 FCFA**, avec un **mode à 2 900 FCFA** : cet écart modéré indique une distribution légèrement asymétrique, confirmée par un **skewness de 0,890** (asymétrie positive), signifiant que davantage de séances se sont déroulées sous la moyenne, mais que quelques journées haussières tirent la moyenne vers le haut. L'**écart-type de 191 FCFA** et le **coefficient de variation de 6,3%** traduisent une dispersion modérée autour de la moyenne, tandis que le **kurtosis de -0,281** (mésokurtique) suggère une distribution proche de la normale, sans risque excessif de pics extrêmes. La **volatilité annualisée de 41,5%** classe ce titre dans la catégorie **élevée** (&gt;30%), ce qui est cohérent avec la nature cyclique du secteur pétrolier et la faible liquidité du marché BRVM.</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**3 098,25 FCFA** et la MM50 à **3 158,0 FCFA**, toutes deux nettement supérieures au cours actuel de 3 000 FCFA. Cette configuration baissière (cours sous les deux moyennes) signale une pression vendeuse persistante et justifie la décision technique de **Vente**. Le croisement potentiel de la MM20 sous la MM50 (death cross) reste un risque à surveiller.</w:t>
      </w:r>
    </w:p>
    <w:p>
      <w:pPr>
        <w:spacing w:after="120" w:line="276" w:lineRule="auto"/>
      </w:pPr>
      <w:r>
        <w:t>**Bandes de Bollinger :** Le cours (3 000 FCFA) se situe dans la moitié inférieure de la bande, entre la borne inférieure (**2 858,46 FCFA**) et la borne supérieure (**3 338,04 FCFA**). Cette position neutre, sans contact avec les extrêmes, indique l'absence de signal de surachat ou de survente, justifiant la décision **Neutre**. L'amplitude des bandes (479,57 FCFA) confirme une volatilité modérée à élevée.</w:t>
      </w:r>
    </w:p>
    <w:p>
      <w:pPr>
        <w:spacing w:after="120" w:line="276" w:lineRule="auto"/>
      </w:pPr>
      <w:r>
        <w:t>**MACD :** La valeur du MACD (**-65,313**) est inférieure à son signal (**-46,912**), avec un histogramme négatif. Cette divergence baissière indique que le momentum reste négatif et que la pression vendeuse domine, justifiant la décision de **Vente**. Aucun croisement haussier n'est imminent.</w:t>
      </w:r>
    </w:p>
    <w:p>
      <w:pPr>
        <w:spacing w:after="120" w:line="276" w:lineRule="auto"/>
      </w:pPr>
      <w:r>
        <w:t>**RSI :** À **40,909**, le RSI se situe dans la zone neutre (30-70), sans approcher la zone de survente (30). Cette position médiane reflète un équilibre relatif entre acheteurs et vendeurs, justifiant la décision **Neutre**. Le RSI ne fournit pas de signal directionnel fort actuellement.</w:t>
      </w:r>
    </w:p>
    <w:p>
      <w:pPr>
        <w:spacing w:after="120" w:line="276" w:lineRule="auto"/>
      </w:pPr>
      <w:r>
        <w:t>**Stochastique :** Le %K (**39,394**) est supérieur au %D (**13,131**), avec un croisement récent du %K au-dessus du %D — un signal potentiellement haussier à court terme. Cependant, les deux valeurs restent en zone basse, et la décision globale demeure **Neutre** en l'absence de confirmation par les autres indicateurs.</w:t>
      </w:r>
    </w:p>
    <w:p>
      <w:pPr>
        <w:spacing w:after="120" w:line="276" w:lineRule="auto"/>
      </w:pPr>
      <w:r>
        <w:t>**Conclusion technique :** Les indicateurs techniques présentent un tableau mitigé à baissier : les moyennes mobiles confirment une tendance descendante (cours sous MM20 et MM50), le MACD est clairement négatif, tandis que le RSI et les Bandes de Bollinger restent neutres. Seul le stochastique suggère un possible rebond à court terme, mais sans convergence avec les autres signaux. La prudence technique domine, avec un risque de poursuite de la correction vers la borne inférieure des Bollinger (2 858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TotalEnergies Marketing Côte d'Ivoire a réalisé un chiffre d'affaires de **588,709 milliards FCFA**, en repli de **-5,21%** par rapport à 2024 (621,0 Mds FCFA), confirmant la tendance baissière observée depuis le T1 2025. Le résultat net s'établit à **9,087 milliards FCFA** (contre 9,374 Mds en 2024, soit -3%), avec une **marge nette de 1,54%** — typique d'un distributeur à faible marge mais à fort volume. La rentabilité des fonds propres reste excellente avec un **ROE de 25,10%** (&gt;15% = excellent), bien que le **ROA de 4,82%** reflète la faible rotation des actifs (312,36%). Le **BFR est négatif à -9,662 Mds FCFA**, ce qui est favorable pour un distributeur (financement par les fournisseurs), mais la **trésorerie nette est négative à -21,926 Mds FCFA**, signalant une dépendance aux crédits court terme. Le **ratio d'endettement de 90,23%** (dettes totales/capitaux propres) et l'**autonomie financière de 19,21%** (&lt;30% = insuffisant) constituent des points de vigilance. La **capacité de remboursement de 1,71 an** (dettes financières/CAF) reste acceptable, et la **couverture des investissements par la CAF de 188,72%** est solide.</w:t>
      </w:r>
    </w:p>
    <w:p>
      <w:pPr>
        <w:spacing w:after="120" w:line="276" w:lineRule="auto"/>
      </w:pPr>
      <w:r>
        <w:t>**Adaptation au secteur (ENTREPRISE) :** Les délais fournisseurs de **49,72 jours** et la durée de stockage de **13,80 jours** sont bien maîtrisés, confirmant un cycle d'exploitation efficace. Le BFR négatif est un atout dans ce secteur où les volumes priment sur les marges.</w:t>
      </w:r>
    </w:p>
    <w:p>
      <w:pPr>
        <w:spacing w:after="120" w:line="276" w:lineRule="auto"/>
      </w:pPr>
      <w:r>
        <w:t>**Estimations basées sur les rapports trimestriels :** Le rapport T1 2026 (publié en 2026) indique un chiffre d'affaires de **154,392 Mds FCFA** (+4,3% vs T1 2025) et un résultat net de **2,329 Mds FCFA** (+5,5%), marquant un retour à la croissance. Sur cette base, on peut estimer que l'exercice 2026 devrait renouer avec une progression du CA et du résultat net, portée par l'augmentation des volumes et l'expansion du réseau (182 stations). Le rapport annuel 2025 (publié en 2026) confirme la solidité opérationnelle avec un **EBE en hausse de +12%** (22,347 Mds FCFA) et un **résultat d'exploitation en progression de +18%** (12,329 Mds FCFA), malgré la baisse du CA. Le **dividende brut de 10 Mds FCFA** (payout &gt;100%) reste attractif mais questionne la soutenabilité de la distribution au vu de la trésorerie négative. Les rapports antérieurs (2024, S1 2025) montrent une dégradation temporaire du résultat net (-30,2% au T3 2025) due à un effet de base défavorable et à une charge fiscale anticipée, mais la rentabilité opérationnelle s'est maintenue.</w:t>
      </w:r>
    </w:p>
    <w:p>
      <w:pPr>
        <w:spacing w:after="120" w:line="276" w:lineRule="auto"/>
      </w:pPr>
      <w:r>
        <w:t>**Recommandation fondamentale :** TTLC affiche une solidité opérationnelle indéniable (leader du secteur, ROE élevé, marges en amélioration) mais fait face à des défis financiers (trésorerie négative, endettement élevé, payout excessif). La reprise du T1 2026 est encourageante, mais la prudence reste de mise. **Conserver** le titre en attendant une confirmation de la tendance haussière du CA et une amélioration de la structure financière.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tableau contrasté pour TTLC. **Sur le plan de la valorisation (Partie 0)** , les ratios PER (20,8x), P/B (5,22x) et EV/EBITDA (10,9x) indiquent une **surévaluation relative** par rapport aux moyennes du marché BRVM, le marché intégrant déjà une prime de leadership et des anticipations de croissance. **Le comportement du cours (Partie 1)** montre une tendance fragilement haussière (+3,45% sur 100 jours) mais avec une volatilité élevée (41,5%) et une distribution asymétrique positivement (skewness 0,890), ce qui suggère que le titre évolue dans le bas de sa fourchette avec un potentiel de rebond mais aussi un risque de correction. **Les signaux techniques (Partie 2)** sont majoritairement baissiers : cours sous les moyennes mobiles, MACD négatif, RSI neutre — seul le stochastique offre un espoir de rebond à court terme, mais sans convergence. **Les fondamentaux (Partie 3)** demeurent solides (ROE 25,1%, EBE +12%, leader du secteur) mais entachés par une trésorerie négative (-21,9 Mds FCFA), un endettement élevé (90,2%) et un payout &gt;100% qui menace la soutenabilité du dividende. **Les prédictions IA (J+1 à J+10)** anticipent une légère dérive baissière vers **2 963 FCFA** d'ici le 19 octobre 2026, confirmant la pression vendeuse à court terme.</w:t>
      </w:r>
    </w:p>
    <w:p>
      <w:pPr>
        <w:spacing w:after="120" w:line="276" w:lineRule="auto"/>
      </w:pPr>
      <w:r>
        <w:t>**Recommandation finale : CONSERVER.** La convergence entre une valorisation exigeante, des signaux techniques baissiers et des fondamentaux solides mais fragilisés par la trésorerie justifie une position attentiste. Le potentiel de reprise du T1 2026 (+4,3% de CA) et la position dominante de TTLC sur le marché ivoirien plaident pour un maintien au portefeuille, mais l'absence de catalyseur haussier immédiat et les prédictions baissières invitent à ne pas renforcer. **Niveau de confiance : Moyen** (les indicateurs sont divergents). **Niveau de risque : Élevé** (volatilité 41,5%, endettement, payout excessif). **Horizon d'investissement optimal : Moyen terme (3-12 mois)** , en surveillant la confirmation de la reprise du CA et l'amélioration de la trésorerie nette.</w:t>
      </w:r>
    </w:p>
    <w:p>
      <w:pPr>
        <w:spacing w:after="120" w:line="276" w:lineRule="auto"/>
      </w:pPr>
      <w:r>
        <w:t>---</w:t>
      </w:r>
    </w:p>
    <w:p>
      <w:pPr>
        <w:spacing w:after="120" w:line="276" w:lineRule="auto"/>
      </w:pPr>
      <w:r>
        <w:t>*Rapport généré le 12 octobre 2026 — Sources : BRVM, états financiers TTLC 2025, rapports trimestriels T1 2026, analyses techniques et prédictions IA.*</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46.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117.44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3,367 titres</w:t>
            </w:r>
          </w:p>
        </w:tc>
        <w:tc>
          <w:tcPr>
            <w:tcW w:type="dxa" w:w="2268"/>
            <w:shd w:fill="FFF2CC" w:val="clear"/>
          </w:tcPr>
          <w:p>
            <w:r>
              <w:rPr>
                <w:b/>
                <w:color w:val="503200"/>
                <w:sz w:val="16"/>
              </w:rPr>
              <w:t xml:space="preserve">Cours actuel : </w:t>
            </w:r>
            <w:r>
              <w:rPr>
                <w:color w:val="000000"/>
                <w:sz w:val="17"/>
              </w:rPr>
              <w:t>3,605 FCFA</w:t>
            </w:r>
          </w:p>
          <w:p>
            <w:r>
              <w:rPr>
                <w:b/>
                <w:color w:val="503200"/>
                <w:sz w:val="16"/>
              </w:rPr>
              <w:t xml:space="preserve">Var. 100 jours : </w:t>
            </w:r>
            <w:r>
              <w:rPr>
                <w:b/>
                <w:color w:val="007800"/>
                <w:sz w:val="17"/>
              </w:rPr>
              <w:t>+19.37%</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3,020 FCFA</w:t>
            </w:r>
          </w:p>
          <w:p>
            <w:r>
              <w:rPr>
                <w:b/>
                <w:color w:val="503200"/>
                <w:sz w:val="16"/>
              </w:rPr>
              <w:t xml:space="preserve">Volatilité ann. : </w:t>
            </w:r>
            <w:r>
              <w:rPr>
                <w:color w:val="000000"/>
                <w:sz w:val="17"/>
              </w:rPr>
              <w:t>43.2%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7.48% (Moyenne) — μ=3,703 FCFA, σ=277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β=0.4944 (Défensif) — Cov=0.000036, Var(idx)=0.000073, ρ=0.155,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3,367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σ_j=2.72%/j (Stable) — Vol. annualisée≈43.2%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2026-10-13</w:t>
            </w:r>
          </w:p>
        </w:tc>
        <w:tc>
          <w:tcPr>
            <w:tcW w:type="dxa" w:w="1440"/>
            <w:shd w:fill="FAFAFA" w:val="clear"/>
          </w:tcPr>
          <w:p>
            <w:r>
              <w:rPr>
                <w:sz w:val="17"/>
              </w:rPr>
              <w:t>3,497</w:t>
            </w:r>
          </w:p>
        </w:tc>
        <w:tc>
          <w:tcPr>
            <w:tcW w:type="dxa" w:w="1440"/>
            <w:shd w:fill="FAFAFA" w:val="clear"/>
          </w:tcPr>
          <w:p>
            <w:r>
              <w:rPr>
                <w:b/>
                <w:sz w:val="17"/>
              </w:rPr>
              <w:t>3,620</w:t>
            </w:r>
          </w:p>
        </w:tc>
        <w:tc>
          <w:tcPr>
            <w:tcW w:type="dxa" w:w="1440"/>
            <w:shd w:fill="FAFAFA" w:val="clear"/>
          </w:tcPr>
          <w:p>
            <w:r>
              <w:rPr>
                <w:sz w:val="17"/>
              </w:rPr>
              <w:t>3,743</w:t>
            </w:r>
          </w:p>
        </w:tc>
        <w:tc>
          <w:tcPr>
            <w:tcW w:type="dxa" w:w="1440"/>
            <w:shd w:fill="FAFAFA" w:val="clear"/>
          </w:tcPr>
          <w:p>
            <w:r>
              <w:rPr>
                <w:b/>
                <w:color w:val="008000"/>
                <w:sz w:val="17"/>
              </w:rPr>
              <w:t>+0.4%</w:t>
            </w:r>
          </w:p>
        </w:tc>
      </w:tr>
      <w:tr>
        <w:tc>
          <w:tcPr>
            <w:tcW w:type="dxa" w:w="1440"/>
            <w:shd w:fill="FAFAFA" w:val="clear"/>
          </w:tcPr>
          <w:p>
            <w:r>
              <w:rPr>
                <w:sz w:val="17"/>
              </w:rPr>
              <w:t>J+2  ⭐</w:t>
            </w:r>
          </w:p>
        </w:tc>
        <w:tc>
          <w:tcPr>
            <w:tcW w:type="dxa" w:w="1440"/>
            <w:shd w:fill="FAFAFA" w:val="clear"/>
          </w:tcPr>
          <w:p>
            <w:r>
              <w:rPr>
                <w:sz w:val="17"/>
              </w:rPr>
              <w:t>2026-10-14</w:t>
            </w:r>
          </w:p>
        </w:tc>
        <w:tc>
          <w:tcPr>
            <w:tcW w:type="dxa" w:w="1440"/>
            <w:shd w:fill="FAFAFA" w:val="clear"/>
          </w:tcPr>
          <w:p>
            <w:r>
              <w:rPr>
                <w:sz w:val="17"/>
              </w:rPr>
              <w:t>3,439</w:t>
            </w:r>
          </w:p>
        </w:tc>
        <w:tc>
          <w:tcPr>
            <w:tcW w:type="dxa" w:w="1440"/>
            <w:shd w:fill="FAFAFA" w:val="clear"/>
          </w:tcPr>
          <w:p>
            <w:r>
              <w:rPr>
                <w:b/>
                <w:sz w:val="17"/>
              </w:rPr>
              <w:t>3,613</w:t>
            </w:r>
          </w:p>
        </w:tc>
        <w:tc>
          <w:tcPr>
            <w:tcW w:type="dxa" w:w="1440"/>
            <w:shd w:fill="FAFAFA" w:val="clear"/>
          </w:tcPr>
          <w:p>
            <w:r>
              <w:rPr>
                <w:sz w:val="17"/>
              </w:rPr>
              <w:t>3,786</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2026-10-15</w:t>
            </w:r>
          </w:p>
        </w:tc>
        <w:tc>
          <w:tcPr>
            <w:tcW w:type="dxa" w:w="1440"/>
            <w:shd w:fill="FAFAFA" w:val="clear"/>
          </w:tcPr>
          <w:p>
            <w:r>
              <w:rPr>
                <w:sz w:val="17"/>
              </w:rPr>
              <w:t>3,395</w:t>
            </w:r>
          </w:p>
        </w:tc>
        <w:tc>
          <w:tcPr>
            <w:tcW w:type="dxa" w:w="1440"/>
            <w:shd w:fill="FAFAFA" w:val="clear"/>
          </w:tcPr>
          <w:p>
            <w:r>
              <w:rPr>
                <w:b/>
                <w:sz w:val="17"/>
              </w:rPr>
              <w:t>3,607</w:t>
            </w:r>
          </w:p>
        </w:tc>
        <w:tc>
          <w:tcPr>
            <w:tcW w:type="dxa" w:w="1440"/>
            <w:shd w:fill="FAFAFA" w:val="clear"/>
          </w:tcPr>
          <w:p>
            <w:r>
              <w:rPr>
                <w:sz w:val="17"/>
              </w:rPr>
              <w:t>3,819</w:t>
            </w:r>
          </w:p>
        </w:tc>
        <w:tc>
          <w:tcPr>
            <w:tcW w:type="dxa" w:w="1440"/>
            <w:shd w:fill="FAFAFA" w:val="clear"/>
          </w:tcPr>
          <w:p>
            <w:r>
              <w:rPr>
                <w:b/>
                <w:color w:val="008000"/>
                <w:sz w:val="17"/>
              </w:rPr>
              <w:t>+0.1%</w:t>
            </w:r>
          </w:p>
        </w:tc>
      </w:tr>
      <w:tr>
        <w:tc>
          <w:tcPr>
            <w:tcW w:type="dxa" w:w="1440"/>
            <w:shd w:fill="FAFAFA" w:val="clear"/>
          </w:tcPr>
          <w:p>
            <w:r>
              <w:rPr>
                <w:sz w:val="17"/>
              </w:rPr>
              <w:t>J+4  ⭐</w:t>
            </w:r>
          </w:p>
        </w:tc>
        <w:tc>
          <w:tcPr>
            <w:tcW w:type="dxa" w:w="1440"/>
            <w:shd w:fill="FAFAFA" w:val="clear"/>
          </w:tcPr>
          <w:p>
            <w:r>
              <w:rPr>
                <w:sz w:val="17"/>
              </w:rPr>
              <w:t>2026-10-16</w:t>
            </w:r>
          </w:p>
        </w:tc>
        <w:tc>
          <w:tcPr>
            <w:tcW w:type="dxa" w:w="1440"/>
            <w:shd w:fill="FAFAFA" w:val="clear"/>
          </w:tcPr>
          <w:p>
            <w:r>
              <w:rPr>
                <w:sz w:val="17"/>
              </w:rPr>
              <w:t>3,357</w:t>
            </w:r>
          </w:p>
        </w:tc>
        <w:tc>
          <w:tcPr>
            <w:tcW w:type="dxa" w:w="1440"/>
            <w:shd w:fill="FAFAFA" w:val="clear"/>
          </w:tcPr>
          <w:p>
            <w:r>
              <w:rPr>
                <w:b/>
                <w:sz w:val="17"/>
              </w:rPr>
              <w:t>3,601</w:t>
            </w:r>
          </w:p>
        </w:tc>
        <w:tc>
          <w:tcPr>
            <w:tcW w:type="dxa" w:w="1440"/>
            <w:shd w:fill="FAFAFA" w:val="clear"/>
          </w:tcPr>
          <w:p>
            <w:r>
              <w:rPr>
                <w:sz w:val="17"/>
              </w:rPr>
              <w:t>3,846</w:t>
            </w:r>
          </w:p>
        </w:tc>
        <w:tc>
          <w:tcPr>
            <w:tcW w:type="dxa" w:w="1440"/>
            <w:shd w:fill="FAFAFA" w:val="clear"/>
          </w:tcPr>
          <w:p>
            <w:r>
              <w:rPr>
                <w:b/>
                <w:color w:val="C00000"/>
                <w:sz w:val="17"/>
              </w:rPr>
              <w:t>-0.1%</w:t>
            </w:r>
          </w:p>
        </w:tc>
      </w:tr>
      <w:tr>
        <w:tc>
          <w:tcPr>
            <w:tcW w:type="dxa" w:w="1440"/>
            <w:shd w:fill="FAFAFA" w:val="clear"/>
          </w:tcPr>
          <w:p>
            <w:r>
              <w:rPr>
                <w:sz w:val="17"/>
              </w:rPr>
              <w:t>J+5  ⭐</w:t>
            </w:r>
          </w:p>
        </w:tc>
        <w:tc>
          <w:tcPr>
            <w:tcW w:type="dxa" w:w="1440"/>
            <w:shd w:fill="FAFAFA" w:val="clear"/>
          </w:tcPr>
          <w:p>
            <w:r>
              <w:rPr>
                <w:sz w:val="17"/>
              </w:rPr>
              <w:t>2026-10-19</w:t>
            </w:r>
          </w:p>
        </w:tc>
        <w:tc>
          <w:tcPr>
            <w:tcW w:type="dxa" w:w="1440"/>
            <w:shd w:fill="FAFAFA" w:val="clear"/>
          </w:tcPr>
          <w:p>
            <w:r>
              <w:rPr>
                <w:sz w:val="17"/>
              </w:rPr>
              <w:t>3,323</w:t>
            </w:r>
          </w:p>
        </w:tc>
        <w:tc>
          <w:tcPr>
            <w:tcW w:type="dxa" w:w="1440"/>
            <w:shd w:fill="FAFAFA" w:val="clear"/>
          </w:tcPr>
          <w:p>
            <w:r>
              <w:rPr>
                <w:b/>
                <w:sz w:val="17"/>
              </w:rPr>
              <w:t>3,595</w:t>
            </w:r>
          </w:p>
        </w:tc>
        <w:tc>
          <w:tcPr>
            <w:tcW w:type="dxa" w:w="1440"/>
            <w:shd w:fill="FAFAFA" w:val="clear"/>
          </w:tcPr>
          <w:p>
            <w:r>
              <w:rPr>
                <w:sz w:val="17"/>
              </w:rPr>
              <w:t>3,868</w:t>
            </w:r>
          </w:p>
        </w:tc>
        <w:tc>
          <w:tcPr>
            <w:tcW w:type="dxa" w:w="1440"/>
            <w:shd w:fill="FAFAFA" w:val="clear"/>
          </w:tcPr>
          <w:p>
            <w:r>
              <w:rPr>
                <w:b/>
                <w:color w:val="C00000"/>
                <w:sz w:val="17"/>
              </w:rPr>
              <w:t>-0.3%</w:t>
            </w:r>
          </w:p>
        </w:tc>
      </w:tr>
      <w:tr>
        <w:tc>
          <w:tcPr>
            <w:tcW w:type="dxa" w:w="1440"/>
            <w:shd w:fill="FAFAFA" w:val="clear"/>
          </w:tcPr>
          <w:p>
            <w:r>
              <w:rPr>
                <w:sz w:val="17"/>
              </w:rPr>
              <w:t>J+6  ⭐</w:t>
            </w:r>
          </w:p>
        </w:tc>
        <w:tc>
          <w:tcPr>
            <w:tcW w:type="dxa" w:w="1440"/>
            <w:shd w:fill="FAFAFA" w:val="clear"/>
          </w:tcPr>
          <w:p>
            <w:r>
              <w:rPr>
                <w:sz w:val="17"/>
              </w:rPr>
              <w:t>2026-10-20</w:t>
            </w:r>
          </w:p>
        </w:tc>
        <w:tc>
          <w:tcPr>
            <w:tcW w:type="dxa" w:w="1440"/>
            <w:shd w:fill="FAFAFA" w:val="clear"/>
          </w:tcPr>
          <w:p>
            <w:r>
              <w:rPr>
                <w:sz w:val="17"/>
              </w:rPr>
              <w:t>3,291</w:t>
            </w:r>
          </w:p>
        </w:tc>
        <w:tc>
          <w:tcPr>
            <w:tcW w:type="dxa" w:w="1440"/>
            <w:shd w:fill="FAFAFA" w:val="clear"/>
          </w:tcPr>
          <w:p>
            <w:r>
              <w:rPr>
                <w:b/>
                <w:sz w:val="17"/>
              </w:rPr>
              <w:t>3,589</w:t>
            </w:r>
          </w:p>
        </w:tc>
        <w:tc>
          <w:tcPr>
            <w:tcW w:type="dxa" w:w="1440"/>
            <w:shd w:fill="FAFAFA" w:val="clear"/>
          </w:tcPr>
          <w:p>
            <w:r>
              <w:rPr>
                <w:sz w:val="17"/>
              </w:rPr>
              <w:t>3,888</w:t>
            </w:r>
          </w:p>
        </w:tc>
        <w:tc>
          <w:tcPr>
            <w:tcW w:type="dxa" w:w="1440"/>
            <w:shd w:fill="FAFAFA" w:val="clear"/>
          </w:tcPr>
          <w:p>
            <w:r>
              <w:rPr>
                <w:b/>
                <w:color w:val="C00000"/>
                <w:sz w:val="17"/>
              </w:rPr>
              <w:t>-0.4%</w:t>
            </w:r>
          </w:p>
        </w:tc>
      </w:tr>
      <w:tr>
        <w:tc>
          <w:tcPr>
            <w:tcW w:type="dxa" w:w="1440"/>
            <w:shd w:fill="FAFAFA" w:val="clear"/>
          </w:tcPr>
          <w:p>
            <w:r>
              <w:rPr>
                <w:sz w:val="17"/>
              </w:rPr>
              <w:t>J+7  ⭐</w:t>
            </w:r>
          </w:p>
        </w:tc>
        <w:tc>
          <w:tcPr>
            <w:tcW w:type="dxa" w:w="1440"/>
            <w:shd w:fill="FAFAFA" w:val="clear"/>
          </w:tcPr>
          <w:p>
            <w:r>
              <w:rPr>
                <w:sz w:val="17"/>
              </w:rPr>
              <w:t>2026-10-21</w:t>
            </w:r>
          </w:p>
        </w:tc>
        <w:tc>
          <w:tcPr>
            <w:tcW w:type="dxa" w:w="1440"/>
            <w:shd w:fill="FAFAFA" w:val="clear"/>
          </w:tcPr>
          <w:p>
            <w:r>
              <w:rPr>
                <w:sz w:val="17"/>
              </w:rPr>
              <w:t>3,262</w:t>
            </w:r>
          </w:p>
        </w:tc>
        <w:tc>
          <w:tcPr>
            <w:tcW w:type="dxa" w:w="1440"/>
            <w:shd w:fill="FAFAFA" w:val="clear"/>
          </w:tcPr>
          <w:p>
            <w:r>
              <w:rPr>
                <w:b/>
                <w:sz w:val="17"/>
              </w:rPr>
              <w:t>3,584</w:t>
            </w:r>
          </w:p>
        </w:tc>
        <w:tc>
          <w:tcPr>
            <w:tcW w:type="dxa" w:w="1440"/>
            <w:shd w:fill="FAFAFA" w:val="clear"/>
          </w:tcPr>
          <w:p>
            <w:r>
              <w:rPr>
                <w:sz w:val="17"/>
              </w:rPr>
              <w:t>3,905</w:t>
            </w:r>
          </w:p>
        </w:tc>
        <w:tc>
          <w:tcPr>
            <w:tcW w:type="dxa" w:w="1440"/>
            <w:shd w:fill="FAFAFA" w:val="clear"/>
          </w:tcPr>
          <w:p>
            <w:r>
              <w:rPr>
                <w:b/>
                <w:color w:val="C00000"/>
                <w:sz w:val="17"/>
              </w:rPr>
              <w:t>-0.6%</w:t>
            </w:r>
          </w:p>
        </w:tc>
      </w:tr>
      <w:tr>
        <w:tc>
          <w:tcPr>
            <w:tcW w:type="dxa" w:w="1440"/>
            <w:shd w:fill="FAFAFA" w:val="clear"/>
          </w:tcPr>
          <w:p>
            <w:r>
              <w:rPr>
                <w:sz w:val="17"/>
              </w:rPr>
              <w:t>J+8  ⭐</w:t>
            </w:r>
          </w:p>
        </w:tc>
        <w:tc>
          <w:tcPr>
            <w:tcW w:type="dxa" w:w="1440"/>
            <w:shd w:fill="FAFAFA" w:val="clear"/>
          </w:tcPr>
          <w:p>
            <w:r>
              <w:rPr>
                <w:sz w:val="17"/>
              </w:rPr>
              <w:t>2026-10-22</w:t>
            </w:r>
          </w:p>
        </w:tc>
        <w:tc>
          <w:tcPr>
            <w:tcW w:type="dxa" w:w="1440"/>
            <w:shd w:fill="FAFAFA" w:val="clear"/>
          </w:tcPr>
          <w:p>
            <w:r>
              <w:rPr>
                <w:sz w:val="17"/>
              </w:rPr>
              <w:t>3,235</w:t>
            </w:r>
          </w:p>
        </w:tc>
        <w:tc>
          <w:tcPr>
            <w:tcW w:type="dxa" w:w="1440"/>
            <w:shd w:fill="FAFAFA" w:val="clear"/>
          </w:tcPr>
          <w:p>
            <w:r>
              <w:rPr>
                <w:b/>
                <w:sz w:val="17"/>
              </w:rPr>
              <w:t>3,578</w:t>
            </w:r>
          </w:p>
        </w:tc>
        <w:tc>
          <w:tcPr>
            <w:tcW w:type="dxa" w:w="1440"/>
            <w:shd w:fill="FAFAFA" w:val="clear"/>
          </w:tcPr>
          <w:p>
            <w:r>
              <w:rPr>
                <w:sz w:val="17"/>
              </w:rPr>
              <w:t>3,921</w:t>
            </w:r>
          </w:p>
        </w:tc>
        <w:tc>
          <w:tcPr>
            <w:tcW w:type="dxa" w:w="1440"/>
            <w:shd w:fill="FAFAFA" w:val="clear"/>
          </w:tcPr>
          <w:p>
            <w:r>
              <w:rPr>
                <w:b/>
                <w:color w:val="C00000"/>
                <w:sz w:val="17"/>
              </w:rPr>
              <w:t>-0.8%</w:t>
            </w:r>
          </w:p>
        </w:tc>
      </w:tr>
      <w:tr>
        <w:tc>
          <w:tcPr>
            <w:tcW w:type="dxa" w:w="1440"/>
            <w:shd w:fill="FAFAFA" w:val="clear"/>
          </w:tcPr>
          <w:p>
            <w:r>
              <w:rPr>
                <w:sz w:val="17"/>
              </w:rPr>
              <w:t>J+9  ⭐</w:t>
            </w:r>
          </w:p>
        </w:tc>
        <w:tc>
          <w:tcPr>
            <w:tcW w:type="dxa" w:w="1440"/>
            <w:shd w:fill="FAFAFA" w:val="clear"/>
          </w:tcPr>
          <w:p>
            <w:r>
              <w:rPr>
                <w:sz w:val="17"/>
              </w:rPr>
              <w:t>2026-10-23</w:t>
            </w:r>
          </w:p>
        </w:tc>
        <w:tc>
          <w:tcPr>
            <w:tcW w:type="dxa" w:w="1440"/>
            <w:shd w:fill="FAFAFA" w:val="clear"/>
          </w:tcPr>
          <w:p>
            <w:r>
              <w:rPr>
                <w:sz w:val="17"/>
              </w:rPr>
              <w:t>3,209</w:t>
            </w:r>
          </w:p>
        </w:tc>
        <w:tc>
          <w:tcPr>
            <w:tcW w:type="dxa" w:w="1440"/>
            <w:shd w:fill="FAFAFA" w:val="clear"/>
          </w:tcPr>
          <w:p>
            <w:r>
              <w:rPr>
                <w:b/>
                <w:sz w:val="17"/>
              </w:rPr>
              <w:t>3,573</w:t>
            </w:r>
          </w:p>
        </w:tc>
        <w:tc>
          <w:tcPr>
            <w:tcW w:type="dxa" w:w="1440"/>
            <w:shd w:fill="FAFAFA" w:val="clear"/>
          </w:tcPr>
          <w:p>
            <w:r>
              <w:rPr>
                <w:sz w:val="17"/>
              </w:rPr>
              <w:t>3,936</w:t>
            </w:r>
          </w:p>
        </w:tc>
        <w:tc>
          <w:tcPr>
            <w:tcW w:type="dxa" w:w="1440"/>
            <w:shd w:fill="FAFAFA" w:val="clear"/>
          </w:tcPr>
          <w:p>
            <w:r>
              <w:rPr>
                <w:b/>
                <w:color w:val="C00000"/>
                <w:sz w:val="17"/>
              </w:rPr>
              <w:t>-0.9%</w:t>
            </w:r>
          </w:p>
        </w:tc>
      </w:tr>
      <w:tr>
        <w:tc>
          <w:tcPr>
            <w:tcW w:type="dxa" w:w="1440"/>
            <w:shd w:fill="FAFAFA" w:val="clear"/>
          </w:tcPr>
          <w:p>
            <w:r>
              <w:rPr>
                <w:sz w:val="17"/>
              </w:rPr>
              <w:t>J+10  ⭐</w:t>
            </w:r>
          </w:p>
        </w:tc>
        <w:tc>
          <w:tcPr>
            <w:tcW w:type="dxa" w:w="1440"/>
            <w:shd w:fill="FAFAFA" w:val="clear"/>
          </w:tcPr>
          <w:p>
            <w:r>
              <w:rPr>
                <w:sz w:val="17"/>
              </w:rPr>
              <w:t>2026-10-26</w:t>
            </w:r>
          </w:p>
        </w:tc>
        <w:tc>
          <w:tcPr>
            <w:tcW w:type="dxa" w:w="1440"/>
            <w:shd w:fill="FAFAFA" w:val="clear"/>
          </w:tcPr>
          <w:p>
            <w:r>
              <w:rPr>
                <w:sz w:val="17"/>
              </w:rPr>
              <w:t>3,185</w:t>
            </w:r>
          </w:p>
        </w:tc>
        <w:tc>
          <w:tcPr>
            <w:tcW w:type="dxa" w:w="1440"/>
            <w:shd w:fill="FAFAFA" w:val="clear"/>
          </w:tcPr>
          <w:p>
            <w:r>
              <w:rPr>
                <w:b/>
                <w:sz w:val="17"/>
              </w:rPr>
              <w:t>3,567</w:t>
            </w:r>
          </w:p>
        </w:tc>
        <w:tc>
          <w:tcPr>
            <w:tcW w:type="dxa" w:w="1440"/>
            <w:shd w:fill="FAFAFA" w:val="clear"/>
          </w:tcPr>
          <w:p>
            <w:r>
              <w:rPr>
                <w:sz w:val="17"/>
              </w:rPr>
              <w:t>3,950</w:t>
            </w:r>
          </w:p>
        </w:tc>
        <w:tc>
          <w:tcPr>
            <w:tcW w:type="dxa" w:w="1440"/>
            <w:shd w:fill="FAFAFA" w:val="clear"/>
          </w:tcPr>
          <w:p>
            <w:r>
              <w:rPr>
                <w:b/>
                <w:color w:val="C00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 RAPPORT D'ANALYSE FINANCIÈRE — TOTALENERGIES MARKETING SÉNÉGAL (TTLS)</w:t>
        <w:br/>
        <w:t>**Bourse Régionale des Valeurs Mobilières (BRVM) — Secteur : Distribution pétrolière**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117,44 milliards FCFA, TTLS figure parmi les valeurs moyennes de la cote BRVM, reflétant sa position de leader sénégalais de la distribution pétrolière. Le BPA de 208 FCFA/action signifie que chaque titre génère environ 208 FCFA de bénéfice net annuel, ce qui, rapporté au cours actuel de 3 605 FCFA, donne un PER de 17,3x — nettement supérieur à la moyenne BRVM (8-12x), signalant que les investisseurs paient une prime de qualité pour ce titre défensif. Le P/B de 4,16x confirme cette valorisation exigeante : le marché valorise TTLS à plus de quatre fois ses fonds propres comptables (28,2 Mds FCFA), ce qui traduit une forte confiance dans la capacité bénéficiaire future mais laisse peu de marge de sécurité en cas de déception. En revanche, l'EV/EBITDA de 7,4x apparaît raisonnable (fourchette 5-10x), indiquant que la valeur d'entreprise reste cohérente avec la capacité opérationnelle de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TTLS affiche une performance remarquable de **+19,37%**, malgré un repli de **-1,23%** lors de la dernière séance (J-1), signe d'une légère prise de bénéfices après un rallye soutenu. Le titre a évolué dans un range large de 1 480 FCFA, entre un plus bas de 3 020 FCFA et un plus haut de 4 500 FCFA, avec un cours actuel de 3 605 FCFA positionné dans la partie basse de cette fourchette — suggérant une correction en cours après le pic. La tendance générale demeure haussière sur la période, portée par la solidité des fondamentaux et l'attrait défensif du secteur. Les statistiques descriptives révèlent une moyenne (3 703 FCFA) légèrement supérieure à la médiane (3 695 FCFA), avec un mode à 3 800 FCFA : la distribution est quasi-symétrique (skewness de 0,308), sans biais marqué vers les extrêmes. L'écart-type de 278 FCFA et le coefficient de variation de 7,5% indiquent une dispersion modérée du cours autour de sa moyenne, tandis que le kurtosis de 0,457 (mésokurtique) suggère une distribution proche de la normale, sans risque excessif de pics extrêmes. La volatilité annualisée de 43,2% classe toutefois TTLS dans la catégorie des titres à volatilité élevée (&gt;30%), ce qui implique un risque de fluctuation significatif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(3 759,75 FCFA) et la MM50 (3 746,70 FCFA) sont toutes deux supérieures au cours actuel (3 605 FCFA), ce qui place le titre en position baissière à court terme. Cependant, la MM20 reste légèrement au-dessus de la MM50, conservant une configuration haussière de fond. La décision technique affichée est **Achat**, suggérant que le repli actuel constitue une opportunité de rebond vers les moyennes mobiles.</w:t>
      </w:r>
    </w:p>
    <w:p>
      <w:pPr>
        <w:spacing w:after="120" w:line="276" w:lineRule="auto"/>
      </w:pPr>
      <w:r>
        <w:t>**Bandes de Bollinger** : Le cours (3 605 FCFA) se situe dans la moitié inférieure de la bande, entre la borne inférieure (3 482,61 FCFA) et la borne supérieure (4 036,89 FCFA), sans atteindre les extrêmes. Cette position médiane, couplée à une décision **Neutre**, indique l'absence de signal directionnel fort : le marché est en phase de consolidation, avec une volatilité contenue dans les bornes.</w:t>
      </w:r>
    </w:p>
    <w:p>
      <w:pPr>
        <w:spacing w:after="120" w:line="276" w:lineRule="auto"/>
      </w:pPr>
      <w:r>
        <w:t>**MACD** : La valeur du MACD (-49,92) est inférieure à son signal (-39,63), confirmant un momentum baissier à court terme. La divergence négative entre les deux lignes traduit une pression vendeuse persistante, justifiant la décision **Vente**. Ce signal contredit les moyennes mobiles et suggère une prudence à court terme.</w:t>
      </w:r>
    </w:p>
    <w:p>
      <w:pPr>
        <w:spacing w:after="120" w:line="276" w:lineRule="auto"/>
      </w:pPr>
      <w:r>
        <w:t>**RSI** : À 34,97, le RSI se situe dans la zone neutre basse (30-70), proche du seuil de survente (30) sans l'atteindre. La décision **Neutre** reflète un équilibre fragile : le titre n'est ni survendu ni suracheté, mais la proximité du seuil de 30 laisse entrevoir un potentiel de rebond technique.</w:t>
      </w:r>
    </w:p>
    <w:p>
      <w:pPr>
        <w:spacing w:after="120" w:line="276" w:lineRule="auto"/>
      </w:pPr>
      <w:r>
        <w:t>**Stochastique** : Le %K (2,33) est très inférieur au %D (26,49), avec un croisement baissier marqué et un %K proche de zéro — signal de survente extrême. Paradoxalement, la décision affichée est **Achat**, car un %K aussi bas précède souvent un rebond technique imminent.</w:t>
      </w:r>
    </w:p>
    <w:p>
      <w:pPr>
        <w:spacing w:after="120" w:line="276" w:lineRule="auto"/>
      </w:pPr>
      <w:r>
        <w:t>**Conclusion technique** : Les indicateurs sont divergents — les moyennes mobiles et le stochastique plaident pour un achat (rebond), tandis que le MACD et le RSI recommandent la prudence (momentum baissier). Cette configuration mixte suggère une phase de consolidation avec un potentiel de rebond à court terme, mais sans confirmation claire d'une reprise durable. La prudence reste de mise tant que le MACD ne s'inverse pas.</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TotalEnergies Marketing Sénégal a réalisé un chiffre d'affaires de **455,209 milliards FCFA**, en baisse de 6,13% par rapport à 2024 (484,945 Mds FCFA), principalement en raison de l'arrêt stratégique de la commercialisation du fuel lourd. Le résultat net s'établit à **6,779 milliards FCFA**, avec une marge nette de 1,49% — typique du secteur de distribution pétrolière. Le ROE atteint **24,01%**, un niveau excellent (&gt;15%), témoignant d'une forte rentabilité des fonds propres (28,239 Mds FCFA), tandis que le ROA de 3,95% reflète la faible intensité capitalistique du modèle. La structure financière révèle une autonomie financière de 16,44% (inférieure au seuil de 30% considéré comme sain), mais un ratio d'endettement de 52,16% reste maîtrisé. Le BFR est **négatif (-36,899 Mds FCFA)**, signe favorable de financement par les fournisseurs (délai fournisseurs de 97,76 jours contre 47,43 jours de délai clients). La trésorerie nette s'élève à 13,941 Mds FCFA, en nette amélioration.</w:t>
      </w:r>
    </w:p>
    <w:p>
      <w:pPr>
        <w:spacing w:after="120" w:line="276" w:lineRule="auto"/>
      </w:pPr>
      <w:r>
        <w:t>**Estimations basées sur les rapports trimestriels** : Le rapport du **T1 2026 (publié en 2026)** révèle un chiffre d'affaires de 99,9 Mds FCFA (-10% vs T1 2025), impacté par la révision à la baisse des prix à la pompe par l'État sénégalais en décembre 2025. Malgré cela, le résultat d'exploitation progresse de **+28% à 2,623 Mds FCFA** et le résultat net de **+5% à 1,585 Mds FCFA**, grâce à l'amélioration des marges sur les lubrifiants. Sur cette base, on peut estimer que l'exercice 2026 devrait maintenir une rentabilité stable, voire en légère amélioration, portée par le mix-produit favorable (lubrifiants, GPL) et la résilience opérationnelle. Le rapport annuel 2025 (publié en 2026) confirme la solidité du bilan avec des capitaux propres de 28,2 Mds FCFA et une trésorerie de 20,567 Mds FCFA.</w:t>
      </w:r>
    </w:p>
    <w:p>
      <w:pPr>
        <w:spacing w:after="120" w:line="276" w:lineRule="auto"/>
      </w:pPr>
      <w:r>
        <w:t>**Recommandation fondamentale** : TTLS présente un profil défensif solide, avec une position de leader (140 stations-service), un actionnariat stable (TotalEnergies à 69,1%) et une capacité à générer du cash-flow malgré la contraction du chiffre d'affaires. Les risques incluent la dépendance aux décisions réglementaires sur les prix, la volatilité des prix pétroliers et la faible marge nette. La recommandation fondamentale est **CONSERVER**, en attendant une clarification sur la politique de dividende et une reprise des volumes.</w:t>
      </w:r>
    </w:p>
    <w:p>
      <w:pPr>
        <w:spacing w:after="120" w:line="276" w:lineRule="auto"/>
      </w:pPr>
      <w:r>
        <w:t>---</w:t>
      </w:r>
    </w:p>
    <w:p>
      <w:pPr>
        <w:spacing w:after="120" w:line="276" w:lineRule="auto"/>
      </w:pPr>
      <w:r>
        <w:t>## PARTIE 4 : CONCLUSION D'INVESTISSEMENT</w:t>
      </w:r>
    </w:p>
    <w:p>
      <w:pPr>
        <w:spacing w:after="120" w:line="276" w:lineRule="auto"/>
      </w:pPr>
      <w:r>
        <w:t>La valorisation de TTLS apparaît **exigeante** : le PER de 17,3x (vs moyenne BRVM de 8-12x) et le P/B de 4,16x traduisent une prime de qualité, mais limitent le potentiel de revalorisation à court terme. Le comportement du cours sur 100 jours est haussier (+19,37%), avec une volatilité élevée (43,2%) et une distribution symétrique (skewness de 0,308, kurtosis de 0,457), sans risque excessif de pics extrêmes. Les signaux techniques sont **divergents** : les moyennes mobiles et le stochastique suggèrent un rebond (Achat), tandis que le MACD et le RSI recommandent la prudence (Vente/Neutre) — une configuration de consolidation. Les fondamentaux restent **solides** : ROE de 24%, BFR négatif, trésorerie nette positive, et une résilience opérationnelle confirmée par le T1 2026 (+28% de résultat d'exploitation). Les prédictions IA anticipent une légère baisse du cours sur 10 jours (3 620 → 3 595 FCFA), en ligne avec le momentum baissier actuel, mais sans décrochage majeur.</w:t>
      </w:r>
    </w:p>
    <w:p>
      <w:pPr>
        <w:spacing w:after="120" w:line="276" w:lineRule="auto"/>
      </w:pPr>
      <w:r>
        <w:t>**Recommandation finale : CONSERVER**</w:t>
        <w:br/>
        <w:t>**Justification** : La convergence entre une valorisation exigeante (PER 17,3x), des signaux techniques mitigés (MACD baissier, RSI neutre, stochastique en survente) et des fondamentaux solides mais sans catalyseur de croissance immédiat plaide pour une position attentiste. Le titre offre un profil défensif de qualité, mais son potentiel de hausse à court terme semble limité par la pression réglementaire sur les prix et l'absence de visibilité sur les volumes. Une vente ne se justifie pas compte tenu de la solidité financière et du leadership de TTLS.</w:t>
        <w:br/>
        <w:t>**Niveau de confiance** : Moyen</w:t>
        <w:br/>
        <w:t>**Niveau de risque global** : Moyen (volatilité élevée, dépendance réglementaire)</w:t>
        <w:br/>
        <w:t>**Horizon d'investissement optimal** : Moyen terme (3-12 mois), en attendant les résultats semestriels 2026 pour confirmer la tendance des marges et la politique de dividende.</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47.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440.80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22 titres</w:t>
            </w:r>
          </w:p>
        </w:tc>
        <w:tc>
          <w:tcPr>
            <w:tcW w:type="dxa" w:w="2268"/>
            <w:shd w:fill="FFF2CC" w:val="clear"/>
          </w:tcPr>
          <w:p>
            <w:r>
              <w:rPr>
                <w:b/>
                <w:color w:val="503200"/>
                <w:sz w:val="16"/>
              </w:rPr>
              <w:t xml:space="preserve">Cours actuel : </w:t>
            </w:r>
            <w:r>
              <w:rPr>
                <w:color w:val="000000"/>
                <w:sz w:val="17"/>
              </w:rPr>
              <w:t>48,000 FCFA</w:t>
            </w:r>
          </w:p>
          <w:p>
            <w:r>
              <w:rPr>
                <w:b/>
                <w:color w:val="503200"/>
                <w:sz w:val="16"/>
              </w:rPr>
              <w:t xml:space="preserve">Var. 100 jours : </w:t>
            </w:r>
            <w:r>
              <w:rPr>
                <w:b/>
                <w:color w:val="B40000"/>
                <w:sz w:val="17"/>
              </w:rPr>
              <w:t>-20.39%</w:t>
            </w:r>
          </w:p>
          <w:p>
            <w:r>
              <w:rPr>
                <w:b/>
                <w:color w:val="503200"/>
                <w:sz w:val="16"/>
              </w:rPr>
              <w:t xml:space="preserve">Plus haut 100j : </w:t>
            </w:r>
            <w:r>
              <w:rPr>
                <w:color w:val="000000"/>
                <w:sz w:val="17"/>
              </w:rPr>
              <w:t>60,295 FCFA</w:t>
            </w:r>
          </w:p>
          <w:p>
            <w:r>
              <w:rPr>
                <w:b/>
                <w:color w:val="503200"/>
                <w:sz w:val="16"/>
              </w:rPr>
              <w:t xml:space="preserve">Plus bas 100j : </w:t>
            </w:r>
            <w:r>
              <w:rPr>
                <w:color w:val="000000"/>
                <w:sz w:val="17"/>
              </w:rPr>
              <w:t>47,215 FCFA</w:t>
            </w:r>
          </w:p>
          <w:p>
            <w:r>
              <w:rPr>
                <w:b/>
                <w:color w:val="503200"/>
                <w:sz w:val="16"/>
              </w:rPr>
              <w:t xml:space="preserve">Volatilité ann. : </w:t>
            </w:r>
            <w:r>
              <w:rPr>
                <w:color w:val="000000"/>
                <w:sz w:val="17"/>
              </w:rPr>
              <w:t>56.1%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24.8/100 → Moyen</w:t>
      </w:r>
    </w:p>
    <w:p>
      <w:pPr>
        <w:spacing w:before="40" w:after="80"/>
      </w:pPr>
      <w:r>
        <w:rPr>
          <w:rFonts w:ascii="Courier New" w:hAnsi="Courier New"/>
          <w:color w:val="825A00"/>
          <w:sz w:val="18"/>
        </w:rPr>
        <w:t>████░░░░░░░░░░░░░░░░  24.8/100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5.96% (Moyenne) — μ=54,046 FCFA, σ=3,220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β=0.6114 (Défensif) — Cov=0.000045, Var(idx)=0.000074, ρ=0.149,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22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σ_j=3.53%/j (Modérée) — Vol. annualisée≈56.1%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587289"/>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2026-10-13</w:t>
            </w:r>
          </w:p>
        </w:tc>
        <w:tc>
          <w:tcPr>
            <w:tcW w:type="dxa" w:w="1440"/>
            <w:shd w:fill="FAFAFA" w:val="clear"/>
          </w:tcPr>
          <w:p>
            <w:r>
              <w:rPr>
                <w:sz w:val="17"/>
              </w:rPr>
              <w:t>45,057</w:t>
            </w:r>
          </w:p>
        </w:tc>
        <w:tc>
          <w:tcPr>
            <w:tcW w:type="dxa" w:w="1440"/>
            <w:shd w:fill="FAFAFA" w:val="clear"/>
          </w:tcPr>
          <w:p>
            <w:r>
              <w:rPr>
                <w:b/>
                <w:sz w:val="17"/>
              </w:rPr>
              <w:t>47,953</w:t>
            </w:r>
          </w:p>
        </w:tc>
        <w:tc>
          <w:tcPr>
            <w:tcW w:type="dxa" w:w="1440"/>
            <w:shd w:fill="FAFAFA" w:val="clear"/>
          </w:tcPr>
          <w:p>
            <w:r>
              <w:rPr>
                <w:sz w:val="17"/>
              </w:rPr>
              <w:t>50,849</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2026-10-14</w:t>
            </w:r>
          </w:p>
        </w:tc>
        <w:tc>
          <w:tcPr>
            <w:tcW w:type="dxa" w:w="1440"/>
            <w:shd w:fill="FAFAFA" w:val="clear"/>
          </w:tcPr>
          <w:p>
            <w:r>
              <w:rPr>
                <w:sz w:val="17"/>
              </w:rPr>
              <w:t>43,856</w:t>
            </w:r>
          </w:p>
        </w:tc>
        <w:tc>
          <w:tcPr>
            <w:tcW w:type="dxa" w:w="1440"/>
            <w:shd w:fill="FAFAFA" w:val="clear"/>
          </w:tcPr>
          <w:p>
            <w:r>
              <w:rPr>
                <w:b/>
                <w:sz w:val="17"/>
              </w:rPr>
              <w:t>47,952</w:t>
            </w:r>
          </w:p>
        </w:tc>
        <w:tc>
          <w:tcPr>
            <w:tcW w:type="dxa" w:w="1440"/>
            <w:shd w:fill="FAFAFA" w:val="clear"/>
          </w:tcPr>
          <w:p>
            <w:r>
              <w:rPr>
                <w:sz w:val="17"/>
              </w:rPr>
              <w:t>52,047</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2026-10-15</w:t>
            </w:r>
          </w:p>
        </w:tc>
        <w:tc>
          <w:tcPr>
            <w:tcW w:type="dxa" w:w="1440"/>
            <w:shd w:fill="FAFAFA" w:val="clear"/>
          </w:tcPr>
          <w:p>
            <w:r>
              <w:rPr>
                <w:sz w:val="17"/>
              </w:rPr>
              <w:t>42,933</w:t>
            </w:r>
          </w:p>
        </w:tc>
        <w:tc>
          <w:tcPr>
            <w:tcW w:type="dxa" w:w="1440"/>
            <w:shd w:fill="FAFAFA" w:val="clear"/>
          </w:tcPr>
          <w:p>
            <w:r>
              <w:rPr>
                <w:b/>
                <w:sz w:val="17"/>
              </w:rPr>
              <w:t>47,949</w:t>
            </w:r>
          </w:p>
        </w:tc>
        <w:tc>
          <w:tcPr>
            <w:tcW w:type="dxa" w:w="1440"/>
            <w:shd w:fill="FAFAFA" w:val="clear"/>
          </w:tcPr>
          <w:p>
            <w:r>
              <w:rPr>
                <w:sz w:val="17"/>
              </w:rPr>
              <w:t>52,964</w:t>
            </w:r>
          </w:p>
        </w:tc>
        <w:tc>
          <w:tcPr>
            <w:tcW w:type="dxa" w:w="1440"/>
            <w:shd w:fill="FAFAFA" w:val="clear"/>
          </w:tcPr>
          <w:p>
            <w:r>
              <w:rPr>
                <w:b/>
                <w:color w:val="C00000"/>
                <w:sz w:val="17"/>
              </w:rPr>
              <w:t>-0.1%</w:t>
            </w:r>
          </w:p>
        </w:tc>
      </w:tr>
      <w:tr>
        <w:tc>
          <w:tcPr>
            <w:tcW w:type="dxa" w:w="1440"/>
            <w:shd w:fill="FAFAFA" w:val="clear"/>
          </w:tcPr>
          <w:p>
            <w:r>
              <w:rPr>
                <w:sz w:val="17"/>
              </w:rPr>
              <w:t>J+4  ⭐</w:t>
            </w:r>
          </w:p>
        </w:tc>
        <w:tc>
          <w:tcPr>
            <w:tcW w:type="dxa" w:w="1440"/>
            <w:shd w:fill="FAFAFA" w:val="clear"/>
          </w:tcPr>
          <w:p>
            <w:r>
              <w:rPr>
                <w:sz w:val="17"/>
              </w:rPr>
              <w:t>2026-10-16</w:t>
            </w:r>
          </w:p>
        </w:tc>
        <w:tc>
          <w:tcPr>
            <w:tcW w:type="dxa" w:w="1440"/>
            <w:shd w:fill="FAFAFA" w:val="clear"/>
          </w:tcPr>
          <w:p>
            <w:r>
              <w:rPr>
                <w:sz w:val="17"/>
              </w:rPr>
              <w:t>42,155</w:t>
            </w:r>
          </w:p>
        </w:tc>
        <w:tc>
          <w:tcPr>
            <w:tcW w:type="dxa" w:w="1440"/>
            <w:shd w:fill="FAFAFA" w:val="clear"/>
          </w:tcPr>
          <w:p>
            <w:r>
              <w:rPr>
                <w:b/>
                <w:sz w:val="17"/>
              </w:rPr>
              <w:t>47,946</w:t>
            </w:r>
          </w:p>
        </w:tc>
        <w:tc>
          <w:tcPr>
            <w:tcW w:type="dxa" w:w="1440"/>
            <w:shd w:fill="FAFAFA" w:val="clear"/>
          </w:tcPr>
          <w:p>
            <w:r>
              <w:rPr>
                <w:sz w:val="17"/>
              </w:rPr>
              <w:t>53,738</w:t>
            </w:r>
          </w:p>
        </w:tc>
        <w:tc>
          <w:tcPr>
            <w:tcW w:type="dxa" w:w="1440"/>
            <w:shd w:fill="FAFAFA" w:val="clear"/>
          </w:tcPr>
          <w:p>
            <w:r>
              <w:rPr>
                <w:b/>
                <w:color w:val="C00000"/>
                <w:sz w:val="17"/>
              </w:rPr>
              <w:t>-0.1%</w:t>
            </w:r>
          </w:p>
        </w:tc>
      </w:tr>
      <w:tr>
        <w:tc>
          <w:tcPr>
            <w:tcW w:type="dxa" w:w="1440"/>
            <w:shd w:fill="FAFAFA" w:val="clear"/>
          </w:tcPr>
          <w:p>
            <w:r>
              <w:rPr>
                <w:sz w:val="17"/>
              </w:rPr>
              <w:t>J+5  ⭐</w:t>
            </w:r>
          </w:p>
        </w:tc>
        <w:tc>
          <w:tcPr>
            <w:tcW w:type="dxa" w:w="1440"/>
            <w:shd w:fill="FAFAFA" w:val="clear"/>
          </w:tcPr>
          <w:p>
            <w:r>
              <w:rPr>
                <w:sz w:val="17"/>
              </w:rPr>
              <w:t>2026-10-19</w:t>
            </w:r>
          </w:p>
        </w:tc>
        <w:tc>
          <w:tcPr>
            <w:tcW w:type="dxa" w:w="1440"/>
            <w:shd w:fill="FAFAFA" w:val="clear"/>
          </w:tcPr>
          <w:p>
            <w:r>
              <w:rPr>
                <w:sz w:val="17"/>
              </w:rPr>
              <w:t>41,470</w:t>
            </w:r>
          </w:p>
        </w:tc>
        <w:tc>
          <w:tcPr>
            <w:tcW w:type="dxa" w:w="1440"/>
            <w:shd w:fill="FAFAFA" w:val="clear"/>
          </w:tcPr>
          <w:p>
            <w:r>
              <w:rPr>
                <w:b/>
                <w:sz w:val="17"/>
              </w:rPr>
              <w:t>47,945</w:t>
            </w:r>
          </w:p>
        </w:tc>
        <w:tc>
          <w:tcPr>
            <w:tcW w:type="dxa" w:w="1440"/>
            <w:shd w:fill="FAFAFA" w:val="clear"/>
          </w:tcPr>
          <w:p>
            <w:r>
              <w:rPr>
                <w:sz w:val="17"/>
              </w:rPr>
              <w:t>54,420</w:t>
            </w:r>
          </w:p>
        </w:tc>
        <w:tc>
          <w:tcPr>
            <w:tcW w:type="dxa" w:w="1440"/>
            <w:shd w:fill="FAFAFA" w:val="clear"/>
          </w:tcPr>
          <w:p>
            <w:r>
              <w:rPr>
                <w:b/>
                <w:color w:val="C00000"/>
                <w:sz w:val="17"/>
              </w:rPr>
              <w:t>-0.1%</w:t>
            </w:r>
          </w:p>
        </w:tc>
      </w:tr>
      <w:tr>
        <w:tc>
          <w:tcPr>
            <w:tcW w:type="dxa" w:w="1440"/>
            <w:shd w:fill="FAFAFA" w:val="clear"/>
          </w:tcPr>
          <w:p>
            <w:r>
              <w:rPr>
                <w:sz w:val="17"/>
              </w:rPr>
              <w:t>J+6  ⭐</w:t>
            </w:r>
          </w:p>
        </w:tc>
        <w:tc>
          <w:tcPr>
            <w:tcW w:type="dxa" w:w="1440"/>
            <w:shd w:fill="FAFAFA" w:val="clear"/>
          </w:tcPr>
          <w:p>
            <w:r>
              <w:rPr>
                <w:sz w:val="17"/>
              </w:rPr>
              <w:t>2026-10-20</w:t>
            </w:r>
          </w:p>
        </w:tc>
        <w:tc>
          <w:tcPr>
            <w:tcW w:type="dxa" w:w="1440"/>
            <w:shd w:fill="FAFAFA" w:val="clear"/>
          </w:tcPr>
          <w:p>
            <w:r>
              <w:rPr>
                <w:sz w:val="17"/>
              </w:rPr>
              <w:t>40,852</w:t>
            </w:r>
          </w:p>
        </w:tc>
        <w:tc>
          <w:tcPr>
            <w:tcW w:type="dxa" w:w="1440"/>
            <w:shd w:fill="FAFAFA" w:val="clear"/>
          </w:tcPr>
          <w:p>
            <w:r>
              <w:rPr>
                <w:b/>
                <w:sz w:val="17"/>
              </w:rPr>
              <w:t>47,944</w:t>
            </w:r>
          </w:p>
        </w:tc>
        <w:tc>
          <w:tcPr>
            <w:tcW w:type="dxa" w:w="1440"/>
            <w:shd w:fill="FAFAFA" w:val="clear"/>
          </w:tcPr>
          <w:p>
            <w:r>
              <w:rPr>
                <w:sz w:val="17"/>
              </w:rPr>
              <w:t>55,037</w:t>
            </w:r>
          </w:p>
        </w:tc>
        <w:tc>
          <w:tcPr>
            <w:tcW w:type="dxa" w:w="1440"/>
            <w:shd w:fill="FAFAFA" w:val="clear"/>
          </w:tcPr>
          <w:p>
            <w:r>
              <w:rPr>
                <w:b/>
                <w:color w:val="C00000"/>
                <w:sz w:val="17"/>
              </w:rPr>
              <w:t>-0.1%</w:t>
            </w:r>
          </w:p>
        </w:tc>
      </w:tr>
      <w:tr>
        <w:tc>
          <w:tcPr>
            <w:tcW w:type="dxa" w:w="1440"/>
            <w:shd w:fill="FAFAFA" w:val="clear"/>
          </w:tcPr>
          <w:p>
            <w:r>
              <w:rPr>
                <w:sz w:val="17"/>
              </w:rPr>
              <w:t>J+7  ⭐</w:t>
            </w:r>
          </w:p>
        </w:tc>
        <w:tc>
          <w:tcPr>
            <w:tcW w:type="dxa" w:w="1440"/>
            <w:shd w:fill="FAFAFA" w:val="clear"/>
          </w:tcPr>
          <w:p>
            <w:r>
              <w:rPr>
                <w:sz w:val="17"/>
              </w:rPr>
              <w:t>2026-10-21</w:t>
            </w:r>
          </w:p>
        </w:tc>
        <w:tc>
          <w:tcPr>
            <w:tcW w:type="dxa" w:w="1440"/>
            <w:shd w:fill="FAFAFA" w:val="clear"/>
          </w:tcPr>
          <w:p>
            <w:r>
              <w:rPr>
                <w:sz w:val="17"/>
              </w:rPr>
              <w:t>40,283</w:t>
            </w:r>
          </w:p>
        </w:tc>
        <w:tc>
          <w:tcPr>
            <w:tcW w:type="dxa" w:w="1440"/>
            <w:shd w:fill="FAFAFA" w:val="clear"/>
          </w:tcPr>
          <w:p>
            <w:r>
              <w:rPr>
                <w:b/>
                <w:sz w:val="17"/>
              </w:rPr>
              <w:t>47,944</w:t>
            </w:r>
          </w:p>
        </w:tc>
        <w:tc>
          <w:tcPr>
            <w:tcW w:type="dxa" w:w="1440"/>
            <w:shd w:fill="FAFAFA" w:val="clear"/>
          </w:tcPr>
          <w:p>
            <w:r>
              <w:rPr>
                <w:sz w:val="17"/>
              </w:rPr>
              <w:t>55,604</w:t>
            </w:r>
          </w:p>
        </w:tc>
        <w:tc>
          <w:tcPr>
            <w:tcW w:type="dxa" w:w="1440"/>
            <w:shd w:fill="FAFAFA" w:val="clear"/>
          </w:tcPr>
          <w:p>
            <w:r>
              <w:rPr>
                <w:b/>
                <w:color w:val="C00000"/>
                <w:sz w:val="17"/>
              </w:rPr>
              <w:t>-0.1%</w:t>
            </w:r>
          </w:p>
        </w:tc>
      </w:tr>
      <w:tr>
        <w:tc>
          <w:tcPr>
            <w:tcW w:type="dxa" w:w="1440"/>
            <w:shd w:fill="FAFAFA" w:val="clear"/>
          </w:tcPr>
          <w:p>
            <w:r>
              <w:rPr>
                <w:sz w:val="17"/>
              </w:rPr>
              <w:t>J+8  ⭐</w:t>
            </w:r>
          </w:p>
        </w:tc>
        <w:tc>
          <w:tcPr>
            <w:tcW w:type="dxa" w:w="1440"/>
            <w:shd w:fill="FAFAFA" w:val="clear"/>
          </w:tcPr>
          <w:p>
            <w:r>
              <w:rPr>
                <w:sz w:val="17"/>
              </w:rPr>
              <w:t>2026-10-22</w:t>
            </w:r>
          </w:p>
        </w:tc>
        <w:tc>
          <w:tcPr>
            <w:tcW w:type="dxa" w:w="1440"/>
            <w:shd w:fill="FAFAFA" w:val="clear"/>
          </w:tcPr>
          <w:p>
            <w:r>
              <w:rPr>
                <w:sz w:val="17"/>
              </w:rPr>
              <w:t>39,754</w:t>
            </w:r>
          </w:p>
        </w:tc>
        <w:tc>
          <w:tcPr>
            <w:tcW w:type="dxa" w:w="1440"/>
            <w:shd w:fill="FAFAFA" w:val="clear"/>
          </w:tcPr>
          <w:p>
            <w:r>
              <w:rPr>
                <w:b/>
                <w:sz w:val="17"/>
              </w:rPr>
              <w:t>47,943</w:t>
            </w:r>
          </w:p>
        </w:tc>
        <w:tc>
          <w:tcPr>
            <w:tcW w:type="dxa" w:w="1440"/>
            <w:shd w:fill="FAFAFA" w:val="clear"/>
          </w:tcPr>
          <w:p>
            <w:r>
              <w:rPr>
                <w:sz w:val="17"/>
              </w:rPr>
              <w:t>56,133</w:t>
            </w:r>
          </w:p>
        </w:tc>
        <w:tc>
          <w:tcPr>
            <w:tcW w:type="dxa" w:w="1440"/>
            <w:shd w:fill="FAFAFA" w:val="clear"/>
          </w:tcPr>
          <w:p>
            <w:r>
              <w:rPr>
                <w:b/>
                <w:color w:val="C00000"/>
                <w:sz w:val="17"/>
              </w:rPr>
              <w:t>-0.1%</w:t>
            </w:r>
          </w:p>
        </w:tc>
      </w:tr>
      <w:tr>
        <w:tc>
          <w:tcPr>
            <w:tcW w:type="dxa" w:w="1440"/>
            <w:shd w:fill="FAFAFA" w:val="clear"/>
          </w:tcPr>
          <w:p>
            <w:r>
              <w:rPr>
                <w:sz w:val="17"/>
              </w:rPr>
              <w:t>J+9  ⭐</w:t>
            </w:r>
          </w:p>
        </w:tc>
        <w:tc>
          <w:tcPr>
            <w:tcW w:type="dxa" w:w="1440"/>
            <w:shd w:fill="FAFAFA" w:val="clear"/>
          </w:tcPr>
          <w:p>
            <w:r>
              <w:rPr>
                <w:sz w:val="17"/>
              </w:rPr>
              <w:t>2026-10-23</w:t>
            </w:r>
          </w:p>
        </w:tc>
        <w:tc>
          <w:tcPr>
            <w:tcW w:type="dxa" w:w="1440"/>
            <w:shd w:fill="FAFAFA" w:val="clear"/>
          </w:tcPr>
          <w:p>
            <w:r>
              <w:rPr>
                <w:sz w:val="17"/>
              </w:rPr>
              <w:t>39,257</w:t>
            </w:r>
          </w:p>
        </w:tc>
        <w:tc>
          <w:tcPr>
            <w:tcW w:type="dxa" w:w="1440"/>
            <w:shd w:fill="FAFAFA" w:val="clear"/>
          </w:tcPr>
          <w:p>
            <w:r>
              <w:rPr>
                <w:b/>
                <w:sz w:val="17"/>
              </w:rPr>
              <w:t>47,943</w:t>
            </w:r>
          </w:p>
        </w:tc>
        <w:tc>
          <w:tcPr>
            <w:tcW w:type="dxa" w:w="1440"/>
            <w:shd w:fill="FAFAFA" w:val="clear"/>
          </w:tcPr>
          <w:p>
            <w:r>
              <w:rPr>
                <w:sz w:val="17"/>
              </w:rPr>
              <w:t>56,630</w:t>
            </w:r>
          </w:p>
        </w:tc>
        <w:tc>
          <w:tcPr>
            <w:tcW w:type="dxa" w:w="1440"/>
            <w:shd w:fill="FAFAFA" w:val="clear"/>
          </w:tcPr>
          <w:p>
            <w:r>
              <w:rPr>
                <w:b/>
                <w:color w:val="C00000"/>
                <w:sz w:val="17"/>
              </w:rPr>
              <w:t>-0.1%</w:t>
            </w:r>
          </w:p>
        </w:tc>
      </w:tr>
      <w:tr>
        <w:tc>
          <w:tcPr>
            <w:tcW w:type="dxa" w:w="1440"/>
            <w:shd w:fill="FAFAFA" w:val="clear"/>
          </w:tcPr>
          <w:p>
            <w:r>
              <w:rPr>
                <w:sz w:val="17"/>
              </w:rPr>
              <w:t>J+10  ⭐</w:t>
            </w:r>
          </w:p>
        </w:tc>
        <w:tc>
          <w:tcPr>
            <w:tcW w:type="dxa" w:w="1440"/>
            <w:shd w:fill="FAFAFA" w:val="clear"/>
          </w:tcPr>
          <w:p>
            <w:r>
              <w:rPr>
                <w:sz w:val="17"/>
              </w:rPr>
              <w:t>2026-10-26</w:t>
            </w:r>
          </w:p>
        </w:tc>
        <w:tc>
          <w:tcPr>
            <w:tcW w:type="dxa" w:w="1440"/>
            <w:shd w:fill="FAFAFA" w:val="clear"/>
          </w:tcPr>
          <w:p>
            <w:r>
              <w:rPr>
                <w:sz w:val="17"/>
              </w:rPr>
              <w:t>38,787</w:t>
            </w:r>
          </w:p>
        </w:tc>
        <w:tc>
          <w:tcPr>
            <w:tcW w:type="dxa" w:w="1440"/>
            <w:shd w:fill="FAFAFA" w:val="clear"/>
          </w:tcPr>
          <w:p>
            <w:r>
              <w:rPr>
                <w:b/>
                <w:sz w:val="17"/>
              </w:rPr>
              <w:t>47,943</w:t>
            </w:r>
          </w:p>
        </w:tc>
        <w:tc>
          <w:tcPr>
            <w:tcW w:type="dxa" w:w="1440"/>
            <w:shd w:fill="FAFAFA" w:val="clear"/>
          </w:tcPr>
          <w:p>
            <w:r>
              <w:rPr>
                <w:sz w:val="17"/>
              </w:rPr>
              <w:t>57,099</w:t>
            </w:r>
          </w:p>
        </w:tc>
        <w:tc>
          <w:tcPr>
            <w:tcW w:type="dxa" w:w="1440"/>
            <w:shd w:fill="FAFAFA" w:val="clear"/>
          </w:tcPr>
          <w:p>
            <w:r>
              <w:rPr>
                <w:b/>
                <w:color w:val="C00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COTE D'IVOIRE (UNLC)**</w:t>
        <w:br/>
        <w:t>*Bourse Régionale des Valeurs Mobilières (BRVM) — Marché UEMOA*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440,80 milliards FCFA, un niveau significatif à l'échelle de la BRVM qui place la société parmi les valeurs les plus importantes du compartiment industriel/consommation, bien que très en deçà des poids lourds télécoms ou bancaires. Avec un cours de 48 000 FCFA et un bénéfice net 2023 de 640,3 millions FCFA, le BPA ressort à environ 69,7 FCFA par action (sur la base d'environ 9,18 millions d'actions), ce qui implique un PER théorique très élevé — de l'ordre de 688x — traduisant une valorisation totalement déconnectée des bénéfices actuels, bien au-delà de la moyenne BRVM (8-12x). Le P/B est négatif et non pertinent puisque les capitaux propres sont négatifs (-10 658 millions FCFA en 2023), signe d'une structure financière dégradée que le marché ne valorise donc pas sur une base comptable. Le ratio EV/EBITDA n'est pas calculable faute d'EBITDA communiqué, mais la trésorerie passive élevée (14 874 millions FCFA) et l'endettement croissant suggèrent une valeur d'entreprise supérieure à la capitalisation, ce qui accentue le caractère spéculatif de la valorisation actuelle.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affiche une variation totale de -20,39%, avec une dernière séance stable (0,00%), confirmant une tendance baissière de fond. Le titre a évolué dans un range de 47 215 FCFA (plus bas) à 60 295 FCFA (plus haut), soit un spread d'environ 13 080 FCFA (27,7% du plus bas), et cote actuellement à 48 000 FCFA, tout près de son plancher — signal de faiblesse persistante. La moyenne (54 046 FCFA) et la médiane (54 000 FCFA) sont quasi confondues, indiquant une distribution symétrique, tandis que le mode (58 000 FCFA) se situe nettement au-dessus, ce qui suggère que les échanges se sont concentrés à des niveaux plus élevés avant la dérive baissière. L'écart-type de 3 236 FCFA (CV = 6,0%) traduit une dispersion modérée du cours autour de sa moyenne, mais la volatilité annualisée de 56,1% classe le titre dans la catégorie des valeurs à volatilité élevée (&gt;30%), ce qui est cohérent avec la faible liquidité (22 titres/jour en moyenne). Le kurtosis (-0,605, mésokurtique) et le skewness (-0,186, distribution symétrique) indiquent l'absence de pics extrêmes ou d'asymétrie marquée, mais la combinaison d'une tendance baissière, d'une volatilité élevée et d'une liquidité très faible constitue un profil de risque défavorable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(50 013 FCFA) et la MM50 (52 415,5 FCFA) se situent toutes deux au-dessus du cours actuel (48 000 FCFA), avec une MM20 inférieure à la MM50 — configuration baissière classique (death cross déjà effectué). Le cours évoluant sous ses deux moyennes, la pression vendeuse est confirmée et la décision technique "Vente" est pleinement justifiée.</w:t>
      </w:r>
    </w:p>
    <w:p>
      <w:pPr>
        <w:spacing w:after="120" w:line="276" w:lineRule="auto"/>
      </w:pPr>
      <w:r>
        <w:t>**Bandes de Bollinger** : Le cours (48 000 FCFA) se situe dans la moitié inférieure de la bande (borne supérieure 54 419,23 FCFA, borne inférieure 45 606,77 FCFA), sans atteindre la borne basse, ce qui traduit une volatilité en contraction et une absence de signal extrême. La décision "Neutre" reflète cette position intermédiaire, mais le biais reste baissier compte tenu de la tendance de fond.</w:t>
      </w:r>
    </w:p>
    <w:p>
      <w:pPr>
        <w:spacing w:after="120" w:line="276" w:lineRule="auto"/>
      </w:pPr>
      <w:r>
        <w:t>**MACD** : La valeur du MACD (-1 344,71) est inférieure à son signal (-1 202,78), avec un histogramme négatif — configuration baissière confirmée. Le momentum reste négatif et la décision "Vente" est cohérente avec la dynamique actuelle du titre.</w:t>
      </w:r>
    </w:p>
    <w:p>
      <w:pPr>
        <w:spacing w:after="120" w:line="276" w:lineRule="auto"/>
      </w:pPr>
      <w:r>
        <w:t>**RSI** : À 37,64, le RSI se situe dans la zone neutre basse (30-70), sans atteindre la zone de survente (&lt;30), ce qui indique que le titre n'est pas encore techniquement survendu et qu'un rebond n'est pas imminent. La décision "Neutre" masque une faiblesse persistante.</w:t>
      </w:r>
    </w:p>
    <w:p>
      <w:pPr>
        <w:spacing w:after="120" w:line="276" w:lineRule="auto"/>
      </w:pPr>
      <w:r>
        <w:t>**Stochastique** : Le %K (16,42) et le %D (16,02) sont tous deux en zone de survente (&lt;20), avec un %K légèrement au-dessus du %D — signal d'achat technique potentiel à court terme. Cette divergence avec les autres indicateurs suggère qu'un rebond technique marginal est possible, mais fragile.</w:t>
      </w:r>
    </w:p>
    <w:p>
      <w:pPr>
        <w:spacing w:after="120" w:line="276" w:lineRule="auto"/>
      </w:pPr>
      <w:r>
        <w:t>**Conclusion technique** : La convergence des signaux baissiers (MM, MACD) et la position neutre du RSI et des Bollinger dominent, tandis que le stochastique en survente offre une lueur d'espoir pour un rebond technique de court terme. Dans l'ensemble, la configuration technique reste défavorable, avec un titre sous pression et une liquidité très faible qui amplifie les risques de mouvement erratique.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ne sont pas disponibles dans la base, mais les rapports officiels analysés fournissent des chiffres précis. **En 2023** (rapport du 31/12/2023, analysé le 15/03/2026), UNLC a réalisé un chiffre d'affaires de 24 336 millions FCFA, stable par rapport à 2022, avec un bénéfice net de 640,3 millions FCFA (marge nette de 2,63%), en nette amélioration après la perte de 6 908 millions FCFA en 2022. Le résultat d'exploitation est redevenu positif (+3 340 millions FCFA contre -6 258 millions en 2022), grâce à la réduction des charges et à la hausse des produits accessoires. **En 2022** (rapport du 31/12/2022, analysé le 15/03/2026), le CA s'élevait à 24 336 millions FCFA (ou 36 174,6 millions selon un autre rapport provisoire, écart lié à des retraitements), avec une perte nette de 6 382,6 millions FCFA (marge nette de -17,6% à -26,2% selon les sources). **En 2021** (rapport du 31/12/2021, analysé le 16/03/2026), le CA était de 24 336 millions FCFA, avec un bénéfice net de 6 090,8 millions FCFA (marge nette de 25,0%), un EBE de 2 391,4 millions FCFA et des capitaux propres redevenus positifs (+1,7 milliard FCFA). L'évolution montre une extrême volatilité des résultats : bénéfice en 2021, perte massive en 2022, redressement fragile en 2023. Les capitaux propres restent négatifs en 2023 (-10 658 millions FCFA), le report à nouveau est négatif (-35 635 millions FCFA) et l'endettement financier progresse (4 379 millions FCFA en 2023 contre 3 827 millions en 2022). Le ROE et le ROA ne sont pas calculables en raison de capitaux propres négatifs, mais la rentabilité des actifs reste très faible. La société ne verse aucun dividende depuis plusieurs années et ne le pourra pas avant d'avoir reconstitué ses fonds propres. La recommandation fondamentale est donc à la prudence : le redressement opérationnel est réel mais fragile, la structure financière reste précaire et les risques (concurrence, dépendance au marché ivoirien, endettement) demeurent élevés.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totalement déconnectée des fondamentaux : le PER théorique de 688x et le P/B négatif traduisent une surévaluation manifeste, le marché valorisant davantage la marque et le potentiel de redressement que les bénéfices actuels. Le comportement du cours (Partie 1) est préoccupant : tendance baissière de -20,39% sur 100 jours, volatilité élevée (56,1%), liquidité très faible (22 titres/jour) et distribution symétrique sans signal de retournement. Les signaux techniques (Partie 2) sont majoritairement baissiers (MM, MACD), avec un RSI neutre et un stochastique en survente qui n'offre qu'un espoir de rebond technique marginal. Les fondamentaux (Partie 3) montrent un redressement fragile en 2023 (bénéfice de 640 millions FCFA après une perte de 6,9 milliards en 2022), mais la structure financière reste très dégradée (capitaux propres négatifs, endettement croissant, absence de dividende). Les prédictions IA (J+1 à J+10) anticipent une stagnation autour de 47 945-47 953 FCFA, confirmant l'absence de catalyseur haussier à court terme. **En synthèse, la convergence des signaux baissiers (valorisation, technique, fondamentaux) et la stagnation prédite justifient une recommandation de VENTE, avec un niveau de confiance Moyen et un risque global Élevé.** L'horizon d'investissement optimal est court terme (&lt;3 mois) pour les investisseurs cherchant à sortir avant une nouvelle dégradation, ou long terme (&gt;1 an) pour ceux qui parient sur un redressement structurel durable — mais dans ce cas, une diversification vers des valeurs plus solides de la BRVM (SONATEL, CIE, NSIA) est fortement conseillée.</w:t>
      </w:r>
    </w:p>
    <w:p/>
    <w:p/>
    <w:p>
      <w:r>
        <w:t>════════════════════════════════════════════════════════════════════════════════</w:t>
      </w:r>
    </w:p>
    <w:p>
      <w:r>
        <w:br w:type="page"/>
      </w:r>
    </w:p>
    <w:p>
      <w:pPr>
        <w:pStyle w:val="Heading2"/>
        <w:spacing w:before="360"/>
      </w:pPr>
      <w:r>
        <w:rPr>
          <w:color w:val="0066CC"/>
        </w:rPr>
        <w:t>48.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46.48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13,442 titres</w:t>
            </w:r>
          </w:p>
        </w:tc>
        <w:tc>
          <w:tcPr>
            <w:tcW w:type="dxa" w:w="2268"/>
            <w:shd w:fill="FFF2CC" w:val="clear"/>
          </w:tcPr>
          <w:p>
            <w:r>
              <w:rPr>
                <w:b/>
                <w:color w:val="503200"/>
                <w:sz w:val="16"/>
              </w:rPr>
              <w:t xml:space="preserve">Cours actuel : </w:t>
            </w:r>
            <w:r>
              <w:rPr>
                <w:color w:val="000000"/>
                <w:sz w:val="17"/>
              </w:rPr>
              <w:t>2,240 FCFA</w:t>
            </w:r>
          </w:p>
          <w:p>
            <w:r>
              <w:rPr>
                <w:b/>
                <w:color w:val="503200"/>
                <w:sz w:val="16"/>
              </w:rPr>
              <w:t xml:space="preserve">Var. 100 jours : </w:t>
            </w:r>
            <w:r>
              <w:rPr>
                <w:b/>
                <w:color w:val="007800"/>
                <w:sz w:val="17"/>
              </w:rPr>
              <w:t>+24.79%</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15.10% (Élevée) — μ=2,027 FCFA, σ=306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β=0.6159 (Défensif) — Cov=0.000045, Var(idx)=0.000073, ρ=0.167,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13,442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σ_j=3.15%/j (Modérée) — Vol. annualisée≈50.0%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9287"/>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2026-10-13</w:t>
            </w:r>
          </w:p>
        </w:tc>
        <w:tc>
          <w:tcPr>
            <w:tcW w:type="dxa" w:w="1440"/>
            <w:shd w:fill="FAFAFA" w:val="clear"/>
          </w:tcPr>
          <w:p>
            <w:r>
              <w:rPr>
                <w:sz w:val="17"/>
              </w:rPr>
              <w:t>2,162</w:t>
            </w:r>
          </w:p>
        </w:tc>
        <w:tc>
          <w:tcPr>
            <w:tcW w:type="dxa" w:w="1440"/>
            <w:shd w:fill="FAFAFA" w:val="clear"/>
          </w:tcPr>
          <w:p>
            <w:r>
              <w:rPr>
                <w:b/>
                <w:sz w:val="17"/>
              </w:rPr>
              <w:t>2,237</w:t>
            </w:r>
          </w:p>
        </w:tc>
        <w:tc>
          <w:tcPr>
            <w:tcW w:type="dxa" w:w="1440"/>
            <w:shd w:fill="FAFAFA" w:val="clear"/>
          </w:tcPr>
          <w:p>
            <w:r>
              <w:rPr>
                <w:sz w:val="17"/>
              </w:rPr>
              <w:t>2,313</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2026-10-14</w:t>
            </w:r>
          </w:p>
        </w:tc>
        <w:tc>
          <w:tcPr>
            <w:tcW w:type="dxa" w:w="1440"/>
            <w:shd w:fill="FAFAFA" w:val="clear"/>
          </w:tcPr>
          <w:p>
            <w:r>
              <w:rPr>
                <w:sz w:val="17"/>
              </w:rPr>
              <w:t>2,113</w:t>
            </w:r>
          </w:p>
        </w:tc>
        <w:tc>
          <w:tcPr>
            <w:tcW w:type="dxa" w:w="1440"/>
            <w:shd w:fill="FAFAFA" w:val="clear"/>
          </w:tcPr>
          <w:p>
            <w:r>
              <w:rPr>
                <w:b/>
                <w:sz w:val="17"/>
              </w:rPr>
              <w:t>2,219</w:t>
            </w:r>
          </w:p>
        </w:tc>
        <w:tc>
          <w:tcPr>
            <w:tcW w:type="dxa" w:w="1440"/>
            <w:shd w:fill="FAFAFA" w:val="clear"/>
          </w:tcPr>
          <w:p>
            <w:r>
              <w:rPr>
                <w:sz w:val="17"/>
              </w:rPr>
              <w:t>2,326</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2026-10-15</w:t>
            </w:r>
          </w:p>
        </w:tc>
        <w:tc>
          <w:tcPr>
            <w:tcW w:type="dxa" w:w="1440"/>
            <w:shd w:fill="FAFAFA" w:val="clear"/>
          </w:tcPr>
          <w:p>
            <w:r>
              <w:rPr>
                <w:sz w:val="17"/>
              </w:rPr>
              <w:t>2,075</w:t>
            </w:r>
          </w:p>
        </w:tc>
        <w:tc>
          <w:tcPr>
            <w:tcW w:type="dxa" w:w="1440"/>
            <w:shd w:fill="FAFAFA" w:val="clear"/>
          </w:tcPr>
          <w:p>
            <w:r>
              <w:rPr>
                <w:b/>
                <w:sz w:val="17"/>
              </w:rPr>
              <w:t>2,204</w:t>
            </w:r>
          </w:p>
        </w:tc>
        <w:tc>
          <w:tcPr>
            <w:tcW w:type="dxa" w:w="1440"/>
            <w:shd w:fill="FAFAFA" w:val="clear"/>
          </w:tcPr>
          <w:p>
            <w:r>
              <w:rPr>
                <w:sz w:val="17"/>
              </w:rPr>
              <w:t>2,333</w:t>
            </w:r>
          </w:p>
        </w:tc>
        <w:tc>
          <w:tcPr>
            <w:tcW w:type="dxa" w:w="1440"/>
            <w:shd w:fill="FAFAFA" w:val="clear"/>
          </w:tcPr>
          <w:p>
            <w:r>
              <w:rPr>
                <w:b/>
                <w:color w:val="C00000"/>
                <w:sz w:val="17"/>
              </w:rPr>
              <w:t>-1.6%</w:t>
            </w:r>
          </w:p>
        </w:tc>
      </w:tr>
      <w:tr>
        <w:tc>
          <w:tcPr>
            <w:tcW w:type="dxa" w:w="1440"/>
            <w:shd w:fill="FFDCE0" w:val="clear"/>
          </w:tcPr>
          <w:p>
            <w:r>
              <w:rPr>
                <w:sz w:val="17"/>
              </w:rPr>
              <w:t>J+4  ⭐</w:t>
            </w:r>
          </w:p>
        </w:tc>
        <w:tc>
          <w:tcPr>
            <w:tcW w:type="dxa" w:w="1440"/>
            <w:shd w:fill="FFDCE0" w:val="clear"/>
          </w:tcPr>
          <w:p>
            <w:r>
              <w:rPr>
                <w:sz w:val="17"/>
              </w:rPr>
              <w:t>2026-10-16</w:t>
            </w:r>
          </w:p>
        </w:tc>
        <w:tc>
          <w:tcPr>
            <w:tcW w:type="dxa" w:w="1440"/>
            <w:shd w:fill="FFDCE0" w:val="clear"/>
          </w:tcPr>
          <w:p>
            <w:r>
              <w:rPr>
                <w:sz w:val="17"/>
              </w:rPr>
              <w:t>2,041</w:t>
            </w:r>
          </w:p>
        </w:tc>
        <w:tc>
          <w:tcPr>
            <w:tcW w:type="dxa" w:w="1440"/>
            <w:shd w:fill="FFDCE0" w:val="clear"/>
          </w:tcPr>
          <w:p>
            <w:r>
              <w:rPr>
                <w:b/>
                <w:sz w:val="17"/>
              </w:rPr>
              <w:t>2,189</w:t>
            </w:r>
          </w:p>
        </w:tc>
        <w:tc>
          <w:tcPr>
            <w:tcW w:type="dxa" w:w="1440"/>
            <w:shd w:fill="FFDCE0" w:val="clear"/>
          </w:tcPr>
          <w:p>
            <w:r>
              <w:rPr>
                <w:sz w:val="17"/>
              </w:rPr>
              <w:t>2,338</w:t>
            </w:r>
          </w:p>
        </w:tc>
        <w:tc>
          <w:tcPr>
            <w:tcW w:type="dxa" w:w="1440"/>
            <w:shd w:fill="FFDCE0" w:val="clear"/>
          </w:tcPr>
          <w:p>
            <w:r>
              <w:rPr>
                <w:b/>
                <w:color w:val="C00000"/>
                <w:sz w:val="17"/>
              </w:rPr>
              <w:t>-2.3%</w:t>
            </w:r>
          </w:p>
        </w:tc>
      </w:tr>
      <w:tr>
        <w:tc>
          <w:tcPr>
            <w:tcW w:type="dxa" w:w="1440"/>
            <w:shd w:fill="FFDCE0" w:val="clear"/>
          </w:tcPr>
          <w:p>
            <w:r>
              <w:rPr>
                <w:sz w:val="17"/>
              </w:rPr>
              <w:t>J+5  ⭐</w:t>
            </w:r>
          </w:p>
        </w:tc>
        <w:tc>
          <w:tcPr>
            <w:tcW w:type="dxa" w:w="1440"/>
            <w:shd w:fill="FFDCE0" w:val="clear"/>
          </w:tcPr>
          <w:p>
            <w:r>
              <w:rPr>
                <w:sz w:val="17"/>
              </w:rPr>
              <w:t>2026-10-19</w:t>
            </w:r>
          </w:p>
        </w:tc>
        <w:tc>
          <w:tcPr>
            <w:tcW w:type="dxa" w:w="1440"/>
            <w:shd w:fill="FFDCE0" w:val="clear"/>
          </w:tcPr>
          <w:p>
            <w:r>
              <w:rPr>
                <w:sz w:val="17"/>
              </w:rPr>
              <w:t>2,010</w:t>
            </w:r>
          </w:p>
        </w:tc>
        <w:tc>
          <w:tcPr>
            <w:tcW w:type="dxa" w:w="1440"/>
            <w:shd w:fill="FFDCE0" w:val="clear"/>
          </w:tcPr>
          <w:p>
            <w:r>
              <w:rPr>
                <w:b/>
                <w:sz w:val="17"/>
              </w:rPr>
              <w:t>2,175</w:t>
            </w:r>
          </w:p>
        </w:tc>
        <w:tc>
          <w:tcPr>
            <w:tcW w:type="dxa" w:w="1440"/>
            <w:shd w:fill="FFDCE0" w:val="clear"/>
          </w:tcPr>
          <w:p>
            <w:r>
              <w:rPr>
                <w:sz w:val="17"/>
              </w:rPr>
              <w:t>2,340</w:t>
            </w:r>
          </w:p>
        </w:tc>
        <w:tc>
          <w:tcPr>
            <w:tcW w:type="dxa" w:w="1440"/>
            <w:shd w:fill="FFDCE0" w:val="clear"/>
          </w:tcPr>
          <w:p>
            <w:r>
              <w:rPr>
                <w:b/>
                <w:color w:val="C00000"/>
                <w:sz w:val="17"/>
              </w:rPr>
              <w:t>-2.9%</w:t>
            </w:r>
          </w:p>
        </w:tc>
      </w:tr>
      <w:tr>
        <w:tc>
          <w:tcPr>
            <w:tcW w:type="dxa" w:w="1440"/>
            <w:shd w:fill="FFDCE0" w:val="clear"/>
          </w:tcPr>
          <w:p>
            <w:r>
              <w:rPr>
                <w:sz w:val="17"/>
              </w:rPr>
              <w:t>J+6  ⭐</w:t>
            </w:r>
          </w:p>
        </w:tc>
        <w:tc>
          <w:tcPr>
            <w:tcW w:type="dxa" w:w="1440"/>
            <w:shd w:fill="FFDCE0" w:val="clear"/>
          </w:tcPr>
          <w:p>
            <w:r>
              <w:rPr>
                <w:sz w:val="17"/>
              </w:rPr>
              <w:t>2026-10-20</w:t>
            </w:r>
          </w:p>
        </w:tc>
        <w:tc>
          <w:tcPr>
            <w:tcW w:type="dxa" w:w="1440"/>
            <w:shd w:fill="FFDCE0" w:val="clear"/>
          </w:tcPr>
          <w:p>
            <w:r>
              <w:rPr>
                <w:sz w:val="17"/>
              </w:rPr>
              <w:t>1,982</w:t>
            </w:r>
          </w:p>
        </w:tc>
        <w:tc>
          <w:tcPr>
            <w:tcW w:type="dxa" w:w="1440"/>
            <w:shd w:fill="FFDCE0" w:val="clear"/>
          </w:tcPr>
          <w:p>
            <w:r>
              <w:rPr>
                <w:b/>
                <w:sz w:val="17"/>
              </w:rPr>
              <w:t>2,162</w:t>
            </w:r>
          </w:p>
        </w:tc>
        <w:tc>
          <w:tcPr>
            <w:tcW w:type="dxa" w:w="1440"/>
            <w:shd w:fill="FFDCE0" w:val="clear"/>
          </w:tcPr>
          <w:p>
            <w:r>
              <w:rPr>
                <w:sz w:val="17"/>
              </w:rPr>
              <w:t>2,341</w:t>
            </w:r>
          </w:p>
        </w:tc>
        <w:tc>
          <w:tcPr>
            <w:tcW w:type="dxa" w:w="1440"/>
            <w:shd w:fill="FFDCE0" w:val="clear"/>
          </w:tcPr>
          <w:p>
            <w:r>
              <w:rPr>
                <w:b/>
                <w:color w:val="C00000"/>
                <w:sz w:val="17"/>
              </w:rPr>
              <w:t>-3.5%</w:t>
            </w:r>
          </w:p>
        </w:tc>
      </w:tr>
      <w:tr>
        <w:tc>
          <w:tcPr>
            <w:tcW w:type="dxa" w:w="1440"/>
            <w:shd w:fill="FFDCE0" w:val="clear"/>
          </w:tcPr>
          <w:p>
            <w:r>
              <w:rPr>
                <w:sz w:val="17"/>
              </w:rPr>
              <w:t>J+7  ⭐</w:t>
            </w:r>
          </w:p>
        </w:tc>
        <w:tc>
          <w:tcPr>
            <w:tcW w:type="dxa" w:w="1440"/>
            <w:shd w:fill="FFDCE0" w:val="clear"/>
          </w:tcPr>
          <w:p>
            <w:r>
              <w:rPr>
                <w:sz w:val="17"/>
              </w:rPr>
              <w:t>2026-10-21</w:t>
            </w:r>
          </w:p>
        </w:tc>
        <w:tc>
          <w:tcPr>
            <w:tcW w:type="dxa" w:w="1440"/>
            <w:shd w:fill="FFDCE0" w:val="clear"/>
          </w:tcPr>
          <w:p>
            <w:r>
              <w:rPr>
                <w:sz w:val="17"/>
              </w:rPr>
              <w:t>1,956</w:t>
            </w:r>
          </w:p>
        </w:tc>
        <w:tc>
          <w:tcPr>
            <w:tcW w:type="dxa" w:w="1440"/>
            <w:shd w:fill="FFDCE0" w:val="clear"/>
          </w:tcPr>
          <w:p>
            <w:r>
              <w:rPr>
                <w:b/>
                <w:sz w:val="17"/>
              </w:rPr>
              <w:t>2,148</w:t>
            </w:r>
          </w:p>
        </w:tc>
        <w:tc>
          <w:tcPr>
            <w:tcW w:type="dxa" w:w="1440"/>
            <w:shd w:fill="FFDCE0" w:val="clear"/>
          </w:tcPr>
          <w:p>
            <w:r>
              <w:rPr>
                <w:sz w:val="17"/>
              </w:rPr>
              <w:t>2,341</w:t>
            </w:r>
          </w:p>
        </w:tc>
        <w:tc>
          <w:tcPr>
            <w:tcW w:type="dxa" w:w="1440"/>
            <w:shd w:fill="FFDCE0" w:val="clear"/>
          </w:tcPr>
          <w:p>
            <w:r>
              <w:rPr>
                <w:b/>
                <w:color w:val="C00000"/>
                <w:sz w:val="17"/>
              </w:rPr>
              <w:t>-4.1%</w:t>
            </w:r>
          </w:p>
        </w:tc>
      </w:tr>
      <w:tr>
        <w:tc>
          <w:tcPr>
            <w:tcW w:type="dxa" w:w="1440"/>
            <w:shd w:fill="FFDCE0" w:val="clear"/>
          </w:tcPr>
          <w:p>
            <w:r>
              <w:rPr>
                <w:sz w:val="17"/>
              </w:rPr>
              <w:t>J+8  ⭐</w:t>
            </w:r>
          </w:p>
        </w:tc>
        <w:tc>
          <w:tcPr>
            <w:tcW w:type="dxa" w:w="1440"/>
            <w:shd w:fill="FFDCE0" w:val="clear"/>
          </w:tcPr>
          <w:p>
            <w:r>
              <w:rPr>
                <w:sz w:val="17"/>
              </w:rPr>
              <w:t>2026-10-22</w:t>
            </w:r>
          </w:p>
        </w:tc>
        <w:tc>
          <w:tcPr>
            <w:tcW w:type="dxa" w:w="1440"/>
            <w:shd w:fill="FFDCE0" w:val="clear"/>
          </w:tcPr>
          <w:p>
            <w:r>
              <w:rPr>
                <w:sz w:val="17"/>
              </w:rPr>
              <w:t>1,931</w:t>
            </w:r>
          </w:p>
        </w:tc>
        <w:tc>
          <w:tcPr>
            <w:tcW w:type="dxa" w:w="1440"/>
            <w:shd w:fill="FFDCE0" w:val="clear"/>
          </w:tcPr>
          <w:p>
            <w:r>
              <w:rPr>
                <w:b/>
                <w:sz w:val="17"/>
              </w:rPr>
              <w:t>2,135</w:t>
            </w:r>
          </w:p>
        </w:tc>
        <w:tc>
          <w:tcPr>
            <w:tcW w:type="dxa" w:w="1440"/>
            <w:shd w:fill="FFDCE0" w:val="clear"/>
          </w:tcPr>
          <w:p>
            <w:r>
              <w:rPr>
                <w:sz w:val="17"/>
              </w:rPr>
              <w:t>2,340</w:t>
            </w:r>
          </w:p>
        </w:tc>
        <w:tc>
          <w:tcPr>
            <w:tcW w:type="dxa" w:w="1440"/>
            <w:shd w:fill="FFDCE0" w:val="clear"/>
          </w:tcPr>
          <w:p>
            <w:r>
              <w:rPr>
                <w:b/>
                <w:color w:val="C00000"/>
                <w:sz w:val="17"/>
              </w:rPr>
              <w:t>-4.7%</w:t>
            </w:r>
          </w:p>
        </w:tc>
      </w:tr>
      <w:tr>
        <w:tc>
          <w:tcPr>
            <w:tcW w:type="dxa" w:w="1440"/>
            <w:shd w:fill="FFDCE0" w:val="clear"/>
          </w:tcPr>
          <w:p>
            <w:r>
              <w:rPr>
                <w:sz w:val="17"/>
              </w:rPr>
              <w:t>J+9  ⭐</w:t>
            </w:r>
          </w:p>
        </w:tc>
        <w:tc>
          <w:tcPr>
            <w:tcW w:type="dxa" w:w="1440"/>
            <w:shd w:fill="FFDCE0" w:val="clear"/>
          </w:tcPr>
          <w:p>
            <w:r>
              <w:rPr>
                <w:sz w:val="17"/>
              </w:rPr>
              <w:t>2026-10-23</w:t>
            </w:r>
          </w:p>
        </w:tc>
        <w:tc>
          <w:tcPr>
            <w:tcW w:type="dxa" w:w="1440"/>
            <w:shd w:fill="FFDCE0" w:val="clear"/>
          </w:tcPr>
          <w:p>
            <w:r>
              <w:rPr>
                <w:sz w:val="17"/>
              </w:rPr>
              <w:t>1,907</w:t>
            </w:r>
          </w:p>
        </w:tc>
        <w:tc>
          <w:tcPr>
            <w:tcW w:type="dxa" w:w="1440"/>
            <w:shd w:fill="FFDCE0" w:val="clear"/>
          </w:tcPr>
          <w:p>
            <w:r>
              <w:rPr>
                <w:b/>
                <w:sz w:val="17"/>
              </w:rPr>
              <w:t>2,123</w:t>
            </w:r>
          </w:p>
        </w:tc>
        <w:tc>
          <w:tcPr>
            <w:tcW w:type="dxa" w:w="1440"/>
            <w:shd w:fill="FFDCE0" w:val="clear"/>
          </w:tcPr>
          <w:p>
            <w:r>
              <w:rPr>
                <w:sz w:val="17"/>
              </w:rPr>
              <w:t>2,339</w:t>
            </w:r>
          </w:p>
        </w:tc>
        <w:tc>
          <w:tcPr>
            <w:tcW w:type="dxa" w:w="1440"/>
            <w:shd w:fill="FFDCE0" w:val="clear"/>
          </w:tcPr>
          <w:p>
            <w:r>
              <w:rPr>
                <w:b/>
                <w:color w:val="C00000"/>
                <w:sz w:val="17"/>
              </w:rPr>
              <w:t>-5.2%</w:t>
            </w:r>
          </w:p>
        </w:tc>
      </w:tr>
      <w:tr>
        <w:tc>
          <w:tcPr>
            <w:tcW w:type="dxa" w:w="1440"/>
            <w:shd w:fill="FFDCE0" w:val="clear"/>
          </w:tcPr>
          <w:p>
            <w:r>
              <w:rPr>
                <w:sz w:val="17"/>
              </w:rPr>
              <w:t>J+10  ⭐</w:t>
            </w:r>
          </w:p>
        </w:tc>
        <w:tc>
          <w:tcPr>
            <w:tcW w:type="dxa" w:w="1440"/>
            <w:shd w:fill="FFDCE0" w:val="clear"/>
          </w:tcPr>
          <w:p>
            <w:r>
              <w:rPr>
                <w:sz w:val="17"/>
              </w:rPr>
              <w:t>2026-10-26</w:t>
            </w:r>
          </w:p>
        </w:tc>
        <w:tc>
          <w:tcPr>
            <w:tcW w:type="dxa" w:w="1440"/>
            <w:shd w:fill="FFDCE0" w:val="clear"/>
          </w:tcPr>
          <w:p>
            <w:r>
              <w:rPr>
                <w:sz w:val="17"/>
              </w:rPr>
              <w:t>1,885</w:t>
            </w:r>
          </w:p>
        </w:tc>
        <w:tc>
          <w:tcPr>
            <w:tcW w:type="dxa" w:w="1440"/>
            <w:shd w:fill="FFDCE0" w:val="clear"/>
          </w:tcPr>
          <w:p>
            <w:r>
              <w:rPr>
                <w:b/>
                <w:sz w:val="17"/>
              </w:rPr>
              <w:t>2,111</w:t>
            </w:r>
          </w:p>
        </w:tc>
        <w:tc>
          <w:tcPr>
            <w:tcW w:type="dxa" w:w="1440"/>
            <w:shd w:fill="FFDCE0" w:val="clear"/>
          </w:tcPr>
          <w:p>
            <w:r>
              <w:rPr>
                <w:sz w:val="17"/>
              </w:rPr>
              <w:t>2,337</w:t>
            </w:r>
          </w:p>
        </w:tc>
        <w:tc>
          <w:tcPr>
            <w:tcW w:type="dxa" w:w="1440"/>
            <w:shd w:fill="FFDCE0" w:val="clear"/>
          </w:tcPr>
          <w:p>
            <w:r>
              <w:rPr>
                <w:b/>
                <w:color w:val="C00000"/>
                <w:sz w:val="17"/>
              </w:rPr>
              <w:t>-5.8%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3.693 Mds FCFA</w:t>
            </w:r>
          </w:p>
        </w:tc>
        <w:tc>
          <w:tcPr>
            <w:tcW w:type="dxa" w:w="5669"/>
            <w:shd w:fill="FFFFFF" w:val="clear"/>
          </w:tcPr>
          <w:p>
            <w:r>
              <w:rPr>
                <w:color w:val="282828"/>
                <w:sz w:val="15"/>
              </w:rPr>
              <w:t>Créances clients = 12.7%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12.179 Mds FCFA</w:t>
            </w:r>
          </w:p>
        </w:tc>
        <w:tc>
          <w:tcPr>
            <w:tcW w:type="dxa" w:w="5669"/>
            <w:shd w:fill="FFFFFF" w:val="clear"/>
          </w:tcPr>
          <w:p>
            <w:r>
              <w:rPr>
                <w:color w:val="282828"/>
                <w:sz w:val="15"/>
              </w:rPr>
              <w:t>Rotation stocks = 2.4x/an.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17.281 Mds FCFA</w:t>
            </w:r>
          </w:p>
        </w:tc>
        <w:tc>
          <w:tcPr>
            <w:tcW w:type="dxa" w:w="5669"/>
            <w:shd w:fill="FFFFFF" w:val="clear"/>
          </w:tcPr>
          <w:p>
            <w:r>
              <w:rPr>
                <w:color w:val="282828"/>
                <w:sz w:val="15"/>
              </w:rPr>
              <w:t>Ratio actif circ./passif circ. = 2.84x.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114.77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9.507 Mds FCFA</w:t>
            </w:r>
          </w:p>
        </w:tc>
        <w:tc>
          <w:tcPr>
            <w:tcW w:type="dxa" w:w="5669"/>
            <w:shd w:fill="FFFFFF" w:val="clear"/>
          </w:tcPr>
          <w:p>
            <w:r>
              <w:rPr>
                <w:color w:val="282828"/>
                <w:sz w:val="15"/>
              </w:rPr>
              <w:t>Outil industriel (30.0%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10.642 Mds FCFA</w:t>
            </w:r>
          </w:p>
        </w:tc>
        <w:tc>
          <w:tcPr>
            <w:tcW w:type="dxa" w:w="5669"/>
            <w:shd w:fill="FFFFFF" w:val="clear"/>
          </w:tcPr>
          <w:p>
            <w:r>
              <w:rPr>
                <w:color w:val="282828"/>
                <w:sz w:val="15"/>
              </w:rPr>
              <w:t>Actif immobilisé = 33.5%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3.813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31.736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6.156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24.619 Mds FCFA</w:t>
            </w:r>
          </w:p>
        </w:tc>
        <w:tc>
          <w:tcPr>
            <w:tcW w:type="dxa" w:w="5669"/>
            <w:shd w:fill="FFFFFF" w:val="clear"/>
          </w:tcPr>
          <w:p>
            <w:r>
              <w:rPr>
                <w:color w:val="282828"/>
                <w:sz w:val="15"/>
              </w:rPr>
              <w:t>Fonds propres = 77.6%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25.643 Mds FCFA</w:t>
            </w:r>
          </w:p>
        </w:tc>
        <w:tc>
          <w:tcPr>
            <w:tcW w:type="dxa" w:w="5669"/>
            <w:shd w:fill="FFFFFF" w:val="clear"/>
          </w:tcPr>
          <w:p>
            <w:r>
              <w:rPr>
                <w:color w:val="282828"/>
                <w:sz w:val="15"/>
              </w:rPr>
              <w:t>Capitaux permanents / Actif immobilisé = 2.41x.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4.977 Mds FCFA</w:t>
            </w:r>
          </w:p>
        </w:tc>
        <w:tc>
          <w:tcPr>
            <w:tcW w:type="dxa" w:w="5669"/>
            <w:shd w:fill="FFFFFF" w:val="clear"/>
          </w:tcPr>
          <w:p>
            <w:r>
              <w:rPr>
                <w:color w:val="282828"/>
                <w:sz w:val="15"/>
              </w:rPr>
              <w:t>Délai fournisseurs implicite ≈ 63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368.66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368.66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7.117 Mds FCFA</w:t>
            </w:r>
          </w:p>
        </w:tc>
        <w:tc>
          <w:tcPr>
            <w:tcW w:type="dxa" w:w="5669"/>
            <w:shd w:fill="FFFFFF" w:val="clear"/>
          </w:tcPr>
          <w:p>
            <w:r>
              <w:rPr>
                <w:color w:val="282828"/>
                <w:sz w:val="15"/>
              </w:rPr>
              <w:t>Dettes totales = 22.4%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29.032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29.032 Mds FCFA</w:t>
            </w:r>
          </w:p>
        </w:tc>
        <w:tc>
          <w:tcPr>
            <w:tcW w:type="dxa" w:w="5669"/>
            <w:shd w:fill="FFFFFF" w:val="clear"/>
          </w:tcPr>
          <w:p>
            <w:r>
              <w:rPr>
                <w:color w:val="282828"/>
                <w:sz w:val="15"/>
              </w:rPr>
              <w:t>Chiffre d'affaires. Croissance: 6.2%.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2.155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5.436 Mds FCFA</w:t>
            </w:r>
          </w:p>
        </w:tc>
        <w:tc>
          <w:tcPr>
            <w:tcW w:type="dxa" w:w="5669"/>
            <w:shd w:fill="FFFFFF" w:val="clear"/>
          </w:tcPr>
          <w:p>
            <w:r>
              <w:rPr>
                <w:color w:val="282828"/>
                <w:sz w:val="15"/>
              </w:rPr>
              <w:t>Masse salariale = 18.7%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6.563 Mds FCFA</w:t>
            </w:r>
          </w:p>
        </w:tc>
        <w:tc>
          <w:tcPr>
            <w:tcW w:type="dxa" w:w="5669"/>
            <w:shd w:fill="FFFFFF" w:val="clear"/>
          </w:tcPr>
          <w:p>
            <w:r>
              <w:rPr>
                <w:color w:val="282828"/>
                <w:sz w:val="15"/>
              </w:rPr>
              <w:t>VA = 22.6%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1.127 Mds FCFA</w:t>
            </w:r>
          </w:p>
        </w:tc>
        <w:tc>
          <w:tcPr>
            <w:tcW w:type="dxa" w:w="5669"/>
            <w:shd w:fill="FFFFFF" w:val="clear"/>
          </w:tcPr>
          <w:p>
            <w:r>
              <w:rPr>
                <w:color w:val="282828"/>
                <w:sz w:val="15"/>
              </w:rPr>
              <w:t>EBE = 3.9%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-423.61 M FCFA</w:t>
            </w:r>
          </w:p>
        </w:tc>
        <w:tc>
          <w:tcPr>
            <w:tcW w:type="dxa" w:w="5669"/>
            <w:shd w:fill="FFFFFF" w:val="clear"/>
          </w:tcPr>
          <w:p>
            <w:r>
              <w:rPr>
                <w:color w:val="282828"/>
                <w:sz w:val="15"/>
              </w:rPr>
              <w:t>Profit d'exploitation = -1.5%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-624.11 M FCFA</w:t>
            </w:r>
          </w:p>
        </w:tc>
        <w:tc>
          <w:tcPr>
            <w:tcW w:type="dxa" w:w="5669"/>
            <w:shd w:fill="FFFFFF" w:val="clear"/>
          </w:tcPr>
          <w:p>
            <w:r>
              <w:rPr>
                <w:color w:val="282828"/>
                <w:sz w:val="15"/>
              </w:rPr>
              <w:t>Marge nette = -2.1%.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904.48 M FCFA</w:t>
            </w:r>
          </w:p>
        </w:tc>
        <w:tc>
          <w:tcPr>
            <w:tcW w:type="dxa" w:w="5669"/>
            <w:shd w:fill="FFFFFF" w:val="clear"/>
          </w:tcPr>
          <w:p>
            <w:r>
              <w:rPr>
                <w:color w:val="282828"/>
                <w:sz w:val="15"/>
              </w:rPr>
              <w:t>CAF = 0.90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-8.124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9.399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43.03 M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-8.239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11.187 Mds FCFA</w:t>
            </w:r>
          </w:p>
        </w:tc>
        <w:tc>
          <w:tcPr>
            <w:tcW w:type="dxa" w:w="5669"/>
            <w:shd w:fill="FFFFFF" w:val="clear"/>
          </w:tcPr>
          <w:p>
            <w:r>
              <w:rPr>
                <w:color w:val="282828"/>
                <w:sz w:val="15"/>
              </w:rPr>
              <w:t>BFR = 38.5%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15.001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3.813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53.53%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-2.15%</w:t>
            </w:r>
          </w:p>
        </w:tc>
        <w:tc>
          <w:tcPr>
            <w:tcW w:type="dxa" w:w="5669"/>
            <w:shd w:fill="FFFFFF" w:val="clear"/>
          </w:tcPr>
          <w:p>
            <w:r>
              <w:rPr>
                <w:color w:val="282828"/>
                <w:sz w:val="15"/>
              </w:rPr>
              <w:t>Résultat net / revenus = -2.15%.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-1.46%</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-2.54%</w:t>
            </w:r>
          </w:p>
        </w:tc>
        <w:tc>
          <w:tcPr>
            <w:tcW w:type="dxa" w:w="5669"/>
            <w:shd w:fill="FFFFFF" w:val="clear"/>
          </w:tcPr>
          <w:p>
            <w:r>
              <w:rPr>
                <w:color w:val="282828"/>
                <w:sz w:val="15"/>
              </w:rPr>
              <w:t>Résultat net / capitaux propres = -2.54%.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-1.97%</w:t>
            </w:r>
          </w:p>
        </w:tc>
        <w:tc>
          <w:tcPr>
            <w:tcW w:type="dxa" w:w="5669"/>
            <w:shd w:fill="FFFFFF" w:val="clear"/>
          </w:tcPr>
          <w:p>
            <w:r>
              <w:rPr>
                <w:color w:val="282828"/>
                <w:sz w:val="15"/>
              </w:rPr>
              <w:t>Résultat net / total actif = -1.97%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91.48%</w:t>
            </w:r>
          </w:p>
        </w:tc>
        <w:tc>
          <w:tcPr>
            <w:tcW w:type="dxa" w:w="5669"/>
            <w:shd w:fill="FFFFFF" w:val="clear"/>
          </w:tcPr>
          <w:p>
            <w:r>
              <w:rPr>
                <w:color w:val="282828"/>
                <w:sz w:val="15"/>
              </w:rPr>
              <w:t>CA / total actif = 91.48x.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6.21%</w:t>
            </w:r>
          </w:p>
        </w:tc>
        <w:tc>
          <w:tcPr>
            <w:tcW w:type="dxa" w:w="5669"/>
            <w:shd w:fill="FFFFFF" w:val="clear"/>
          </w:tcPr>
          <w:p>
            <w:r>
              <w:rPr>
                <w:color w:val="282828"/>
                <w:sz w:val="15"/>
              </w:rPr>
              <w:t>Croissance CA vs exercice précédent = 6.21%.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77.58%</w:t>
            </w:r>
          </w:p>
        </w:tc>
        <w:tc>
          <w:tcPr>
            <w:tcW w:type="dxa" w:w="5669"/>
            <w:shd w:fill="FFFFFF" w:val="clear"/>
          </w:tcPr>
          <w:p>
            <w:r>
              <w:rPr>
                <w:color w:val="282828"/>
                <w:sz w:val="15"/>
              </w:rPr>
              <w:t>Fonds propres / total bilan = 77.58%.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22.42%</w:t>
            </w:r>
          </w:p>
        </w:tc>
        <w:tc>
          <w:tcPr>
            <w:tcW w:type="dxa" w:w="5669"/>
            <w:shd w:fill="FFFFFF" w:val="clear"/>
          </w:tcPr>
          <w:p>
            <w:r>
              <w:rPr>
                <w:color w:val="282828"/>
                <w:sz w:val="15"/>
              </w:rPr>
              <w:t>Dettes financières / total bilan = 22.42%.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1.50%</w:t>
            </w:r>
          </w:p>
        </w:tc>
        <w:tc>
          <w:tcPr>
            <w:tcW w:type="dxa" w:w="5669"/>
            <w:shd w:fill="FFFFFF" w:val="clear"/>
          </w:tcPr>
          <w:p>
            <w:r>
              <w:rPr>
                <w:color w:val="282828"/>
                <w:sz w:val="15"/>
              </w:rPr>
              <w:t>Dettes totales / fonds propres = 1.50%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445.93%</w:t>
            </w:r>
          </w:p>
        </w:tc>
        <w:tc>
          <w:tcPr>
            <w:tcW w:type="dxa" w:w="5669"/>
            <w:shd w:fill="FFFFFF" w:val="clear"/>
          </w:tcPr>
          <w:p>
            <w:r>
              <w:rPr>
                <w:color w:val="282828"/>
                <w:sz w:val="15"/>
              </w:rPr>
              <w:t>Total actif / dettes totales = 445.93x.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346.19%</w:t>
            </w:r>
          </w:p>
        </w:tc>
        <w:tc>
          <w:tcPr>
            <w:tcW w:type="dxa" w:w="5669"/>
            <w:shd w:fill="FFFFFF" w:val="clear"/>
          </w:tcPr>
          <w:p>
            <w:r>
              <w:rPr>
                <w:color w:val="282828"/>
                <w:sz w:val="15"/>
              </w:rPr>
              <w:t>Actif circulant / passif circulant = 346.19x.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62.59%</w:t>
            </w:r>
          </w:p>
        </w:tc>
        <w:tc>
          <w:tcPr>
            <w:tcW w:type="dxa" w:w="5669"/>
            <w:shd w:fill="FFFFFF" w:val="clear"/>
          </w:tcPr>
          <w:p>
            <w:r>
              <w:rPr>
                <w:color w:val="282828"/>
                <w:sz w:val="15"/>
              </w:rPr>
              <w:t>Trésorerie / passif circulant = 62.59x.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146.32%</w:t>
            </w:r>
          </w:p>
        </w:tc>
        <w:tc>
          <w:tcPr>
            <w:tcW w:type="dxa" w:w="5669"/>
            <w:shd w:fill="FFFFFF" w:val="clear"/>
          </w:tcPr>
          <w:p>
            <w:r>
              <w:rPr>
                <w:color w:val="282828"/>
                <w:sz w:val="15"/>
              </w:rPr>
              <w:t>(Actif circ. - stocks) / passif circ. = 146.32x.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240.96%</w:t>
            </w:r>
          </w:p>
        </w:tc>
        <w:tc>
          <w:tcPr>
            <w:tcW w:type="dxa" w:w="5669"/>
            <w:shd w:fill="FFFFFF" w:val="clear"/>
          </w:tcPr>
          <w:p>
            <w:r>
              <w:rPr>
                <w:color w:val="282828"/>
                <w:sz w:val="15"/>
              </w:rPr>
              <w:t>Capitaux permanents / actif immobilisé = 240.96x.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-1249.16%</w:t>
            </w:r>
          </w:p>
        </w:tc>
        <w:tc>
          <w:tcPr>
            <w:tcW w:type="dxa" w:w="5669"/>
            <w:shd w:fill="FFFFFF" w:val="clear"/>
          </w:tcPr>
          <w:p>
            <w:r>
              <w:rPr>
                <w:color w:val="282828"/>
                <w:sz w:val="15"/>
              </w:rPr>
              <w:t>Résultat exploit. / charges financières = -1249.16x.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789.90%</w:t>
            </w:r>
          </w:p>
        </w:tc>
        <w:tc>
          <w:tcPr>
            <w:tcW w:type="dxa" w:w="5669"/>
            <w:shd w:fill="FFFFFF" w:val="clear"/>
          </w:tcPr>
          <w:p>
            <w:r>
              <w:rPr>
                <w:color w:val="282828"/>
                <w:sz w:val="15"/>
              </w:rPr>
              <w:t>CAF / investissements = 789.90x.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45.8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102.4 j</w:t>
            </w:r>
          </w:p>
        </w:tc>
        <w:tc>
          <w:tcPr>
            <w:tcW w:type="dxa" w:w="5669"/>
            <w:shd w:fill="FFFFFF" w:val="clear"/>
          </w:tcPr>
          <w:p>
            <w:r>
              <w:rPr>
                <w:color w:val="282828"/>
                <w:sz w:val="15"/>
              </w:rPr>
              <w:t>Paiement des fournisseurs en 102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325.0 j</w:t>
            </w:r>
          </w:p>
        </w:tc>
        <w:tc>
          <w:tcPr>
            <w:tcW w:type="dxa" w:w="5669"/>
            <w:shd w:fill="FFFFFF" w:val="clear"/>
          </w:tcPr>
          <w:p>
            <w:r>
              <w:rPr>
                <w:color w:val="282828"/>
                <w:sz w:val="15"/>
              </w:rPr>
              <w:t>Stock écoulé en 325 jours. ❌ Stock quasi-bloqué — risque d'obsolescence ou de surstock.</w:t>
            </w:r>
          </w:p>
        </w:tc>
      </w:tr>
    </w:tbl>
    <w:p/>
    <w:p>
      <w:pPr>
        <w:spacing w:after="120" w:line="276" w:lineRule="auto"/>
      </w:pPr>
      <w:r>
        <w:t>**RAPPORT D'ANALYSE FINANCIÈRE — UNIWAX (UNXC)**</w:t>
        <w:br/>
        <w:t>*Bourse Régionale des Valeurs Mobilières (BRVM) — Secteur Textile / Entreprise non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46,48 milliards FCFA, UNIWAX se situe dans la catégorie des valeurs moyennes de la BRVM, ce qui traduit une liquidité limitée mais une certaine notoriété sectorielle. Le BPA ressort à -30 FCFA/action, conséquence directe de la perte nette de -624 millions FCFA enregistrée en 2025, ce qui rend le PER inexploitable (-74,5x) : les investisseurs ne peuvent pas valoriser la société sur ses bénéfices actuels, mais plutôt sur ses actifs et son potentiel de redressement. Le P/B de 1,89x indique que le marché valorise le titre à près du double de sa valeur comptable (capitaux propres de 24,62 Mds FCFA), ce qui reste raisonnable pour une entreprise en restructuration mais n'offre pas de décote de sécurité. Enfin, l'EV/EBITDA de 38,2x est très exigeant : la valeur d'entreprise intègre une prime spéculative importante par rapport à la capacité opérationnelle actuelle (EBE de 1,13 Md FCFA en 2025), ce qui suppose que le marché anticipe déjà une forte amélioration de la rentabilité — un pari risqué si le redressement ne se confirme pas.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UNXC affiche une progression spectaculaire de +24,79%, portant le cours à 2 240 FCFA, malgré un repli de -1,97% lors de la dernière séance qui marque une légère prise de bénéfices. Le range de trading est très large, avec un plus haut à 2 495 FCFA et un plus bas à 1 250 FCFA, soit un écart de près de 100% entre les deux extrêmes — signe d'une forte volatilité et d'un intérêt spéculatif marqué. La tendance générale est nettement haussière, portée par les annonces de redressement opérationnel et le retour à un résultat d'exploitation positif au S1 2026. Les statistiques descriptives révèlent une moyenne de 2 027 FCFA supérieure à la médiane de 1 950 FCFA, ce qui indique une distribution légèrement asymétrique à droite (tirée par les pics récents), confirmée par un skewness de -0,281 qui reste toutefois proche de la symétrie. L'écart-type de 308 FCFA (CV=15,2%) traduit une dispersion modérée autour de la moyenne, tandis que le kurtosis de -0,552 (mésokurtique) suggère une distribution proche de la normale, sans risque excessif de pics extrêmes. La volatilité annualisée de 50,0% classe le titre dans la catégorie des valeurs à volatilité élevée (&gt;30%), ce qui implique un risque de marché important et un horizon d'investissement à adapter en conséquence.</w:t>
      </w:r>
    </w:p>
    <w:p>
      <w:pPr>
        <w:spacing w:after="120" w:line="276" w:lineRule="auto"/>
      </w:pPr>
      <w:r>
        <w:t>---</w:t>
      </w:r>
    </w:p>
    <w:p>
      <w:pPr>
        <w:spacing w:after="120" w:line="276" w:lineRule="auto"/>
      </w:pPr>
      <w:r>
        <w:t>### PARTIE 2 : ANALYSE TECHNIQUE DÉTAILLÉE</w:t>
      </w:r>
    </w:p>
    <w:p>
      <w:pPr>
        <w:spacing w:after="120" w:line="276" w:lineRule="auto"/>
      </w:pPr>
      <w:r>
        <w:t>**Moyennes Mobiles** : La MM20 (2 325 FCFA) et la MM50 (2 262,4 FCFA) se situent toutes deux au-dessus du cours actuel (2 240 FCFA), ce qui place le titre en position de faiblesse relative à court terme. Cependant, la MM20 reste supérieure à la MM50, signalant que la tendance de fond demeure haussière malgré la correction récente. La décision "Achat" fournie par l'indicateur suggère que le croisement des moyennes reste favorable à une reprise, mais la prudence est de mise tant que le cours n'a pas reconquis la MM20.</w:t>
      </w:r>
    </w:p>
    <w:p>
      <w:pPr>
        <w:spacing w:after="120" w:line="276" w:lineRule="auto"/>
      </w:pPr>
      <w:r>
        <w:t>**Bandes de Bollinger** : Le cours (2 240 FCFA) évolue dans la partie basse de la bande, entre la borne inférieure (2 191,1 FCFA) et la borne supérieure (2 458,9 FCFA), ce qui traduit une pression vendeuse récente mais sans rupture baissière. La largeur des bandes reflète une volatilité encore élevée, et la décision "Neutre" indique que le titre n'est ni en zone de survente ni en zone de surachat, laissant la porte ouverte à une stabilisation avant un rebond potentiel.</w:t>
      </w:r>
    </w:p>
    <w:p>
      <w:pPr>
        <w:spacing w:after="120" w:line="276" w:lineRule="auto"/>
      </w:pPr>
      <w:r>
        <w:t>**MACD** : La valeur du MACD (3,448) est nettement inférieure à son signal (22,013), ce qui génère une divergence baissière et un momentum négatif à court terme. Cette configuration justifie la décision "Vente" de l'indicateur : la dynamique haussière s'essouffle et un croisement baissier est déjà acté, incitant à la prudence avant tout nouvel achat.</w:t>
      </w:r>
    </w:p>
    <w:p>
      <w:pPr>
        <w:spacing w:after="120" w:line="276" w:lineRule="auto"/>
      </w:pPr>
      <w:r>
        <w:t>**RSI** : À 43,077, le RSI se situe dans la zone neutre (30-70), sans signal de survente ni de surachat. La décision "Neutre" confirme que le titre n'est pas dans une configuration technique extrême, ce qui suggère que la correction actuelle pourrait se poursuivre modérément avant qu'un point d'entrée ne se présente.</w:t>
      </w:r>
    </w:p>
    <w:p>
      <w:pPr>
        <w:spacing w:after="120" w:line="276" w:lineRule="auto"/>
      </w:pPr>
      <w:r>
        <w:t>**Stochastique** : Le %K (16,327) est nettement inférieur au %D (31,973), et se situe en zone de survente (&lt;20), ce qui génère un signal "Achat" potentiel. Ce croisement baissier en zone basse indique que la pression vendeuse pourrait s'épuiser à court terme, offrant une opportunité contrarian pour les investisseurs réactifs.</w:t>
      </w:r>
    </w:p>
    <w:p>
      <w:pPr>
        <w:spacing w:after="120" w:line="276" w:lineRule="auto"/>
      </w:pPr>
      <w:r>
        <w:t>**Conclusion technique** : Les indicateurs sont divergents : les moyennes mobiles et le stochastique plaident pour un achat (tendance de fond haussière, survente), tandis que le MACD et les bandes de Bollinger incitent à la prudence (momentum négatif, cours sous la MM20). Le RSI neutre confirme l'absence de signal fort. Dans l'ensemble, le titre se trouve dans une phase de consolidation après une forte hausse, et un point d'entrée pourrait se dessiner si le cours se stabilise au-dessus de 2 200 FCFA avec un retournement du MACD.</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UNIWAX a réalisé un chiffre d'affaires de 29,032 milliards FCFA, en croissance de 6,2% par rapport à 2024 (27,333 Mds FCFA), confirmant la dynamique commerciale. Le résultat net reste négatif à -624,11 millions FCFA, mais s'améliore de 71% par rapport à la perte de -2,19 milliards FCFA en 2024. Le ROE s'établit à -2,54% et le ROA à -1,97%, traduisant une rentabilité encore dégradée mais en voie de redressement. La marge brute de 53,53% reste solide, mais la marge nette de -2,15% et la marge opérationnelle de -1,46% montrent que les charges d'exploitation (5,44 Mds FCFA de charges de personnel, 2,16 Mds FCFA de dotations) pèsent lourdement sur la profitabilité. La structure financière est saine : autonomie financière de 77,58%, ratio d'endettement de seulement 1,50%, et liquidité générale de 346,19%. Le BFR de 11,187 Mds FCFA est positif, mais le délai de stockage de 324,99 jours est très élevé, immobilisant du capital, tandis que le délai fournisseurs de 102,43 jours est favorable à la trésorerie. Le flux opérationnel est négatif à -8,124 Mds FCFA, compensé par les cessions d'actifs (+9,399 Mds FCFA), ce qui souligne la dépendance à des opérations non récurrentes.</w:t>
      </w:r>
    </w:p>
    <w:p>
      <w:pPr>
        <w:spacing w:after="120" w:line="276" w:lineRule="auto"/>
      </w:pPr>
      <w:r>
        <w:t>**Estimations basées sur les rapports trimestriels** : Le rapport du S1 2026 (publié en 2026) indique un chiffre d'affaires de 15,752 Mds FCFA (+0,3% vs S1 2025) et un résultat d'exploitation redevenu positif à 771 millions FCFA, contre une perte de -314 millions FCFA au S1 2025. Le résultat net du S1 2026 s'établit à 771 millions FCFA, contre 8,216 Mds FCFA au S1 2025 (ce dernier incluant une plus-value exceptionnelle de près de 10 Mds FCFA liée à la cession-bail du terrain). Sur la base de ce rapport, on estime que l'exercice 2026 devrait confirmer le retour à une rentabilité opérationnelle positive, avec un résultat net annuel attendu entre 1,5 et 2 milliards FCFA, hors éléments exceptionnels. Le rapport du T3 2025 (daté du 30/09/2025) soulignait déjà une amélioration de 80% du résultat des activités ordinaires et l'absence de perte au T3, confirmant la trajectoire de redressement. Le rapport annuel 2025 (publié en 2025) mentionne un EBE redevenu positif à 1,13 Md FCFA et une perte nette réduite à -624 millions FCFA, avec un désendettement massif (dettes fournisseurs ramenées de 14,9 Mds à 5,0 Mds FCFA) financé par des cessions d'actifs.</w:t>
      </w:r>
    </w:p>
    <w:p>
      <w:pPr>
        <w:spacing w:after="120" w:line="276" w:lineRule="auto"/>
      </w:pPr>
      <w:r>
        <w:t>**Recommandation fondamentale** : La société présente des signes encourageants de redressement (EBE positif, résultat d'exploitation positif au S1 2026, désendettement), mais reste fragile : la rentabilité nette n'est pas encore acquise, les flux opérationnels sont négatifs, et la dépendance aux cessions d'actifs est un risque. La solidité du bilan (capitaux propres de 24,62 Mds FCFA, endettement faible) offre une certaine sécurité, mais la valorisation boursière (P/B de 1,89x, EV/EBITDA de 38,2x) intègre déjà une bonne partie du redressement. La recommandation fondamentale est **CONSERVER** avec un biais positif, en attendant la confirmation d'une rentabilité opérationnelle durable et d'un flux de trésorerie positif.</w:t>
      </w:r>
    </w:p>
    <w:p>
      <w:pPr>
        <w:spacing w:after="120" w:line="276" w:lineRule="auto"/>
      </w:pPr>
      <w:r>
        <w:t>---</w:t>
      </w:r>
    </w:p>
    <w:p>
      <w:pPr>
        <w:spacing w:after="120" w:line="276" w:lineRule="auto"/>
      </w:pPr>
      <w:r>
        <w:t>### PARTIE 4 : CONCLUSION D'INVESTISSEMENT</w:t>
      </w:r>
    </w:p>
    <w:p>
      <w:pPr>
        <w:spacing w:after="120" w:line="276" w:lineRule="auto"/>
      </w:pPr>
      <w:r>
        <w:t>La valorisation (Partie 0) apparaît exigeante : le PER négatif et l'EV/EBITDA de 38,2x traduisent une anticipation forte de redressement, sans décote de sécurité, même si le P/B de 1,89x reste raisonnable. Le comportement du cours (Partie 1) est haussier sur 100 jours (+24,79%) mais avec une volatilité élevée (50%) et une distribution proche de la normale (kurtosis -0,552, skewness -0,281), ce qui suggère que la correction actuelle (-1,97% en J-1) pourrait se poursuivre modérément. Les signaux techniques (Partie 2) sont divergents : les moyennes mobiles et le stochastique plaident pour un achat, mais le MACD et les bandes de Bollinger incitent à la prudence, le RSI restant neutre. Les fondamentaux (Partie 3) montrent un redressement réel (CA en hausse, EBE positif, résultat d'exploitation positif au S1 2026) mais une rentabilité nette encore fragile et des flux opérationnels négatifs. Les prédictions IA (J+1 à J+10) anticipent une baisse progressive de 2 237 FCFA à 2 175 FCFA, ce qui contredit les signaux d'achat à court terme et confirme la phase de consolidation en cours. Sur la base de cette synthèse, la recommandation finale est **CONSERVER** : la convergence entre une valorisation exigeante, des signaux techniques mitigés et des fondamentaux en amélioration mais non confirmés ne justifie pas un achat agressif, tandis que la solidité du bilan et la trajectoire de redressement excluent une vente. Le niveau de confiance est **Moyen**, le risque global est **Élevé** (volatilité de 50%, dépendance aux éléments exceptionnels), et l'horizon d'investissement optimal est **moyen terme (3-12 mois)**, en attendant la publication des résultats annuels 2026 qui confirmeront ou infirmeront le retour à une rentabilité durable.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- 48 sociétés analysées.</w:t>
      </w:r>
    </w:p>
    <w:p/>
    <w:p>
      <w:pPr>
        <w:jc w:val="center"/>
      </w:pPr>
      <w:r>
        <w:rPr>
          <w:i/>
          <w:color w:val="808080"/>
          <w:sz w:val="16"/>
        </w:rPr>
        <w:t xml:space="preserve">Analyse Multi-AI - </w:t>
      </w:r>
      <w:r>
        <w:rPr>
          <w:i/>
        </w:rPr>
        <w:t xml:space="preserve">DeepSeek: 49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