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25/09/2026 à 09:44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BOAB  (score 88/100)</w:t>
      </w:r>
    </w:p>
    <w:p>
      <w:pPr>
        <w:spacing w:before="20" w:after="20"/>
        <w:ind w:left="360" w:right="360"/>
        <w:shd w:val="clear" w:color="auto" w:fill="EBF5FB"/>
      </w:pPr>
      <w:r>
        <w:rPr>
          <w:b/>
          <w:sz w:val="19"/>
        </w:rPr>
        <w:t xml:space="preserve">Secteur surperformant :  </w:t>
      </w:r>
      <w:r>
        <w:rPr>
          <w:color w:val="008000"/>
          <w:sz w:val="19"/>
        </w:rPr>
        <w:t>SERVICES PUBLICS  (+60.8%)</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10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531.63 points </w:t>
      </w:r>
      <w:r>
        <w:rPr>
          <w:color w:val="008000"/>
        </w:rPr>
        <w:t>(+2.97%)</w:t>
      </w:r>
      <w:r>
        <w:t xml:space="preserve"> sur la séance. </w:t>
      </w:r>
      <w:r>
        <w:t>La capitalisation globale du marché atteint 20 847,889 milliards FCFA.</w:t>
      </w:r>
    </w:p>
    <w:p/>
    <w:p>
      <w:pPr>
        <w:pStyle w:val="Heading3"/>
      </w:pPr>
      <w:r>
        <w:t>📊 Évolution de l'indice BRVM Composite (100 derniers jours)</w:t>
      </w:r>
    </w:p>
    <w:p>
      <w:r>
        <w:rPr>
          <w:b/>
        </w:rPr>
        <w:t xml:space="preserve">BRVM Composite — </w:t>
      </w:r>
      <w:r>
        <w:t xml:space="preserve">Sur les 100 derniers jours de cotation (2026-04-30 au 2026-09-24), l'indice BRVM Composite a évolué de </w:t>
      </w:r>
      <w:r>
        <w:rPr>
          <w:b/>
          <w:color w:val="008000"/>
        </w:rPr>
        <w:t>+31.61%</w:t>
      </w:r>
      <w:r>
        <w:t>, passant de 403.93 pts à 531.63 pts. Le plus haut atteint est 555.90 pts et le plus bas 401.60 pts. Sur l'ensemble de la période, la moyenne de l'indice s'établit à 474.47 pts, la médiane à 475.25 pts et le mode à 401.60 pts</w:t>
      </w:r>
      <w:r>
        <w:t xml:space="preserve"> (distribution symétrique). </w:t>
      </w:r>
      <w:r>
        <w:t xml:space="preserve">L'écart-type de 47.08 pts (CV=9.9%) traduit une modérée dispersion des cotations. Le kurtosis de -1.11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+33.86%</w:t>
      </w:r>
      <w:r>
        <w:t xml:space="preserve"> sur la période, passant de 15 574,385 Mds FCFA à 20 847,889 Mds FCFA. Le pic de capitalisation observé est de 21 436,336 Mds FCFA et le plancher de 15 482,993 Mds FCFA. La moyenne de la capitalisation sur la période s'établit à 18 291,042 Mds FCFA, la médiane à 18 307,823 Mds FCFA et le mode à 15 482,993 Mds FCFA</w:t>
      </w:r>
      <w:r>
        <w:t xml:space="preserve"> (distribution symétrique). </w:t>
      </w:r>
      <w:r>
        <w:t>L'écart-type de 1 823,174 Mds FCFA (CV=10.0%) reflète une modérée variabilité de la valorisation du marché. Le kurtosis de -1.11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BOAB - BANK OF AFRICA BENIN</w:t>
      </w:r>
      <w:r>
        <w:t xml:space="preserve"> | Prix: 8950 FCFA | </w:t>
      </w:r>
      <w:r>
        <w:rPr>
          <w:b/>
          <w:color w:val="008000"/>
        </w:rPr>
        <w:t>ACHAT FORT</w:t>
      </w:r>
      <w:r>
        <w:t xml:space="preserve"> | Confiance: Élevée | Risque: Faible</w:t>
      </w:r>
    </w:p>
    <w:p>
      <w:pPr>
        <w:pStyle w:val="ListNumber"/>
      </w:pPr>
      <w:r>
        <w:rPr>
          <w:b/>
        </w:rPr>
        <w:t>ECOC - ECOC - ECOBANK COTE D'IVOIRE</w:t>
      </w:r>
      <w:r>
        <w:t xml:space="preserve"> | Prix: 16600 FCFA | </w:t>
      </w:r>
      <w:r>
        <w:rPr>
          <w:b/>
          <w:color w:val="008000"/>
        </w:rPr>
        <w:t>ACHAT FORT</w:t>
      </w:r>
      <w:r>
        <w:t xml:space="preserve"> | Confiance: Élevée | Risque: Faible</w:t>
      </w:r>
    </w:p>
    <w:p>
      <w:pPr>
        <w:pStyle w:val="ListNumber"/>
      </w:pPr>
      <w:r>
        <w:rPr>
          <w:b/>
        </w:rPr>
        <w:t>ONTBF - ONTBF - ONATEL BURKINA FASO</w:t>
      </w:r>
      <w:r>
        <w:t xml:space="preserve"> | Prix: 2760 FCFA | </w:t>
      </w:r>
      <w:r>
        <w:rPr>
          <w:b/>
          <w:color w:val="008000"/>
        </w:rPr>
        <w:t>ACHAT FORT</w:t>
      </w:r>
      <w:r>
        <w:t xml:space="preserve"> | Confiance: Élevée | Risque: Faible</w:t>
      </w:r>
    </w:p>
    <w:p>
      <w:pPr>
        <w:pStyle w:val="ListNumber"/>
      </w:pPr>
      <w:r>
        <w:rPr>
          <w:b/>
        </w:rPr>
        <w:t>SDCC - SDCC - Société de Distribution d'Eau de Côte d'Ivoire</w:t>
      </w:r>
      <w:r>
        <w:t xml:space="preserve"> | Prix: 11910 FCFA | </w:t>
      </w:r>
      <w:r>
        <w:rPr>
          <w:b/>
          <w:color w:val="008000"/>
        </w:rPr>
        <w:t>ACHAT FORT</w:t>
      </w:r>
      <w:r>
        <w:t xml:space="preserve"> | Confiance: Élevée | Risque: Faible</w:t>
      </w:r>
    </w:p>
    <w:p>
      <w:pPr>
        <w:pStyle w:val="ListNumber"/>
      </w:pPr>
      <w:r>
        <w:rPr>
          <w:b/>
        </w:rPr>
        <w:t>ABJC - ABJC - SERVAIR ABIDJAN CI</w:t>
      </w:r>
      <w:r>
        <w:t xml:space="preserve"> | Prix: 3800 FCFA | </w:t>
      </w:r>
      <w:r>
        <w:rPr>
          <w:b/>
          <w:color w:val="008000"/>
        </w:rPr>
        <w:t>ACHAT</w:t>
      </w:r>
      <w:r>
        <w:t xml:space="preserve"> | Confiance: Élevée | Risque: Faible</w:t>
      </w:r>
    </w:p>
    <w:p>
      <w:pPr>
        <w:pStyle w:val="ListNumber"/>
      </w:pPr>
      <w:r>
        <w:rPr>
          <w:b/>
        </w:rPr>
        <w:t>BICB - BIIC BN - Banque internationale pour le commerce du benin</w:t>
      </w:r>
      <w:r>
        <w:t xml:space="preserve"> | Prix: 7920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30500 FCFA | </w:t>
      </w:r>
      <w:r>
        <w:rPr>
          <w:b/>
          <w:color w:val="008000"/>
        </w:rPr>
        <w:t>ACHAT</w:t>
      </w:r>
      <w:r>
        <w:t xml:space="preserve"> | Confiance: Élevée | Risque: Moyen</w:t>
      </w:r>
    </w:p>
    <w:p>
      <w:pPr>
        <w:pStyle w:val="ListNumber"/>
      </w:pPr>
      <w:r>
        <w:rPr>
          <w:b/>
        </w:rPr>
        <w:t>BNBC - BNBC - BERNABE CI</w:t>
      </w:r>
      <w:r>
        <w:t xml:space="preserve"> | Prix: 1890 FCFA | </w:t>
      </w:r>
      <w:r>
        <w:rPr>
          <w:b/>
          <w:color w:val="008000"/>
        </w:rPr>
        <w:t>ACHAT</w:t>
      </w:r>
      <w:r>
        <w:t xml:space="preserve"> | Confiance: Élevée | Risque: Faible</w:t>
      </w:r>
    </w:p>
    <w:p>
      <w:pPr>
        <w:pStyle w:val="ListNumber"/>
      </w:pPr>
      <w:r>
        <w:rPr>
          <w:b/>
        </w:rPr>
        <w:t>BOABF - BANK OF AFRICA BURKINA FASO</w:t>
      </w:r>
      <w:r>
        <w:t xml:space="preserve"> | Prix: 7950 FCFA | </w:t>
      </w:r>
      <w:r>
        <w:rPr>
          <w:b/>
          <w:color w:val="008000"/>
        </w:rPr>
        <w:t>ACHAT</w:t>
      </w:r>
      <w:r>
        <w:t xml:space="preserve"> | Confiance: Élevée | Risque: Moyen</w:t>
      </w:r>
    </w:p>
    <w:p>
      <w:pPr>
        <w:pStyle w:val="ListNumber"/>
      </w:pPr>
      <w:r>
        <w:rPr>
          <w:b/>
        </w:rPr>
        <w:t>BOAC - BANK OF AFRICA COTE D'IVOIRE</w:t>
      </w:r>
      <w:r>
        <w:t xml:space="preserve"> | Prix: 11470 FCFA | </w:t>
      </w:r>
      <w:r>
        <w:rPr>
          <w:b/>
          <w:color w:val="008000"/>
        </w:rPr>
        <w:t>ACHAT</w:t>
      </w:r>
      <w:r>
        <w:t xml:space="preserve"> | Confiance: Élevée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SIVC - SIVC - ERIUM CI (Ex AIR LIQUIDECI)</w:t>
      </w:r>
      <w:r>
        <w:t xml:space="preserve"> | Prix: 2090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60.82%</w:t>
      </w:r>
      <w:r>
        <w:t xml:space="preserve">  |  </w:t>
      </w:r>
      <w:r>
        <w:rPr>
          <w:b/>
        </w:rPr>
        <w:t xml:space="preserve">vs BRVM Composite: </w:t>
      </w:r>
      <w:r>
        <w:rPr>
          <w:b/>
          <w:color w:val="008000"/>
        </w:rPr>
        <w:t>+29.20%  🟢 Surperformance</w:t>
      </w:r>
      <w:r>
        <w:br/>
      </w:r>
      <w:r>
        <w:rPr>
          <w:b/>
        </w:rPr>
        <w:t xml:space="preserve">Sentiment général: </w:t>
      </w:r>
      <w:r>
        <w:t xml:space="preserve">ACHAT  |  </w:t>
      </w:r>
      <w:r>
        <w:rPr>
          <w:b/>
        </w:rPr>
        <w:t xml:space="preserve">Risque moyen: </w:t>
      </w:r>
      <w:r>
        <w:t xml:space="preserve">Moyen  |  </w:t>
      </w:r>
      <w:r>
        <w:rPr>
          <w:b/>
        </w:rPr>
        <w:t xml:space="preserve">Prix moyen: </w:t>
      </w:r>
      <w:r>
        <w:t>9030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32.89%</w:t>
      </w:r>
      <w:r>
        <w:t xml:space="preserve">  |  </w:t>
      </w:r>
      <w:r>
        <w:rPr>
          <w:b/>
        </w:rPr>
        <w:t xml:space="preserve">vs BRVM Composite: </w:t>
      </w:r>
      <w:r>
        <w:rPr>
          <w:b/>
          <w:color w:val="008000"/>
        </w:rPr>
        <w:t>+1.27%  🟢 Surperformance</w:t>
      </w:r>
      <w:r>
        <w:br/>
      </w:r>
      <w:r>
        <w:rPr>
          <w:b/>
        </w:rPr>
        <w:t xml:space="preserve">Sentiment général: </w:t>
      </w:r>
      <w:r>
        <w:t xml:space="preserve">ACHAT  |  </w:t>
      </w:r>
      <w:r>
        <w:rPr>
          <w:b/>
        </w:rPr>
        <w:t xml:space="preserve">Risque moyen: </w:t>
      </w:r>
      <w:r>
        <w:t xml:space="preserve">Moyen  |  </w:t>
      </w:r>
      <w:r>
        <w:rPr>
          <w:b/>
        </w:rPr>
        <w:t xml:space="preserve">Prix moyen: </w:t>
      </w:r>
      <w:r>
        <w:t>13040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28.61%</w:t>
      </w:r>
      <w:r>
        <w:t xml:space="preserve">  |  </w:t>
      </w:r>
      <w:r>
        <w:rPr>
          <w:b/>
        </w:rPr>
        <w:t xml:space="preserve">vs BRVM Composite: </w:t>
      </w:r>
      <w:r>
        <w:rPr>
          <w:b/>
          <w:color w:val="C00000"/>
        </w:rPr>
        <w:t>-3.01%  🔴 Sous-performance</w:t>
      </w:r>
      <w:r>
        <w:br/>
      </w:r>
      <w:r>
        <w:rPr>
          <w:b/>
        </w:rPr>
        <w:t xml:space="preserve">Sentiment général: </w:t>
      </w:r>
      <w:r>
        <w:t xml:space="preserve">ACHAT  |  </w:t>
      </w:r>
      <w:r>
        <w:rPr>
          <w:b/>
        </w:rPr>
        <w:t xml:space="preserve">Risque moyen: </w:t>
      </w:r>
      <w:r>
        <w:t xml:space="preserve">Moyen  |  </w:t>
      </w:r>
      <w:r>
        <w:rPr>
          <w:b/>
        </w:rPr>
        <w:t xml:space="preserve">Prix moyen: </w:t>
      </w:r>
      <w:r>
        <w:t>22033 FCFA</w:t>
        <w:br/>
      </w:r>
      <w:r>
        <w:rPr>
          <w:b/>
        </w:rPr>
        <w:br/>
        <w:t xml:space="preserve">Sociétés: </w:t>
      </w:r>
      <w:r>
        <w:t>ONTBF (ONTBF - ONATEL BURKINA FASO), ORAC (ORAC - ORANGE COTE D'IVOIRE), SNTS (SNTS - SONATEL SN)</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20.61%</w:t>
      </w:r>
      <w:r>
        <w:t xml:space="preserve">  |  </w:t>
      </w:r>
      <w:r>
        <w:rPr>
          <w:b/>
        </w:rPr>
        <w:t xml:space="preserve">vs BRVM Composite: </w:t>
      </w:r>
      <w:r>
        <w:rPr>
          <w:b/>
          <w:color w:val="C00000"/>
        </w:rPr>
        <w:t>-11.01%  🔴 Sous-performance</w:t>
      </w:r>
      <w:r>
        <w:br/>
      </w:r>
      <w:r>
        <w:rPr>
          <w:b/>
        </w:rPr>
        <w:t xml:space="preserve">Sentiment général: </w:t>
      </w:r>
      <w:r>
        <w:t xml:space="preserve">ACHAT  |  </w:t>
      </w:r>
      <w:r>
        <w:rPr>
          <w:b/>
        </w:rPr>
        <w:t xml:space="preserve">Risque moyen: </w:t>
      </w:r>
      <w:r>
        <w:t xml:space="preserve">Faible  |  </w:t>
      </w:r>
      <w:r>
        <w:rPr>
          <w:b/>
        </w:rPr>
        <w:t xml:space="preserve">Prix moyen: </w:t>
      </w:r>
      <w:r>
        <w:t>17727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19.86%</w:t>
      </w:r>
      <w:r>
        <w:t xml:space="preserve">  |  </w:t>
      </w:r>
      <w:r>
        <w:rPr>
          <w:b/>
        </w:rPr>
        <w:t xml:space="preserve">vs BRVM Composite: </w:t>
      </w:r>
      <w:r>
        <w:rPr>
          <w:b/>
          <w:color w:val="C00000"/>
        </w:rPr>
        <w:t>-11.75%  🔴 Sous-performance</w:t>
      </w:r>
      <w:r>
        <w:br/>
      </w:r>
      <w:r>
        <w:rPr>
          <w:b/>
        </w:rPr>
        <w:t xml:space="preserve">Sentiment général: </w:t>
      </w:r>
      <w:r>
        <w:t xml:space="preserve">ACHAT  |  </w:t>
      </w:r>
      <w:r>
        <w:rPr>
          <w:b/>
        </w:rPr>
        <w:t xml:space="preserve">Risque moyen: </w:t>
      </w:r>
      <w:r>
        <w:t xml:space="preserve">Moyen  |  </w:t>
      </w:r>
      <w:r>
        <w:rPr>
          <w:b/>
        </w:rPr>
        <w:t xml:space="preserve">Prix moyen: </w:t>
      </w:r>
      <w:r>
        <w:t>6008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11.53%</w:t>
      </w:r>
      <w:r>
        <w:t xml:space="preserve">  |  </w:t>
      </w:r>
      <w:r>
        <w:rPr>
          <w:b/>
        </w:rPr>
        <w:t xml:space="preserve">vs BRVM Composite: </w:t>
      </w:r>
      <w:r>
        <w:rPr>
          <w:b/>
          <w:color w:val="C00000"/>
        </w:rPr>
        <w:t>-20.09%  🔴 Sous-performance</w:t>
      </w:r>
      <w:r>
        <w:br/>
      </w:r>
      <w:r>
        <w:rPr>
          <w:b/>
        </w:rPr>
        <w:t xml:space="preserve">Sentiment général: </w:t>
      </w:r>
      <w:r>
        <w:t xml:space="preserve">ACHAT  |  </w:t>
      </w:r>
      <w:r>
        <w:rPr>
          <w:b/>
        </w:rPr>
        <w:t xml:space="preserve">Risque moyen: </w:t>
      </w:r>
      <w:r>
        <w:t xml:space="preserve">Faible  |  </w:t>
      </w:r>
      <w:r>
        <w:rPr>
          <w:b/>
        </w:rPr>
        <w:t xml:space="preserve">Prix moyen: </w:t>
      </w:r>
      <w:r>
        <w:t>2841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-5.06%</w:t>
      </w:r>
      <w:r>
        <w:t xml:space="preserve">  |  </w:t>
      </w:r>
      <w:r>
        <w:rPr>
          <w:b/>
        </w:rPr>
        <w:t xml:space="preserve">vs BRVM Composite: </w:t>
      </w:r>
      <w:r>
        <w:rPr>
          <w:b/>
          <w:color w:val="C00000"/>
        </w:rPr>
        <w:t>-36.68%  🔴 Sous-performance</w:t>
      </w:r>
      <w:r>
        <w:br/>
      </w:r>
      <w:r>
        <w:rPr>
          <w:b/>
        </w:rPr>
        <w:t xml:space="preserve">Sentiment général: </w:t>
      </w:r>
      <w:r>
        <w:t xml:space="preserve">ACHAT  |  </w:t>
      </w:r>
      <w:r>
        <w:rPr>
          <w:b/>
        </w:rPr>
        <w:t xml:space="preserve">Risque moyen: </w:t>
      </w:r>
      <w:r>
        <w:t xml:space="preserve">Faible  |  </w:t>
      </w:r>
      <w:r>
        <w:rPr>
          <w:b/>
        </w:rPr>
        <w:t xml:space="preserve">Prix moyen: </w:t>
      </w:r>
      <w:r>
        <w:t>2306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BICC, BNBC, BOAB, BOABF, BOAC, BOAN, BOAS, CABC, CFAC, CIEC, ECOC, NEIC, NTLC, ONTBF, ORGT, SAFC, SDSC, SHEC, SMBC, SPHC, TTLC, TTLS,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BOAM, CBIBF, ETIT, FTSC, NSBC, ORAC, PALC, PRSC, SDCC, SEMC, SIBC, SNTS</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LNBB, SCRC, SGBC, SICC, SLBC, SOGC, STAC, STBC, UNLC</w:t>
            </w:r>
          </w:p>
        </w:tc>
        <w:tc>
          <w:tcPr>
            <w:tcW w:type="dxa" w:w="2160"/>
            <w:shd w:fill="FFC7CE" w:val="clear"/>
          </w:tcPr>
          <w:p>
            <w:pPr>
              <w:spacing w:before="40" w:after="40"/>
            </w:pPr>
            <w:r/>
            <w:r>
              <w:rPr>
                <w:b w:val="0"/>
                <w:sz w:val="16"/>
              </w:rPr>
              <w:t>SIVC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1981832</w:t>
            </w:r>
          </w:p>
        </w:tc>
        <w:tc>
          <w:tcPr>
            <w:tcW w:type="dxa" w:w="1728"/>
          </w:tcPr>
          <w:p>
            <w:r>
              <w:t>134144391 FCFA</w:t>
            </w:r>
          </w:p>
        </w:tc>
        <w:tc>
          <w:tcPr>
            <w:tcW w:type="dxa" w:w="1728"/>
          </w:tcPr>
          <w:p>
            <w:r>
              <w:t>134.48%</w:t>
            </w:r>
          </w:p>
        </w:tc>
        <w:tc>
          <w:tcPr>
            <w:tcW w:type="dxa" w:w="1728"/>
          </w:tcPr>
          <w:p>
            <w:r>
              <w:t>ACHAT</w:t>
            </w:r>
          </w:p>
        </w:tc>
      </w:tr>
      <w:tr>
        <w:tc>
          <w:tcPr>
            <w:tcW w:type="dxa" w:w="1728"/>
          </w:tcPr>
          <w:p>
            <w:r>
              <w:t>SNTS (SNTS - SONATEL SN)</w:t>
            </w:r>
          </w:p>
        </w:tc>
        <w:tc>
          <w:tcPr>
            <w:tcW w:type="dxa" w:w="1728"/>
          </w:tcPr>
          <w:p>
            <w:r>
              <w:t>18793</w:t>
            </w:r>
          </w:p>
        </w:tc>
        <w:tc>
          <w:tcPr>
            <w:tcW w:type="dxa" w:w="1728"/>
          </w:tcPr>
          <w:p>
            <w:r>
              <w:t>746560017 FCFA</w:t>
            </w:r>
          </w:p>
        </w:tc>
        <w:tc>
          <w:tcPr>
            <w:tcW w:type="dxa" w:w="1728"/>
          </w:tcPr>
          <w:p>
            <w:r>
              <w:t>45.96%</w:t>
            </w:r>
          </w:p>
        </w:tc>
        <w:tc>
          <w:tcPr>
            <w:tcW w:type="dxa" w:w="1728"/>
          </w:tcPr>
          <w:p>
            <w:r>
              <w:t>ACHAT</w:t>
            </w:r>
          </w:p>
        </w:tc>
      </w:tr>
      <w:tr>
        <w:tc>
          <w:tcPr>
            <w:tcW w:type="dxa" w:w="1728"/>
          </w:tcPr>
          <w:p>
            <w:r>
              <w:t>SDSC (SDSC - AFRICA GLOBAL LOGISTICS CI)</w:t>
            </w:r>
          </w:p>
        </w:tc>
        <w:tc>
          <w:tcPr>
            <w:tcW w:type="dxa" w:w="1728"/>
          </w:tcPr>
          <w:p>
            <w:r>
              <w:t>17307</w:t>
            </w:r>
          </w:p>
        </w:tc>
        <w:tc>
          <w:tcPr>
            <w:tcW w:type="dxa" w:w="1728"/>
          </w:tcPr>
          <w:p>
            <w:r>
              <w:t>49669782 FCFA</w:t>
            </w:r>
          </w:p>
        </w:tc>
        <w:tc>
          <w:tcPr>
            <w:tcW w:type="dxa" w:w="1728"/>
          </w:tcPr>
          <w:p>
            <w:r>
              <w:t>57.75%</w:t>
            </w:r>
          </w:p>
        </w:tc>
        <w:tc>
          <w:tcPr>
            <w:tcW w:type="dxa" w:w="1728"/>
          </w:tcPr>
          <w:p>
            <w:r>
              <w:t>ACHAT</w:t>
            </w:r>
          </w:p>
        </w:tc>
      </w:tr>
      <w:tr>
        <w:tc>
          <w:tcPr>
            <w:tcW w:type="dxa" w:w="1728"/>
          </w:tcPr>
          <w:p>
            <w:r>
              <w:t>SIBC (SIBC - SOCIETE IVOIRIENNE DE BANQUE)</w:t>
            </w:r>
          </w:p>
        </w:tc>
        <w:tc>
          <w:tcPr>
            <w:tcW w:type="dxa" w:w="1728"/>
          </w:tcPr>
          <w:p>
            <w:r>
              <w:t>15538</w:t>
            </w:r>
          </w:p>
        </w:tc>
        <w:tc>
          <w:tcPr>
            <w:tcW w:type="dxa" w:w="1728"/>
          </w:tcPr>
          <w:p>
            <w:r>
              <w:t>141401532 FCFA</w:t>
            </w:r>
          </w:p>
        </w:tc>
        <w:tc>
          <w:tcPr>
            <w:tcW w:type="dxa" w:w="1728"/>
          </w:tcPr>
          <w:p>
            <w:r>
              <w:t>25.71%</w:t>
            </w:r>
          </w:p>
        </w:tc>
        <w:tc>
          <w:tcPr>
            <w:tcW w:type="dxa" w:w="1728"/>
          </w:tcPr>
          <w:p>
            <w:r>
              <w:t>ACHAT</w:t>
            </w:r>
          </w:p>
        </w:tc>
      </w:tr>
      <w:tr>
        <w:tc>
          <w:tcPr>
            <w:tcW w:type="dxa" w:w="1728"/>
          </w:tcPr>
          <w:p>
            <w:r>
              <w:t>BOAS (BANK OF AFRICA SENEGAL)</w:t>
            </w:r>
          </w:p>
        </w:tc>
        <w:tc>
          <w:tcPr>
            <w:tcW w:type="dxa" w:w="1728"/>
          </w:tcPr>
          <w:p>
            <w:r>
              <w:t>13569</w:t>
            </w:r>
          </w:p>
        </w:tc>
        <w:tc>
          <w:tcPr>
            <w:tcW w:type="dxa" w:w="1728"/>
          </w:tcPr>
          <w:p>
            <w:r>
              <w:t>111317244 FCFA</w:t>
            </w:r>
          </w:p>
        </w:tc>
        <w:tc>
          <w:tcPr>
            <w:tcW w:type="dxa" w:w="1728"/>
          </w:tcPr>
          <w:p>
            <w:r>
              <w:t>10.15%</w:t>
            </w:r>
          </w:p>
        </w:tc>
        <w:tc>
          <w:tcPr>
            <w:tcW w:type="dxa" w:w="1728"/>
          </w:tcPr>
          <w:p>
            <w:r>
              <w:t>ACHAT</w:t>
            </w:r>
          </w:p>
        </w:tc>
      </w:tr>
      <w:tr>
        <w:tc>
          <w:tcPr>
            <w:tcW w:type="dxa" w:w="1728"/>
          </w:tcPr>
          <w:p>
            <w:r>
              <w:t>SAFC (SAFCA CI)</w:t>
            </w:r>
          </w:p>
        </w:tc>
        <w:tc>
          <w:tcPr>
            <w:tcW w:type="dxa" w:w="1728"/>
          </w:tcPr>
          <w:p>
            <w:r>
              <w:t>12270</w:t>
            </w:r>
          </w:p>
        </w:tc>
        <w:tc>
          <w:tcPr>
            <w:tcW w:type="dxa" w:w="1728"/>
          </w:tcPr>
          <w:p>
            <w:r>
              <w:t>65470303 FCFA</w:t>
            </w:r>
          </w:p>
        </w:tc>
        <w:tc>
          <w:tcPr>
            <w:tcW w:type="dxa" w:w="1728"/>
          </w:tcPr>
          <w:p>
            <w:r>
              <w:t>10.80%</w:t>
            </w:r>
          </w:p>
        </w:tc>
        <w:tc>
          <w:tcPr>
            <w:tcW w:type="dxa" w:w="1728"/>
          </w:tcPr>
          <w:p>
            <w:r>
              <w:t>ACHAT</w:t>
            </w:r>
          </w:p>
        </w:tc>
      </w:tr>
      <w:tr>
        <w:tc>
          <w:tcPr>
            <w:tcW w:type="dxa" w:w="1728"/>
          </w:tcPr>
          <w:p>
            <w:r>
              <w:t>UNXC (UNXC - UNIWAX COTE D'IVOIRE)</w:t>
            </w:r>
          </w:p>
        </w:tc>
        <w:tc>
          <w:tcPr>
            <w:tcW w:type="dxa" w:w="1728"/>
          </w:tcPr>
          <w:p>
            <w:r>
              <w:t>12174</w:t>
            </w:r>
          </w:p>
        </w:tc>
        <w:tc>
          <w:tcPr>
            <w:tcW w:type="dxa" w:w="1728"/>
          </w:tcPr>
          <w:p>
            <w:r>
              <w:t>28710462 FCFA</w:t>
            </w:r>
          </w:p>
        </w:tc>
        <w:tc>
          <w:tcPr>
            <w:tcW w:type="dxa" w:w="1728"/>
          </w:tcPr>
          <w:p>
            <w:r>
              <w:t>15.79%</w:t>
            </w:r>
          </w:p>
        </w:tc>
        <w:tc>
          <w:tcPr>
            <w:tcW w:type="dxa" w:w="1728"/>
          </w:tcPr>
          <w:p>
            <w:r>
              <w:t>ACHAT</w:t>
            </w:r>
          </w:p>
        </w:tc>
      </w:tr>
      <w:tr>
        <w:tc>
          <w:tcPr>
            <w:tcW w:type="dxa" w:w="1728"/>
          </w:tcPr>
          <w:p>
            <w:r>
              <w:t>BICB (BIIC BN - Banque internationale pour le commerce du benin)</w:t>
            </w:r>
          </w:p>
        </w:tc>
        <w:tc>
          <w:tcPr>
            <w:tcW w:type="dxa" w:w="1728"/>
          </w:tcPr>
          <w:p>
            <w:r>
              <w:t>11993</w:t>
            </w:r>
          </w:p>
        </w:tc>
        <w:tc>
          <w:tcPr>
            <w:tcW w:type="dxa" w:w="1728"/>
          </w:tcPr>
          <w:p>
            <w:r>
              <w:t>115422699 FCFA</w:t>
            </w:r>
          </w:p>
        </w:tc>
        <w:tc>
          <w:tcPr>
            <w:tcW w:type="dxa" w:w="1728"/>
          </w:tcPr>
          <w:p>
            <w:r>
              <w:t>49.15%</w:t>
            </w:r>
          </w:p>
        </w:tc>
        <w:tc>
          <w:tcPr>
            <w:tcW w:type="dxa" w:w="1728"/>
          </w:tcPr>
          <w:p>
            <w:r>
              <w:t>ACHAT</w:t>
            </w:r>
          </w:p>
        </w:tc>
      </w:tr>
      <w:tr>
        <w:tc>
          <w:tcPr>
            <w:tcW w:type="dxa" w:w="1728"/>
          </w:tcPr>
          <w:p>
            <w:r>
              <w:t>BOAC (BANK OF AFRICA COTE D'IVOIRE)</w:t>
            </w:r>
          </w:p>
        </w:tc>
        <w:tc>
          <w:tcPr>
            <w:tcW w:type="dxa" w:w="1728"/>
          </w:tcPr>
          <w:p>
            <w:r>
              <w:t>11178</w:t>
            </w:r>
          </w:p>
        </w:tc>
        <w:tc>
          <w:tcPr>
            <w:tcW w:type="dxa" w:w="1728"/>
          </w:tcPr>
          <w:p>
            <w:r>
              <w:t>134235852 FCFA</w:t>
            </w:r>
          </w:p>
        </w:tc>
        <w:tc>
          <w:tcPr>
            <w:tcW w:type="dxa" w:w="1728"/>
          </w:tcPr>
          <w:p>
            <w:r>
              <w:t>24.81%</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3893</w:t>
            </w:r>
          </w:p>
        </w:tc>
        <w:tc>
          <w:tcPr>
            <w:tcW w:type="dxa" w:w="1728"/>
          </w:tcPr>
          <w:p>
            <w:r>
              <w:t>15196825 FCFA</w:t>
            </w:r>
          </w:p>
        </w:tc>
        <w:tc>
          <w:tcPr>
            <w:tcW w:type="dxa" w:w="1728"/>
          </w:tcPr>
          <w:p>
            <w:r>
              <w:t>18.20%</w:t>
            </w:r>
          </w:p>
        </w:tc>
        <w:tc>
          <w:tcPr>
            <w:tcW w:type="dxa" w:w="1728"/>
          </w:tcPr>
          <w:p>
            <w:r>
              <w:t>ACHAT</w:t>
            </w:r>
          </w:p>
        </w:tc>
      </w:tr>
      <w:tr>
        <w:tc>
          <w:tcPr>
            <w:tcW w:type="dxa" w:w="1728"/>
          </w:tcPr>
          <w:p>
            <w:r>
              <w:t>STBC (STBC - SITAB COTE D'IVOIRE)</w:t>
            </w:r>
          </w:p>
        </w:tc>
        <w:tc>
          <w:tcPr>
            <w:tcW w:type="dxa" w:w="1728"/>
          </w:tcPr>
          <w:p>
            <w:r>
              <w:t>3722</w:t>
            </w:r>
          </w:p>
        </w:tc>
        <w:tc>
          <w:tcPr>
            <w:tcW w:type="dxa" w:w="1728"/>
          </w:tcPr>
          <w:p>
            <w:r>
              <w:t>81126159 FCFA</w:t>
            </w:r>
          </w:p>
        </w:tc>
        <w:tc>
          <w:tcPr>
            <w:tcW w:type="dxa" w:w="1728"/>
          </w:tcPr>
          <w:p>
            <w:r>
              <w:t>9.11%</w:t>
            </w:r>
          </w:p>
        </w:tc>
        <w:tc>
          <w:tcPr>
            <w:tcW w:type="dxa" w:w="1728"/>
          </w:tcPr>
          <w:p>
            <w:r>
              <w:t>ACHAT</w:t>
            </w:r>
          </w:p>
        </w:tc>
      </w:tr>
      <w:tr>
        <w:tc>
          <w:tcPr>
            <w:tcW w:type="dxa" w:w="1728"/>
          </w:tcPr>
          <w:p>
            <w:r>
              <w:t>SOGC (SOGC - Société des caoutchoucs de Grand-Béréby)</w:t>
            </w:r>
          </w:p>
        </w:tc>
        <w:tc>
          <w:tcPr>
            <w:tcW w:type="dxa" w:w="1728"/>
          </w:tcPr>
          <w:p>
            <w:r>
              <w:t>3557</w:t>
            </w:r>
          </w:p>
        </w:tc>
        <w:tc>
          <w:tcPr>
            <w:tcW w:type="dxa" w:w="1728"/>
          </w:tcPr>
          <w:p>
            <w:r>
              <w:t>29256496 FCFA</w:t>
            </w:r>
          </w:p>
        </w:tc>
        <w:tc>
          <w:tcPr>
            <w:tcW w:type="dxa" w:w="1728"/>
          </w:tcPr>
          <w:p>
            <w:r>
              <w:t>9.08%</w:t>
            </w:r>
          </w:p>
        </w:tc>
        <w:tc>
          <w:tcPr>
            <w:tcW w:type="dxa" w:w="1728"/>
          </w:tcPr>
          <w:p>
            <w:r>
              <w:t>ACHAT</w:t>
            </w:r>
          </w:p>
        </w:tc>
      </w:tr>
      <w:tr>
        <w:tc>
          <w:tcPr>
            <w:tcW w:type="dxa" w:w="1728"/>
          </w:tcPr>
          <w:p>
            <w:r>
              <w:t>CFAC (CFAC - CFAO MOTORS CI)</w:t>
            </w:r>
          </w:p>
        </w:tc>
        <w:tc>
          <w:tcPr>
            <w:tcW w:type="dxa" w:w="1728"/>
          </w:tcPr>
          <w:p>
            <w:r>
              <w:t>3440</w:t>
            </w:r>
          </w:p>
        </w:tc>
        <w:tc>
          <w:tcPr>
            <w:tcW w:type="dxa" w:w="1728"/>
          </w:tcPr>
          <w:p>
            <w:r>
              <w:t>5839645 FCFA</w:t>
            </w:r>
          </w:p>
        </w:tc>
        <w:tc>
          <w:tcPr>
            <w:tcW w:type="dxa" w:w="1728"/>
          </w:tcPr>
          <w:p>
            <w:r>
              <w:t>7.69%</w:t>
            </w:r>
          </w:p>
        </w:tc>
        <w:tc>
          <w:tcPr>
            <w:tcW w:type="dxa" w:w="1728"/>
          </w:tcPr>
          <w:p>
            <w:r>
              <w:t>ACHAT</w:t>
            </w:r>
          </w:p>
        </w:tc>
      </w:tr>
      <w:tr>
        <w:tc>
          <w:tcPr>
            <w:tcW w:type="dxa" w:w="1728"/>
          </w:tcPr>
          <w:p>
            <w:r>
              <w:t>PALC (PALC - PALM COTE D'IVOIRE)</w:t>
            </w:r>
          </w:p>
        </w:tc>
        <w:tc>
          <w:tcPr>
            <w:tcW w:type="dxa" w:w="1728"/>
          </w:tcPr>
          <w:p>
            <w:r>
              <w:t>3422</w:t>
            </w:r>
          </w:p>
        </w:tc>
        <w:tc>
          <w:tcPr>
            <w:tcW w:type="dxa" w:w="1728"/>
          </w:tcPr>
          <w:p>
            <w:r>
              <w:t>29417028 FCFA</w:t>
            </w:r>
          </w:p>
        </w:tc>
        <w:tc>
          <w:tcPr>
            <w:tcW w:type="dxa" w:w="1728"/>
          </w:tcPr>
          <w:p>
            <w:r>
              <w:t>10.19%</w:t>
            </w:r>
          </w:p>
        </w:tc>
        <w:tc>
          <w:tcPr>
            <w:tcW w:type="dxa" w:w="1728"/>
          </w:tcPr>
          <w:p>
            <w:r>
              <w:t>ACHAT</w:t>
            </w:r>
          </w:p>
        </w:tc>
      </w:tr>
      <w:tr>
        <w:tc>
          <w:tcPr>
            <w:tcW w:type="dxa" w:w="1728"/>
          </w:tcPr>
          <w:p>
            <w:r>
              <w:t>FTSC (FTSC - FILTISAC COTE D'IVOIRE)</w:t>
            </w:r>
          </w:p>
        </w:tc>
        <w:tc>
          <w:tcPr>
            <w:tcW w:type="dxa" w:w="1728"/>
          </w:tcPr>
          <w:p>
            <w:r>
              <w:t>3243</w:t>
            </w:r>
          </w:p>
        </w:tc>
        <w:tc>
          <w:tcPr>
            <w:tcW w:type="dxa" w:w="1728"/>
          </w:tcPr>
          <w:p>
            <w:r>
              <w:t>6817702 FCFA</w:t>
            </w:r>
          </w:p>
        </w:tc>
        <w:tc>
          <w:tcPr>
            <w:tcW w:type="dxa" w:w="1728"/>
          </w:tcPr>
          <w:p>
            <w:r>
              <w:t>-8.88%</w:t>
            </w:r>
          </w:p>
        </w:tc>
        <w:tc>
          <w:tcPr>
            <w:tcW w:type="dxa" w:w="1728"/>
          </w:tcPr>
          <w:p>
            <w:r>
              <w:t>ACHAT</w:t>
            </w:r>
          </w:p>
        </w:tc>
      </w:tr>
      <w:tr>
        <w:tc>
          <w:tcPr>
            <w:tcW w:type="dxa" w:w="1728"/>
          </w:tcPr>
          <w:p>
            <w:r>
              <w:t>ECOC (ECOC - ECOBANK COTE D'IVOIRE)</w:t>
            </w:r>
          </w:p>
        </w:tc>
        <w:tc>
          <w:tcPr>
            <w:tcW w:type="dxa" w:w="1728"/>
          </w:tcPr>
          <w:p>
            <w:r>
              <w:t>3200</w:t>
            </w:r>
          </w:p>
        </w:tc>
        <w:tc>
          <w:tcPr>
            <w:tcW w:type="dxa" w:w="1728"/>
          </w:tcPr>
          <w:p>
            <w:r>
              <w:t>54344236 FCFA</w:t>
            </w:r>
          </w:p>
        </w:tc>
        <w:tc>
          <w:tcPr>
            <w:tcW w:type="dxa" w:w="1728"/>
          </w:tcPr>
          <w:p>
            <w:r>
              <w:t>1.84%</w:t>
            </w:r>
          </w:p>
        </w:tc>
        <w:tc>
          <w:tcPr>
            <w:tcW w:type="dxa" w:w="1728"/>
          </w:tcPr>
          <w:p>
            <w:r>
              <w:t>ACHAT FORT</w:t>
            </w:r>
          </w:p>
        </w:tc>
      </w:tr>
      <w:tr>
        <w:tc>
          <w:tcPr>
            <w:tcW w:type="dxa" w:w="1728"/>
          </w:tcPr>
          <w:p>
            <w:r>
              <w:t>NEIC (NEIC - NEI-CEDA CI)</w:t>
            </w:r>
          </w:p>
        </w:tc>
        <w:tc>
          <w:tcPr>
            <w:tcW w:type="dxa" w:w="1728"/>
          </w:tcPr>
          <w:p>
            <w:r>
              <w:t>3014</w:t>
            </w:r>
          </w:p>
        </w:tc>
        <w:tc>
          <w:tcPr>
            <w:tcW w:type="dxa" w:w="1728"/>
          </w:tcPr>
          <w:p>
            <w:r>
              <w:t>8139326 FCFA</w:t>
            </w:r>
          </w:p>
        </w:tc>
        <w:tc>
          <w:tcPr>
            <w:tcW w:type="dxa" w:w="1728"/>
          </w:tcPr>
          <w:p>
            <w:r>
              <w:t>26.32%</w:t>
            </w:r>
          </w:p>
        </w:tc>
        <w:tc>
          <w:tcPr>
            <w:tcW w:type="dxa" w:w="1728"/>
          </w:tcPr>
          <w:p>
            <w:r>
              <w:t>ACHAT</w:t>
            </w:r>
          </w:p>
        </w:tc>
      </w:tr>
      <w:tr>
        <w:tc>
          <w:tcPr>
            <w:tcW w:type="dxa" w:w="1728"/>
          </w:tcPr>
          <w:p>
            <w:r>
              <w:t>CABC (CABC - SICABLE COTE D'IVOIRE)</w:t>
            </w:r>
          </w:p>
        </w:tc>
        <w:tc>
          <w:tcPr>
            <w:tcW w:type="dxa" w:w="1728"/>
          </w:tcPr>
          <w:p>
            <w:r>
              <w:t>2268</w:t>
            </w:r>
          </w:p>
        </w:tc>
        <w:tc>
          <w:tcPr>
            <w:tcW w:type="dxa" w:w="1728"/>
          </w:tcPr>
          <w:p>
            <w:r>
              <w:t>7819131 FCFA</w:t>
            </w:r>
          </w:p>
        </w:tc>
        <w:tc>
          <w:tcPr>
            <w:tcW w:type="dxa" w:w="1728"/>
          </w:tcPr>
          <w:p>
            <w:r>
              <w:t>-11.11%</w:t>
            </w:r>
          </w:p>
        </w:tc>
        <w:tc>
          <w:tcPr>
            <w:tcW w:type="dxa" w:w="1728"/>
          </w:tcPr>
          <w:p>
            <w:r>
              <w:t>ACHAT</w:t>
            </w:r>
          </w:p>
        </w:tc>
      </w:tr>
      <w:tr>
        <w:tc>
          <w:tcPr>
            <w:tcW w:type="dxa" w:w="1728"/>
          </w:tcPr>
          <w:p>
            <w:r>
              <w:t>PRSC (PRSC - TRACTAFRIC MOTORS CI)</w:t>
            </w:r>
          </w:p>
        </w:tc>
        <w:tc>
          <w:tcPr>
            <w:tcW w:type="dxa" w:w="1728"/>
          </w:tcPr>
          <w:p>
            <w:r>
              <w:t>2182</w:t>
            </w:r>
          </w:p>
        </w:tc>
        <w:tc>
          <w:tcPr>
            <w:tcW w:type="dxa" w:w="1728"/>
          </w:tcPr>
          <w:p>
            <w:r>
              <w:t>9631906 FCFA</w:t>
            </w:r>
          </w:p>
        </w:tc>
        <w:tc>
          <w:tcPr>
            <w:tcW w:type="dxa" w:w="1728"/>
          </w:tcPr>
          <w:p>
            <w:r>
              <w:t>-11.30%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2.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3.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4.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5. SCRC - SCRC - SUCRIVOIRE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6. SGBC - SGBC - SOCIETE GENERALE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SLBC - SLBC - SOLIBRA COTE D'IVOIRE</w:t>
      </w:r>
    </w:p>
    <w:p>
      <w:r>
        <w:rPr>
          <w:b/>
        </w:rPr>
        <w:t xml:space="preserve">Score de divergence: </w:t>
      </w:r>
      <w:r>
        <w:t>4/8</w:t>
        <w:br/>
      </w:r>
      <w:r>
        <w:rPr>
          <w:b/>
        </w:rPr>
        <w:t xml:space="preserve">Description: </w:t>
      </w:r>
      <w:r>
        <w:t>Signaux d'achat: MACD | Signaux de vente: MM, RSI | Recommandation finale: ACHAT</w:t>
        <w:br/>
      </w:r>
    </w:p>
    <w:p/>
    <w:p>
      <w:pPr>
        <w:pStyle w:val="Heading3"/>
      </w:pPr>
      <w:r>
        <w:t>9. STAC - STAC - SETAO COTE D'IVOIRE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10. BICB - BIIC BN - Banque internationale pour le commerce du benin</w:t>
      </w:r>
    </w:p>
    <w:p>
      <w:r>
        <w:rPr>
          <w:b/>
        </w:rPr>
        <w:t xml:space="preserve">Score de divergence: </w:t>
      </w:r>
      <w:r>
        <w:t>3/8</w:t>
        <w:br/>
      </w:r>
      <w:r>
        <w:rPr>
          <w:b/>
        </w:rPr>
        <w:t xml:space="preserve">Description: </w:t>
      </w:r>
      <w:r>
        <w:t>Signaux d'achat: MM, Bollinger,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25</w:t>
            </w:r>
          </w:p>
        </w:tc>
        <w:tc>
          <w:tcPr>
            <w:tcW w:type="dxa" w:w="2160"/>
          </w:tcPr>
          <w:p>
            <w:r>
              <w:t>0</w:t>
            </w:r>
          </w:p>
        </w:tc>
      </w:tr>
      <w:tr>
        <w:tc>
          <w:tcPr>
            <w:tcW w:type="dxa" w:w="2160"/>
          </w:tcPr>
          <w:p>
            <w:r>
              <w:t>Risque Moyen</w:t>
            </w:r>
          </w:p>
        </w:tc>
        <w:tc>
          <w:tcPr>
            <w:tcW w:type="dxa" w:w="2160"/>
          </w:tcPr>
          <w:p>
            <w:r>
              <w:t>0</w:t>
            </w:r>
          </w:p>
        </w:tc>
        <w:tc>
          <w:tcPr>
            <w:tcW w:type="dxa" w:w="2160"/>
          </w:tcPr>
          <w:p>
            <w:r>
              <w:t>22</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s'envolent sur les marchés internationaux, marquant un retournement de tendance haussier après une période de baisse. Le négociant suisse Suissenégoce alerte sur une incertitude extrême des prix des carburants, tandis que des solutions sont recherchées pour freiner la hausse des matières premières. Bank of America anticipe une nouvelle hausse des taux de la BCE en décembre, les prix de l'énergie alimentant l'inflation.</w:t>
      </w:r>
    </w:p>
    <w:p>
      <w:pPr>
        <w:pStyle w:val="Heading3"/>
      </w:pPr>
      <w:r>
        <w:rPr>
          <w:color w:val="500050"/>
        </w:rPr>
        <w:t>⚡ Impact estimé sur la BRVM</w:t>
      </w:r>
    </w:p>
    <w:p>
      <w:pPr>
        <w:spacing w:before="20" w:after="40"/>
        <w:ind w:left="280"/>
      </w:pPr>
      <w:r>
        <w:rPr>
          <w:i/>
          <w:sz w:val="18"/>
        </w:rPr>
        <w:t>La hausse du pétrole pèse sur les coûts énergétiques des sociétés cotées, notamment SMBC (ENERGIE) et les industriels CABC/SDSC. Le resserrement monétaire BCE se transmet au FCFA (arrimage euro), renchérissant le crédit pour les banques BOAB, BICB, ORGT et pesant sur la consommation des ménages (UNXC, NEIC).</w:t>
      </w:r>
    </w:p>
    <w:p>
      <w:pPr>
        <w:pStyle w:val="Heading2"/>
      </w:pPr>
      <w:r>
        <w:rPr>
          <w:color w:val="006E32"/>
        </w:rPr>
        <w:t>🌍 Plan Africain</w:t>
      </w:r>
    </w:p>
    <w:p>
      <w:pPr>
        <w:spacing w:before="20" w:after="40"/>
        <w:ind w:left="0"/>
      </w:pPr>
      <w:r>
        <w:rPr>
          <w:sz w:val="18"/>
        </w:rPr>
        <w:t>Le Sénégal et le FMI concluent un accord sur un programme d'aide d'environ 1,9 milliard d'euros, renforçant la stabilité macroéconomique régionale. Goldman Sachs prévoit un retour de l'Afrique du Sud en "Investment grade" dès 2028, signal positif pour l'attractivité du continent. Ces développements soutiennent la confiance des investisseurs envers les marchés africains.</w:t>
      </w:r>
    </w:p>
    <w:p>
      <w:pPr>
        <w:pStyle w:val="Heading3"/>
      </w:pPr>
      <w:r>
        <w:rPr>
          <w:color w:val="500050"/>
        </w:rPr>
        <w:t>⚡ Impact estimé sur la BRVM</w:t>
      </w:r>
    </w:p>
    <w:p>
      <w:pPr>
        <w:spacing w:before="20" w:after="40"/>
        <w:ind w:left="280"/>
      </w:pPr>
      <w:r>
        <w:rPr>
          <w:i/>
          <w:sz w:val="18"/>
        </w:rPr>
        <w:t>Le soutien FMI au Sénégal rassure sur la solvabilité souveraine de la zone, bénéficiant indirectement aux banques exposées (BOAB, BOAS, ECOC). L'amélioration de la perception africaine peut attirer des flux vers la BRVM, profitant aux valeurs à forte liquidité comme ONTBF et SGBC.</w:t>
      </w:r>
    </w:p>
    <w:p>
      <w:pPr>
        <w:pStyle w:val="Heading2"/>
      </w:pPr>
      <w:r>
        <w:rPr>
          <w:color w:val="145A28"/>
        </w:rPr>
        <w:t>🌍 Plan Afrique de l'Ouest</w:t>
      </w:r>
    </w:p>
    <w:p>
      <w:pPr>
        <w:spacing w:before="20" w:after="40"/>
        <w:ind w:left="0"/>
      </w:pPr>
      <w:r>
        <w:rPr>
          <w:sz w:val="18"/>
        </w:rPr>
        <w:t>Le Ghana appelle à l'élection des membres du Parlement de la CEDEAO, renforçant l'intégration institutionnelle. La CEDEAO réunit experts et ministres à Abidjan sur la gestion de l'eau, illustrant la coopération régionale. Le débat sur l'avenir de la monnaie commune ECO se poursuit, avec des défis de convergence économique.</w:t>
      </w:r>
    </w:p>
    <w:p>
      <w:pPr>
        <w:pStyle w:val="Heading3"/>
      </w:pPr>
      <w:r>
        <w:rPr>
          <w:color w:val="500050"/>
        </w:rPr>
        <w:t>⚡ Impact estimé sur la BRVM</w:t>
      </w:r>
    </w:p>
    <w:p>
      <w:pPr>
        <w:spacing w:before="20" w:after="40"/>
        <w:ind w:left="280"/>
      </w:pPr>
      <w:r>
        <w:rPr>
          <w:i/>
          <w:sz w:val="18"/>
        </w:rPr>
        <w:t>Ces avancées institutionnelles renforcent l'intégration régionale, favorable aux sociétés panafricaines cotées comme ONTBF (télécoms) et aux banques à réseau régional (BOAB, BOAS). L'incertitude sur l'ECO reste neutre à court terme pour la BRVM.</w:t>
      </w:r>
    </w:p>
    <w:p>
      <w:pPr>
        <w:pStyle w:val="Heading2"/>
      </w:pPr>
      <w:r>
        <w:rPr>
          <w:color w:val="8C4600"/>
        </w:rPr>
        <w:t>🏦 Plan UEMOA / Zone Franc</w:t>
      </w:r>
    </w:p>
    <w:p>
      <w:pPr>
        <w:spacing w:before="20" w:after="40"/>
        <w:ind w:left="0"/>
      </w:pPr>
      <w:r>
        <w:rPr>
          <w:sz w:val="18"/>
        </w:rPr>
        <w:t>Données insuffisantes concernant les décisions BCEAO, l'inflation zone ou la liquidité bancaire. Les actualités mentionnent des consultations politiques Azerbaïdjan-Mali et la position sénégalaise sur le Sahara, sans impact économique direct. Les matières premières clés (cacao, caoutchouc) ne sont pas abordées dans les sources.</w:t>
      </w:r>
    </w:p>
    <w:p>
      <w:pPr>
        <w:pStyle w:val="Heading3"/>
      </w:pPr>
      <w:r>
        <w:rPr>
          <w:color w:val="500050"/>
        </w:rPr>
        <w:t>⚡ Impact estimé sur la BRVM</w:t>
      </w:r>
    </w:p>
    <w:p>
      <w:pPr>
        <w:spacing w:before="20" w:after="40"/>
        <w:ind w:left="280"/>
      </w:pPr>
      <w:r>
        <w:rPr>
          <w:i/>
          <w:sz w:val="18"/>
        </w:rPr>
        <w:t>Sans données BCEAO, l'impact reste limité aux effets de transmission de la BCE. Les producteurs agricoles cotés (SPHC, NTLC, PALC) restent exposés aux cours mondiaux des matières premières, en hausse selon l'indice MXV.</w:t>
      </w:r>
    </w:p>
    <w:p>
      <w:pPr>
        <w:pStyle w:val="Heading2"/>
      </w:pPr>
      <w:r>
        <w:rPr>
          <w:color w:val="003366"/>
        </w:rPr>
        <w:t>📈 Plan BRVM</w:t>
      </w:r>
    </w:p>
    <w:p>
      <w:pPr>
        <w:spacing w:before="20" w:after="40"/>
        <w:ind w:left="0"/>
      </w:pPr>
      <w:r>
        <w:rPr>
          <w:sz w:val="18"/>
        </w:rPr>
        <w:t>Les résultats des sociétés cotées ivoiriennes sont jugés encourageants selon La Tribune. L'indice MXV des matières premières dépasse 3 000 points, signal de dynamisme des commodités. Aucune IPO ni mouvement de dividende spécifique n'est rapporté dans les sources.</w:t>
      </w:r>
    </w:p>
    <w:p>
      <w:pPr>
        <w:pStyle w:val="Heading3"/>
      </w:pPr>
      <w:r>
        <w:rPr>
          <w:color w:val="500050"/>
        </w:rPr>
        <w:t>⚡ Impact estimé sur la BRVM</w:t>
      </w:r>
    </w:p>
    <w:p>
      <w:pPr>
        <w:spacing w:before="20" w:after="40"/>
        <w:ind w:left="280"/>
      </w:pPr>
      <w:r>
        <w:rPr>
          <w:i/>
          <w:sz w:val="18"/>
        </w:rPr>
        <w:t>Les résultats encourageants soutiennent les valorisations des valeurs ivoiriennes (SGBC, BICB, ONTBF). La hausse des matières premières bénéficie à PALC (caoutchouc) et SPHC (agro). Recommandation : conserver les bancaires à dividendes réguliers (SGBC, BICB) et surveiller les industriels exposés aux coûts énergétiques (CABC, SDSC).</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L'incertitude sur les prix des carburants persiste selon Suissenégoce, reflétant les tensions géopolitiques sur l'énergie. La hausse du pétrole traduit des risques d'approvisionnement. Aucun conflit majeur ou élection internationale n'est explicitement rapporté.</w:t>
      </w:r>
    </w:p>
    <w:p>
      <w:pPr>
        <w:pStyle w:val="Heading3"/>
      </w:pPr>
      <w:r>
        <w:rPr>
          <w:color w:val="500050"/>
        </w:rPr>
        <w:t>⚡ Impact estimé sur la BRVM</w:t>
      </w:r>
    </w:p>
    <w:p>
      <w:pPr>
        <w:spacing w:before="20" w:after="40"/>
        <w:ind w:left="280"/>
      </w:pPr>
      <w:r>
        <w:rPr>
          <w:i/>
          <w:sz w:val="18"/>
        </w:rPr>
        <w:t>L'instabilité énergétique mondiale accroît l'aversion au risque des investisseurs, pouvant réduire les flux vers les marchés frontières comme la BRVM. Les valeurs énergétiques (SMBC) et industrielles (CABC) sont les plus exposées à cette volatilité.</w:t>
      </w:r>
    </w:p>
    <w:p>
      <w:pPr>
        <w:pStyle w:val="Heading2"/>
      </w:pPr>
      <w:r>
        <w:rPr>
          <w:color w:val="006E32"/>
        </w:rPr>
        <w:t>🌍 Plan Africain</w:t>
      </w:r>
    </w:p>
    <w:p>
      <w:pPr>
        <w:spacing w:before="20" w:after="40"/>
        <w:ind w:left="0"/>
      </w:pPr>
      <w:r>
        <w:rPr>
          <w:sz w:val="18"/>
        </w:rPr>
        <w:t>Le mémorandum Azerbaïdjan-Mali renforce les consultations politiques, diversifiant les partenariats africains. Les inculpations au Sénégal liées aux violences 2021-2024 marquent une avancée judiciaire, sans déstabilisation apparente. La stabilité politique reste globalement préservée.</w:t>
      </w:r>
    </w:p>
    <w:p>
      <w:pPr>
        <w:pStyle w:val="Heading3"/>
      </w:pPr>
      <w:r>
        <w:rPr>
          <w:color w:val="500050"/>
        </w:rPr>
        <w:t>⚡ Impact estimé sur la BRVM</w:t>
      </w:r>
    </w:p>
    <w:p>
      <w:pPr>
        <w:spacing w:before="20" w:after="40"/>
        <w:ind w:left="280"/>
      </w:pPr>
      <w:r>
        <w:rPr>
          <w:i/>
          <w:sz w:val="18"/>
        </w:rPr>
        <w:t>La stabilité politique africaine soutient la confiance des investisseurs. Les banques sénégalaises cotées (BOAB, BOAS) bénéficient d'un environnement judiciaire clarifié, réduisant le risque pays perçu.</w:t>
      </w:r>
    </w:p>
    <w:p>
      <w:pPr>
        <w:pStyle w:val="Heading2"/>
      </w:pPr>
      <w:r>
        <w:rPr>
          <w:color w:val="145A28"/>
        </w:rPr>
        <w:t>🌍 Plan Afrique de l'Ouest</w:t>
      </w:r>
    </w:p>
    <w:p>
      <w:pPr>
        <w:spacing w:before="20" w:after="40"/>
        <w:ind w:left="0"/>
      </w:pPr>
      <w:r>
        <w:rPr>
          <w:sz w:val="18"/>
        </w:rPr>
        <w:t>Le Ghana promeut l'élection parlementaire CEDEAO, renforçant la gouvernance régionale. La coopération sur l'eau à Abidjan illustre la stabilité institutionnelle. Le débat sur l'ECO souligne les divergences de convergence économique entre États membres.</w:t>
      </w:r>
    </w:p>
    <w:p>
      <w:pPr>
        <w:pStyle w:val="Heading3"/>
      </w:pPr>
      <w:r>
        <w:rPr>
          <w:color w:val="500050"/>
        </w:rPr>
        <w:t>⚡ Impact estimé sur la BRVM</w:t>
      </w:r>
    </w:p>
    <w:p>
      <w:pPr>
        <w:spacing w:before="20" w:after="40"/>
        <w:ind w:left="280"/>
      </w:pPr>
      <w:r>
        <w:rPr>
          <w:i/>
          <w:sz w:val="18"/>
        </w:rPr>
        <w:t>La stabilité CEDEAO est favorable aux sociétés opérant régionalement (ONTBF, BOAB). Les divergences sur l'ECO n'affectent pas directement les valeurs cotées à court terme.</w:t>
      </w:r>
    </w:p>
    <w:p>
      <w:pPr>
        <w:pStyle w:val="Heading2"/>
      </w:pPr>
      <w:r>
        <w:rPr>
          <w:color w:val="8C4600"/>
        </w:rPr>
        <w:t>🏦 Plan UEMOA / Zone Franc</w:t>
      </w:r>
    </w:p>
    <w:p>
      <w:pPr>
        <w:spacing w:before="20" w:after="40"/>
        <w:ind w:left="0"/>
      </w:pPr>
      <w:r>
        <w:rPr>
          <w:sz w:val="18"/>
        </w:rPr>
        <w:t>Le Sénégal réaffirme sa position sur le Sahara marocain, consolidant ses relations diplomatiques. Les inculpations liées aux violences politiques apaisent le climat judiciaire. Aucune réforme institutionnelle majeure n'est rapportée.</w:t>
      </w:r>
    </w:p>
    <w:p>
      <w:pPr>
        <w:pStyle w:val="Heading3"/>
      </w:pPr>
      <w:r>
        <w:rPr>
          <w:color w:val="500050"/>
        </w:rPr>
        <w:t>⚡ Impact estimé sur la BRVM</w:t>
      </w:r>
    </w:p>
    <w:p>
      <w:pPr>
        <w:spacing w:before="20" w:after="40"/>
        <w:ind w:left="280"/>
      </w:pPr>
      <w:r>
        <w:rPr>
          <w:i/>
          <w:sz w:val="18"/>
        </w:rPr>
        <w:t>Le climat politique apaisé au Sénégal réduit le risque réglementaire pour les banques cotées (BOAB, BOAS, ECOC). La stabilité diplomatique soutient l'attractivité de la zone UEMOA.</w:t>
      </w:r>
    </w:p>
    <w:p>
      <w:pPr>
        <w:pStyle w:val="Heading2"/>
      </w:pPr>
      <w:r>
        <w:rPr>
          <w:color w:val="003366"/>
        </w:rPr>
        <w:t>📈 Plan BRVM</w:t>
      </w:r>
    </w:p>
    <w:p>
      <w:pPr>
        <w:spacing w:before="20" w:after="40"/>
        <w:ind w:left="0"/>
      </w:pPr>
      <w:r>
        <w:rPr>
          <w:sz w:val="18"/>
        </w:rPr>
        <w:t>Aucune actualité réglementaire CREPMF, nouvelle cotation ou gouvernance n'est rapportée dans les sources fournies.</w:t>
      </w:r>
    </w:p>
    <w:p>
      <w:pPr>
        <w:pStyle w:val="Heading3"/>
      </w:pPr>
      <w:r>
        <w:rPr>
          <w:color w:val="500050"/>
        </w:rPr>
        <w:t>⚡ Impact estimé sur la BRVM</w:t>
      </w:r>
    </w:p>
    <w:p>
      <w:pPr>
        <w:spacing w:before="20" w:after="40"/>
        <w:ind w:left="280"/>
      </w:pPr>
      <w:r>
        <w:rPr>
          <w:i/>
          <w:sz w:val="18"/>
        </w:rPr>
        <w:t>Données insuffisantes pour évaluer l'impact réglementaire sur le marché.</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L'indice MXV des matières premières dépasse 3 000 points, signal de dynamisme des commodités. Bank of America anticipe une hausse BCE en décembre, alimentée par l'inflation énergétique. Les prix du pétrole s'envolent, marquant un retournement haussier.</w:t>
      </w:r>
    </w:p>
    <w:p>
      <w:pPr>
        <w:pStyle w:val="Heading3"/>
      </w:pPr>
      <w:r>
        <w:rPr>
          <w:color w:val="500050"/>
        </w:rPr>
        <w:t>⚡ Impact estimé sur la BRVM</w:t>
      </w:r>
    </w:p>
    <w:p>
      <w:pPr>
        <w:spacing w:before="20" w:after="40"/>
        <w:ind w:left="280"/>
      </w:pPr>
      <w:r>
        <w:rPr>
          <w:i/>
          <w:sz w:val="18"/>
        </w:rPr>
        <w:t>La hausse des matières premières bénéficie aux producteurs cotés (PALC, SPHC). Le resserrement BCE renchérit le crédit en zone FCFA, pesant sur les marges bancaires (BICB, ORGT) mais soutenant les revenus d'intérêts.</w:t>
      </w:r>
    </w:p>
    <w:p>
      <w:pPr>
        <w:pStyle w:val="Heading2"/>
      </w:pPr>
      <w:r>
        <w:rPr>
          <w:color w:val="006E32"/>
        </w:rPr>
        <w:t>🌍 Plan Africain</w:t>
      </w:r>
    </w:p>
    <w:p>
      <w:pPr>
        <w:spacing w:before="20" w:after="40"/>
        <w:ind w:left="0"/>
      </w:pPr>
      <w:r>
        <w:rPr>
          <w:sz w:val="18"/>
        </w:rPr>
        <w:t>Goldman Sachs anticipe le retour de l'Afrique du Sud en Investment grade dès 2028, améliorant la perception du risque africain. Le programme FMI Sénégal (1,9 Md€) renforce la solvabilité souveraine. Aucune donnée sur les eurobonds ou notations souveraines UEMOA.</w:t>
      </w:r>
    </w:p>
    <w:p>
      <w:pPr>
        <w:pStyle w:val="Heading3"/>
      </w:pPr>
      <w:r>
        <w:rPr>
          <w:color w:val="500050"/>
        </w:rPr>
        <w:t>⚡ Impact estimé sur la BRVM</w:t>
      </w:r>
    </w:p>
    <w:p>
      <w:pPr>
        <w:spacing w:before="20" w:after="40"/>
        <w:ind w:left="280"/>
      </w:pPr>
      <w:r>
        <w:rPr>
          <w:i/>
          <w:sz w:val="18"/>
        </w:rPr>
        <w:t>L'amélioration de la perception africaine peut détourner des capitaux vers l'Afrique du Sud au détriment de la BRVM à court terme, mais renforce l'attractivité globale du continent. Les banques cotées bénéficient indirectement de la stabilité souveraine.</w:t>
      </w:r>
    </w:p>
    <w:p>
      <w:pPr>
        <w:pStyle w:val="Heading2"/>
      </w:pPr>
      <w:r>
        <w:rPr>
          <w:color w:val="145A28"/>
        </w:rPr>
        <w:t>🌍 Plan Afrique de l'Ouest</w:t>
      </w:r>
    </w:p>
    <w:p>
      <w:pPr>
        <w:spacing w:before="20" w:after="40"/>
        <w:ind w:left="0"/>
      </w:pPr>
      <w:r>
        <w:rPr>
          <w:sz w:val="18"/>
        </w:rPr>
        <w:t>Données insuffisantes sur les bourses régionales concurrentes (Ghana, Nigeria) et les flux de capitaux sous-régionaux.</w:t>
      </w:r>
    </w:p>
    <w:p>
      <w:pPr>
        <w:pStyle w:val="Heading3"/>
      </w:pPr>
      <w:r>
        <w:rPr>
          <w:color w:val="500050"/>
        </w:rPr>
        <w:t>⚡ Impact estimé sur la BRVM</w:t>
      </w:r>
    </w:p>
    <w:p>
      <w:pPr>
        <w:spacing w:before="20" w:after="40"/>
        <w:ind w:left="280"/>
      </w:pPr>
      <w:r>
        <w:rPr>
          <w:i/>
          <w:sz w:val="18"/>
        </w:rPr>
        <w:t>Données insuffisantes pour évaluer le positionnement concurrentiel de la BRVM.</w:t>
      </w:r>
    </w:p>
    <w:p>
      <w:pPr>
        <w:pStyle w:val="Heading2"/>
      </w:pPr>
      <w:r>
        <w:rPr>
          <w:color w:val="8C4600"/>
        </w:rPr>
        <w:t>🏦 Plan UEMOA / Zone Franc</w:t>
      </w:r>
    </w:p>
    <w:p>
      <w:pPr>
        <w:spacing w:before="20" w:after="40"/>
        <w:ind w:left="0"/>
      </w:pPr>
      <w:r>
        <w:rPr>
          <w:sz w:val="18"/>
        </w:rPr>
        <w:t>Données insuffisantes sur le marché des titres publics UEMOA, le taux interbancaire ou la liquidité bancaire.</w:t>
      </w:r>
    </w:p>
    <w:p>
      <w:pPr>
        <w:pStyle w:val="Heading3"/>
      </w:pPr>
      <w:r>
        <w:rPr>
          <w:color w:val="500050"/>
        </w:rPr>
        <w:t>⚡ Impact estimé sur la BRVM</w:t>
      </w:r>
    </w:p>
    <w:p>
      <w:pPr>
        <w:spacing w:before="20" w:after="40"/>
        <w:ind w:left="280"/>
      </w:pPr>
      <w:r>
        <w:rPr>
          <w:i/>
          <w:sz w:val="18"/>
        </w:rPr>
        <w:t>Sans données sur les taux publics, l'arbitrage entre titres souverains et actions BRVM reste indéterminé. Les banques (BOAB, BICB) restent sensibles à l'évolution des rendements obligataires.</w:t>
      </w:r>
    </w:p>
    <w:p>
      <w:pPr>
        <w:pStyle w:val="Heading2"/>
      </w:pPr>
      <w:r>
        <w:rPr>
          <w:color w:val="003366"/>
        </w:rPr>
        <w:t>📈 Plan BRVM</w:t>
      </w:r>
    </w:p>
    <w:p>
      <w:pPr>
        <w:spacing w:before="20" w:after="40"/>
        <w:ind w:left="0"/>
      </w:pPr>
      <w:r>
        <w:rPr>
          <w:sz w:val="18"/>
        </w:rPr>
        <w:t>L'indice BRVM Composite s'établit à 531,63 points. Les résultats des sociétés cotées ivoiriennes sont jugés encourageants. Aucun top/flop, volume ou perspective spécifique n'est rapporté.</w:t>
      </w:r>
    </w:p>
    <w:p>
      <w:pPr>
        <w:pStyle w:val="Heading3"/>
      </w:pPr>
      <w:r>
        <w:rPr>
          <w:color w:val="500050"/>
        </w:rPr>
        <w:t>⚡ Impact estimé sur la BRVM</w:t>
      </w:r>
    </w:p>
    <w:p>
      <w:pPr>
        <w:spacing w:before="20" w:after="40"/>
        <w:ind w:left="280"/>
      </w:pPr>
      <w:r>
        <w:rPr>
          <w:i/>
          <w:sz w:val="18"/>
        </w:rPr>
        <w:t>Les résultats encourageants soutiennent les valorisations. Recommandations : conserver SGBC et BICB (bancaires à dividendes), surveiller PALC et SPHC (matières premières en hausse), prudence sur CABC/SDSC (coûts énergétiques). ONTBF reste un pilier défensif du marché.</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La BRVM évolue dans un contexte mitigé : résultats ivoiriens encourageants et matières premières en hausse (favorable à PALC, SPHC) sont contrebalancés par la flambée pétrolière, le resserrement BCE anticipé et l'incertitude énergétique mondiale. Les banques cotées (SGBC, BICB, BOAB) restent des valeurs refuges à dividendes, tandis que les industriels (CABC, SDSC) et énergétiques (SMBC) sont sous pression. Recommandation : privilégier les bancaires et télécoms (ONTBF) défensifs, limiter l'exposition aux industriels exposés aux coûts énergétiques, et surveiller l'évolution des taux BCE et des cours pétroliers avant tout renforcement.</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Solutions pour freiner la hausse des prix des matières premières face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L'administration Trump souhaite interdire les exportations de diesel 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Marché des matières premières : l'indice MXV dépasse les 3 000 points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 xml:space="preserve">PepsiCo va augmenter les prix de certaines chips face à la hausse des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Monnaie de la Cedeao : le lancement de l’eco en 2027 est-il crédible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2026-09-21</w:t>
            </w:r>
          </w:p>
        </w:tc>
        <w:tc>
          <w:tcPr>
            <w:tcW w:type="dxa" w:w="1728"/>
          </w:tcPr>
          <w:p>
            <w:r>
              <w:rPr>
                <w:sz w:val="14"/>
              </w:rPr>
              <w:t>La CEDEAO évalue à 294 milliards de dollars les besoins de financement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2026-09-22</w:t>
            </w:r>
          </w:p>
        </w:tc>
        <w:tc>
          <w:tcPr>
            <w:tcW w:type="dxa" w:w="1728"/>
          </w:tcPr>
          <w:p>
            <w:r>
              <w:rPr>
                <w:sz w:val="14"/>
              </w:rPr>
              <w:t>«Le changement climatique est devenu un enjeu de paix et de sécurité»,</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Un mémorandum d'entente sur les consultations politiques signé entre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Le ministre des Affaires étrangères du Sénégal réaffirme que le "Sahar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Fête nationale du Mali : Assimi Goïta appelle à la réconciliation - Af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 xml:space="preserve">Sénégal : À New York, Diomaye Faye assume son soutien à Macky Sall et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VIDÉO. Sénégal: introduction de poissons dans les rizières contre la 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Solutions pour freiner la hausse des prix des matières premières face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 xml:space="preserve">PepsiCo va augmenter les prix de certaines chips face à la hausse des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 BofA prévoit une hausse des taux de la BCE en décembre, les prix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Un mémorandum d'entente sur les consultations politiques signé entre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Fête nationale du Mali : Assimi Goïta appelle à la réconciliation - Af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Un mémorandum d'entente sur les consultations politiques signé entre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Fête nationale du Mali : Assimi Goïta appelle à la réconciliation - Af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Un mémorandum d'entente sur les consultations politiques signé entre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Le ministre des Affaires étrangères du Sénégal réaffirme que le "Sahar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Un mémorandum d'entente sur les consultations politiques signé entre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Fête nationale du Mali : Assimi Goïta appelle à la réconciliation - Af</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Solutions pour freiner la hausse des prix des matières premières face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Marché des matières premières : l'indice MXV dépasse les 3 000 points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 xml:space="preserve">PepsiCo va augmenter les prix de certaines chips face à la hausse des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 BofA prévoit une hausse des taux de la BCE en décembre, les prix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 xml:space="preserve">Marché des matières premières : l'indice MXV dépasse les 3 000 points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 BofA prévoit une hausse des taux de la BCE en décembre, les prix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 xml:space="preserve">Sénégal : À New York, Diomaye Faye assume son soutien à Macky Sall et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VIDÉO. Sénégal: introduction de poissons dans les rizières contre la 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 xml:space="preserve">Marché des matières premières : l'indice MXV dépasse les 3 000 points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 BofA prévoit une hausse des taux de la BCE en décembre, les prix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 xml:space="preserve">Sénégal : À New York, Diomaye Faye assume son soutien à Macky Sall et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VIDÉO. Sénégal: introduction de poissons dans les rizières contre la 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 xml:space="preserve">Marché des matières premières : l'indice MXV dépasse les 3 000 points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 BofA prévoit une hausse des taux de la BCE en décembre, les prix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2026-09-24</w:t>
            </w:r>
          </w:p>
        </w:tc>
        <w:tc>
          <w:tcPr>
            <w:tcW w:type="dxa" w:w="1728"/>
          </w:tcPr>
          <w:p>
            <w:r>
              <w:rPr>
                <w:sz w:val="14"/>
              </w:rPr>
              <w:t>Un mémorandum d'entente sur les consultations politiques signé entre 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Le ministre des Affaires étrangères du Sénégal réaffirme que le "Sahar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 xml:space="preserve">Marché des matières premières : l'indice MXV dépasse les 3 000 points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2026-09-24</w:t>
            </w:r>
          </w:p>
        </w:tc>
        <w:tc>
          <w:tcPr>
            <w:tcW w:type="dxa" w:w="1728"/>
          </w:tcPr>
          <w:p>
            <w:r>
              <w:rPr>
                <w:sz w:val="14"/>
              </w:rPr>
              <w:t>La BofA prévoit une hausse des taux de la BCE en décembre, les prix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2026-09-24</w:t>
            </w:r>
          </w:p>
        </w:tc>
        <w:tc>
          <w:tcPr>
            <w:tcW w:type="dxa" w:w="1728"/>
          </w:tcPr>
          <w:p>
            <w:r>
              <w:rPr>
                <w:sz w:val="14"/>
              </w:rPr>
              <w:t>Sénégal: premières inculpations dans les violences politiques de 2021-</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2026-09-24</w:t>
            </w:r>
          </w:p>
        </w:tc>
        <w:tc>
          <w:tcPr>
            <w:tcW w:type="dxa" w:w="1728"/>
          </w:tcPr>
          <w:p>
            <w:r>
              <w:rPr>
                <w:sz w:val="14"/>
              </w:rPr>
              <w:t xml:space="preserve">Sénégal : À New York, Diomaye Faye assume son soutien à Macky Sall et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2026-09-23</w:t>
            </w:r>
          </w:p>
        </w:tc>
        <w:tc>
          <w:tcPr>
            <w:tcW w:type="dxa" w:w="1728"/>
          </w:tcPr>
          <w:p>
            <w:r>
              <w:rPr>
                <w:sz w:val="14"/>
              </w:rPr>
              <w:t>VIDÉO. Sénégal: introduction de poissons dans les rizières contre la 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(6 alerte(s))</w:t>
      </w:r>
    </w:p>
    <w:p>
      <w:pPr>
        <w:spacing w:before="40" w:after="40"/>
        <w:ind w:left="360"/>
      </w:pPr>
      <w:r>
        <w:rPr>
          <w:color w:val="646464"/>
          <w:sz w:val="17"/>
        </w:rPr>
        <w:t xml:space="preserve">[25/09/2026] 🔴  </w:t>
      </w:r>
      <w:r>
        <w:rPr>
          <w:b/>
          <w:color w:val="C00000"/>
          <w:sz w:val="18"/>
        </w:rPr>
        <w:t>Solutions pour freiner la hausse des prix des matières premières face aux fluctuations des prix de l'essence et du pétro</w:t>
      </w:r>
      <w:r>
        <w:rPr>
          <w:color w:val="787878"/>
          <w:sz w:val="15"/>
        </w:rPr>
        <w:t xml:space="preserve">  [matieres_premieres]</w:t>
      </w:r>
      <w:r>
        <w:rPr>
          <w:color w:val="B47800"/>
          <w:sz w:val="16"/>
        </w:rPr>
        <w:t xml:space="preserve">  ★ 50/10</w:t>
      </w:r>
    </w:p>
    <w:p>
      <w:pPr>
        <w:spacing w:before="0" w:after="20"/>
        <w:ind w:left="600"/>
      </w:pPr>
      <w:r>
        <w:rPr>
          <w:color w:val="323232"/>
          <w:sz w:val="17"/>
        </w:rPr>
        <w:t>L'article aborde les solutions envisagées pour freiner la hausse des prix des matières premières dans un contexte de fluctuations des prix de l'essence et du pétrole. Il souligne les pressions inflationnistes sur les matières premières et la nécessité de mesures correctives. Les variations des prix énergétiques impactent directement les coûts de pr</w:t>
      </w:r>
    </w:p>
    <w:p>
      <w:pPr>
        <w:spacing w:before="0" w:after="40"/>
        <w:ind w:left="600"/>
      </w:pPr>
      <w:r>
        <w:rPr>
          <w:color w:val="00643C"/>
          <w:sz w:val="16"/>
        </w:rPr>
        <w:t>Points clés : Hausse des prix des matières premières liée aux fluctuations du pétrole et de l'essence  •  Recherche de solutions pour freiner cette hausse  •  Impact sur les coûts de production et l'inflation</w:t>
      </w:r>
    </w:p>
    <w:p>
      <w:pPr>
        <w:spacing w:before="0" w:after="60"/>
        <w:ind w:left="600"/>
      </w:pPr>
      <w:r>
        <w:rPr>
          <w:color w:val="0064B4"/>
          <w:sz w:val="15"/>
        </w:rPr>
        <w:t>Source : https://news.google.com/rss/articles/CBMivgFBVV95cUxPUEN3S3FwSzBnazJNVWdvQi1HMW9</w:t>
      </w:r>
    </w:p>
    <w:p>
      <w:pPr>
        <w:spacing w:before="40" w:after="40"/>
        <w:ind w:left="360"/>
      </w:pPr>
      <w:r>
        <w:rPr>
          <w:color w:val="646464"/>
          <w:sz w:val="17"/>
        </w:rPr>
        <w:t xml:space="preserve">[25/09/2026] 🔴  </w:t>
      </w:r>
      <w:r>
        <w:rPr>
          <w:b/>
          <w:color w:val="C00000"/>
          <w:sz w:val="18"/>
        </w:rPr>
        <w:t>Le marché se retourne, les prix du pétrole s'envolent.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connaissent une forte hausse sur les marchés internationaux, marquant un retournement de tendance après une période de baisse. Cette remontée est alimentée par des tensions géopolitiques et des inquiétudes sur l'offre. Les investisseurs surveillent l'impact potentiel sur l'inflation et la croissance mondiale.</w:t>
      </w:r>
    </w:p>
    <w:p>
      <w:pPr>
        <w:spacing w:before="0" w:after="40"/>
        <w:ind w:left="600"/>
      </w:pPr>
      <w:r>
        <w:rPr>
          <w:color w:val="00643C"/>
          <w:sz w:val="16"/>
        </w:rPr>
        <w:t>Points clés : Forte hausse des prix du pétrole sur les marchés internationaux  •  Retournement de tendance après une période de baisse  •  Tensions géopolitiques et inquiétudes sur l'offre comme facteurs haussiers</w:t>
      </w:r>
    </w:p>
    <w:p>
      <w:pPr>
        <w:spacing w:before="0" w:after="60"/>
        <w:ind w:left="600"/>
      </w:pPr>
      <w:r>
        <w:rPr>
          <w:color w:val="0064B4"/>
          <w:sz w:val="15"/>
        </w:rPr>
        <w:t>Source : https://news.google.com/rss/articles/CBMickFVX3lxTE9vX2pRZVc5eGVLRTMyX1EydTJCRU9</w:t>
      </w:r>
    </w:p>
    <w:p>
      <w:pPr>
        <w:spacing w:before="40" w:after="40"/>
        <w:ind w:left="360"/>
      </w:pPr>
      <w:r>
        <w:rPr>
          <w:color w:val="646464"/>
          <w:sz w:val="17"/>
        </w:rPr>
        <w:t xml:space="preserve">[25/09/2026] 🟢  </w:t>
      </w:r>
      <w:r>
        <w:rPr>
          <w:b/>
          <w:color w:val="008000"/>
          <w:sz w:val="18"/>
        </w:rPr>
        <w:t>Marché des matières premières : l'indice MXV dépasse les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contrats à terme sur les matières premières au Vietnam, a franchi la barre des 3 000 points. Cette hausse reflète une dynamique positive sur les marchés des matières premières, portée par des facteurs tels que la demande et les prix internationaux. Ce niveau symbolique témoigne d'un regain d'activité et pourrait influence</w:t>
      </w:r>
    </w:p>
    <w:p>
      <w:pPr>
        <w:spacing w:before="0" w:after="40"/>
        <w:ind w:left="600"/>
      </w:pPr>
      <w:r>
        <w:rPr>
          <w:color w:val="00643C"/>
          <w:sz w:val="16"/>
        </w:rPr>
        <w:t>Points clés : L'indice MXV dépasse les 3 000 points pour la première fois.  •  Hausse significative des contrats à terme sur les matières premières au Vietnam.  •  Le franchissement de ce seuil indique un sentiment haussier sur le marché.</w:t>
      </w:r>
    </w:p>
    <w:p>
      <w:pPr>
        <w:spacing w:before="0" w:after="60"/>
        <w:ind w:left="600"/>
      </w:pPr>
      <w:r>
        <w:rPr>
          <w:color w:val="0064B4"/>
          <w:sz w:val="15"/>
        </w:rPr>
        <w:t>Source : https://news.google.com/rss/articles/CBMie0FVX3lxTE9LR3Q0NmNDU0poRjVESTBYM0ZrT1N</w:t>
      </w:r>
    </w:p>
    <w:p>
      <w:pPr>
        <w:spacing w:before="40" w:after="40"/>
        <w:ind w:left="360"/>
      </w:pPr>
      <w:r>
        <w:rPr>
          <w:color w:val="646464"/>
          <w:sz w:val="17"/>
        </w:rPr>
        <w:t xml:space="preserve">[24/09/2026] 🔴  </w:t>
      </w:r>
      <w:r>
        <w:rPr>
          <w:b/>
          <w:color w:val="C00000"/>
          <w:sz w:val="18"/>
        </w:rPr>
        <w:t>L'administration Trump souhaite interdire les exportations de diesel pendant 90 jours - RFI</w:t>
      </w:r>
      <w:r>
        <w:rPr>
          <w:color w:val="787878"/>
          <w:sz w:val="15"/>
        </w:rPr>
        <w:t xml:space="preserve">  [matieres_premieres]</w:t>
      </w:r>
      <w:r>
        <w:rPr>
          <w:color w:val="B47800"/>
          <w:sz w:val="16"/>
        </w:rPr>
        <w:t xml:space="preserve">  ★ 50/10</w:t>
      </w:r>
    </w:p>
    <w:p>
      <w:pPr>
        <w:spacing w:before="0" w:after="20"/>
        <w:ind w:left="600"/>
      </w:pPr>
      <w:r>
        <w:rPr>
          <w:color w:val="323232"/>
          <w:sz w:val="17"/>
        </w:rPr>
        <w:t>L'administration Trump envisage d'interdire les exportations de diesel américain pendant 90 jours. Cette mesure viserait à stabiliser le marché intérieur et à faire baisser les prix du carburant aux États-Unis. Une telle décision pourrait perturber les flux mondiaux de produits pétroliers raffinés et affecter les prix du diesel à l'international. L</w:t>
      </w:r>
    </w:p>
    <w:p>
      <w:pPr>
        <w:spacing w:before="0" w:after="40"/>
        <w:ind w:left="600"/>
      </w:pPr>
      <w:r>
        <w:rPr>
          <w:color w:val="00643C"/>
          <w:sz w:val="16"/>
        </w:rPr>
        <w:t>Points clés : Interdiction temporaire de 90 jours sur les exportations de diesel américain  •  Objectif de stabiliser les prix intérieurs aux États-Unis  •  Risque de tension sur l'offre mondiale de diesel  •  Impact potentiel sur les prix des produits raffinés</w:t>
      </w:r>
    </w:p>
    <w:p>
      <w:pPr>
        <w:spacing w:before="0" w:after="60"/>
        <w:ind w:left="600"/>
      </w:pPr>
      <w:r>
        <w:rPr>
          <w:color w:val="0064B4"/>
          <w:sz w:val="15"/>
        </w:rPr>
        <w:t>Source : https://news.google.com/rss/articles/CBMi_AFBVV95cUxQSlEwSFBtRzJVbjNBQzZUcW03OHJ</w:t>
      </w:r>
    </w:p>
    <w:p>
      <w:pPr>
        <w:spacing w:before="40" w:after="40"/>
        <w:ind w:left="360"/>
      </w:pPr>
      <w:r>
        <w:rPr>
          <w:color w:val="646464"/>
          <w:sz w:val="17"/>
        </w:rPr>
        <w:t xml:space="preserve">[24/09/2026] 🔴  </w:t>
      </w:r>
      <w:r>
        <w:rPr>
          <w:b/>
          <w:color w:val="C00000"/>
          <w:sz w:val="18"/>
        </w:rPr>
        <w:t>PepsiCo va augmenter les prix de certaines chips face à la hausse des coûts des matières premières - Boursorama</w:t>
      </w:r>
      <w:r>
        <w:rPr>
          <w:color w:val="787878"/>
          <w:sz w:val="15"/>
        </w:rPr>
        <w:t xml:space="preserve">  [matieres_premieres]</w:t>
      </w:r>
      <w:r>
        <w:rPr>
          <w:color w:val="B47800"/>
          <w:sz w:val="16"/>
        </w:rPr>
        <w:t xml:space="preserve">  ★ 50/10</w:t>
      </w:r>
    </w:p>
    <w:p>
      <w:pPr>
        <w:spacing w:before="0" w:after="20"/>
        <w:ind w:left="600"/>
      </w:pPr>
      <w:r>
        <w:rPr>
          <w:color w:val="323232"/>
          <w:sz w:val="17"/>
        </w:rPr>
        <w:t>PepsiCo a annoncé qu'elle augmentera les prix de certaines de ses marques de chips afin de compenser la hausse des coûts des matières premières. Cette décision reflète les pressions inflationnistes persistantes sur les intrants agricoles et énergétiques. Elle pourrait être suivie par d'autres acteurs du secteur agroalimentaire mondial. Les investis</w:t>
      </w:r>
    </w:p>
    <w:p>
      <w:pPr>
        <w:spacing w:before="0" w:after="40"/>
        <w:ind w:left="600"/>
      </w:pPr>
      <w:r>
        <w:rPr>
          <w:color w:val="00643C"/>
          <w:sz w:val="16"/>
        </w:rPr>
        <w:t>Points clés : PepsiCo augmente les prix de certaines chips  •  Cause : hausse des coûts des matières premières  •  Possible répercussion sur d'autres entreprises agroalimentaires  •  Risque de baisse de la demande si les prix montent trop</w:t>
      </w:r>
    </w:p>
    <w:p>
      <w:pPr>
        <w:spacing w:before="0" w:after="60"/>
        <w:ind w:left="600"/>
      </w:pPr>
      <w:r>
        <w:rPr>
          <w:color w:val="0064B4"/>
          <w:sz w:val="15"/>
        </w:rPr>
        <w:t>Source : https://news.google.com/rss/articles/CBMijAJBVV95cUxPclRORVpFZXAzYTc3anlIUXFKOHp</w:t>
      </w:r>
    </w:p>
    <w:p>
      <w:pPr>
        <w:spacing w:before="120" w:after="40"/>
      </w:pPr>
      <w:r>
        <w:rPr>
          <w:b/>
          <w:color w:val="00467F"/>
          <w:sz w:val="20"/>
        </w:rPr>
        <w:t>🔑 marche_financier  (4 alerte(s))</w:t>
      </w:r>
    </w:p>
    <w:p>
      <w:pPr>
        <w:spacing w:before="40" w:after="40"/>
        <w:ind w:left="360"/>
      </w:pPr>
      <w:r>
        <w:rPr>
          <w:color w:val="646464"/>
          <w:sz w:val="17"/>
        </w:rPr>
        <w:t xml:space="preserve">[25/09/2026] 🟢  </w:t>
      </w:r>
      <w:r>
        <w:rPr>
          <w:b/>
          <w:color w:val="008000"/>
          <w:sz w:val="18"/>
        </w:rPr>
        <w:t>Bridge Bank Group Côte d’Ivoire s’introduit à la BRVM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Bridge Bank Group Côte d'Ivoire annonce son introduction à la Bourse Régionale des Valeurs Mobilières (BRVM). Cette opération marque l'arrivée d'une nouvelle banque sur le marché financier de l'UEMOA. Elle devrait permettre à l'établissement de renforcer ses fonds propres et sa notoriété. L'introduction élargit également l'offre sectorielle bancair</w:t>
      </w:r>
    </w:p>
    <w:p>
      <w:pPr>
        <w:spacing w:before="0" w:after="40"/>
        <w:ind w:left="600"/>
      </w:pPr>
      <w:r>
        <w:rPr>
          <w:color w:val="00643C"/>
          <w:sz w:val="16"/>
        </w:rPr>
        <w:t>Points clés : Introduction en bourse de Bridge Bank Group Côte d'Ivoire à la BRVM  •  Nouvelle valeur bancaire sur le marché de l'UEMOA  •  Renforcement potentiel des fonds propres et de la visibilité de la banque  •  Élargissement de l'offre sectorielle pour les investisseurs</w:t>
      </w:r>
    </w:p>
    <w:p>
      <w:pPr>
        <w:spacing w:before="0" w:after="60"/>
        <w:ind w:left="600"/>
      </w:pPr>
      <w:r>
        <w:rPr>
          <w:color w:val="0064B4"/>
          <w:sz w:val="15"/>
        </w:rPr>
        <w:t>Source : https://news.google.com/rss/articles/CBMijAFBVV95cUxPWV8xTlM4NGFVZHJ0ZHVMdTE4bVp</w:t>
      </w:r>
    </w:p>
    <w:p>
      <w:pPr>
        <w:spacing w:before="40" w:after="40"/>
        <w:ind w:left="360"/>
      </w:pPr>
      <w:r>
        <w:rPr>
          <w:color w:val="646464"/>
          <w:sz w:val="17"/>
        </w:rPr>
        <w:t xml:space="preserve">[24/09/2026] 🟢  </w:t>
      </w:r>
      <w:r>
        <w:rPr>
          <w:b/>
          <w:color w:val="008000"/>
          <w:sz w:val="18"/>
        </w:rPr>
        <w:t>BRVM : Bridge Bank Group Côte d’Ivoire entre en Bourse après une IPO de 67,5 milliards FCFA - Journal du Mali</w:t>
      </w:r>
      <w:r>
        <w:rPr>
          <w:color w:val="787878"/>
          <w:sz w:val="15"/>
        </w:rPr>
        <w:t xml:space="preserve">  [marche_financier]</w:t>
      </w:r>
      <w:r>
        <w:rPr>
          <w:color w:val="B47800"/>
          <w:sz w:val="16"/>
        </w:rPr>
        <w:t xml:space="preserve">  ★ 50/10</w:t>
      </w:r>
    </w:p>
    <w:p>
      <w:pPr>
        <w:spacing w:before="0" w:after="20"/>
        <w:ind w:left="600"/>
      </w:pPr>
      <w:r>
        <w:rPr>
          <w:color w:val="323232"/>
          <w:sz w:val="17"/>
        </w:rPr>
        <w:t>Bridge Bank Group Côte d’Ivoire a réalisé une introduction en bourse (IPO) sur la BRVM pour un montant de 67,5 milliards FCFA. Cette opération marque l'arrivée d'une nouvelle banque sur le marché financier régional. Elle devrait renforcer la capitalisation boursière et diversifier l'offre sectorielle de la BRVM.</w:t>
      </w:r>
    </w:p>
    <w:p>
      <w:pPr>
        <w:spacing w:before="0" w:after="40"/>
        <w:ind w:left="600"/>
      </w:pPr>
      <w:r>
        <w:rPr>
          <w:color w:val="00643C"/>
          <w:sz w:val="16"/>
        </w:rPr>
        <w:t>Points clés : IPO de 67,5 milliards FCFA réalisée par Bridge Bank Group Côte d’Ivoire  •  Entrée en Bourse sur la BRVM  •  Renforcement de la capitalisation et diversification du secteur bancaire</w:t>
      </w:r>
    </w:p>
    <w:p>
      <w:pPr>
        <w:spacing w:before="0" w:after="60"/>
        <w:ind w:left="600"/>
      </w:pPr>
      <w:r>
        <w:rPr>
          <w:color w:val="0064B4"/>
          <w:sz w:val="15"/>
        </w:rPr>
        <w:t>Source : https://news.google.com/rss/articles/CBMitAFBVV95cUxPeHRzZWdhckstSVkxYW95cHhmZ2t</w:t>
      </w:r>
    </w:p>
    <w:p>
      <w:pPr>
        <w:spacing w:before="40" w:after="40"/>
        <w:ind w:left="360"/>
      </w:pPr>
      <w:r>
        <w:rPr>
          <w:color w:val="646464"/>
          <w:sz w:val="17"/>
        </w:rPr>
        <w:t xml:space="preserve">[24/09/2026] 🟢  </w:t>
      </w:r>
      <w:r>
        <w:rPr>
          <w:b/>
          <w:color w:val="008000"/>
          <w:sz w:val="18"/>
        </w:rPr>
        <w:t>Marché financier régional : 67,5 milliards de Fcfa levés à la Brvm - FratMat</w:t>
      </w:r>
      <w:r>
        <w:rPr>
          <w:color w:val="787878"/>
          <w:sz w:val="15"/>
        </w:rPr>
        <w:t xml:space="preserve">  [marche_financier]</w:t>
      </w:r>
      <w:r>
        <w:rPr>
          <w:color w:val="B47800"/>
          <w:sz w:val="16"/>
        </w:rPr>
        <w:t xml:space="preserve">  ★ 50/10</w:t>
      </w:r>
    </w:p>
    <w:p>
      <w:pPr>
        <w:spacing w:before="0" w:after="20"/>
        <w:ind w:left="600"/>
      </w:pPr>
      <w:r>
        <w:rPr>
          <w:color w:val="323232"/>
          <w:sz w:val="17"/>
        </w:rPr>
        <w:t>La BRVM a enregistré une levée de fonds de 67,5 milliards de Fcfa sur le marché financier régional de l'UEMOA. Cette opération témoigne de la confiance des investisseurs et de la dynamique du marché des capitaux dans la zone. Elle pourrait soutenir le financement des entreprises et des États membres.</w:t>
      </w:r>
    </w:p>
    <w:p>
      <w:pPr>
        <w:spacing w:before="0" w:after="40"/>
        <w:ind w:left="600"/>
      </w:pPr>
      <w:r>
        <w:rPr>
          <w:color w:val="00643C"/>
          <w:sz w:val="16"/>
        </w:rPr>
        <w:t>Points clés : 67,5 milliards de Fcfa levés à la BRVM  •  Marché financier régional de l'UEMOA  •  Confiance des investisseurs et dynamisme du marché</w:t>
      </w:r>
    </w:p>
    <w:p>
      <w:pPr>
        <w:spacing w:before="0" w:after="60"/>
        <w:ind w:left="600"/>
      </w:pPr>
      <w:r>
        <w:rPr>
          <w:color w:val="0064B4"/>
          <w:sz w:val="15"/>
        </w:rPr>
        <w:t>Source : https://news.google.com/rss/articles/CBMi7wFBVV95cUxNNk9XakRvV0FRaDhja283TVJKd0M</w:t>
      </w:r>
    </w:p>
    <w:p>
      <w:pPr>
        <w:spacing w:before="40" w:after="40"/>
        <w:ind w:left="360"/>
      </w:pPr>
      <w:r>
        <w:rPr>
          <w:color w:val="646464"/>
          <w:sz w:val="17"/>
        </w:rPr>
        <w:t xml:space="preserve">[24/09/2026] 🟢  </w:t>
      </w:r>
      <w:r>
        <w:rPr>
          <w:b/>
          <w:color w:val="008000"/>
          <w:sz w:val="18"/>
        </w:rPr>
        <w:t>Bourse : Bridge Bank Group Côte d’Ivoire fait son entrée à la BRVM sous le symbole BBGC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Bridge Bank Group Côte d’Ivoire a officiellement fait son entrée à la Bourse Régionale des Valeurs Mobilières (BRVM) sous le symbole BBGC. Cette introduction marque une nouvelle étape pour la banque ivoirienne qui rejoint le compartiment des sociétés cotées de l’UEMOA. L’opération devrait renforcer la liquidité et la capitalisation du marché financ</w:t>
      </w:r>
    </w:p>
    <w:p>
      <w:pPr>
        <w:spacing w:before="0" w:after="40"/>
        <w:ind w:left="600"/>
      </w:pPr>
      <w:r>
        <w:rPr>
          <w:color w:val="00643C"/>
          <w:sz w:val="16"/>
        </w:rPr>
        <w:t>Points clés : Introduction en bourse de Bridge Bank Group Côte d’Ivoire à la BRVM  •  Symbole de cotation : BBGC  •  Nouvelle valeur bancaire sur le marché régional</w:t>
      </w:r>
    </w:p>
    <w:p>
      <w:pPr>
        <w:spacing w:before="0" w:after="60"/>
        <w:ind w:left="600"/>
      </w:pPr>
      <w:r>
        <w:rPr>
          <w:color w:val="0064B4"/>
          <w:sz w:val="15"/>
        </w:rPr>
        <w:t>Source : https://news.google.com/rss/articles/CBMiwwFBVV95cUxQVEdfRVM4cG1aRHduLThBaE1XdDh</w:t>
      </w:r>
    </w:p>
    <w:p>
      <w:pPr>
        <w:spacing w:before="120" w:after="40"/>
      </w:pPr>
      <w:r>
        <w:rPr>
          <w:b/>
          <w:color w:val="00467F"/>
          <w:sz w:val="20"/>
        </w:rPr>
        <w:t>🔑 politique  (8 alerte(s))</w:t>
      </w:r>
    </w:p>
    <w:p>
      <w:pPr>
        <w:spacing w:before="40" w:after="40"/>
        <w:ind w:left="360"/>
      </w:pPr>
      <w:r>
        <w:rPr>
          <w:color w:val="646464"/>
          <w:sz w:val="17"/>
        </w:rPr>
        <w:t xml:space="preserve">[24/09/2026] 🟢  </w:t>
      </w:r>
      <w:r>
        <w:rPr>
          <w:b/>
          <w:color w:val="008000"/>
          <w:sz w:val="18"/>
        </w:rPr>
        <w:t>Sénégal : À New York, Diomaye Faye assume son soutien à Macky Sall et défend l'accord avec le FMI - koaci.com</w:t>
      </w:r>
      <w:r>
        <w:rPr>
          <w:color w:val="787878"/>
          <w:sz w:val="15"/>
        </w:rPr>
        <w:t xml:space="preserve">  [politique]</w:t>
      </w:r>
      <w:r>
        <w:rPr>
          <w:color w:val="B47800"/>
          <w:sz w:val="16"/>
        </w:rPr>
        <w:t xml:space="preserve">  ★ 50/10</w:t>
      </w:r>
    </w:p>
    <w:p>
      <w:pPr>
        <w:spacing w:before="0" w:after="20"/>
        <w:ind w:left="600"/>
      </w:pPr>
      <w:r>
        <w:rPr>
          <w:color w:val="323232"/>
          <w:sz w:val="17"/>
        </w:rPr>
        <w:t>Le président sénégalais Bassirou Diomaye Faye a réaffirmé à New York son soutien à son prédécesseur Macky Sall et défendu l'accord conclu avec le FMI. Cette prise de position vise à rassurer les partenaires internationaux sur la continuité de la politique économique et la stabilité du cadre macroéconomique. Elle intervient dans un contexte où le Sé</w:t>
      </w:r>
    </w:p>
    <w:p>
      <w:pPr>
        <w:spacing w:before="0" w:after="40"/>
        <w:ind w:left="600"/>
      </w:pPr>
      <w:r>
        <w:rPr>
          <w:color w:val="00643C"/>
          <w:sz w:val="16"/>
        </w:rPr>
        <w:t>Points clés : Diomaye Faye assume publiquement son soutien à Macky Sall  •  Défense de l'accord avec le FMI  •  Signal de continuité et de stabilité économique  •  Impact potentiel sur la confiance des investisseurs</w:t>
      </w:r>
    </w:p>
    <w:p>
      <w:pPr>
        <w:spacing w:before="0" w:after="60"/>
        <w:ind w:left="600"/>
      </w:pPr>
      <w:r>
        <w:rPr>
          <w:color w:val="0064B4"/>
          <w:sz w:val="15"/>
        </w:rPr>
        <w:t>Source : https://news.google.com/rss/articles/CBMi9wFBVV95cUxPR2lDdnNUYXZHM1dkVV9MRTBrb2I</w:t>
      </w:r>
    </w:p>
    <w:p>
      <w:pPr>
        <w:spacing w:before="40" w:after="40"/>
        <w:ind w:left="360"/>
      </w:pPr>
      <w:r>
        <w:rPr>
          <w:color w:val="646464"/>
          <w:sz w:val="17"/>
        </w:rPr>
        <w:t xml:space="preserve">[24/09/2026] ⚪  </w:t>
      </w:r>
      <w:r>
        <w:rPr>
          <w:b/>
          <w:color w:val="505050"/>
          <w:sz w:val="18"/>
        </w:rPr>
        <w:t>Côte d'Ivoire : Promotion de l'éducation inclusive, l'UNESCO et le gouvernement notent des avancées, mais de nombreux dé</w:t>
      </w:r>
      <w:r>
        <w:rPr>
          <w:color w:val="787878"/>
          <w:sz w:val="15"/>
        </w:rPr>
        <w:t xml:space="preserve">  [politique]</w:t>
      </w:r>
      <w:r>
        <w:rPr>
          <w:color w:val="B47800"/>
          <w:sz w:val="16"/>
        </w:rPr>
        <w:t xml:space="preserve">  ★ 50/10</w:t>
      </w:r>
    </w:p>
    <w:p>
      <w:pPr>
        <w:spacing w:before="0" w:after="20"/>
        <w:ind w:left="600"/>
      </w:pPr>
      <w:r>
        <w:rPr>
          <w:color w:val="323232"/>
          <w:sz w:val="17"/>
        </w:rPr>
        <w:t>L'UNESCO et le gouvernement ivoirien ont dressé un bilan des avancées en matière d'éducation inclusive en Côte d'Ivoire, saluant des progrès notables dans l'intégration des enfants en situation de handicap et des filles. Cependant, de nombreux défis persistent, notamment le manque d'infrastructures adaptées, la formation insuffisante des enseignant</w:t>
      </w:r>
    </w:p>
    <w:p>
      <w:pPr>
        <w:spacing w:before="0" w:after="40"/>
        <w:ind w:left="600"/>
      </w:pPr>
      <w:r>
        <w:rPr>
          <w:color w:val="00643C"/>
          <w:sz w:val="16"/>
        </w:rPr>
        <w:t>Points clés : Avancées notables dans l'éducation inclusive en Côte d'Ivoire selon l'UNESCO et le gouvernement  •  Défis persistants : infrastructures inadaptées, formation des enseignants et disparités régionales  •  Impact potentiel sur le développement du capital humain à long terme</w:t>
      </w:r>
    </w:p>
    <w:p>
      <w:pPr>
        <w:spacing w:before="0" w:after="60"/>
        <w:ind w:left="600"/>
      </w:pPr>
      <w:r>
        <w:rPr>
          <w:color w:val="0064B4"/>
          <w:sz w:val="15"/>
        </w:rPr>
        <w:t>Source : https://news.google.com/rss/articles/CBMiqAJBVV95cUxNRDRrbDBUOW5hOUdMWXhOcERuSHp</w:t>
      </w:r>
    </w:p>
    <w:p>
      <w:pPr>
        <w:spacing w:before="40" w:after="40"/>
        <w:ind w:left="360"/>
      </w:pPr>
      <w:r>
        <w:rPr>
          <w:color w:val="646464"/>
          <w:sz w:val="17"/>
        </w:rPr>
        <w:t xml:space="preserve">[24/09/2026] 🟢  </w:t>
      </w:r>
      <w:r>
        <w:rPr>
          <w:b/>
          <w:color w:val="008000"/>
          <w:sz w:val="18"/>
        </w:rPr>
        <w:t xml:space="preserve">Protection sociale : le gouvernement adopte des mesures visant à consolider les droits des retraités et de leurs ayants </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adopté des mesures visant à consolider les droits des retraités et de leurs ayants droit dans le cadre de la protection sociale. Ces décisions s'inscrivent dans une volonté d'améliorer la couverture et la stabilité des pensions. Elles pourraient renforcer la confiance des agents publics et des travailleurs du secteur form</w:t>
      </w:r>
    </w:p>
    <w:p>
      <w:pPr>
        <w:spacing w:before="0" w:after="40"/>
        <w:ind w:left="600"/>
      </w:pPr>
      <w:r>
        <w:rPr>
          <w:color w:val="00643C"/>
          <w:sz w:val="16"/>
        </w:rPr>
        <w:t>Points clés : Adoption de mesures pour consolider les droits des retraités et ayants droit  •  Renforcement de la protection sociale au bénéfice des pensionnés  •  Mesure à caractère social et politique, sans financement direct des entreprises cotées</w:t>
      </w:r>
    </w:p>
    <w:p>
      <w:pPr>
        <w:spacing w:before="0" w:after="60"/>
        <w:ind w:left="600"/>
      </w:pPr>
      <w:r>
        <w:rPr>
          <w:color w:val="0064B4"/>
          <w:sz w:val="15"/>
        </w:rPr>
        <w:t>Source : https://news.google.com/rss/articles/CBMi9wFBVV95cUxORHZpLTRfSy1uOVRqQWROUjAwR2h</w:t>
      </w:r>
    </w:p>
    <w:p>
      <w:pPr>
        <w:spacing w:before="40" w:after="40"/>
        <w:ind w:left="360"/>
      </w:pPr>
      <w:r>
        <w:rPr>
          <w:color w:val="646464"/>
          <w:sz w:val="17"/>
        </w:rPr>
        <w:t xml:space="preserve">[24/09/2026] ⚪  </w:t>
      </w:r>
      <w:r>
        <w:rPr>
          <w:b/>
          <w:color w:val="505050"/>
          <w:sz w:val="18"/>
        </w:rPr>
        <w:t>Fête nationale du Mali : Assimi Goïta appelle à la réconciliation - Africtelegraph</w:t>
      </w:r>
      <w:r>
        <w:rPr>
          <w:color w:val="787878"/>
          <w:sz w:val="15"/>
        </w:rPr>
        <w:t xml:space="preserve">  [politique]</w:t>
      </w:r>
      <w:r>
        <w:rPr>
          <w:color w:val="B47800"/>
          <w:sz w:val="16"/>
        </w:rPr>
        <w:t xml:space="preserve">  ★ 50/10</w:t>
      </w:r>
    </w:p>
    <w:p>
      <w:pPr>
        <w:spacing w:before="0" w:after="20"/>
        <w:ind w:left="600"/>
      </w:pPr>
      <w:r>
        <w:rPr>
          <w:color w:val="323232"/>
          <w:sz w:val="17"/>
        </w:rPr>
        <w:t>À l'occasion de la fête nationale du Mali, le président Assimi Goïta a lancé un appel à la réconciliation nationale. Ce discours intervient dans un contexte politique encore marqué par les tensions post-transition. L'objectif affiché est de favoriser l'unité et la stabilité du pays.</w:t>
      </w:r>
    </w:p>
    <w:p>
      <w:pPr>
        <w:spacing w:before="0" w:after="40"/>
        <w:ind w:left="600"/>
      </w:pPr>
      <w:r>
        <w:rPr>
          <w:color w:val="00643C"/>
          <w:sz w:val="16"/>
        </w:rPr>
        <w:t>Points clés : Appel à la réconciliation nationale par Assimi Goïta  •  Discours prononcé lors de la fête nationale du Mali  •  Contexte politique post-transition au Mali</w:t>
      </w:r>
    </w:p>
    <w:p>
      <w:pPr>
        <w:spacing w:before="0" w:after="60"/>
        <w:ind w:left="600"/>
      </w:pPr>
      <w:r>
        <w:rPr>
          <w:color w:val="0064B4"/>
          <w:sz w:val="15"/>
        </w:rPr>
        <w:t>Source : https://news.google.com/rss/articles/CBMinAFBVV95cUxNWndqSVVlTjBnTU9zczQ0bFY1d0o</w:t>
      </w:r>
    </w:p>
    <w:p>
      <w:pPr>
        <w:spacing w:before="40" w:after="40"/>
        <w:ind w:left="360"/>
      </w:pPr>
      <w:r>
        <w:rPr>
          <w:color w:val="646464"/>
          <w:sz w:val="17"/>
        </w:rPr>
        <w:t xml:space="preserve">[24/09/2026] 🔴  </w:t>
      </w:r>
      <w:r>
        <w:rPr>
          <w:b/>
          <w:color w:val="C00000"/>
          <w:sz w:val="18"/>
        </w:rPr>
        <w:t>Sénégal : Guy Marius Sagna accuse Macron d’un « pacte » entre Diomaye et Macky - Benin Web TV</w:t>
      </w:r>
      <w:r>
        <w:rPr>
          <w:color w:val="787878"/>
          <w:sz w:val="15"/>
        </w:rPr>
        <w:t xml:space="preserve">  [politique]</w:t>
      </w:r>
      <w:r>
        <w:rPr>
          <w:color w:val="B47800"/>
          <w:sz w:val="16"/>
        </w:rPr>
        <w:t xml:space="preserve">  ★ 50/10</w:t>
      </w:r>
    </w:p>
    <w:p>
      <w:pPr>
        <w:spacing w:before="0" w:after="20"/>
        <w:ind w:left="600"/>
      </w:pPr>
      <w:r>
        <w:rPr>
          <w:color w:val="323232"/>
          <w:sz w:val="17"/>
        </w:rPr>
        <w:t>Le député sénégalais Guy Marius Sagna accuse le président français Emmanuel Macron d'avoir orchestré un « pacte » entre le président sénégalais Bassirou Diomaye Faye et son prédécesseur Macky Sall. Cette déclaration intervient dans un contexte de tensions politiques au Sénégal et de débats sur l'influence française en Afrique de l'Ouest. L'accusati</w:t>
      </w:r>
    </w:p>
    <w:p>
      <w:pPr>
        <w:spacing w:before="0" w:after="40"/>
        <w:ind w:left="600"/>
      </w:pPr>
      <w:r>
        <w:rPr>
          <w:color w:val="00643C"/>
          <w:sz w:val="16"/>
        </w:rPr>
        <w:t>Points clés : Guy Marius Sagna dénonce un accord secret entre Diomaye Faye et Macky Sall sous l'égide de Macron  •  Les accusations s'inscrivent dans un climat de défiance envers la France dans l'espace UEMOA  •  Aucune preuve ni réaction officielle des présidences sénégalaise et française n'a été fournie</w:t>
      </w:r>
    </w:p>
    <w:p>
      <w:pPr>
        <w:spacing w:before="0" w:after="60"/>
        <w:ind w:left="600"/>
      </w:pPr>
      <w:r>
        <w:rPr>
          <w:color w:val="0064B4"/>
          <w:sz w:val="15"/>
        </w:rPr>
        <w:t>Source : https://news.google.com/rss/articles/CBMimgFBVV95cUxOQVhFVFVlT1o2NkQyYlE1cHJTMnJ</w:t>
      </w:r>
    </w:p>
    <w:p>
      <w:pPr>
        <w:spacing w:before="120" w:after="40"/>
      </w:pPr>
      <w:r>
        <w:rPr>
          <w:b/>
          <w:color w:val="00467F"/>
          <w:sz w:val="20"/>
        </w:rPr>
        <w:t>🔑 politique_monetaire  (1 alerte(s))</w:t>
      </w:r>
    </w:p>
    <w:p>
      <w:pPr>
        <w:spacing w:before="40" w:after="40"/>
        <w:ind w:left="360"/>
      </w:pPr>
      <w:r>
        <w:rPr>
          <w:color w:val="646464"/>
          <w:sz w:val="17"/>
        </w:rPr>
        <w:t xml:space="preserve">[24/09/2026] 🔴  </w:t>
      </w:r>
      <w:r>
        <w:rPr>
          <w:b/>
          <w:color w:val="C00000"/>
          <w:sz w:val="18"/>
        </w:rPr>
        <w:t>La BofA prévoit une hausse des taux de la BCE en décembre, les prix de l'énergie alimentant l'inflation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Bank of America prévoit que la Banque centrale européenne (BCE) procédera à une nouvelle hausse de ses taux d'intérêt en décembre, alors que les prix de l'énergie continuent d'alimenter l'inflation dans la zone euro. Cette anticipation reflète les pressions inflationnistes persistantes auxquelles la BCE doit faire face. Une telle hausse des taux au</w:t>
      </w:r>
    </w:p>
    <w:p>
      <w:pPr>
        <w:spacing w:before="0" w:after="40"/>
        <w:ind w:left="600"/>
      </w:pPr>
      <w:r>
        <w:rPr>
          <w:color w:val="00643C"/>
          <w:sz w:val="16"/>
        </w:rPr>
        <w:t>Points clés : La BofA anticipe une hausse des taux de la BCE en décembre.  •  Les prix de l'énergie sont un facteur clé de l'inflation en zone euro.  •  Cette politique monétaire restrictive pourrait affecter les flux de capitaux vers les marchés émergents.</w:t>
      </w:r>
    </w:p>
    <w:p>
      <w:pPr>
        <w:spacing w:before="0" w:after="60"/>
        <w:ind w:left="600"/>
      </w:pPr>
      <w:r>
        <w:rPr>
          <w:color w:val="0064B4"/>
          <w:sz w:val="15"/>
        </w:rPr>
        <w:t>Source : https://news.google.com/rss/articles/CBMikgJBVV95cUxQNWZ6ZzhONllPemZfcE9VVU5yU2J</w:t>
      </w:r>
    </w:p>
    <w:p>
      <w:pPr>
        <w:spacing w:before="120" w:after="40"/>
      </w:pPr>
      <w:r>
        <w:rPr>
          <w:b/>
          <w:color w:val="00467F"/>
          <w:sz w:val="20"/>
        </w:rPr>
        <w:t>🔑 économique  (1 alerte(s))</w:t>
      </w:r>
    </w:p>
    <w:p>
      <w:pPr>
        <w:spacing w:before="40" w:after="40"/>
        <w:ind w:left="360"/>
      </w:pPr>
      <w:r>
        <w:rPr>
          <w:color w:val="646464"/>
          <w:sz w:val="17"/>
        </w:rPr>
        <w:t xml:space="preserve">[24/09/2026] ⚪  </w:t>
      </w:r>
      <w:r>
        <w:rPr>
          <w:b/>
          <w:color w:val="505050"/>
          <w:sz w:val="18"/>
        </w:rPr>
        <w:t>Cedeao : Le Ghana appelle à élire les membres du Parlement - koaci.com</w:t>
      </w:r>
      <w:r>
        <w:rPr>
          <w:color w:val="787878"/>
          <w:sz w:val="15"/>
        </w:rPr>
        <w:t xml:space="preserve">  [économique]</w:t>
      </w:r>
      <w:r>
        <w:rPr>
          <w:color w:val="B47800"/>
          <w:sz w:val="16"/>
        </w:rPr>
        <w:t xml:space="preserve">  ★ 50/10</w:t>
      </w:r>
    </w:p>
    <w:p>
      <w:pPr>
        <w:spacing w:before="0" w:after="20"/>
        <w:ind w:left="600"/>
      </w:pPr>
      <w:r>
        <w:rPr>
          <w:color w:val="323232"/>
          <w:sz w:val="17"/>
        </w:rPr>
        <w:t>Le Ghana a lancé un appel aux États membres de la Cedeao pour l'élection des membres du Parlement de la Communauté. Cette initiative vise à renforcer la gouvernance démocratique et l'intégration régionale au sein de l'espace communautaire. Elle intervient dans un contexte où les institutions de la Cedeao cherchent à accroître leur légitimité et leu</w:t>
      </w:r>
    </w:p>
    <w:p>
      <w:pPr>
        <w:spacing w:before="0" w:after="40"/>
        <w:ind w:left="600"/>
      </w:pPr>
      <w:r>
        <w:rPr>
          <w:color w:val="00643C"/>
          <w:sz w:val="16"/>
        </w:rPr>
        <w:t>Points clés : Le Ghana appelle à l'élection des membres du Parlement de la Cedeao  •  Objectif : renforcer la gouvernance démocratique et l'intégration régionale  •  Contexte : efforts pour accroître la légitimité des institutions communautaires</w:t>
      </w:r>
    </w:p>
    <w:p>
      <w:pPr>
        <w:spacing w:before="0" w:after="60"/>
        <w:ind w:left="600"/>
      </w:pPr>
      <w:r>
        <w:rPr>
          <w:color w:val="0064B4"/>
          <w:sz w:val="15"/>
        </w:rPr>
        <w:t>Source : https://news.google.com/rss/articles/CBMiwgFBVV95cUxNU1NBdUVKNnU4cW1CejJHMmdJZUl</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8,950</w:t>
            </w:r>
          </w:p>
        </w:tc>
        <w:tc>
          <w:tcPr>
            <w:tcW w:type="dxa" w:w="1080"/>
            <w:shd w:fill="C6EFCE" w:val="clear"/>
          </w:tcPr>
          <w:p>
            <w:r>
              <w:rPr>
                <w:b/>
                <w:sz w:val="16"/>
              </w:rPr>
              <w:t>88/100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2,200</w:t>
            </w:r>
          </w:p>
        </w:tc>
        <w:tc>
          <w:tcPr>
            <w:tcW w:type="dxa" w:w="1080"/>
            <w:shd w:fill="C6EFCE" w:val="clear"/>
          </w:tcPr>
          <w:p>
            <w:r>
              <w:rPr>
                <w:b/>
                <w:sz w:val="16"/>
              </w:rPr>
              <w:t>88/100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7,920</w:t>
            </w:r>
          </w:p>
        </w:tc>
        <w:tc>
          <w:tcPr>
            <w:tcW w:type="dxa" w:w="1080"/>
            <w:shd w:fill="C6EFCE" w:val="clear"/>
          </w:tcPr>
          <w:p>
            <w:r>
              <w:rPr>
                <w:b/>
                <w:sz w:val="16"/>
              </w:rPr>
              <w:t>86/100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2,885</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14,710</w:t>
            </w:r>
          </w:p>
        </w:tc>
        <w:tc>
          <w:tcPr>
            <w:tcW w:type="dxa" w:w="1080"/>
            <w:shd w:fill="C6EFCE" w:val="clear"/>
          </w:tcPr>
          <w:p>
            <w:r>
              <w:rPr>
                <w:b/>
                <w:sz w:val="16"/>
              </w:rPr>
              <w:t>84/100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7,760</w:t>
            </w:r>
          </w:p>
        </w:tc>
        <w:tc>
          <w:tcPr>
            <w:tcW w:type="dxa" w:w="1080"/>
            <w:shd w:fill="C6EFCE" w:val="clear"/>
          </w:tcPr>
          <w:p>
            <w:r>
              <w:rPr>
                <w:b/>
                <w:sz w:val="16"/>
              </w:rPr>
              <w:t>83/100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2,760</w:t>
            </w:r>
          </w:p>
        </w:tc>
        <w:tc>
          <w:tcPr>
            <w:tcW w:type="dxa" w:w="1080"/>
            <w:shd w:fill="C6EFCE" w:val="clear"/>
          </w:tcPr>
          <w:p>
            <w:r>
              <w:rPr>
                <w:b/>
                <w:sz w:val="16"/>
              </w:rPr>
              <w:t>83/100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2,800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7,650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3,200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2,400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16,600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14</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4,780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4,000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41,890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11,470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3,800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3,795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1,890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1,540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8,055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24</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4,080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25</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26</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7,950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27</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6,150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28</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11,910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29</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8,900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38,800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37,800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30,500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2,890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5,880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68</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21,880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21,450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2,250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3,975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7,745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21,500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SIVC</w:t>
            </w:r>
          </w:p>
        </w:tc>
        <w:tc>
          <w:tcPr>
            <w:tcW w:type="dxa" w:w="1080"/>
            <w:shd w:fill="FEFEFE" w:val="clear"/>
          </w:tcPr>
          <w:p>
            <w:r>
              <w:rPr>
                <w:sz w:val="16"/>
              </w:rPr>
              <w:t>INDUSTRIELS</w:t>
            </w:r>
          </w:p>
        </w:tc>
        <w:tc>
          <w:tcPr>
            <w:tcW w:type="dxa" w:w="1080"/>
            <w:shd w:fill="FEFEFE" w:val="clear"/>
          </w:tcPr>
          <w:p>
            <w:r>
              <w:rPr>
                <w:sz w:val="16"/>
              </w:rPr>
              <w:t>2,090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BOAB</w:t>
            </w:r>
          </w:p>
        </w:tc>
        <w:tc>
          <w:tcPr>
            <w:tcW w:type="dxa" w:w="1728"/>
            <w:shd w:fill="DEEAF1" w:val="clear"/>
          </w:tcPr>
          <w:p>
            <w:r>
              <w:rPr>
                <w:sz w:val="17"/>
              </w:rPr>
              <w:t>BANK OF AFRICA BENIN</w:t>
            </w:r>
          </w:p>
        </w:tc>
        <w:tc>
          <w:tcPr>
            <w:tcW w:type="dxa" w:w="1728"/>
            <w:shd w:fill="DEEAF1" w:val="clear"/>
          </w:tcPr>
          <w:p>
            <w:r>
              <w:rPr>
                <w:sz w:val="17"/>
              </w:rPr>
              <w:t>8,950</w:t>
            </w:r>
          </w:p>
        </w:tc>
        <w:tc>
          <w:tcPr>
            <w:tcW w:type="dxa" w:w="1728"/>
            <w:shd w:fill="DEEAF1" w:val="clear"/>
          </w:tcPr>
          <w:p>
            <w:r>
              <w:rPr>
                <w:sz w:val="17"/>
              </w:rPr>
              <w:t>88/100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2,200</w:t>
            </w:r>
          </w:p>
        </w:tc>
        <w:tc>
          <w:tcPr>
            <w:tcW w:type="dxa" w:w="1728"/>
            <w:shd w:fill="DEEAF1" w:val="clear"/>
          </w:tcPr>
          <w:p>
            <w:r>
              <w:rPr>
                <w:sz w:val="17"/>
              </w:rPr>
              <w:t>88/100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2,885</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7,760</w:t>
            </w:r>
          </w:p>
        </w:tc>
        <w:tc>
          <w:tcPr>
            <w:tcW w:type="dxa" w:w="1728"/>
            <w:shd w:fill="DEEAF1" w:val="clear"/>
          </w:tcPr>
          <w:p>
            <w:r>
              <w:rPr>
                <w:sz w:val="17"/>
              </w:rPr>
              <w:t>83/100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2,760</w:t>
            </w:r>
          </w:p>
        </w:tc>
        <w:tc>
          <w:tcPr>
            <w:tcW w:type="dxa" w:w="1728"/>
            <w:shd w:fill="DEEAF1" w:val="clear"/>
          </w:tcPr>
          <w:p>
            <w:r>
              <w:rPr>
                <w:sz w:val="17"/>
              </w:rPr>
              <w:t>83/100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7,650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3,200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2,400</w:t>
            </w:r>
          </w:p>
        </w:tc>
        <w:tc>
          <w:tcPr>
            <w:tcW w:type="dxa" w:w="1728"/>
            <w:shd w:fill="DEEAF1" w:val="clear"/>
          </w:tcPr>
          <w:p>
            <w:r>
              <w:rPr>
                <w:sz w:val="17"/>
              </w:rPr>
              <w:t>78/100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8,950</w:t>
            </w:r>
          </w:p>
        </w:tc>
        <w:tc>
          <w:tcPr>
            <w:tcW w:type="dxa" w:w="1728"/>
            <w:shd w:fill="E2EFDA" w:val="clear"/>
          </w:tcPr>
          <w:p>
            <w:r>
              <w:rPr>
                <w:sz w:val="17"/>
              </w:rPr>
              <w:t>88/100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2,200</w:t>
            </w:r>
          </w:p>
        </w:tc>
        <w:tc>
          <w:tcPr>
            <w:tcW w:type="dxa" w:w="1728"/>
            <w:shd w:fill="E2EFDA" w:val="clear"/>
          </w:tcPr>
          <w:p>
            <w:r>
              <w:rPr>
                <w:sz w:val="17"/>
              </w:rPr>
              <w:t>88/100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7,920</w:t>
            </w:r>
          </w:p>
        </w:tc>
        <w:tc>
          <w:tcPr>
            <w:tcW w:type="dxa" w:w="1728"/>
            <w:shd w:fill="E2EFDA" w:val="clear"/>
          </w:tcPr>
          <w:p>
            <w:r>
              <w:rPr>
                <w:sz w:val="17"/>
              </w:rPr>
              <w:t>86/100</w:t>
            </w:r>
          </w:p>
        </w:tc>
        <w:tc>
          <w:tcPr>
            <w:tcW w:type="dxa" w:w="1728"/>
            <w:shd w:fill="E2EFDA" w:val="clear"/>
          </w:tcPr>
          <w:p>
            <w:r>
              <w:rPr>
                <w:sz w:val="17"/>
              </w:rPr>
              <w:t>11.2%</w:t>
            </w:r>
          </w:p>
        </w:tc>
      </w:tr>
      <w:tr>
        <w:tc>
          <w:tcPr>
            <w:tcW w:type="dxa" w:w="1728"/>
            <w:shd w:fill="E2EFDA" w:val="clear"/>
          </w:tcPr>
          <w:p>
            <w:r>
              <w:rPr>
                <w:sz w:val="17"/>
              </w:rPr>
              <w:t>ORGT</w:t>
            </w:r>
          </w:p>
        </w:tc>
        <w:tc>
          <w:tcPr>
            <w:tcW w:type="dxa" w:w="1728"/>
            <w:shd w:fill="E2EFDA" w:val="clear"/>
          </w:tcPr>
          <w:p>
            <w:r>
              <w:rPr>
                <w:sz w:val="17"/>
              </w:rPr>
              <w:t>ORGT - ORAGROUP TOGO</w:t>
            </w:r>
          </w:p>
        </w:tc>
        <w:tc>
          <w:tcPr>
            <w:tcW w:type="dxa" w:w="1728"/>
            <w:shd w:fill="E2EFDA" w:val="clear"/>
          </w:tcPr>
          <w:p>
            <w:r>
              <w:rPr>
                <w:sz w:val="17"/>
              </w:rPr>
              <w:t>2,885</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SMBC</w:t>
            </w:r>
          </w:p>
        </w:tc>
        <w:tc>
          <w:tcPr>
            <w:tcW w:type="dxa" w:w="1728"/>
            <w:shd w:fill="E2EFDA" w:val="clear"/>
          </w:tcPr>
          <w:p>
            <w:r>
              <w:rPr>
                <w:sz w:val="17"/>
              </w:rPr>
              <w:t>SMBC - Société Multinational</w:t>
            </w:r>
          </w:p>
        </w:tc>
        <w:tc>
          <w:tcPr>
            <w:tcW w:type="dxa" w:w="1728"/>
            <w:shd w:fill="E2EFDA" w:val="clear"/>
          </w:tcPr>
          <w:p>
            <w:r>
              <w:rPr>
                <w:sz w:val="17"/>
              </w:rPr>
              <w:t>14,710</w:t>
            </w:r>
          </w:p>
        </w:tc>
        <w:tc>
          <w:tcPr>
            <w:tcW w:type="dxa" w:w="1728"/>
            <w:shd w:fill="E2EFDA" w:val="clear"/>
          </w:tcPr>
          <w:p>
            <w:r>
              <w:rPr>
                <w:sz w:val="17"/>
              </w:rPr>
              <w:t>84/100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7,760</w:t>
            </w:r>
          </w:p>
        </w:tc>
        <w:tc>
          <w:tcPr>
            <w:tcW w:type="dxa" w:w="1728"/>
            <w:shd w:fill="E2EFDA" w:val="clear"/>
          </w:tcPr>
          <w:p>
            <w:r>
              <w:rPr>
                <w:sz w:val="17"/>
              </w:rPr>
              <w:t>83/100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2,760</w:t>
            </w:r>
          </w:p>
        </w:tc>
        <w:tc>
          <w:tcPr>
            <w:tcW w:type="dxa" w:w="1728"/>
            <w:shd w:fill="E2EFDA" w:val="clear"/>
          </w:tcPr>
          <w:p>
            <w:r>
              <w:rPr>
                <w:sz w:val="17"/>
              </w:rPr>
              <w:t>83/100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2,800</w:t>
            </w:r>
          </w:p>
        </w:tc>
        <w:tc>
          <w:tcPr>
            <w:tcW w:type="dxa" w:w="1728"/>
            <w:shd w:fill="E2EFDA" w:val="clear"/>
          </w:tcPr>
          <w:p>
            <w:r>
              <w:rPr>
                <w:sz w:val="17"/>
              </w:rPr>
              <w:t>80/100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8,950</w:t>
            </w:r>
          </w:p>
        </w:tc>
        <w:tc>
          <w:tcPr>
            <w:tcW w:type="dxa" w:w="1728"/>
            <w:shd w:fill="FCE4D6" w:val="clear"/>
          </w:tcPr>
          <w:p>
            <w:r>
              <w:rPr>
                <w:sz w:val="17"/>
              </w:rPr>
              <w:t>88/100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2,200</w:t>
            </w:r>
          </w:p>
        </w:tc>
        <w:tc>
          <w:tcPr>
            <w:tcW w:type="dxa" w:w="1728"/>
            <w:shd w:fill="FCE4D6" w:val="clear"/>
          </w:tcPr>
          <w:p>
            <w:r>
              <w:rPr>
                <w:sz w:val="17"/>
              </w:rPr>
              <w:t>88/100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7,920</w:t>
            </w:r>
          </w:p>
        </w:tc>
        <w:tc>
          <w:tcPr>
            <w:tcW w:type="dxa" w:w="1728"/>
            <w:shd w:fill="FCE4D6" w:val="clear"/>
          </w:tcPr>
          <w:p>
            <w:r>
              <w:rPr>
                <w:sz w:val="17"/>
              </w:rPr>
              <w:t>86/100</w:t>
            </w:r>
          </w:p>
        </w:tc>
        <w:tc>
          <w:tcPr>
            <w:tcW w:type="dxa" w:w="1728"/>
            <w:shd w:fill="FCE4D6" w:val="clear"/>
          </w:tcPr>
          <w:p>
            <w:r>
              <w:rPr>
                <w:sz w:val="17"/>
              </w:rPr>
              <w:t>11.9%</w:t>
            </w:r>
          </w:p>
        </w:tc>
      </w:tr>
      <w:tr>
        <w:tc>
          <w:tcPr>
            <w:tcW w:type="dxa" w:w="1728"/>
            <w:shd w:fill="FCE4D6" w:val="clear"/>
          </w:tcPr>
          <w:p>
            <w:r>
              <w:rPr>
                <w:sz w:val="17"/>
              </w:rPr>
              <w:t>ORGT</w:t>
            </w:r>
          </w:p>
        </w:tc>
        <w:tc>
          <w:tcPr>
            <w:tcW w:type="dxa" w:w="1728"/>
            <w:shd w:fill="FCE4D6" w:val="clear"/>
          </w:tcPr>
          <w:p>
            <w:r>
              <w:rPr>
                <w:sz w:val="17"/>
              </w:rPr>
              <w:t>ORGT - ORAGROUP TOGO</w:t>
            </w:r>
          </w:p>
        </w:tc>
        <w:tc>
          <w:tcPr>
            <w:tcW w:type="dxa" w:w="1728"/>
            <w:shd w:fill="FCE4D6" w:val="clear"/>
          </w:tcPr>
          <w:p>
            <w:r>
              <w:rPr>
                <w:sz w:val="17"/>
              </w:rPr>
              <w:t>2,885</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SMBC</w:t>
            </w:r>
          </w:p>
        </w:tc>
        <w:tc>
          <w:tcPr>
            <w:tcW w:type="dxa" w:w="1728"/>
            <w:shd w:fill="FCE4D6" w:val="clear"/>
          </w:tcPr>
          <w:p>
            <w:r>
              <w:rPr>
                <w:sz w:val="17"/>
              </w:rPr>
              <w:t>SMBC - Société Multinational</w:t>
            </w:r>
          </w:p>
        </w:tc>
        <w:tc>
          <w:tcPr>
            <w:tcW w:type="dxa" w:w="1728"/>
            <w:shd w:fill="FCE4D6" w:val="clear"/>
          </w:tcPr>
          <w:p>
            <w:r>
              <w:rPr>
                <w:sz w:val="17"/>
              </w:rPr>
              <w:t>14,710</w:t>
            </w:r>
          </w:p>
        </w:tc>
        <w:tc>
          <w:tcPr>
            <w:tcW w:type="dxa" w:w="1728"/>
            <w:shd w:fill="FCE4D6" w:val="clear"/>
          </w:tcPr>
          <w:p>
            <w:r>
              <w:rPr>
                <w:sz w:val="17"/>
              </w:rPr>
              <w:t>84/100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7,760</w:t>
            </w:r>
          </w:p>
        </w:tc>
        <w:tc>
          <w:tcPr>
            <w:tcW w:type="dxa" w:w="1728"/>
            <w:shd w:fill="FCE4D6" w:val="clear"/>
          </w:tcPr>
          <w:p>
            <w:r>
              <w:rPr>
                <w:sz w:val="17"/>
              </w:rPr>
              <w:t>83/100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2,760</w:t>
            </w:r>
          </w:p>
        </w:tc>
        <w:tc>
          <w:tcPr>
            <w:tcW w:type="dxa" w:w="1728"/>
            <w:shd w:fill="FCE4D6" w:val="clear"/>
          </w:tcPr>
          <w:p>
            <w:r>
              <w:rPr>
                <w:sz w:val="17"/>
              </w:rPr>
              <w:t>83/100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2,800</w:t>
            </w:r>
          </w:p>
        </w:tc>
        <w:tc>
          <w:tcPr>
            <w:tcW w:type="dxa" w:w="1728"/>
            <w:shd w:fill="FCE4D6" w:val="clear"/>
          </w:tcPr>
          <w:p>
            <w:r>
              <w:rPr>
                <w:sz w:val="17"/>
              </w:rPr>
              <w:t>80/100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RSI survente (20.7 &lt; 30) — opportunité potentielle</w:t>
      </w:r>
    </w:p>
    <w:p>
      <w:pPr>
        <w:pStyle w:val="ListBullet"/>
        <w:spacing w:before="20"/>
        <w:ind w:left="400"/>
      </w:pPr>
      <w:r>
        <w:rPr>
          <w:sz w:val="18"/>
        </w:rPr>
        <w:t>⚠️ Cours à 0.3% du plus bas 100j (3,190 FCFA)</w:t>
      </w:r>
    </w:p>
    <w:p>
      <w:pPr>
        <w:spacing w:before="120"/>
      </w:pPr>
      <w:r>
        <w:rPr>
          <w:b/>
          <w:color w:val="0050A0"/>
          <w:sz w:val="20"/>
        </w:rPr>
        <w:t>SCRC — SCRC - SUCRIVOIRE</w:t>
      </w:r>
    </w:p>
    <w:p>
      <w:pPr>
        <w:pStyle w:val="ListBullet"/>
        <w:spacing w:before="20"/>
        <w:ind w:left="400"/>
      </w:pPr>
      <w:r>
        <w:rPr>
          <w:sz w:val="18"/>
        </w:rPr>
        <w:t>🟢 RSI survente (18.5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1.3%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RSI surachat (72.0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(72.5 &gt; 70) — risque de correction</w:t>
      </w:r>
    </w:p>
    <w:p>
      <w:pPr>
        <w:pStyle w:val="ListBullet"/>
        <w:spacing w:before="20"/>
        <w:ind w:left="400"/>
      </w:pPr>
      <w:r>
        <w:rPr>
          <w:sz w:val="18"/>
        </w:rPr>
        <w:t>⚠️ Cours à 0.7% du plus haut 100j (42,190 FCFA)</w:t>
      </w:r>
    </w:p>
    <w:p>
      <w:pPr>
        <w:spacing w:before="120"/>
      </w:pPr>
      <w:r>
        <w:rPr>
          <w:b/>
          <w:color w:val="0050A0"/>
          <w:sz w:val="20"/>
        </w:rPr>
        <w:t>STAC — STAC - SETAO COTE D'IVOIRE</w:t>
      </w:r>
    </w:p>
    <w:p>
      <w:pPr>
        <w:pStyle w:val="ListBullet"/>
        <w:spacing w:before="20"/>
        <w:ind w:left="400"/>
      </w:pPr>
      <w:r>
        <w:rPr>
          <w:sz w:val="18"/>
        </w:rPr>
        <w:t>🟢 RSI survente (28.7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RSI survente (20.0 &lt; 30) — opportunité potentielle</w:t>
      </w:r>
    </w:p>
    <w:p>
      <w:pPr>
        <w:spacing w:before="120"/>
      </w:pPr>
      <w:r>
        <w:rPr>
          <w:b/>
          <w:color w:val="0050A0"/>
          <w:sz w:val="20"/>
        </w:rPr>
        <w:t>BOAB — BANK OF AFRICA BENIN</w:t>
      </w:r>
    </w:p>
    <w:p>
      <w:pPr>
        <w:pStyle w:val="ListBullet"/>
        <w:spacing w:before="20"/>
        <w:ind w:left="400"/>
      </w:pPr>
      <w:r>
        <w:rPr>
          <w:sz w:val="18"/>
        </w:rPr>
        <w:t>🟢 RSI survente (20.5 &lt; 30) — opportunité potentielle</w:t>
      </w:r>
    </w:p>
    <w:p>
      <w:pPr>
        <w:spacing w:before="120"/>
      </w:pPr>
      <w:r>
        <w:rPr>
          <w:b/>
          <w:color w:val="0050A0"/>
          <w:sz w:val="20"/>
        </w:rPr>
        <w:t>BOABF — BANK OF AFRICA BURKINA FASO</w:t>
      </w:r>
    </w:p>
    <w:p>
      <w:pPr>
        <w:pStyle w:val="ListBullet"/>
        <w:spacing w:before="20"/>
        <w:ind w:left="400"/>
      </w:pPr>
      <w:r>
        <w:rPr>
          <w:sz w:val="18"/>
        </w:rPr>
        <w:t>🟢 RSI survente (29.4 &lt; 30) — opportunité potentielle</w:t>
      </w:r>
    </w:p>
    <w:p>
      <w:pPr>
        <w:spacing w:before="120"/>
      </w:pPr>
      <w:r>
        <w:rPr>
          <w:b/>
          <w:color w:val="0050A0"/>
          <w:sz w:val="20"/>
        </w:rPr>
        <w:t>BOAC — BANK OF AFRICA COTE D'IVOIRE</w:t>
      </w:r>
    </w:p>
    <w:p>
      <w:pPr>
        <w:pStyle w:val="ListBullet"/>
        <w:spacing w:before="20"/>
        <w:ind w:left="400"/>
      </w:pPr>
      <w:r>
        <w:rPr>
          <w:sz w:val="18"/>
        </w:rPr>
        <w:t>🟢 RSI survente (28.4 &lt; 30) — opportunité potentielle</w:t>
      </w:r>
    </w:p>
    <w:p>
      <w:pPr>
        <w:spacing w:before="120"/>
      </w:pPr>
      <w:r>
        <w:rPr>
          <w:b/>
          <w:color w:val="0050A0"/>
          <w:sz w:val="20"/>
        </w:rPr>
        <w:t>BOAN — BANK OF AFRICA NIGER</w:t>
      </w:r>
    </w:p>
    <w:p>
      <w:pPr>
        <w:pStyle w:val="ListBullet"/>
        <w:spacing w:before="20"/>
        <w:ind w:left="400"/>
      </w:pPr>
      <w:r>
        <w:rPr>
          <w:sz w:val="18"/>
        </w:rPr>
        <w:t>🟢 RSI survente (27.2 &lt; 30) — opportunité potentielle</w:t>
      </w:r>
    </w:p>
    <w:p>
      <w:pPr>
        <w:spacing w:before="120"/>
      </w:pPr>
      <w:r>
        <w:rPr>
          <w:b/>
          <w:color w:val="0050A0"/>
          <w:sz w:val="20"/>
        </w:rPr>
        <w:t>CFAC — CFAC - CFAO MOTORS CI</w:t>
      </w:r>
    </w:p>
    <w:p>
      <w:pPr>
        <w:pStyle w:val="ListBullet"/>
        <w:spacing w:before="20"/>
        <w:ind w:left="400"/>
      </w:pPr>
      <w:r>
        <w:rPr>
          <w:sz w:val="18"/>
        </w:rPr>
        <w:t>🟢 RSI survente (24.7 &lt; 30) — opportunité potentielle</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(28.4 &lt; 30) — opportunité potentielle</w:t>
      </w:r>
    </w:p>
    <w:p>
      <w:pPr>
        <w:spacing w:before="120"/>
      </w:pPr>
      <w:r>
        <w:rPr>
          <w:b/>
          <w:color w:val="0050A0"/>
          <w:sz w:val="20"/>
        </w:rPr>
        <w:t>NTLC — NTLC - NESTLE COTE D'IVOIRE</w:t>
      </w:r>
    </w:p>
    <w:p>
      <w:pPr>
        <w:pStyle w:val="ListBullet"/>
        <w:spacing w:before="20"/>
        <w:ind w:left="400"/>
      </w:pPr>
      <w:r>
        <w:rPr>
          <w:sz w:val="18"/>
        </w:rPr>
        <w:t>🟢 RSI survente (26.0 &lt; 30) — opportunité potentielle</w:t>
      </w:r>
    </w:p>
    <w:p>
      <w:pPr>
        <w:spacing w:before="120"/>
      </w:pPr>
      <w:r>
        <w:rPr>
          <w:b/>
          <w:color w:val="0050A0"/>
          <w:sz w:val="20"/>
        </w:rPr>
        <w:t>ORGT — ORGT - ORAGROUP TOGO</w:t>
      </w:r>
    </w:p>
    <w:p>
      <w:pPr>
        <w:pStyle w:val="ListBullet"/>
        <w:spacing w:before="20"/>
        <w:ind w:left="400"/>
      </w:pPr>
      <w:r>
        <w:rPr>
          <w:sz w:val="18"/>
        </w:rPr>
        <w:t>🟢 RSI survente (26.8 &lt; 30) — opportunité potentielle</w:t>
      </w:r>
    </w:p>
    <w:p>
      <w:pPr>
        <w:spacing w:before="120"/>
      </w:pPr>
      <w:r>
        <w:rPr>
          <w:b/>
          <w:color w:val="0050A0"/>
          <w:sz w:val="20"/>
        </w:rPr>
        <w:t>PALC — PALC - PALM COTE D'IVOIRE</w:t>
      </w:r>
    </w:p>
    <w:p>
      <w:pPr>
        <w:pStyle w:val="ListBullet"/>
        <w:spacing w:before="20"/>
        <w:ind w:left="400"/>
      </w:pPr>
      <w:r>
        <w:rPr>
          <w:sz w:val="18"/>
        </w:rPr>
        <w:t>🟢 RSI survente (19.4 &lt; 30) — opportunité potentielle</w:t>
      </w:r>
    </w:p>
    <w:p>
      <w:pPr>
        <w:spacing w:before="120"/>
      </w:pPr>
      <w:r>
        <w:rPr>
          <w:b/>
          <w:color w:val="0050A0"/>
          <w:sz w:val="20"/>
        </w:rPr>
        <w:t>SAFC — SAFCA CI</w:t>
      </w:r>
    </w:p>
    <w:p>
      <w:pPr>
        <w:pStyle w:val="ListBullet"/>
        <w:spacing w:before="20"/>
        <w:ind w:left="400"/>
      </w:pPr>
      <w:r>
        <w:rPr>
          <w:sz w:val="18"/>
        </w:rPr>
        <w:t>🟢 RSI survente (15.8 &lt; 30) — opportunité potentielle</w:t>
      </w:r>
    </w:p>
    <w:p>
      <w:pPr>
        <w:spacing w:before="120"/>
      </w:pPr>
      <w:r>
        <w:rPr>
          <w:b/>
          <w:color w:val="0050A0"/>
          <w:sz w:val="20"/>
        </w:rPr>
        <w:t>SDSC — SDSC - AFRICA GLOBAL LOGISTICS CI</w:t>
      </w:r>
    </w:p>
    <w:p>
      <w:pPr>
        <w:pStyle w:val="ListBullet"/>
        <w:spacing w:before="20"/>
        <w:ind w:left="400"/>
      </w:pPr>
      <w:r>
        <w:rPr>
          <w:sz w:val="18"/>
        </w:rPr>
        <w:t>🟢 RSI survente (25.7 &lt; 30) — opportunité potentielle</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survente (22.9 &lt; 30) — opportunité potentielle</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survente (16.7 &lt; 30) — opportunité potentielle</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RSI survente (27.8 &lt; 30) — opportunité potentielle</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survente (20.3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25 société(s) (53%)</w:t>
            </w:r>
          </w:p>
        </w:tc>
        <w:tc>
          <w:tcPr>
            <w:tcW w:type="dxa" w:w="1644"/>
            <w:shd w:fill="FFEB9C" w:val="clear"/>
          </w:tcPr>
          <w:p>
            <w:r>
              <w:rPr>
                <w:b/>
                <w:color w:val="825A00"/>
                <w:sz w:val="19"/>
              </w:rPr>
              <w:t>22 société(s) (47%)</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20.1/100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20.1/100).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28.3/100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CBIBF (31.3/100 — Moyen) : </w:t>
      </w:r>
      <w:r>
        <w:rPr>
          <w:sz w:val="17"/>
        </w:rPr>
        <w:t>Volatilité=Élevée | Bêta=Agressif | Liquidité=Bonne | Divergence signaux=taux divergence=20% (Mixte ⚠️) | Stabilité=Stable</w:t>
      </w:r>
    </w:p>
    <w:p>
      <w:pPr>
        <w:pStyle w:val="ListBullet"/>
      </w:pPr>
      <w:r>
        <w:rPr>
          <w:b/>
          <w:color w:val="B40000"/>
          <w:sz w:val="18"/>
        </w:rPr>
        <w:t xml:space="preserve">#4 CIEC (29.8/100 — Moyen) : </w:t>
      </w:r>
      <w:r>
        <w:rPr>
          <w:sz w:val="17"/>
        </w:rPr>
        <w:t>Volatilité=Élevée | Bêta=Neutre  | Liquidité=Bonne | Divergence signaux=taux divergence=20% (Mixte ⚠️) | Stabilité=Modérée</w:t>
      </w:r>
    </w:p>
    <w:p>
      <w:pPr>
        <w:pStyle w:val="ListBullet"/>
      </w:pPr>
      <w:r>
        <w:rPr>
          <w:b/>
          <w:color w:val="B40000"/>
          <w:sz w:val="18"/>
        </w:rPr>
        <w:t xml:space="preserve">#5 BOAN (28.3/100 — Moyen) : </w:t>
      </w:r>
      <w:r>
        <w:rPr>
          <w:sz w:val="17"/>
        </w:rPr>
        <w:t>Volatilité=Élevée | Bêta=Neutre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12.5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+0.42%  |  Médiane : -1.10%</w:t>
            </w:r>
          </w:p>
        </w:tc>
      </w:tr>
      <w:tr>
        <w:tc>
          <w:tcPr>
            <w:tcW w:type="dxa" w:w="2835"/>
            <w:shd w:fill="DEEAF1" w:val="clear"/>
          </w:tcPr>
          <w:p>
            <w:r>
              <w:rPr>
                <w:b/>
                <w:sz w:val="18"/>
              </w:rPr>
              <w:t>Répartition</w:t>
            </w:r>
          </w:p>
        </w:tc>
        <w:tc>
          <w:tcPr>
            <w:tcW w:type="dxa" w:w="7370"/>
          </w:tcPr>
          <w:p>
            <w:r>
              <w:rPr>
                <w:b/>
                <w:sz w:val="18"/>
              </w:rPr>
              <w:t>📈 16 sociétés en hausse (&gt;+1%)   📉 24 en baisse (&lt;-1%)   ➡️ 7 neutres</w:t>
            </w:r>
          </w:p>
        </w:tc>
      </w:tr>
      <w:tr>
        <w:tc>
          <w:tcPr>
            <w:tcW w:type="dxa" w:w="2835"/>
            <w:shd w:fill="DEEAF1" w:val="clear"/>
          </w:tcPr>
          <w:p>
            <w:r>
              <w:rPr>
                <w:b/>
                <w:sz w:val="18"/>
              </w:rPr>
              <w:t>Confiance globale</w:t>
            </w:r>
          </w:p>
        </w:tc>
        <w:tc>
          <w:tcPr>
            <w:tcW w:type="dxa" w:w="7370"/>
          </w:tcPr>
          <w:p>
            <w:r>
              <w:rPr>
                <w:b/>
                <w:sz w:val="18"/>
              </w:rPr>
              <w:t>Élevée : 0 sociétés (0%)   Moyenne : 10   Faible : 37 (79%)   → Confiance dominante : Faible</w:t>
            </w:r>
          </w:p>
        </w:tc>
      </w:tr>
    </w:tbl>
    <w:p/>
    <w:p>
      <w:r>
        <w:rPr>
          <w:i/>
          <w:color w:val="282828"/>
          <w:sz w:val="18"/>
        </w:rPr>
        <w:t>📝 Analyse : Les modèles n'anticipent pas de mouvement directionnel clair. La variation moyenne est de +0.42% avec 7 sociétés en zone neutre (±1%).</w:t>
      </w:r>
    </w:p>
    <w:p>
      <w:r>
        <w:rPr>
          <w:i/>
          <w:color w:val="282828"/>
          <w:sz w:val="18"/>
        </w:rPr>
        <w:t>🎯 Fiabilité : ⚠️ La confiance est globalement FAIBLE (79%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4,000 FCFA</w:t>
            </w:r>
          </w:p>
        </w:tc>
        <w:tc>
          <w:tcPr>
            <w:tcW w:type="dxa" w:w="1417"/>
            <w:shd w:fill="FFFFFF" w:val="clear"/>
          </w:tcPr>
          <w:p>
            <w:r>
              <w:rPr>
                <w:sz w:val="16"/>
              </w:rPr>
              <w:t>4,797 FCFA</w:t>
            </w:r>
          </w:p>
        </w:tc>
        <w:tc>
          <w:tcPr>
            <w:tcW w:type="dxa" w:w="1134"/>
            <w:shd w:fill="C6EFCE" w:val="clear"/>
          </w:tcPr>
          <w:p>
            <w:r>
              <w:rPr>
                <w:b/>
                <w:color w:val="007800"/>
                <w:sz w:val="16"/>
              </w:rPr>
              <w:t>+19.92%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2,890 FCFA</w:t>
            </w:r>
          </w:p>
        </w:tc>
        <w:tc>
          <w:tcPr>
            <w:tcW w:type="dxa" w:w="1417"/>
            <w:shd w:fill="FFFFFF" w:val="clear"/>
          </w:tcPr>
          <w:p>
            <w:r>
              <w:rPr>
                <w:sz w:val="16"/>
              </w:rPr>
              <w:t>3,421 FCFA</w:t>
            </w:r>
          </w:p>
        </w:tc>
        <w:tc>
          <w:tcPr>
            <w:tcW w:type="dxa" w:w="1134"/>
            <w:shd w:fill="C6EFCE" w:val="clear"/>
          </w:tcPr>
          <w:p>
            <w:r>
              <w:rPr>
                <w:b/>
                <w:color w:val="007800"/>
                <w:sz w:val="16"/>
              </w:rPr>
              <w:t>+18.38%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7,920 FCFA</w:t>
            </w:r>
          </w:p>
        </w:tc>
        <w:tc>
          <w:tcPr>
            <w:tcW w:type="dxa" w:w="1417"/>
            <w:shd w:fill="FFFFFF" w:val="clear"/>
          </w:tcPr>
          <w:p>
            <w:r>
              <w:rPr>
                <w:sz w:val="16"/>
              </w:rPr>
              <w:t>9,161 FCFA</w:t>
            </w:r>
          </w:p>
        </w:tc>
        <w:tc>
          <w:tcPr>
            <w:tcW w:type="dxa" w:w="1134"/>
            <w:shd w:fill="C6EFCE" w:val="clear"/>
          </w:tcPr>
          <w:p>
            <w:r>
              <w:rPr>
                <w:b/>
                <w:color w:val="007800"/>
                <w:sz w:val="16"/>
              </w:rPr>
              <w:t>+15.67%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5,880 FCFA</w:t>
            </w:r>
          </w:p>
        </w:tc>
        <w:tc>
          <w:tcPr>
            <w:tcW w:type="dxa" w:w="1417"/>
            <w:shd w:fill="FFFFFF" w:val="clear"/>
          </w:tcPr>
          <w:p>
            <w:r>
              <w:rPr>
                <w:sz w:val="16"/>
              </w:rPr>
              <w:t>6,696 FCFA</w:t>
            </w:r>
          </w:p>
        </w:tc>
        <w:tc>
          <w:tcPr>
            <w:tcW w:type="dxa" w:w="1134"/>
            <w:shd w:fill="C6EFCE" w:val="clear"/>
          </w:tcPr>
          <w:p>
            <w:r>
              <w:rPr>
                <w:b/>
                <w:color w:val="007800"/>
                <w:sz w:val="16"/>
              </w:rPr>
              <w:t>+13.87%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11,910 FCFA</w:t>
            </w:r>
          </w:p>
        </w:tc>
        <w:tc>
          <w:tcPr>
            <w:tcW w:type="dxa" w:w="1417"/>
            <w:shd w:fill="FFFFFF" w:val="clear"/>
          </w:tcPr>
          <w:p>
            <w:r>
              <w:rPr>
                <w:sz w:val="16"/>
              </w:rPr>
              <w:t>13,361 FCFA</w:t>
            </w:r>
          </w:p>
        </w:tc>
        <w:tc>
          <w:tcPr>
            <w:tcW w:type="dxa" w:w="1134"/>
            <w:shd w:fill="C6EFCE" w:val="clear"/>
          </w:tcPr>
          <w:p>
            <w:r>
              <w:rPr>
                <w:b/>
                <w:color w:val="007800"/>
                <w:sz w:val="16"/>
              </w:rPr>
              <w:t>+12.18%</w:t>
            </w:r>
          </w:p>
        </w:tc>
        <w:tc>
          <w:tcPr>
            <w:tcW w:type="dxa" w:w="1020"/>
            <w:shd w:fill="FFC7CE" w:val="clear"/>
          </w:tcPr>
          <w:p>
            <w:r>
              <w:rPr>
                <w:sz w:val="16"/>
              </w:rPr>
              <w:t>Faible</w:t>
            </w:r>
          </w:p>
        </w:tc>
      </w:tr>
    </w:tbl>
    <w:p/>
    <w:p>
      <w:pPr>
        <w:pStyle w:val="ListBullet"/>
      </w:pPr>
      <w:r>
        <w:rPr>
          <w:b/>
          <w:color w:val="006400"/>
          <w:sz w:val="18"/>
        </w:rPr>
        <w:t xml:space="preserve">#1 SAFC </w:t>
      </w:r>
      <w:r>
        <w:rPr>
          <w:sz w:val="17"/>
        </w:rPr>
        <w:t>(SAFCA CI) — hausse significative (+19.9%) — potentiel de revalorisation notable. Trajectoire : 📈 Hausse continue. Cours actuel : 4,000 FCFA → prédit J+10 : 4,797 FCFA. ⚠️ Confiance limitée — volatilité élevée ou données insuffisantes. Résultat indicatif uniquement.</w:t>
      </w:r>
    </w:p>
    <w:p>
      <w:pPr>
        <w:pStyle w:val="ListBullet"/>
      </w:pPr>
      <w:r>
        <w:rPr>
          <w:b/>
          <w:color w:val="006400"/>
          <w:sz w:val="18"/>
        </w:rPr>
        <w:t xml:space="preserve">#2 SCRC </w:t>
      </w:r>
      <w:r>
        <w:rPr>
          <w:sz w:val="17"/>
        </w:rPr>
        <w:t>(SCRC - SUCRIVOIRE) — hausse significative (+18.4%) — potentiel de revalorisation notable. Trajectoire : 📈 Hausse continue. Cours actuel : 2,890 FCFA → prédit J+10 : 3,421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(+15.7%) — potentiel de revalorisation notable. Trajectoire : 📈 Hausse continue. Cours actuel : 7,920 FCFA → prédit J+10 : 9,161 FCFA. ⚠️ Confiance limitée — volatilité élevée ou données insuffisantes. Résultat indicatif uniquement.</w:t>
      </w:r>
    </w:p>
    <w:p>
      <w:pPr>
        <w:pStyle w:val="ListBullet"/>
      </w:pPr>
      <w:r>
        <w:rPr>
          <w:b/>
          <w:color w:val="006400"/>
          <w:sz w:val="18"/>
        </w:rPr>
        <w:t xml:space="preserve">#4 BOAM </w:t>
      </w:r>
      <w:r>
        <w:rPr>
          <w:sz w:val="17"/>
        </w:rPr>
        <w:t>(BANK OF AFRICA MALI) — hausse significative (+13.9%) — potentiel de revalorisation notable. Trajectoire : 📈 Hausse continue. Cours actuel : 5,880 FCFA → prédit J+10 : 6,696 FCFA. ⚠️ Confiance limitée — volatilité élevée ou données insuffisantes. Résultat indicatif uniquement.</w:t>
      </w:r>
    </w:p>
    <w:p>
      <w:pPr>
        <w:pStyle w:val="ListBullet"/>
      </w:pPr>
      <w:r>
        <w:rPr>
          <w:b/>
          <w:color w:val="006400"/>
          <w:sz w:val="18"/>
        </w:rPr>
        <w:t xml:space="preserve">#5 SDCC </w:t>
      </w:r>
      <w:r>
        <w:rPr>
          <w:sz w:val="17"/>
        </w:rPr>
        <w:t>(SDCC - Société de Distribution d'Eau de ) — hausse significative (+12.2%) — potentiel de revalorisation notable. Trajectoire : 📈 Hausse continue. Cours actuel : 11,910 FCFA → prédit J+10 : 13,361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2,475 FCFA</w:t>
            </w:r>
          </w:p>
        </w:tc>
        <w:tc>
          <w:tcPr>
            <w:tcW w:type="dxa" w:w="1417"/>
            <w:shd w:fill="FFFFFF" w:val="clear"/>
          </w:tcPr>
          <w:p>
            <w:r>
              <w:rPr>
                <w:sz w:val="16"/>
              </w:rPr>
              <w:t>2,203 FCFA</w:t>
            </w:r>
          </w:p>
        </w:tc>
        <w:tc>
          <w:tcPr>
            <w:tcW w:type="dxa" w:w="1134"/>
            <w:shd w:fill="FFC7CE" w:val="clear"/>
          </w:tcPr>
          <w:p>
            <w:r>
              <w:rPr>
                <w:b/>
                <w:color w:val="B40000"/>
                <w:sz w:val="16"/>
              </w:rPr>
              <w:t>-11.00%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3,800 FCFA</w:t>
            </w:r>
          </w:p>
        </w:tc>
        <w:tc>
          <w:tcPr>
            <w:tcW w:type="dxa" w:w="1417"/>
            <w:shd w:fill="FFFFFF" w:val="clear"/>
          </w:tcPr>
          <w:p>
            <w:r>
              <w:rPr>
                <w:sz w:val="16"/>
              </w:rPr>
              <w:t>3,476 FCFA</w:t>
            </w:r>
          </w:p>
        </w:tc>
        <w:tc>
          <w:tcPr>
            <w:tcW w:type="dxa" w:w="1134"/>
            <w:shd w:fill="FFC7CE" w:val="clear"/>
          </w:tcPr>
          <w:p>
            <w:r>
              <w:rPr>
                <w:b/>
                <w:color w:val="B40000"/>
                <w:sz w:val="16"/>
              </w:rPr>
              <w:t>-8.53%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TTLC — TTLC - TOTAL ENERGIES MARKETING COT...</w:t>
            </w:r>
          </w:p>
        </w:tc>
        <w:tc>
          <w:tcPr>
            <w:tcW w:type="dxa" w:w="1701"/>
            <w:shd w:fill="FFFFFF" w:val="clear"/>
          </w:tcPr>
          <w:p>
            <w:r>
              <w:rPr>
                <w:sz w:val="16"/>
              </w:rPr>
              <w:t>ENERGIE</w:t>
            </w:r>
          </w:p>
        </w:tc>
        <w:tc>
          <w:tcPr>
            <w:tcW w:type="dxa" w:w="1417"/>
            <w:shd w:fill="FFFFFF" w:val="clear"/>
          </w:tcPr>
          <w:p>
            <w:r>
              <w:rPr>
                <w:sz w:val="16"/>
              </w:rPr>
              <w:t>3,050 FCFA</w:t>
            </w:r>
          </w:p>
        </w:tc>
        <w:tc>
          <w:tcPr>
            <w:tcW w:type="dxa" w:w="1417"/>
            <w:shd w:fill="FFFFFF" w:val="clear"/>
          </w:tcPr>
          <w:p>
            <w:r>
              <w:rPr>
                <w:sz w:val="16"/>
              </w:rPr>
              <w:t>2,835 FCFA</w:t>
            </w:r>
          </w:p>
        </w:tc>
        <w:tc>
          <w:tcPr>
            <w:tcW w:type="dxa" w:w="1134"/>
            <w:shd w:fill="FFC7CE" w:val="clear"/>
          </w:tcPr>
          <w:p>
            <w:r>
              <w:rPr>
                <w:b/>
                <w:color w:val="B40000"/>
                <w:sz w:val="16"/>
              </w:rPr>
              <w:t>-7.06%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2,090 FCFA</w:t>
            </w:r>
          </w:p>
        </w:tc>
        <w:tc>
          <w:tcPr>
            <w:tcW w:type="dxa" w:w="1417"/>
            <w:shd w:fill="FFFFFF" w:val="clear"/>
          </w:tcPr>
          <w:p>
            <w:r>
              <w:rPr>
                <w:sz w:val="16"/>
              </w:rPr>
              <w:t>1,946 FCFA</w:t>
            </w:r>
          </w:p>
        </w:tc>
        <w:tc>
          <w:tcPr>
            <w:tcW w:type="dxa" w:w="1134"/>
            <w:shd w:fill="FFC7CE" w:val="clear"/>
          </w:tcPr>
          <w:p>
            <w:r>
              <w:rPr>
                <w:b/>
                <w:color w:val="B40000"/>
                <w:sz w:val="16"/>
              </w:rPr>
              <w:t>-6.91%</w:t>
            </w:r>
          </w:p>
        </w:tc>
        <w:tc>
          <w:tcPr>
            <w:tcW w:type="dxa" w:w="1020"/>
            <w:shd w:fill="FFC7CE" w:val="clear"/>
          </w:tcPr>
          <w:p>
            <w:r>
              <w:rPr>
                <w:sz w:val="16"/>
              </w:rPr>
              <w:t>Faible</w:t>
            </w:r>
          </w:p>
        </w:tc>
      </w:tr>
    </w:tbl>
    <w:p/>
    <w:p>
      <w:pPr>
        <w:pStyle w:val="ListBullet"/>
      </w:pPr>
      <w:r>
        <w:rPr>
          <w:b/>
          <w:color w:val="B40000"/>
          <w:sz w:val="18"/>
        </w:rPr>
        <w:t xml:space="preserve">#1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#2 SHEC </w:t>
      </w:r>
      <w:r>
        <w:rPr>
          <w:sz w:val="17"/>
        </w:rPr>
        <w:t>(SHEC - VIVO ENERGY COTE D'IVOIRE) — baisse modérée (-11.0%) — repli technique attendu. Trajectoire : 📉 Baisse continue. Cours actuel : 2,475 FCFA → prédit J+10 : 2,203 FCFA. ⚠️ Confiance limitée — volatilité élevée. Ne pas agir sur ce seul signal.</w:t>
      </w:r>
    </w:p>
    <w:p>
      <w:pPr>
        <w:pStyle w:val="ListBullet"/>
      </w:pPr>
      <w:r>
        <w:rPr>
          <w:b/>
          <w:color w:val="B40000"/>
          <w:sz w:val="18"/>
        </w:rPr>
        <w:t xml:space="preserve">#3 ABJC </w:t>
      </w:r>
      <w:r>
        <w:rPr>
          <w:sz w:val="17"/>
        </w:rPr>
        <w:t>(ABJC - SERVAIR ABIDJAN CI) — baisse modérée (-8.5%) — repli technique attendu. Trajectoire : 📉 Baisse continue. Cours actuel : 3,800 FCFA → prédit J+10 : 3,476 FCFA. ⚠️ Confiance limitée — volatilité élevée. Ne pas agir sur ce seul signal.</w:t>
      </w:r>
    </w:p>
    <w:p>
      <w:pPr>
        <w:pStyle w:val="ListBullet"/>
      </w:pPr>
      <w:r>
        <w:rPr>
          <w:b/>
          <w:color w:val="B40000"/>
          <w:sz w:val="18"/>
        </w:rPr>
        <w:t xml:space="preserve">#4 TTLC </w:t>
      </w:r>
      <w:r>
        <w:rPr>
          <w:sz w:val="17"/>
        </w:rPr>
        <w:t>(TTLC - TOTAL ENERGIES MARKETING COTE D'I) — baisse modérée (-7.1%) — repli technique attendu. Trajectoire : 📉 Baisse continue. Cours actuel : 3,050 FCFA → prédit J+10 : 2,835 FCFA. ⚠️ Confiance limitée — volatilité élevée. Ne pas agir sur ce seul signal.</w:t>
      </w:r>
    </w:p>
    <w:p>
      <w:pPr>
        <w:pStyle w:val="ListBullet"/>
      </w:pPr>
      <w:r>
        <w:rPr>
          <w:b/>
          <w:color w:val="B40000"/>
          <w:sz w:val="18"/>
        </w:rPr>
        <w:t xml:space="preserve">#5 SIVC </w:t>
      </w:r>
      <w:r>
        <w:rPr>
          <w:sz w:val="17"/>
        </w:rPr>
        <w:t>(SIVC - ERIUM CI (Ex AIR LIQUIDECI)) — baisse modérée (-6.9%) — repli technique attendu. Trajectoire : 📉 Baisse continue. Cours actuel : 2,090 FCFA → prédit J+10 : 1,946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4,000</w:t>
            </w:r>
          </w:p>
        </w:tc>
        <w:tc>
          <w:tcPr>
            <w:tcW w:type="dxa" w:w="1417"/>
            <w:shd w:fill="FFFFFF" w:val="clear"/>
          </w:tcPr>
          <w:p>
            <w:r>
              <w:rPr>
                <w:sz w:val="16"/>
              </w:rPr>
              <w:t>4,797</w:t>
            </w:r>
          </w:p>
        </w:tc>
        <w:tc>
          <w:tcPr>
            <w:tcW w:type="dxa" w:w="1134"/>
            <w:shd w:fill="C6EFCE" w:val="clear"/>
          </w:tcPr>
          <w:p>
            <w:r>
              <w:rPr>
                <w:b/>
                <w:color w:val="007800"/>
                <w:sz w:val="16"/>
              </w:rPr>
              <w:t>+19.92%</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2,890</w:t>
            </w:r>
          </w:p>
        </w:tc>
        <w:tc>
          <w:tcPr>
            <w:tcW w:type="dxa" w:w="1417"/>
            <w:shd w:fill="FFFFFF" w:val="clear"/>
          </w:tcPr>
          <w:p>
            <w:r>
              <w:rPr>
                <w:sz w:val="16"/>
              </w:rPr>
              <w:t>3,421</w:t>
            </w:r>
          </w:p>
        </w:tc>
        <w:tc>
          <w:tcPr>
            <w:tcW w:type="dxa" w:w="1134"/>
            <w:shd w:fill="C6EFCE" w:val="clear"/>
          </w:tcPr>
          <w:p>
            <w:r>
              <w:rPr>
                <w:b/>
                <w:color w:val="007800"/>
                <w:sz w:val="16"/>
              </w:rPr>
              <w:t>+18.38%</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7,920</w:t>
            </w:r>
          </w:p>
        </w:tc>
        <w:tc>
          <w:tcPr>
            <w:tcW w:type="dxa" w:w="1417"/>
            <w:shd w:fill="FFFFFF" w:val="clear"/>
          </w:tcPr>
          <w:p>
            <w:r>
              <w:rPr>
                <w:sz w:val="16"/>
              </w:rPr>
              <w:t>9,161</w:t>
            </w:r>
          </w:p>
        </w:tc>
        <w:tc>
          <w:tcPr>
            <w:tcW w:type="dxa" w:w="1134"/>
            <w:shd w:fill="C6EFCE" w:val="clear"/>
          </w:tcPr>
          <w:p>
            <w:r>
              <w:rPr>
                <w:b/>
                <w:color w:val="007800"/>
                <w:sz w:val="16"/>
              </w:rPr>
              <w:t>+15.67%</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5,880</w:t>
            </w:r>
          </w:p>
        </w:tc>
        <w:tc>
          <w:tcPr>
            <w:tcW w:type="dxa" w:w="1417"/>
            <w:shd w:fill="FFFFFF" w:val="clear"/>
          </w:tcPr>
          <w:p>
            <w:r>
              <w:rPr>
                <w:sz w:val="16"/>
              </w:rPr>
              <w:t>6,696</w:t>
            </w:r>
          </w:p>
        </w:tc>
        <w:tc>
          <w:tcPr>
            <w:tcW w:type="dxa" w:w="1134"/>
            <w:shd w:fill="C6EFCE" w:val="clear"/>
          </w:tcPr>
          <w:p>
            <w:r>
              <w:rPr>
                <w:b/>
                <w:color w:val="007800"/>
                <w:sz w:val="16"/>
              </w:rPr>
              <w:t>+13.87%</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11,910</w:t>
            </w:r>
          </w:p>
        </w:tc>
        <w:tc>
          <w:tcPr>
            <w:tcW w:type="dxa" w:w="1417"/>
            <w:shd w:fill="FFFFFF" w:val="clear"/>
          </w:tcPr>
          <w:p>
            <w:r>
              <w:rPr>
                <w:sz w:val="16"/>
              </w:rPr>
              <w:t>13,361</w:t>
            </w:r>
          </w:p>
        </w:tc>
        <w:tc>
          <w:tcPr>
            <w:tcW w:type="dxa" w:w="1134"/>
            <w:shd w:fill="C6EFCE" w:val="clear"/>
          </w:tcPr>
          <w:p>
            <w:r>
              <w:rPr>
                <w:b/>
                <w:color w:val="007800"/>
                <w:sz w:val="16"/>
              </w:rPr>
              <w:t>+12.18%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21,500</w:t>
            </w:r>
          </w:p>
        </w:tc>
        <w:tc>
          <w:tcPr>
            <w:tcW w:type="dxa" w:w="1417"/>
            <w:shd w:fill="FFFFFF" w:val="clear"/>
          </w:tcPr>
          <w:p>
            <w:r>
              <w:rPr>
                <w:sz w:val="16"/>
              </w:rPr>
              <w:t>24,037</w:t>
            </w:r>
          </w:p>
        </w:tc>
        <w:tc>
          <w:tcPr>
            <w:tcW w:type="dxa" w:w="1134"/>
            <w:shd w:fill="C6EFCE" w:val="clear"/>
          </w:tcPr>
          <w:p>
            <w:r>
              <w:rPr>
                <w:b/>
                <w:color w:val="007800"/>
                <w:sz w:val="16"/>
              </w:rPr>
              <w:t>+11.80%</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37,800</w:t>
            </w:r>
          </w:p>
        </w:tc>
        <w:tc>
          <w:tcPr>
            <w:tcW w:type="dxa" w:w="1417"/>
            <w:shd w:fill="FFFFFF" w:val="clear"/>
          </w:tcPr>
          <w:p>
            <w:r>
              <w:rPr>
                <w:sz w:val="16"/>
              </w:rPr>
              <w:t>41,331</w:t>
            </w:r>
          </w:p>
        </w:tc>
        <w:tc>
          <w:tcPr>
            <w:tcW w:type="dxa" w:w="1134"/>
            <w:shd w:fill="C6EFCE" w:val="clear"/>
          </w:tcPr>
          <w:p>
            <w:r>
              <w:rPr>
                <w:b/>
                <w:color w:val="007800"/>
                <w:sz w:val="16"/>
              </w:rPr>
              <w:t>+9.34%</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14,500</w:t>
            </w:r>
          </w:p>
        </w:tc>
        <w:tc>
          <w:tcPr>
            <w:tcW w:type="dxa" w:w="1417"/>
            <w:shd w:fill="FFFFFF" w:val="clear"/>
          </w:tcPr>
          <w:p>
            <w:r>
              <w:rPr>
                <w:sz w:val="16"/>
              </w:rPr>
              <w:t>15,396</w:t>
            </w:r>
          </w:p>
        </w:tc>
        <w:tc>
          <w:tcPr>
            <w:tcW w:type="dxa" w:w="1134"/>
            <w:shd w:fill="C6EFCE" w:val="clear"/>
          </w:tcPr>
          <w:p>
            <w:r>
              <w:rPr>
                <w:b/>
                <w:color w:val="007800"/>
                <w:sz w:val="16"/>
              </w:rPr>
              <w:t>+6.18%</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3,975</w:t>
            </w:r>
          </w:p>
        </w:tc>
        <w:tc>
          <w:tcPr>
            <w:tcW w:type="dxa" w:w="1417"/>
            <w:shd w:fill="FFFFFF" w:val="clear"/>
          </w:tcPr>
          <w:p>
            <w:r>
              <w:rPr>
                <w:sz w:val="16"/>
              </w:rPr>
              <w:t>4,170</w:t>
            </w:r>
          </w:p>
        </w:tc>
        <w:tc>
          <w:tcPr>
            <w:tcW w:type="dxa" w:w="1134"/>
            <w:shd w:fill="C6EFCE" w:val="clear"/>
          </w:tcPr>
          <w:p>
            <w:r>
              <w:rPr>
                <w:b/>
                <w:color w:val="007800"/>
                <w:sz w:val="16"/>
              </w:rPr>
              <w:t>+4.91%</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1,540</w:t>
            </w:r>
          </w:p>
        </w:tc>
        <w:tc>
          <w:tcPr>
            <w:tcW w:type="dxa" w:w="1417"/>
            <w:shd w:fill="FFFFFF" w:val="clear"/>
          </w:tcPr>
          <w:p>
            <w:r>
              <w:rPr>
                <w:sz w:val="16"/>
              </w:rPr>
              <w:t>1,600</w:t>
            </w:r>
          </w:p>
        </w:tc>
        <w:tc>
          <w:tcPr>
            <w:tcW w:type="dxa" w:w="1134"/>
            <w:shd w:fill="C6EFCE" w:val="clear"/>
          </w:tcPr>
          <w:p>
            <w:r>
              <w:rPr>
                <w:b/>
                <w:color w:val="007800"/>
                <w:sz w:val="16"/>
              </w:rPr>
              <w:t>+3.91%</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2,885</w:t>
            </w:r>
          </w:p>
        </w:tc>
        <w:tc>
          <w:tcPr>
            <w:tcW w:type="dxa" w:w="1417"/>
            <w:shd w:fill="FFFFFF" w:val="clear"/>
          </w:tcPr>
          <w:p>
            <w:r>
              <w:rPr>
                <w:sz w:val="16"/>
              </w:rPr>
              <w:t>2,976</w:t>
            </w:r>
          </w:p>
        </w:tc>
        <w:tc>
          <w:tcPr>
            <w:tcW w:type="dxa" w:w="1134"/>
            <w:shd w:fill="C6EFCE" w:val="clear"/>
          </w:tcPr>
          <w:p>
            <w:r>
              <w:rPr>
                <w:b/>
                <w:color w:val="007800"/>
                <w:sz w:val="16"/>
              </w:rPr>
              <w:t>+3.16%</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16,600</w:t>
            </w:r>
          </w:p>
        </w:tc>
        <w:tc>
          <w:tcPr>
            <w:tcW w:type="dxa" w:w="1417"/>
            <w:shd w:fill="FFFFFF" w:val="clear"/>
          </w:tcPr>
          <w:p>
            <w:r>
              <w:rPr>
                <w:sz w:val="16"/>
              </w:rPr>
              <w:t>17,089</w:t>
            </w:r>
          </w:p>
        </w:tc>
        <w:tc>
          <w:tcPr>
            <w:tcW w:type="dxa" w:w="1134"/>
            <w:shd w:fill="C6EFCE" w:val="clear"/>
          </w:tcPr>
          <w:p>
            <w:r>
              <w:rPr>
                <w:b/>
                <w:color w:val="007800"/>
                <w:sz w:val="16"/>
              </w:rPr>
              <w:t>+2.94%</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14,710</w:t>
            </w:r>
          </w:p>
        </w:tc>
        <w:tc>
          <w:tcPr>
            <w:tcW w:type="dxa" w:w="1417"/>
            <w:shd w:fill="FFFFFF" w:val="clear"/>
          </w:tcPr>
          <w:p>
            <w:r>
              <w:rPr>
                <w:sz w:val="16"/>
              </w:rPr>
              <w:t>15,112</w:t>
            </w:r>
          </w:p>
        </w:tc>
        <w:tc>
          <w:tcPr>
            <w:tcW w:type="dxa" w:w="1134"/>
            <w:shd w:fill="C6EFCE" w:val="clear"/>
          </w:tcPr>
          <w:p>
            <w:r>
              <w:rPr>
                <w:b/>
                <w:color w:val="007800"/>
                <w:sz w:val="16"/>
              </w:rPr>
              <w:t>+2.74%</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2,800</w:t>
            </w:r>
          </w:p>
        </w:tc>
        <w:tc>
          <w:tcPr>
            <w:tcW w:type="dxa" w:w="1417"/>
            <w:shd w:fill="FFFFFF" w:val="clear"/>
          </w:tcPr>
          <w:p>
            <w:r>
              <w:rPr>
                <w:sz w:val="16"/>
              </w:rPr>
              <w:t>2,877</w:t>
            </w:r>
          </w:p>
        </w:tc>
        <w:tc>
          <w:tcPr>
            <w:tcW w:type="dxa" w:w="1134"/>
            <w:shd w:fill="C6EFCE" w:val="clear"/>
          </w:tcPr>
          <w:p>
            <w:r>
              <w:rPr>
                <w:b/>
                <w:color w:val="007800"/>
                <w:sz w:val="16"/>
              </w:rPr>
              <w:t>+2.73%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8,950</w:t>
            </w:r>
          </w:p>
        </w:tc>
        <w:tc>
          <w:tcPr>
            <w:tcW w:type="dxa" w:w="1417"/>
            <w:shd w:fill="FFFFFF" w:val="clear"/>
          </w:tcPr>
          <w:p>
            <w:r>
              <w:rPr>
                <w:sz w:val="16"/>
              </w:rPr>
              <w:t>9,067</w:t>
            </w:r>
          </w:p>
        </w:tc>
        <w:tc>
          <w:tcPr>
            <w:tcW w:type="dxa" w:w="1134"/>
            <w:shd w:fill="C6EFCE" w:val="clear"/>
          </w:tcPr>
          <w:p>
            <w:r>
              <w:rPr>
                <w:b/>
                <w:color w:val="007800"/>
                <w:sz w:val="16"/>
              </w:rPr>
              <w:t>+1.31%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21,880</w:t>
            </w:r>
          </w:p>
        </w:tc>
        <w:tc>
          <w:tcPr>
            <w:tcW w:type="dxa" w:w="1417"/>
            <w:shd w:fill="FFFFFF" w:val="clear"/>
          </w:tcPr>
          <w:p>
            <w:r>
              <w:rPr>
                <w:sz w:val="16"/>
              </w:rPr>
              <w:t>22,124</w:t>
            </w:r>
          </w:p>
        </w:tc>
        <w:tc>
          <w:tcPr>
            <w:tcW w:type="dxa" w:w="1134"/>
            <w:shd w:fill="C6EFCE" w:val="clear"/>
          </w:tcPr>
          <w:p>
            <w:r>
              <w:rPr>
                <w:b/>
                <w:color w:val="007800"/>
                <w:sz w:val="16"/>
              </w:rPr>
              <w:t>+1.11%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7,950</w:t>
            </w:r>
          </w:p>
        </w:tc>
        <w:tc>
          <w:tcPr>
            <w:tcW w:type="dxa" w:w="1417"/>
            <w:shd w:fill="FFFFFF" w:val="clear"/>
          </w:tcPr>
          <w:p>
            <w:r>
              <w:rPr>
                <w:sz w:val="16"/>
              </w:rPr>
              <w:t>8,012</w:t>
            </w:r>
          </w:p>
        </w:tc>
        <w:tc>
          <w:tcPr>
            <w:tcW w:type="dxa" w:w="1134"/>
            <w:shd w:fill="FFEB9C" w:val="clear"/>
          </w:tcPr>
          <w:p>
            <w:r>
              <w:rPr>
                <w:b/>
                <w:color w:val="646400"/>
                <w:sz w:val="16"/>
              </w:rPr>
              <w:t>+0.78%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3,795</w:t>
            </w:r>
          </w:p>
        </w:tc>
        <w:tc>
          <w:tcPr>
            <w:tcW w:type="dxa" w:w="1417"/>
            <w:shd w:fill="FFFFFF" w:val="clear"/>
          </w:tcPr>
          <w:p>
            <w:r>
              <w:rPr>
                <w:sz w:val="16"/>
              </w:rPr>
              <w:t>3,822</w:t>
            </w:r>
          </w:p>
        </w:tc>
        <w:tc>
          <w:tcPr>
            <w:tcW w:type="dxa" w:w="1134"/>
            <w:shd w:fill="FFEB9C" w:val="clear"/>
          </w:tcPr>
          <w:p>
            <w:r>
              <w:rPr>
                <w:b/>
                <w:color w:val="646400"/>
                <w:sz w:val="16"/>
              </w:rPr>
              <w:t>+0.70%</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4,080</w:t>
            </w:r>
          </w:p>
        </w:tc>
        <w:tc>
          <w:tcPr>
            <w:tcW w:type="dxa" w:w="1417"/>
            <w:shd w:fill="FFFFFF" w:val="clear"/>
          </w:tcPr>
          <w:p>
            <w:r>
              <w:rPr>
                <w:sz w:val="16"/>
              </w:rPr>
              <w:t>4,081</w:t>
            </w:r>
          </w:p>
        </w:tc>
        <w:tc>
          <w:tcPr>
            <w:tcW w:type="dxa" w:w="1134"/>
            <w:shd w:fill="FFEB9C" w:val="clear"/>
          </w:tcPr>
          <w:p>
            <w:r>
              <w:rPr>
                <w:b/>
                <w:color w:val="646400"/>
                <w:sz w:val="16"/>
              </w:rPr>
              <w:t>+0.03%</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4,780</w:t>
            </w:r>
          </w:p>
        </w:tc>
        <w:tc>
          <w:tcPr>
            <w:tcW w:type="dxa" w:w="1417"/>
            <w:shd w:fill="FFFFFF" w:val="clear"/>
          </w:tcPr>
          <w:p>
            <w:r>
              <w:rPr>
                <w:sz w:val="16"/>
              </w:rPr>
              <w:t>4,776</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8,055</w:t>
            </w:r>
          </w:p>
        </w:tc>
        <w:tc>
          <w:tcPr>
            <w:tcW w:type="dxa" w:w="1417"/>
            <w:shd w:fill="FFFFFF" w:val="clear"/>
          </w:tcPr>
          <w:p>
            <w:r>
              <w:rPr>
                <w:sz w:val="16"/>
              </w:rPr>
              <w:t>8,019</w:t>
            </w:r>
          </w:p>
        </w:tc>
        <w:tc>
          <w:tcPr>
            <w:tcW w:type="dxa" w:w="1134"/>
            <w:shd w:fill="FFEB9C" w:val="clear"/>
          </w:tcPr>
          <w:p>
            <w:r>
              <w:rPr>
                <w:b/>
                <w:color w:val="646400"/>
                <w:sz w:val="16"/>
              </w:rPr>
              <w:t>-0.45%</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2,250</w:t>
            </w:r>
          </w:p>
        </w:tc>
        <w:tc>
          <w:tcPr>
            <w:tcW w:type="dxa" w:w="1417"/>
            <w:shd w:fill="FFFFFF" w:val="clear"/>
          </w:tcPr>
          <w:p>
            <w:r>
              <w:rPr>
                <w:sz w:val="16"/>
              </w:rPr>
              <w:t>2,231</w:t>
            </w:r>
          </w:p>
        </w:tc>
        <w:tc>
          <w:tcPr>
            <w:tcW w:type="dxa" w:w="1134"/>
            <w:shd w:fill="FFEB9C" w:val="clear"/>
          </w:tcPr>
          <w:p>
            <w:r>
              <w:rPr>
                <w:b/>
                <w:color w:val="646400"/>
                <w:sz w:val="16"/>
              </w:rPr>
              <w:t>-0.86%</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2,760</w:t>
            </w:r>
          </w:p>
        </w:tc>
        <w:tc>
          <w:tcPr>
            <w:tcW w:type="dxa" w:w="1417"/>
            <w:shd w:fill="FFFFFF" w:val="clear"/>
          </w:tcPr>
          <w:p>
            <w:r>
              <w:rPr>
                <w:sz w:val="16"/>
              </w:rPr>
              <w:t>2,736</w:t>
            </w:r>
          </w:p>
        </w:tc>
        <w:tc>
          <w:tcPr>
            <w:tcW w:type="dxa" w:w="1134"/>
            <w:shd w:fill="FFEB9C" w:val="clear"/>
          </w:tcPr>
          <w:p>
            <w:r>
              <w:rPr>
                <w:b/>
                <w:color w:val="646400"/>
                <w:sz w:val="16"/>
              </w:rPr>
              <w:t>-0.88%</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7,745</w:t>
            </w:r>
          </w:p>
        </w:tc>
        <w:tc>
          <w:tcPr>
            <w:tcW w:type="dxa" w:w="1417"/>
            <w:shd w:fill="FFFFFF" w:val="clear"/>
          </w:tcPr>
          <w:p>
            <w:r>
              <w:rPr>
                <w:sz w:val="16"/>
              </w:rPr>
              <w:t>7,660</w:t>
            </w:r>
          </w:p>
        </w:tc>
        <w:tc>
          <w:tcPr>
            <w:tcW w:type="dxa" w:w="1134"/>
            <w:shd w:fill="FFC7CE" w:val="clear"/>
          </w:tcPr>
          <w:p>
            <w:r>
              <w:rPr>
                <w:b/>
                <w:color w:val="B40000"/>
                <w:sz w:val="16"/>
              </w:rPr>
              <w:t>-1.10%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30,500</w:t>
            </w:r>
          </w:p>
        </w:tc>
        <w:tc>
          <w:tcPr>
            <w:tcW w:type="dxa" w:w="1417"/>
            <w:shd w:fill="FFFFFF" w:val="clear"/>
          </w:tcPr>
          <w:p>
            <w:r>
              <w:rPr>
                <w:sz w:val="16"/>
              </w:rPr>
              <w:t>30,163</w:t>
            </w:r>
          </w:p>
        </w:tc>
        <w:tc>
          <w:tcPr>
            <w:tcW w:type="dxa" w:w="1134"/>
            <w:shd w:fill="FFC7CE" w:val="clear"/>
          </w:tcPr>
          <w:p>
            <w:r>
              <w:rPr>
                <w:b/>
                <w:color w:val="B40000"/>
                <w:sz w:val="16"/>
              </w:rPr>
              <w:t>-1.10%</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50,399</w:t>
            </w:r>
          </w:p>
        </w:tc>
        <w:tc>
          <w:tcPr>
            <w:tcW w:type="dxa" w:w="1134"/>
            <w:shd w:fill="FFC7CE" w:val="clear"/>
          </w:tcPr>
          <w:p>
            <w:r>
              <w:rPr>
                <w:b/>
                <w:color w:val="B40000"/>
                <w:sz w:val="16"/>
              </w:rPr>
              <w:t>-1.18%</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21,450</w:t>
            </w:r>
          </w:p>
        </w:tc>
        <w:tc>
          <w:tcPr>
            <w:tcW w:type="dxa" w:w="1417"/>
            <w:shd w:fill="FFFFFF" w:val="clear"/>
          </w:tcPr>
          <w:p>
            <w:r>
              <w:rPr>
                <w:sz w:val="16"/>
              </w:rPr>
              <w:t>21,150</w:t>
            </w:r>
          </w:p>
        </w:tc>
        <w:tc>
          <w:tcPr>
            <w:tcW w:type="dxa" w:w="1134"/>
            <w:shd w:fill="FFC7CE" w:val="clear"/>
          </w:tcPr>
          <w:p>
            <w:r>
              <w:rPr>
                <w:b/>
                <w:color w:val="B40000"/>
                <w:sz w:val="16"/>
              </w:rPr>
              <w:t>-1.40%</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68</w:t>
            </w:r>
          </w:p>
        </w:tc>
        <w:tc>
          <w:tcPr>
            <w:tcW w:type="dxa" w:w="1417"/>
            <w:shd w:fill="FFFFFF" w:val="clear"/>
          </w:tcPr>
          <w:p>
            <w:r>
              <w:rPr>
                <w:sz w:val="16"/>
              </w:rPr>
              <w:t>67</w:t>
            </w:r>
          </w:p>
        </w:tc>
        <w:tc>
          <w:tcPr>
            <w:tcW w:type="dxa" w:w="1134"/>
            <w:shd w:fill="FFC7CE" w:val="clear"/>
          </w:tcPr>
          <w:p>
            <w:r>
              <w:rPr>
                <w:b/>
                <w:color w:val="B40000"/>
                <w:sz w:val="16"/>
              </w:rPr>
              <w:t>-1.46%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2,200</w:t>
            </w:r>
          </w:p>
        </w:tc>
        <w:tc>
          <w:tcPr>
            <w:tcW w:type="dxa" w:w="1417"/>
            <w:shd w:fill="FFFFFF" w:val="clear"/>
          </w:tcPr>
          <w:p>
            <w:r>
              <w:rPr>
                <w:sz w:val="16"/>
              </w:rPr>
              <w:t>2,164</w:t>
            </w:r>
          </w:p>
        </w:tc>
        <w:tc>
          <w:tcPr>
            <w:tcW w:type="dxa" w:w="1134"/>
            <w:shd w:fill="FFC7CE" w:val="clear"/>
          </w:tcPr>
          <w:p>
            <w:r>
              <w:rPr>
                <w:b/>
                <w:color w:val="B40000"/>
                <w:sz w:val="16"/>
              </w:rPr>
              <w:t>-1.65%</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7,650</w:t>
            </w:r>
          </w:p>
        </w:tc>
        <w:tc>
          <w:tcPr>
            <w:tcW w:type="dxa" w:w="1417"/>
            <w:shd w:fill="FFFFFF" w:val="clear"/>
          </w:tcPr>
          <w:p>
            <w:r>
              <w:rPr>
                <w:sz w:val="16"/>
              </w:rPr>
              <w:t>7,500</w:t>
            </w:r>
          </w:p>
        </w:tc>
        <w:tc>
          <w:tcPr>
            <w:tcW w:type="dxa" w:w="1134"/>
            <w:shd w:fill="FFC7CE" w:val="clear"/>
          </w:tcPr>
          <w:p>
            <w:r>
              <w:rPr>
                <w:b/>
                <w:color w:val="B40000"/>
                <w:sz w:val="16"/>
              </w:rPr>
              <w:t>-1.96%</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7,760</w:t>
            </w:r>
          </w:p>
        </w:tc>
        <w:tc>
          <w:tcPr>
            <w:tcW w:type="dxa" w:w="1417"/>
            <w:shd w:fill="FFFFFF" w:val="clear"/>
          </w:tcPr>
          <w:p>
            <w:r>
              <w:rPr>
                <w:sz w:val="16"/>
              </w:rPr>
              <w:t>7,590</w:t>
            </w:r>
          </w:p>
        </w:tc>
        <w:tc>
          <w:tcPr>
            <w:tcW w:type="dxa" w:w="1134"/>
            <w:shd w:fill="FFC7CE" w:val="clear"/>
          </w:tcPr>
          <w:p>
            <w:r>
              <w:rPr>
                <w:b/>
                <w:color w:val="B40000"/>
                <w:sz w:val="16"/>
              </w:rPr>
              <w:t>-2.20%</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1,890</w:t>
            </w:r>
          </w:p>
        </w:tc>
        <w:tc>
          <w:tcPr>
            <w:tcW w:type="dxa" w:w="1417"/>
            <w:shd w:fill="FFFFFF" w:val="clear"/>
          </w:tcPr>
          <w:p>
            <w:r>
              <w:rPr>
                <w:sz w:val="16"/>
              </w:rPr>
              <w:t>1,845</w:t>
            </w:r>
          </w:p>
        </w:tc>
        <w:tc>
          <w:tcPr>
            <w:tcW w:type="dxa" w:w="1134"/>
            <w:shd w:fill="FFC7CE" w:val="clear"/>
          </w:tcPr>
          <w:p>
            <w:r>
              <w:rPr>
                <w:b/>
                <w:color w:val="B40000"/>
                <w:sz w:val="16"/>
              </w:rPr>
              <w:t>-2.37%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2,400</w:t>
            </w:r>
          </w:p>
        </w:tc>
        <w:tc>
          <w:tcPr>
            <w:tcW w:type="dxa" w:w="1417"/>
            <w:shd w:fill="FFFFFF" w:val="clear"/>
          </w:tcPr>
          <w:p>
            <w:r>
              <w:rPr>
                <w:sz w:val="16"/>
              </w:rPr>
              <w:t>2,320</w:t>
            </w:r>
          </w:p>
        </w:tc>
        <w:tc>
          <w:tcPr>
            <w:tcW w:type="dxa" w:w="1134"/>
            <w:shd w:fill="FFC7CE" w:val="clear"/>
          </w:tcPr>
          <w:p>
            <w:r>
              <w:rPr>
                <w:b/>
                <w:color w:val="B40000"/>
                <w:sz w:val="16"/>
              </w:rPr>
              <w:t>-3.35%</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41,890</w:t>
            </w:r>
          </w:p>
        </w:tc>
        <w:tc>
          <w:tcPr>
            <w:tcW w:type="dxa" w:w="1417"/>
            <w:shd w:fill="FFFFFF" w:val="clear"/>
          </w:tcPr>
          <w:p>
            <w:r>
              <w:rPr>
                <w:sz w:val="16"/>
              </w:rPr>
              <w:t>40,299</w:t>
            </w:r>
          </w:p>
        </w:tc>
        <w:tc>
          <w:tcPr>
            <w:tcW w:type="dxa" w:w="1134"/>
            <w:shd w:fill="FFC7CE" w:val="clear"/>
          </w:tcPr>
          <w:p>
            <w:r>
              <w:rPr>
                <w:b/>
                <w:color w:val="B40000"/>
                <w:sz w:val="16"/>
              </w:rPr>
              <w:t>-3.80%</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6,150</w:t>
            </w:r>
          </w:p>
        </w:tc>
        <w:tc>
          <w:tcPr>
            <w:tcW w:type="dxa" w:w="1417"/>
            <w:shd w:fill="FFFFFF" w:val="clear"/>
          </w:tcPr>
          <w:p>
            <w:r>
              <w:rPr>
                <w:sz w:val="16"/>
              </w:rPr>
              <w:t>5,911</w:t>
            </w:r>
          </w:p>
        </w:tc>
        <w:tc>
          <w:tcPr>
            <w:tcW w:type="dxa" w:w="1134"/>
            <w:shd w:fill="FFC7CE" w:val="clear"/>
          </w:tcPr>
          <w:p>
            <w:r>
              <w:rPr>
                <w:b/>
                <w:color w:val="B40000"/>
                <w:sz w:val="16"/>
              </w:rPr>
              <w:t>-3.88%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38,800</w:t>
            </w:r>
          </w:p>
        </w:tc>
        <w:tc>
          <w:tcPr>
            <w:tcW w:type="dxa" w:w="1417"/>
            <w:shd w:fill="FFFFFF" w:val="clear"/>
          </w:tcPr>
          <w:p>
            <w:r>
              <w:rPr>
                <w:sz w:val="16"/>
              </w:rPr>
              <w:t>37,089</w:t>
            </w:r>
          </w:p>
        </w:tc>
        <w:tc>
          <w:tcPr>
            <w:tcW w:type="dxa" w:w="1134"/>
            <w:shd w:fill="FFC7CE" w:val="clear"/>
          </w:tcPr>
          <w:p>
            <w:r>
              <w:rPr>
                <w:b/>
                <w:color w:val="B40000"/>
                <w:sz w:val="16"/>
              </w:rPr>
              <w:t>-4.41%</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11,470</w:t>
            </w:r>
          </w:p>
        </w:tc>
        <w:tc>
          <w:tcPr>
            <w:tcW w:type="dxa" w:w="1417"/>
            <w:shd w:fill="FFFFFF" w:val="clear"/>
          </w:tcPr>
          <w:p>
            <w:r>
              <w:rPr>
                <w:sz w:val="16"/>
              </w:rPr>
              <w:t>10,918</w:t>
            </w:r>
          </w:p>
        </w:tc>
        <w:tc>
          <w:tcPr>
            <w:tcW w:type="dxa" w:w="1134"/>
            <w:shd w:fill="FFC7CE" w:val="clear"/>
          </w:tcPr>
          <w:p>
            <w:r>
              <w:rPr>
                <w:b/>
                <w:color w:val="B40000"/>
                <w:sz w:val="16"/>
              </w:rPr>
              <w:t>-4.81%</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8,900</w:t>
            </w:r>
          </w:p>
        </w:tc>
        <w:tc>
          <w:tcPr>
            <w:tcW w:type="dxa" w:w="1417"/>
            <w:shd w:fill="FFFFFF" w:val="clear"/>
          </w:tcPr>
          <w:p>
            <w:r>
              <w:rPr>
                <w:sz w:val="16"/>
              </w:rPr>
              <w:t>8,417</w:t>
            </w:r>
          </w:p>
        </w:tc>
        <w:tc>
          <w:tcPr>
            <w:tcW w:type="dxa" w:w="1134"/>
            <w:shd w:fill="FFC7CE" w:val="clear"/>
          </w:tcPr>
          <w:p>
            <w:r>
              <w:rPr>
                <w:b/>
                <w:color w:val="B40000"/>
                <w:sz w:val="16"/>
              </w:rPr>
              <w:t>-5.42%</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3,200</w:t>
            </w:r>
          </w:p>
        </w:tc>
        <w:tc>
          <w:tcPr>
            <w:tcW w:type="dxa" w:w="1417"/>
            <w:shd w:fill="FFFFFF" w:val="clear"/>
          </w:tcPr>
          <w:p>
            <w:r>
              <w:rPr>
                <w:sz w:val="16"/>
              </w:rPr>
              <w:t>3,020</w:t>
            </w:r>
          </w:p>
        </w:tc>
        <w:tc>
          <w:tcPr>
            <w:tcW w:type="dxa" w:w="1134"/>
            <w:shd w:fill="FFC7CE" w:val="clear"/>
          </w:tcPr>
          <w:p>
            <w:r>
              <w:rPr>
                <w:b/>
                <w:color w:val="B40000"/>
                <w:sz w:val="16"/>
              </w:rPr>
              <w:t>-5.64%</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1,878</w:t>
            </w:r>
          </w:p>
        </w:tc>
        <w:tc>
          <w:tcPr>
            <w:tcW w:type="dxa" w:w="1134"/>
            <w:shd w:fill="FFC7CE" w:val="clear"/>
          </w:tcPr>
          <w:p>
            <w:r>
              <w:rPr>
                <w:b/>
                <w:color w:val="B40000"/>
                <w:sz w:val="16"/>
              </w:rPr>
              <w:t>-6.08%</w:t>
            </w:r>
          </w:p>
        </w:tc>
        <w:tc>
          <w:tcPr>
            <w:tcW w:type="dxa" w:w="1134"/>
            <w:shd w:fill="FFEB9C" w:val="clear"/>
          </w:tcPr>
          <w:p>
            <w:r>
              <w:rPr>
                <w:sz w:val="16"/>
              </w:rPr>
              <w:t>Moyenne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30,300</w:t>
            </w:r>
          </w:p>
        </w:tc>
        <w:tc>
          <w:tcPr>
            <w:tcW w:type="dxa" w:w="1417"/>
            <w:shd w:fill="FFFFFF" w:val="clear"/>
          </w:tcPr>
          <w:p>
            <w:r>
              <w:rPr>
                <w:sz w:val="16"/>
              </w:rPr>
              <w:t>28,229</w:t>
            </w:r>
          </w:p>
        </w:tc>
        <w:tc>
          <w:tcPr>
            <w:tcW w:type="dxa" w:w="1134"/>
            <w:shd w:fill="FFC7CE" w:val="clear"/>
          </w:tcPr>
          <w:p>
            <w:r>
              <w:rPr>
                <w:b/>
                <w:color w:val="B40000"/>
                <w:sz w:val="16"/>
              </w:rPr>
              <w:t>-6.84%</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2,090</w:t>
            </w:r>
          </w:p>
        </w:tc>
        <w:tc>
          <w:tcPr>
            <w:tcW w:type="dxa" w:w="1417"/>
            <w:shd w:fill="FFFFFF" w:val="clear"/>
          </w:tcPr>
          <w:p>
            <w:r>
              <w:rPr>
                <w:sz w:val="16"/>
              </w:rPr>
              <w:t>1,946</w:t>
            </w:r>
          </w:p>
        </w:tc>
        <w:tc>
          <w:tcPr>
            <w:tcW w:type="dxa" w:w="1134"/>
            <w:shd w:fill="FFC7CE" w:val="clear"/>
          </w:tcPr>
          <w:p>
            <w:r>
              <w:rPr>
                <w:b/>
                <w:color w:val="B40000"/>
                <w:sz w:val="16"/>
              </w:rPr>
              <w:t>-6.91%</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3,050</w:t>
            </w:r>
          </w:p>
        </w:tc>
        <w:tc>
          <w:tcPr>
            <w:tcW w:type="dxa" w:w="1417"/>
            <w:shd w:fill="FFFFFF" w:val="clear"/>
          </w:tcPr>
          <w:p>
            <w:r>
              <w:rPr>
                <w:sz w:val="16"/>
              </w:rPr>
              <w:t>2,835</w:t>
            </w:r>
          </w:p>
        </w:tc>
        <w:tc>
          <w:tcPr>
            <w:tcW w:type="dxa" w:w="1134"/>
            <w:shd w:fill="FFC7CE" w:val="clear"/>
          </w:tcPr>
          <w:p>
            <w:r>
              <w:rPr>
                <w:b/>
                <w:color w:val="B40000"/>
                <w:sz w:val="16"/>
              </w:rPr>
              <w:t>-7.06%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3,800</w:t>
            </w:r>
          </w:p>
        </w:tc>
        <w:tc>
          <w:tcPr>
            <w:tcW w:type="dxa" w:w="1417"/>
            <w:shd w:fill="FFFFFF" w:val="clear"/>
          </w:tcPr>
          <w:p>
            <w:r>
              <w:rPr>
                <w:sz w:val="16"/>
              </w:rPr>
              <w:t>3,476</w:t>
            </w:r>
          </w:p>
        </w:tc>
        <w:tc>
          <w:tcPr>
            <w:tcW w:type="dxa" w:w="1134"/>
            <w:shd w:fill="FFC7CE" w:val="clear"/>
          </w:tcPr>
          <w:p>
            <w:r>
              <w:rPr>
                <w:b/>
                <w:color w:val="B40000"/>
                <w:sz w:val="16"/>
              </w:rPr>
              <w:t>-8.53%</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2,475</w:t>
            </w:r>
          </w:p>
        </w:tc>
        <w:tc>
          <w:tcPr>
            <w:tcW w:type="dxa" w:w="1417"/>
            <w:shd w:fill="FFFFFF" w:val="clear"/>
          </w:tcPr>
          <w:p>
            <w:r>
              <w:rPr>
                <w:sz w:val="16"/>
              </w:rPr>
              <w:t>2,203</w:t>
            </w:r>
          </w:p>
        </w:tc>
        <w:tc>
          <w:tcPr>
            <w:tcW w:type="dxa" w:w="1134"/>
            <w:shd w:fill="FFC7CE" w:val="clear"/>
          </w:tcPr>
          <w:p>
            <w:r>
              <w:rPr>
                <w:b/>
                <w:color w:val="B40000"/>
                <w:sz w:val="16"/>
              </w:rPr>
              <w:t>-11.00%</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3,595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+18.20%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11.17% (Moyenne) — μ=3,305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β=0.3167 (Défensif) — Cov=0.000014, Var(idx)=0.000045, ρ=0.076,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3,634</w:t>
            </w:r>
          </w:p>
        </w:tc>
        <w:tc>
          <w:tcPr>
            <w:tcW w:type="dxa" w:w="1440"/>
            <w:shd w:fill="FAFAFA" w:val="clear"/>
          </w:tcPr>
          <w:p>
            <w:r>
              <w:rPr>
                <w:b/>
                <w:sz w:val="17"/>
              </w:rPr>
              <w:t>3,767</w:t>
            </w:r>
          </w:p>
        </w:tc>
        <w:tc>
          <w:tcPr>
            <w:tcW w:type="dxa" w:w="1440"/>
            <w:shd w:fill="FAFAFA" w:val="clear"/>
          </w:tcPr>
          <w:p>
            <w:r>
              <w:rPr>
                <w:sz w:val="17"/>
              </w:rPr>
              <w:t>3,900</w:t>
            </w:r>
          </w:p>
        </w:tc>
        <w:tc>
          <w:tcPr>
            <w:tcW w:type="dxa" w:w="1440"/>
            <w:shd w:fill="FAFAFA" w:val="clear"/>
          </w:tcPr>
          <w:p>
            <w:r>
              <w:rPr>
                <w:b/>
                <w:color w:val="C00000"/>
                <w:sz w:val="17"/>
              </w:rPr>
              <w:t>-0.9%</w:t>
            </w:r>
          </w:p>
        </w:tc>
      </w:tr>
      <w:tr>
        <w:tc>
          <w:tcPr>
            <w:tcW w:type="dxa" w:w="1440"/>
            <w:shd w:fill="FFDCE0" w:val="clear"/>
          </w:tcPr>
          <w:p>
            <w:r>
              <w:rPr>
                <w:sz w:val="17"/>
              </w:rPr>
              <w:t>J+2  Moyenne</w:t>
            </w:r>
          </w:p>
        </w:tc>
        <w:tc>
          <w:tcPr>
            <w:tcW w:type="dxa" w:w="1440"/>
            <w:shd w:fill="FFDCE0" w:val="clear"/>
          </w:tcPr>
          <w:p>
            <w:r>
              <w:rPr>
                <w:sz w:val="17"/>
              </w:rPr>
              <w:t>2026-09-28</w:t>
            </w:r>
          </w:p>
        </w:tc>
        <w:tc>
          <w:tcPr>
            <w:tcW w:type="dxa" w:w="1440"/>
            <w:shd w:fill="FFDCE0" w:val="clear"/>
          </w:tcPr>
          <w:p>
            <w:r>
              <w:rPr>
                <w:sz w:val="17"/>
              </w:rPr>
              <w:t>3,532</w:t>
            </w:r>
          </w:p>
        </w:tc>
        <w:tc>
          <w:tcPr>
            <w:tcW w:type="dxa" w:w="1440"/>
            <w:shd w:fill="FFDCE0" w:val="clear"/>
          </w:tcPr>
          <w:p>
            <w:r>
              <w:rPr>
                <w:b/>
                <w:sz w:val="17"/>
              </w:rPr>
              <w:t>3,718</w:t>
            </w:r>
          </w:p>
        </w:tc>
        <w:tc>
          <w:tcPr>
            <w:tcW w:type="dxa" w:w="1440"/>
            <w:shd w:fill="FFDCE0" w:val="clear"/>
          </w:tcPr>
          <w:p>
            <w:r>
              <w:rPr>
                <w:sz w:val="17"/>
              </w:rPr>
              <w:t>3,903</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2026-09-29</w:t>
            </w:r>
          </w:p>
        </w:tc>
        <w:tc>
          <w:tcPr>
            <w:tcW w:type="dxa" w:w="1440"/>
            <w:shd w:fill="FFDCE0" w:val="clear"/>
          </w:tcPr>
          <w:p>
            <w:r>
              <w:rPr>
                <w:sz w:val="17"/>
              </w:rPr>
              <w:t>3,457</w:t>
            </w:r>
          </w:p>
        </w:tc>
        <w:tc>
          <w:tcPr>
            <w:tcW w:type="dxa" w:w="1440"/>
            <w:shd w:fill="FFDCE0" w:val="clear"/>
          </w:tcPr>
          <w:p>
            <w:r>
              <w:rPr>
                <w:b/>
                <w:sz w:val="17"/>
              </w:rPr>
              <w:t>3,682</w:t>
            </w:r>
          </w:p>
        </w:tc>
        <w:tc>
          <w:tcPr>
            <w:tcW w:type="dxa" w:w="1440"/>
            <w:shd w:fill="FFDCE0" w:val="clear"/>
          </w:tcPr>
          <w:p>
            <w:r>
              <w:rPr>
                <w:sz w:val="17"/>
              </w:rPr>
              <w:t>3,907</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3,391</w:t>
            </w:r>
          </w:p>
        </w:tc>
        <w:tc>
          <w:tcPr>
            <w:tcW w:type="dxa" w:w="1440"/>
            <w:shd w:fill="FFDCE0" w:val="clear"/>
          </w:tcPr>
          <w:p>
            <w:r>
              <w:rPr>
                <w:b/>
                <w:sz w:val="17"/>
              </w:rPr>
              <w:t>3,648</w:t>
            </w:r>
          </w:p>
        </w:tc>
        <w:tc>
          <w:tcPr>
            <w:tcW w:type="dxa" w:w="1440"/>
            <w:shd w:fill="FFDCE0" w:val="clear"/>
          </w:tcPr>
          <w:p>
            <w:r>
              <w:rPr>
                <w:sz w:val="17"/>
              </w:rPr>
              <w:t>3,906</w:t>
            </w:r>
          </w:p>
        </w:tc>
        <w:tc>
          <w:tcPr>
            <w:tcW w:type="dxa" w:w="1440"/>
            <w:shd w:fill="FFDCE0" w:val="clear"/>
          </w:tcPr>
          <w:p>
            <w:r>
              <w:rPr>
                <w:b/>
                <w:color w:val="C00000"/>
                <w:sz w:val="17"/>
              </w:rPr>
              <w:t>-4.0%</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3,330</w:t>
            </w:r>
          </w:p>
        </w:tc>
        <w:tc>
          <w:tcPr>
            <w:tcW w:type="dxa" w:w="1440"/>
            <w:shd w:fill="FFDCE0" w:val="clear"/>
          </w:tcPr>
          <w:p>
            <w:r>
              <w:rPr>
                <w:b/>
                <w:sz w:val="17"/>
              </w:rPr>
              <w:t>3,616</w:t>
            </w:r>
          </w:p>
        </w:tc>
        <w:tc>
          <w:tcPr>
            <w:tcW w:type="dxa" w:w="1440"/>
            <w:shd w:fill="FFDCE0" w:val="clear"/>
          </w:tcPr>
          <w:p>
            <w:r>
              <w:rPr>
                <w:sz w:val="17"/>
              </w:rPr>
              <w:t>3,901</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3,275</w:t>
            </w:r>
          </w:p>
        </w:tc>
        <w:tc>
          <w:tcPr>
            <w:tcW w:type="dxa" w:w="1440"/>
            <w:shd w:fill="FFDCE0" w:val="clear"/>
          </w:tcPr>
          <w:p>
            <w:r>
              <w:rPr>
                <w:b/>
                <w:sz w:val="17"/>
              </w:rPr>
              <w:t>3,585</w:t>
            </w:r>
          </w:p>
        </w:tc>
        <w:tc>
          <w:tcPr>
            <w:tcW w:type="dxa" w:w="1440"/>
            <w:shd w:fill="FFDCE0" w:val="clear"/>
          </w:tcPr>
          <w:p>
            <w:r>
              <w:rPr>
                <w:sz w:val="17"/>
              </w:rPr>
              <w:t>3,895</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3,223</w:t>
            </w:r>
          </w:p>
        </w:tc>
        <w:tc>
          <w:tcPr>
            <w:tcW w:type="dxa" w:w="1440"/>
            <w:shd w:fill="FFDCE0" w:val="clear"/>
          </w:tcPr>
          <w:p>
            <w:r>
              <w:rPr>
                <w:b/>
                <w:sz w:val="17"/>
              </w:rPr>
              <w:t>3,555</w:t>
            </w:r>
          </w:p>
        </w:tc>
        <w:tc>
          <w:tcPr>
            <w:tcW w:type="dxa" w:w="1440"/>
            <w:shd w:fill="FFDCE0" w:val="clear"/>
          </w:tcPr>
          <w:p>
            <w:r>
              <w:rPr>
                <w:sz w:val="17"/>
              </w:rPr>
              <w:t>3,887</w:t>
            </w:r>
          </w:p>
        </w:tc>
        <w:tc>
          <w:tcPr>
            <w:tcW w:type="dxa" w:w="1440"/>
            <w:shd w:fill="FFDCE0" w:val="clear"/>
          </w:tcPr>
          <w:p>
            <w:r>
              <w:rPr>
                <w:b/>
                <w:color w:val="C00000"/>
                <w:sz w:val="17"/>
              </w:rPr>
              <w:t>-6.4%</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3,175</w:t>
            </w:r>
          </w:p>
        </w:tc>
        <w:tc>
          <w:tcPr>
            <w:tcW w:type="dxa" w:w="1440"/>
            <w:shd w:fill="FFDCE0" w:val="clear"/>
          </w:tcPr>
          <w:p>
            <w:r>
              <w:rPr>
                <w:b/>
                <w:sz w:val="17"/>
              </w:rPr>
              <w:t>3,527</w:t>
            </w:r>
          </w:p>
        </w:tc>
        <w:tc>
          <w:tcPr>
            <w:tcW w:type="dxa" w:w="1440"/>
            <w:shd w:fill="FFDCE0" w:val="clear"/>
          </w:tcPr>
          <w:p>
            <w:r>
              <w:rPr>
                <w:sz w:val="17"/>
              </w:rPr>
              <w:t>3,880</w:t>
            </w:r>
          </w:p>
        </w:tc>
        <w:tc>
          <w:tcPr>
            <w:tcW w:type="dxa" w:w="1440"/>
            <w:shd w:fill="FFDCE0" w:val="clear"/>
          </w:tcPr>
          <w:p>
            <w:r>
              <w:rPr>
                <w:b/>
                <w:color w:val="C00000"/>
                <w:sz w:val="17"/>
              </w:rPr>
              <w:t>-7.2%</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3,130</w:t>
            </w:r>
          </w:p>
        </w:tc>
        <w:tc>
          <w:tcPr>
            <w:tcW w:type="dxa" w:w="1440"/>
            <w:shd w:fill="FFDCE0" w:val="clear"/>
          </w:tcPr>
          <w:p>
            <w:r>
              <w:rPr>
                <w:b/>
                <w:sz w:val="17"/>
              </w:rPr>
              <w:t>3,501</w:t>
            </w:r>
          </w:p>
        </w:tc>
        <w:tc>
          <w:tcPr>
            <w:tcW w:type="dxa" w:w="1440"/>
            <w:shd w:fill="FFDCE0" w:val="clear"/>
          </w:tcPr>
          <w:p>
            <w:r>
              <w:rPr>
                <w:sz w:val="17"/>
              </w:rPr>
              <w:t>3,872</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3,088</w:t>
            </w:r>
          </w:p>
        </w:tc>
        <w:tc>
          <w:tcPr>
            <w:tcW w:type="dxa" w:w="1440"/>
            <w:shd w:fill="FFDCE0" w:val="clear"/>
          </w:tcPr>
          <w:p>
            <w:r>
              <w:rPr>
                <w:b/>
                <w:sz w:val="17"/>
              </w:rPr>
              <w:t>3,476</w:t>
            </w:r>
          </w:p>
        </w:tc>
        <w:tc>
          <w:tcPr>
            <w:tcW w:type="dxa" w:w="1440"/>
            <w:shd w:fill="FFDCE0" w:val="clear"/>
          </w:tcPr>
          <w:p>
            <w:r>
              <w:rPr>
                <w:sz w:val="17"/>
              </w:rPr>
              <w:t>3,864</w:t>
            </w:r>
          </w:p>
        </w:tc>
        <w:tc>
          <w:tcPr>
            <w:tcW w:type="dxa" w:w="1440"/>
            <w:shd w:fill="FFDCE0" w:val="clear"/>
          </w:tcPr>
          <w:p>
            <w:r>
              <w:rPr>
                <w:b/>
                <w:color w:val="C00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41,47 milliards FCFA, ABJC se situe dans la catégorie des valeurs moyennes de la cote BRVM, ce qui traduit une liquidité limitée mais une certaine stabilité institutionnelle. Le BPA de 124 FCFA/action signifie que chaque titre génère un bénéfice net de 124 FCFA, un niveau correct mais en retrait par rapport aux 139 FCFA de 2024. Le PER de 30,7x est nettement supérieur à la moyenne du marché BRVM (8-12x), signalant que les investisseurs paient une prime très élevée pour les bénéfices actuels, ce qui suppose soit une forte croissance anticipée, soit une surévaluation manifeste. Le P/B de 8,04x confirme cette exigence : le marché valorise l'action à plus de 8 fois sa valeur comptable, une prime rarement justifiée hors secteurs à très forte rentabilité. Enfin, l'EV/EBITDA de 15,8x, supérieur au seuil de 15x, renchérit le coût d'acquisition de la capacité opérationnelle de l'entreprise, renforçant l'impression d'une valorisation tendue.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ABJC affiche une progression totale de +18,20%, mais la dernière séance (J-1) enregistre un repli de -3,31%, signalant une prise de bénéfices ou un essoufflement de la dynamique haussière. Le range de trading est large, entre un plus bas de 2 800 FCFA et un plus haut de 4 095 FCFA, soit une amplitude de près de 46%, ce qui témoigne d'une forte volatilité intra-période. La tendance générale reste haussière sur la période, portée par le rebond du secteur aéroportuaire post-Covid, mais le cours actuel (3 800 FCFA) se situe désormais sous la MM20 (3 938,5 FCFA), suggérant un essoufflement à court terme. Les statistiques descriptives révèlent une moyenne de 3 305 FCFA supérieure à la médiane de 3 182 FCFA, avec un mode à 3 150 FCFA : cet écart confirme une asymétrie positive (skewness de 0,776), indiquant que la majorité des séances se sont déroulées sous la moyenne, avec quelques pics haussiers tirant la moyenne vers le haut. L'écart-type de 371 FCFA (CV de 11,2%) traduit une dispersion modérée, tandis que le kurtosis de -0,619 (mésokurtique) suggère une distribution proche de la normale, sans risque extrême de pics violents. La volatilité annualisée de 44,0% classe le titre dans la catégorie des valeurs très volatiles (&gt;30%), ce qui implique un risque de marché élevé et un horizon d'investissement à adapter en conséquence.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3 938,5 FCFA et la MM50 à 3 475,4 FCFA. Le cours actuel (3 800 FCFA) est inférieur à la MM20 mais supérieur à la MM50, ce qui traduit un ralentissement de la tendance haussière de court terme tout en préservant la dynamique de moyen terme. La décision technique affichée est « Achat », cohérente avec la position du cours au-dessus de la MM50, mais la cassure sous la MM20 invite à la prudence.</w:t>
      </w:r>
    </w:p>
    <w:p>
      <w:pPr>
        <w:spacing w:after="120" w:line="276" w:lineRule="auto"/>
      </w:pPr>
      <w:r>
        <w:t>**Bandes de Bollinger** : La borne supérieure est à 4 150,3 FCFA et la borne inférieure à 3 726,7 FCFA, avec un cours actuel de 3 800 FCFA positionné dans la partie basse de la bande. Cette configuration indique une pression vendeuse récente et une volatilité qui se comprime, la décision étant « Neutre » : le titre n'est ni en surachat ni en survente, mais la proximité de la borne inférieure suggère un potentiel de rebond technique.</w:t>
      </w:r>
    </w:p>
    <w:p>
      <w:pPr>
        <w:spacing w:after="120" w:line="276" w:lineRule="auto"/>
      </w:pPr>
      <w:r>
        <w:t>**MACD** : La valeur du MACD (119,28) est inférieure à son signal (163,71), générant une divergence baissière et une décision « Vente ». Le momentum s'affaiblit, confirmant la perte de vitesse de la tendance haussière et la nécessité d'une consolidation avant toute reprise durable.</w:t>
      </w:r>
    </w:p>
    <w:p>
      <w:pPr>
        <w:spacing w:after="120" w:line="276" w:lineRule="auto"/>
      </w:pPr>
      <w:r>
        <w:t>**RSI** : À 41,80, le RSI se situe en zone neutre (30-70), sans signal de surachat ni de survente. La décision « Neutre » reflète un équilibre entre acheteurs et vendeurs, avec une légère tendance baissière puisque le RSI est sous la barre des 50.</w:t>
      </w:r>
    </w:p>
    <w:p>
      <w:pPr>
        <w:spacing w:after="120" w:line="276" w:lineRule="auto"/>
      </w:pPr>
      <w:r>
        <w:t>**Stochastique** : Le %K est à 0,0 et le %D à 14,53, avec une décision « Achat ». Le croisement du %K sous le %D en zone de survente extrême (proche de 0) signale un potentiel retournement haussier à court terme, bien que la fiabilité de ce signal soit à confirmer par les autres indicateurs.</w:t>
      </w:r>
    </w:p>
    <w:p>
      <w:pPr>
        <w:spacing w:after="120" w:line="276" w:lineRule="auto"/>
      </w:pPr>
      <w:r>
        <w:t>**Conclusion technique** : Les indicateurs techniques sont divergents : les moyennes mobiles et le stochastique plaident pour un achat, tandis que le MACD et la position du cours sous la MM20 suggèrent une vente. Le RSI et les bandes de Bollinger confirment une phase de consolidation neutre. Dans l'ensemble, le titre se trouve à un point d'inflexion : la tendance de fond reste haussière (cours &gt; MM50), mais le momentum de court terme est baissier, ce qui appelle à la prudence dans l'attente d'un signal directionnel clair.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indiquent un chiffre d'affaires de 13,298 milliards FCFA, en croissance de 6,67% par rapport à 2024, porté par la dynamique du trafic aéroportuaire et la diversification vers les activités non aériennes. Le résultat net s'établit à 1,351 milliard FCFA, en baisse de 12,1% selon le rapport 2025, principalement en raison d'une charge d'impôt en hausse de 46,7% (839,75 millions FCFA). La rentabilité reste solide avec un ROE de 26,18% (excellent, &gt;15%) et un ROA de 14,64%, tandis que la marge nette se maintient à 10,16%. La structure financière est saine : autonomie financière de 55,92%, endettement financier quasi nul (dette financière totale de 65,89 millions FCFA seulement), et trésorerie nette de 4,035 milliards FCFA. Le BFR est négatif à -257,45 millions FCFA (favorable), et les délais d'exploitation sont équilibrés : 70,10 jours pour les clients (risque de trésorerie modéré) et 92,11 jours pour les fournisseurs (bon pour la trésorerie). Le rapport T1 2026 (publié le 30 avril 2026) révèle cependant une dégradation marquée : le CA progresse de seulement 1,9% à 3,237 milliards FCFA, mais le résultat net chute de 35,6% à 222,6 millions FCFA, et le résultat des activités ordinaires recule de 27,4% à 327,6 millions FCFA. Cette contre-performance est attribuée à l'impact des ajustements de redevances aéroportuaires (avril 2025) et aux tensions géopolitiques au Moyen-Orient affectant les compagnies clientes. Sur la base de ce T1 2026, on peut estimer que l'exercice 2026 devrait enregistrer une nouvelle contraction de la rentabilité, avec un résultat net annuel potentiellement inférieur à 1 milliard FCFA si la tendance se poursuit. Les rapports antérieurs (T3 2025, S1 2025, T1 2025) montrent une dégradation progressive depuis le litige avec la BCEAO (blocage des transferts de devises) et les charges exceptionnelles de personnel. La recommandation fondamentale est de **conserver** le titre : la solidité financière et la trésorerie abondante protègent contre un choc majeur, mais la détérioration de la rentabilité et les risques réglementaires (litige douanier, redevances) incitent à la prudence. Les perspectives de croissance restent dépendantes de la reprise du trafic aérien et de la résolution des contentieux.</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préoccupante entre la valorisation, le comportement du cours, les signaux techniques et les fondamentaux. La valorisation (Partie 0) est exigeante : PER de 30,7x, P/B de 8,04x et EV/EBITDA de 15,8x indiquent une surévaluation manifeste par rapport aux bénéfices et à la valeur comptable, sans justification par une croissance exceptionnelle. Le comportement du cours (Partie 1) est haussier sur 100 jours (+18,20%) mais montre des signes d'essoufflement (repli de -3,31% en J-1, skewness positive, volatilité élevée de 44%), avec un cours sous la MM20. Les signaux techniques (Partie 2) sont mitigés : le stochastique et les moyennes mobiles donnent un signal d'achat, mais le MACD est baissier et le RSI neutre, créant une divergence qui appelle à la prudence. Les fondamentaux (Partie 3) sont solides mais en dégradation : la croissance du CA ralentit (+1,9% au T1 2026), le résultat net chute de 35,6% au T1 2026, et les risques réglementaires persistent, même si la structure financière reste très saine (ROE de 26,18%, trésorerie nette de 4,035 milliards FCFA). Les prédictions IA (J+1 à J+10) anticipent une baisse continue du cours, de 3 767 FCFA à 3 616 FCFA, confirmant la pression baissière de court terme et contredisant les signaux d'achat techniques. Sur la base de cette synthèse globale, la recommandation finale est **CONSERVER** avec un niveau de confiance **Moyen** et un risque global **Élevé**. La convergence entre la valorisation tendue, la dégradation des fondamentaux et les prédictions baissières l'emporte sur les signaux techniques positifs, mais la solidité financière de l'entreprise et sa position dominante sur le marché ivoirien des services aéroportuaires justifient de ne pas vendre. L'horizon d'investissement optimal est le **moyen terme (3-12 mois)**, en attendant la publication des résultats semestriels 2026 et la résolution des contentieux réglementaires pour y voir plus clair.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457.46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13,449 titres</w:t>
            </w:r>
          </w:p>
        </w:tc>
        <w:tc>
          <w:tcPr>
            <w:tcW w:type="dxa" w:w="2268"/>
            <w:shd w:fill="FFF2CC" w:val="clear"/>
          </w:tcPr>
          <w:p>
            <w:r>
              <w:rPr>
                <w:b/>
                <w:color w:val="503200"/>
                <w:sz w:val="16"/>
              </w:rPr>
              <w:t xml:space="preserve">Cours actuel : </w:t>
            </w:r>
            <w:r>
              <w:rPr>
                <w:color w:val="000000"/>
                <w:sz w:val="17"/>
              </w:rPr>
              <w:t>7,920 FCFA</w:t>
            </w:r>
          </w:p>
          <w:p>
            <w:r>
              <w:rPr>
                <w:b/>
                <w:color w:val="503200"/>
                <w:sz w:val="16"/>
              </w:rPr>
              <w:t xml:space="preserve">Var. 100 jours : </w:t>
            </w:r>
            <w:r>
              <w:rPr>
                <w:b/>
                <w:color w:val="007800"/>
                <w:sz w:val="17"/>
              </w:rPr>
              <w:t>+49.15%</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24.73% (Élevée) — μ=7,075 FCFA, σ=1,749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β=0.8545 (Neutre (suit le marché)) — Cov=0.000038, Var(idx)=0.000045, ρ=0.245,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13,449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86/100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2026-09-25</w:t>
            </w:r>
          </w:p>
        </w:tc>
        <w:tc>
          <w:tcPr>
            <w:tcW w:type="dxa" w:w="1440"/>
            <w:shd w:fill="C6EFCE" w:val="clear"/>
          </w:tcPr>
          <w:p>
            <w:r>
              <w:rPr>
                <w:sz w:val="17"/>
              </w:rPr>
              <w:t>8,027</w:t>
            </w:r>
          </w:p>
        </w:tc>
        <w:tc>
          <w:tcPr>
            <w:tcW w:type="dxa" w:w="1440"/>
            <w:shd w:fill="C6EFCE" w:val="clear"/>
          </w:tcPr>
          <w:p>
            <w:r>
              <w:rPr>
                <w:b/>
                <w:sz w:val="17"/>
              </w:rPr>
              <w:t>8,514</w:t>
            </w:r>
          </w:p>
        </w:tc>
        <w:tc>
          <w:tcPr>
            <w:tcW w:type="dxa" w:w="1440"/>
            <w:shd w:fill="C6EFCE" w:val="clear"/>
          </w:tcPr>
          <w:p>
            <w:r>
              <w:rPr>
                <w:sz w:val="17"/>
              </w:rPr>
              <w:t>9,001</w:t>
            </w:r>
          </w:p>
        </w:tc>
        <w:tc>
          <w:tcPr>
            <w:tcW w:type="dxa" w:w="1440"/>
            <w:shd w:fill="C6EFCE" w:val="clear"/>
          </w:tcPr>
          <w:p>
            <w:r>
              <w:rPr>
                <w:b/>
                <w:color w:val="008000"/>
                <w:sz w:val="17"/>
              </w:rPr>
              <w:t>+7.5%</w:t>
            </w:r>
          </w:p>
        </w:tc>
      </w:tr>
      <w:tr>
        <w:tc>
          <w:tcPr>
            <w:tcW w:type="dxa" w:w="1440"/>
            <w:shd w:fill="C6EFCE" w:val="clear"/>
          </w:tcPr>
          <w:p>
            <w:r>
              <w:rPr>
                <w:sz w:val="17"/>
              </w:rPr>
              <w:t>J+2  ⭐</w:t>
            </w:r>
          </w:p>
        </w:tc>
        <w:tc>
          <w:tcPr>
            <w:tcW w:type="dxa" w:w="1440"/>
            <w:shd w:fill="C6EFCE" w:val="clear"/>
          </w:tcPr>
          <w:p>
            <w:r>
              <w:rPr>
                <w:sz w:val="17"/>
              </w:rPr>
              <w:t>2026-09-28</w:t>
            </w:r>
          </w:p>
        </w:tc>
        <w:tc>
          <w:tcPr>
            <w:tcW w:type="dxa" w:w="1440"/>
            <w:shd w:fill="C6EFCE" w:val="clear"/>
          </w:tcPr>
          <w:p>
            <w:r>
              <w:rPr>
                <w:sz w:val="17"/>
              </w:rPr>
              <w:t>8,332</w:t>
            </w:r>
          </w:p>
        </w:tc>
        <w:tc>
          <w:tcPr>
            <w:tcW w:type="dxa" w:w="1440"/>
            <w:shd w:fill="C6EFCE" w:val="clear"/>
          </w:tcPr>
          <w:p>
            <w:r>
              <w:rPr>
                <w:b/>
                <w:sz w:val="17"/>
              </w:rPr>
              <w:t>9,066</w:t>
            </w:r>
          </w:p>
        </w:tc>
        <w:tc>
          <w:tcPr>
            <w:tcW w:type="dxa" w:w="1440"/>
            <w:shd w:fill="C6EFCE" w:val="clear"/>
          </w:tcPr>
          <w:p>
            <w:r>
              <w:rPr>
                <w:sz w:val="17"/>
              </w:rPr>
              <w:t>9,799</w:t>
            </w:r>
          </w:p>
        </w:tc>
        <w:tc>
          <w:tcPr>
            <w:tcW w:type="dxa" w:w="1440"/>
            <w:shd w:fill="C6EFCE" w:val="clear"/>
          </w:tcPr>
          <w:p>
            <w:r>
              <w:rPr>
                <w:b/>
                <w:color w:val="008000"/>
                <w:sz w:val="17"/>
              </w:rPr>
              <w:t>+14.5%</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8,163</w:t>
            </w:r>
          </w:p>
        </w:tc>
        <w:tc>
          <w:tcPr>
            <w:tcW w:type="dxa" w:w="1440"/>
            <w:shd w:fill="C6EFCE" w:val="clear"/>
          </w:tcPr>
          <w:p>
            <w:r>
              <w:rPr>
                <w:b/>
                <w:sz w:val="17"/>
              </w:rPr>
              <w:t>9,061</w:t>
            </w:r>
          </w:p>
        </w:tc>
        <w:tc>
          <w:tcPr>
            <w:tcW w:type="dxa" w:w="1440"/>
            <w:shd w:fill="C6EFCE" w:val="clear"/>
          </w:tcPr>
          <w:p>
            <w:r>
              <w:rPr>
                <w:sz w:val="17"/>
              </w:rPr>
              <w:t>9,959</w:t>
            </w:r>
          </w:p>
        </w:tc>
        <w:tc>
          <w:tcPr>
            <w:tcW w:type="dxa" w:w="1440"/>
            <w:shd w:fill="C6EFCE" w:val="clear"/>
          </w:tcPr>
          <w:p>
            <w:r>
              <w:rPr>
                <w:b/>
                <w:color w:val="008000"/>
                <w:sz w:val="17"/>
              </w:rPr>
              <w:t>+14.4%</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8,036</w:t>
            </w:r>
          </w:p>
        </w:tc>
        <w:tc>
          <w:tcPr>
            <w:tcW w:type="dxa" w:w="1440"/>
            <w:shd w:fill="C6EFCE" w:val="clear"/>
          </w:tcPr>
          <w:p>
            <w:r>
              <w:rPr>
                <w:b/>
                <w:sz w:val="17"/>
              </w:rPr>
              <w:t>9,074</w:t>
            </w:r>
          </w:p>
        </w:tc>
        <w:tc>
          <w:tcPr>
            <w:tcW w:type="dxa" w:w="1440"/>
            <w:shd w:fill="C6EFCE" w:val="clear"/>
          </w:tcPr>
          <w:p>
            <w:r>
              <w:rPr>
                <w:sz w:val="17"/>
              </w:rPr>
              <w:t>10,112</w:t>
            </w:r>
          </w:p>
        </w:tc>
        <w:tc>
          <w:tcPr>
            <w:tcW w:type="dxa" w:w="1440"/>
            <w:shd w:fill="C6EFCE" w:val="clear"/>
          </w:tcPr>
          <w:p>
            <w:r>
              <w:rPr>
                <w:b/>
                <w:color w:val="008000"/>
                <w:sz w:val="17"/>
              </w:rPr>
              <w:t>+14.6%</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7,929</w:t>
            </w:r>
          </w:p>
        </w:tc>
        <w:tc>
          <w:tcPr>
            <w:tcW w:type="dxa" w:w="1440"/>
            <w:shd w:fill="C6EFCE" w:val="clear"/>
          </w:tcPr>
          <w:p>
            <w:r>
              <w:rPr>
                <w:b/>
                <w:sz w:val="17"/>
              </w:rPr>
              <w:t>9,091</w:t>
            </w:r>
          </w:p>
        </w:tc>
        <w:tc>
          <w:tcPr>
            <w:tcW w:type="dxa" w:w="1440"/>
            <w:shd w:fill="C6EFCE" w:val="clear"/>
          </w:tcPr>
          <w:p>
            <w:r>
              <w:rPr>
                <w:sz w:val="17"/>
              </w:rPr>
              <w:t>10,254</w:t>
            </w:r>
          </w:p>
        </w:tc>
        <w:tc>
          <w:tcPr>
            <w:tcW w:type="dxa" w:w="1440"/>
            <w:shd w:fill="C6EFCE" w:val="clear"/>
          </w:tcPr>
          <w:p>
            <w:r>
              <w:rPr>
                <w:b/>
                <w:color w:val="008000"/>
                <w:sz w:val="17"/>
              </w:rPr>
              <w:t>+14.8%</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7,832</w:t>
            </w:r>
          </w:p>
        </w:tc>
        <w:tc>
          <w:tcPr>
            <w:tcW w:type="dxa" w:w="1440"/>
            <w:shd w:fill="C6EFCE" w:val="clear"/>
          </w:tcPr>
          <w:p>
            <w:r>
              <w:rPr>
                <w:b/>
                <w:sz w:val="17"/>
              </w:rPr>
              <w:t>9,109</w:t>
            </w:r>
          </w:p>
        </w:tc>
        <w:tc>
          <w:tcPr>
            <w:tcW w:type="dxa" w:w="1440"/>
            <w:shd w:fill="C6EFCE" w:val="clear"/>
          </w:tcPr>
          <w:p>
            <w:r>
              <w:rPr>
                <w:sz w:val="17"/>
              </w:rPr>
              <w:t>10,385</w:t>
            </w:r>
          </w:p>
        </w:tc>
        <w:tc>
          <w:tcPr>
            <w:tcW w:type="dxa" w:w="1440"/>
            <w:shd w:fill="C6EFCE" w:val="clear"/>
          </w:tcPr>
          <w:p>
            <w:r>
              <w:rPr>
                <w:b/>
                <w:color w:val="008000"/>
                <w:sz w:val="17"/>
              </w:rPr>
              <w:t>+15.0%</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7,744</w:t>
            </w:r>
          </w:p>
        </w:tc>
        <w:tc>
          <w:tcPr>
            <w:tcW w:type="dxa" w:w="1440"/>
            <w:shd w:fill="C6EFCE" w:val="clear"/>
          </w:tcPr>
          <w:p>
            <w:r>
              <w:rPr>
                <w:b/>
                <w:sz w:val="17"/>
              </w:rPr>
              <w:t>9,124</w:t>
            </w:r>
          </w:p>
        </w:tc>
        <w:tc>
          <w:tcPr>
            <w:tcW w:type="dxa" w:w="1440"/>
            <w:shd w:fill="C6EFCE" w:val="clear"/>
          </w:tcPr>
          <w:p>
            <w:r>
              <w:rPr>
                <w:sz w:val="17"/>
              </w:rPr>
              <w:t>10,505</w:t>
            </w:r>
          </w:p>
        </w:tc>
        <w:tc>
          <w:tcPr>
            <w:tcW w:type="dxa" w:w="1440"/>
            <w:shd w:fill="C6EFCE" w:val="clear"/>
          </w:tcPr>
          <w:p>
            <w:r>
              <w:rPr>
                <w:b/>
                <w:color w:val="008000"/>
                <w:sz w:val="17"/>
              </w:rPr>
              <w:t>+15.2%</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7,660</w:t>
            </w:r>
          </w:p>
        </w:tc>
        <w:tc>
          <w:tcPr>
            <w:tcW w:type="dxa" w:w="1440"/>
            <w:shd w:fill="C6EFCE" w:val="clear"/>
          </w:tcPr>
          <w:p>
            <w:r>
              <w:rPr>
                <w:b/>
                <w:sz w:val="17"/>
              </w:rPr>
              <w:t>9,138</w:t>
            </w:r>
          </w:p>
        </w:tc>
        <w:tc>
          <w:tcPr>
            <w:tcW w:type="dxa" w:w="1440"/>
            <w:shd w:fill="C6EFCE" w:val="clear"/>
          </w:tcPr>
          <w:p>
            <w:r>
              <w:rPr>
                <w:sz w:val="17"/>
              </w:rPr>
              <w:t>10,617</w:t>
            </w:r>
          </w:p>
        </w:tc>
        <w:tc>
          <w:tcPr>
            <w:tcW w:type="dxa" w:w="1440"/>
            <w:shd w:fill="C6EFCE" w:val="clear"/>
          </w:tcPr>
          <w:p>
            <w:r>
              <w:rPr>
                <w:b/>
                <w:color w:val="008000"/>
                <w:sz w:val="17"/>
              </w:rPr>
              <w:t>+15.4%</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7,580</w:t>
            </w:r>
          </w:p>
        </w:tc>
        <w:tc>
          <w:tcPr>
            <w:tcW w:type="dxa" w:w="1440"/>
            <w:shd w:fill="C6EFCE" w:val="clear"/>
          </w:tcPr>
          <w:p>
            <w:r>
              <w:rPr>
                <w:b/>
                <w:sz w:val="17"/>
              </w:rPr>
              <w:t>9,151</w:t>
            </w:r>
          </w:p>
        </w:tc>
        <w:tc>
          <w:tcPr>
            <w:tcW w:type="dxa" w:w="1440"/>
            <w:shd w:fill="C6EFCE" w:val="clear"/>
          </w:tcPr>
          <w:p>
            <w:r>
              <w:rPr>
                <w:sz w:val="17"/>
              </w:rPr>
              <w:t>10,721</w:t>
            </w:r>
          </w:p>
        </w:tc>
        <w:tc>
          <w:tcPr>
            <w:tcW w:type="dxa" w:w="1440"/>
            <w:shd w:fill="C6EFCE" w:val="clear"/>
          </w:tcPr>
          <w:p>
            <w:r>
              <w:rPr>
                <w:b/>
                <w:color w:val="008000"/>
                <w:sz w:val="17"/>
              </w:rPr>
              <w:t>+15.5%</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7,504</w:t>
            </w:r>
          </w:p>
        </w:tc>
        <w:tc>
          <w:tcPr>
            <w:tcW w:type="dxa" w:w="1440"/>
            <w:shd w:fill="C6EFCE" w:val="clear"/>
          </w:tcPr>
          <w:p>
            <w:r>
              <w:rPr>
                <w:b/>
                <w:sz w:val="17"/>
              </w:rPr>
              <w:t>9,161</w:t>
            </w:r>
          </w:p>
        </w:tc>
        <w:tc>
          <w:tcPr>
            <w:tcW w:type="dxa" w:w="1440"/>
            <w:shd w:fill="C6EFCE" w:val="clear"/>
          </w:tcPr>
          <w:p>
            <w:r>
              <w:rPr>
                <w:sz w:val="17"/>
              </w:rPr>
              <w:t>10,818</w:t>
            </w:r>
          </w:p>
        </w:tc>
        <w:tc>
          <w:tcPr>
            <w:tcW w:type="dxa" w:w="1440"/>
            <w:shd w:fill="C6EFCE" w:val="clear"/>
          </w:tcPr>
          <w:p>
            <w:r>
              <w:rPr>
                <w:b/>
                <w:color w:val="008000"/>
                <w:sz w:val="17"/>
              </w:rPr>
              <w:t>+15.7%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(BRVM)</w:t>
        <w:br/>
        <w:t>**Banque Internationale pour l'Industrie et le Commerce (Bénin)**</w:t>
        <w:br/>
        <w:t>*Date d'analyse : Septembre 2026 | Secteur : Banque | Marché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457,46 milliards FCFA, la BICB s'impose comme l'une des valeurs bancaires les plus capitalisées de la BRVM, ce qui traduit sa position de leader au Bénin et la confiance des investisseurs régionaux. Le BPA de 627 FCFA/action signifie que chaque titre génère près de 627 FCFA de bénéfice net, un niveau élevé qui reflète la forte rentabilité de la banque. Le PER de 12,6x se situe légèrement au-dessus de la moyenne BRVM (~8-12x), indiquant que le marché paie une prime modérée pour les bénéfices, justifiée par la croissance à deux chiffres du PNB. Le P/B de 3,39x montre que le marché valorise la banque à plus de trois fois sa valeur comptable, une prime de croissance significative qui suppose que les investisseurs anticipent une poursuite de la rentabilité élevée. En revanche, l'EV/EBITDA de 23,3x apparaît très exigeant (&gt;15x), signalant que la valeur totale de l'entreprise (incluant la dette) est chèrement valorisée par rapport à sa capacité opérationnelle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**+49,15%**, passant d'environ 5 300 FCFA à 7 920 FCFA, avec un plus haut à 10 790 FCFA et un plus bas à 5 105 FCFA — soit un range de trading de plus de 5 600 FCFA. Cependant, la dernière séance (J-1) affiche un repli marqué de **-7,48%**, signalant une correction après le sommet récent. La tendance générale reste haussière sur la période, mais la chute récente suggère une prise de bénéfices ou une réaction à des facteurs techniques. Les statistiques descriptives révèlent une moyenne de 7 075 FCFA contre une médiane de 6 418 FCFA : cet écart positif indique une asymétrie vers la droite, confirmée par un skewness de +0,656, ce qui signifie que les journées sous la moyenne sont plus fréquentes mais que les hausses extrêmes tirent la moyenne vers le haut. L'écart-type de 1 758 FCFA (CV = 24,9%) traduit une dispersion modérée à élevée du cours, tandis que le kurtosis de -0,845 (mésokurtique) indique une distribution proche de la normale, sans risque excessif de pics extrêmes. La volatilité annualisée de **40,8%** classe le titre dans la catégorie **élevée** (&gt;30%), ce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(9 834,25 FCFA) et la MM50 (8 536,30 FCFA) sont toutes deux nettement supérieures au cours actuel (7 920 FCFA), ce qui place le titre en dessous de ses moyennes mobiles — un signal baissier à court terme. Cependant, la décision technique affichée est "Achat", probablement basée sur le potentiel de rebond après la correction. La position du cours sous les deux MM suggère une pression vendeuse récente, mais la MM50 reste au-dessus de la MM20, indiquant que la tendance de fond demeure haussière.</w:t>
      </w:r>
    </w:p>
    <w:p>
      <w:pPr>
        <w:spacing w:after="120" w:line="276" w:lineRule="auto"/>
      </w:pPr>
      <w:r>
        <w:t>**Bandes de Bollinger** : La borne supérieure est à 11 470,21 FCFA et la borne inférieure à 8 198,30 FCFA, avec un cours actuel de 7 920 FCFA — légèrement en dessous de la borne inférieure. Cette position suggère que le titre est en zone de survente technique, ce qui justifie la décision "Achat" par un potentiel de retour vers la moyenne. La largeur des bandes (écart de 3 272 FCFA) confirme une volatilité élevée, cohérente avec l'écart-type observé.</w:t>
      </w:r>
    </w:p>
    <w:p>
      <w:pPr>
        <w:spacing w:after="120" w:line="276" w:lineRule="auto"/>
      </w:pPr>
      <w:r>
        <w:t>**MACD** : La valeur du MACD (146,58) est inférieure à son signal (482,26), ce qui génère une divergence baissière et justifie la décision "Vente". Le momentum est clairement négatif, avec un MACD qui décroche sous son signal — un signal de continuation baissière à court terme. Cette configuration suggère que la correction pourrait se poursuivre avant un retournement.</w:t>
      </w:r>
    </w:p>
    <w:p>
      <w:pPr>
        <w:spacing w:after="120" w:line="276" w:lineRule="auto"/>
      </w:pPr>
      <w:r>
        <w:t>**RSI** : Le RSI à 20,05 est en zone de **survente extrême** (&lt;30), ce qui justifie la décision "Achat" par un potentiel de rebond technique. Un RSI aussi bas indique que le titre a été massivement vendu et pourrait attirer des acheteurs à la recherche de points d'entrée. Cependant, un RSI en survente peut aussi signaler une tendance baissière persistante si le contexte fondamental se dégrade.</w:t>
      </w:r>
    </w:p>
    <w:p>
      <w:pPr>
        <w:spacing w:after="120" w:line="276" w:lineRule="auto"/>
      </w:pPr>
      <w:r>
        <w:t>**Stochastique** : Le %K et le %D sont tous deux à 0,0, ce qui place le titre en zone de survente maximale et justifie la décision "Achat". Un croisement haussier du %K au-dessus du %D serait un signal de retournement, mais pour l'instant, les deux lignes restent collées à zéro, indiquant une pression vendeuse intense.</w:t>
      </w:r>
    </w:p>
    <w:p>
      <w:pPr>
        <w:spacing w:after="120" w:line="276" w:lineRule="auto"/>
      </w:pPr>
      <w:r>
        <w:t>**Conclusion technique** : Les indicateurs sont **divergents** : les moyennes mobiles et le MACD sont baissiers, tandis que le RSI, le stochastique et les bandes de Bollinger signalent une survente extrême propice à un rebond. Cette configuration suggère que le titre pourrait connaître un rebond technique à court terme, mais la tendance de fond reste fragile tant que le cours ne repasse pas au-dessus de la MM20 (9 834 FCFA). La prudence est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par rapport à 2024, portée par une hausse des crédits clientèle (+37,3%) et des dépôts (+29,4%). Le résultat net s'établit à **36,237 milliards FCFA**, en progression de **+24,7%**, avec un **ROE de 26,82%** (excellent, &gt;15%) et un **ROA de 1,96%**. Le coefficient d'exploitation de **31,12%** est excellent (&lt;60%), témoignant d'une grande efficacité opérationnelle. Le coût du risque de **9,61%** reste modéré mais à surveiller, tandis que le ratio crédits nets/dépôts de **97,5%** indique une transformation tendue. La marge nette de **68,62%** est exceptionnellement élevée, mais elle intègre des reprises de provisions exceptionnelles (+5,075 milliards FCFA), un élément non récurrent.</w:t>
      </w:r>
    </w:p>
    <w:p>
      <w:pPr>
        <w:spacing w:after="120" w:line="276" w:lineRule="auto"/>
      </w:pPr>
      <w:r>
        <w:t>**Adaptation au secteur bancaire** : La BICB affiche une solidité financière remarquable avec des capitaux propres de **135,118 milliards FCFA**, une solvabilité de **19,64%** (bien au-dessus du minimum réglementaire de 11,5%) et une liquidité générale de **5 646%**. Cependant, le ratio de liquidité immédiate (127,53%) et la trésorerie nette négative (-424,107 milliards FCFA) révèlent une dépendance aux financements interbancaires (465,174 milliards FCFA de dettes interbancaires), un point de vigilance.</w:t>
      </w:r>
    </w:p>
    <w:p>
      <w:pPr>
        <w:spacing w:after="120" w:line="276" w:lineRule="auto"/>
      </w:pPr>
      <w:r>
        <w:t>**Estimations basées sur les rapports trimestriels** : Le rapport T1 2026 (publié en 2026) indique un PNB de **14,6 milliards FCFA** (+35%) et un résultat net de **8,0 milliards FCFA** (+48%), confirmant une accélération de la croissance. Le rapport S1 2026 (publié en 2026) montre un PNB de **31,882 milliards FCFA** (+19%) et un résultat net de **18,368 milliards FCFA** (+11%), avec un coût du risque redevenu une charge de **-3,579 milliards FCFA** (contre un produit de +2,376 milliards au S1 2025). Sur la base de ces tendances, on estime que l'exercice 2026 devrait afficher un PNB supérieur à **60 milliards FCFA** et un résultat net autour de **38-40 milliards FCFA**, sous réserve d'une normalisation du coût du risque.</w:t>
      </w:r>
    </w:p>
    <w:p>
      <w:pPr>
        <w:spacing w:after="120" w:line="276" w:lineRule="auto"/>
      </w:pPr>
      <w:r>
        <w:t>**Évolution pluriannuelle** : Entre 2024 et 2025, le PNB est passé de 45,207 à 52,805 milliards FCFA (+16,8%), le résultat net de 30,341 à 36,237 milliards FCFA (+19,4%), et le ROE de 27,4% à 26,8% (légère baisse due à l'augmentation des fonds propres). La trajectoire est clairement haussière, mais la qualité de la croissance (provisions, liquidité) doit être surveillée.</w:t>
      </w:r>
    </w:p>
    <w:p>
      <w:pPr>
        <w:spacing w:after="120" w:line="276" w:lineRule="auto"/>
      </w:pPr>
      <w:r>
        <w:t>**Conclusion fondamentale** : La BICB présente des fondamentaux solides (ROE &gt;25%, coefficient d'exploitation &lt;35%, solvabilité &gt;19%), mais des risques émergents (tension sur la liquidité, coût du risque en normalisation, dépendance aux financements interbancaires). La recommandation fondamentale est **CONSERVER**, avec un potentiel de renforcement si la qualité du crédit se stabilise.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modérée avec un PER de 12,6x et un P/B de 3,39x, mais l'EV/EBITDA de 23,3x est exigeant, suggérant une prime de croissance déjà intégrée. Le comportement du cours (Partie 1) est haussier sur 100 jours (+49,15%) mais montre une correction récente (-7,48% en J-1) et une volatilité élevée (40,8%), avec une asymétrie positive (skewness +0,656) et une distribution normale (kurtosis -0,845). Les signaux techniques (Partie 2) sont divergents : baissiers pour les MM et le MACD, mais haussiers pour le RSI (survente) et le stochastique (0,0), suggérant un rebond technique possible. Les fondamentaux (Partie 3) sont solides (PNB +16,5%, RN +24,7%, ROE 26,8%) mais avec des risques (coût du risque, liquidité tendue). Les prédictions IA (J+1 à J+10) anticipent une reprise progressive vers 9 091 FCFA d'ici le 1er octobre 2026, confirmant le potentiel de rebond technique.</w:t>
      </w:r>
    </w:p>
    <w:p>
      <w:pPr>
        <w:spacing w:after="120" w:line="276" w:lineRule="auto"/>
      </w:pPr>
      <w:r>
        <w:t>**Recommandation finale** : **CONSERVER** (avec biais acheteur pour les investisseurs à moyen terme). La convergence entre la survente technique (RSI 20, stochastique 0), les fondamentaux solides (ROE &gt;25%, croissance à deux chiffres) et les prédictions IA haussières justifie une position positive, mais la divergence du MACD et la tension sur la liquidité incitent à la prudence. Le niveau de confiance est **Moyen** (les signaux techniques sont contradictoires), et le risque global est **Élevé** (volatilité 40,8%, dépendance interbancaire). L'horizon d'investissement optimal est **moyen terme (3-12 mois)**, en attendant la confirmation de la normalisation du coût du risque et l'amélioration de la liquidité. Un **ACHAT** serait justifié si le cours repasse au-dessus de la MM20 (9 834 FCFA) avec un volume soutenu.</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508.33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691 titres</w:t>
            </w:r>
          </w:p>
        </w:tc>
        <w:tc>
          <w:tcPr>
            <w:tcW w:type="dxa" w:w="2268"/>
            <w:shd w:fill="FFF2CC" w:val="clear"/>
          </w:tcPr>
          <w:p>
            <w:r>
              <w:rPr>
                <w:b/>
                <w:color w:val="503200"/>
                <w:sz w:val="16"/>
              </w:rPr>
              <w:t xml:space="preserve">Cours actuel : </w:t>
            </w:r>
            <w:r>
              <w:rPr>
                <w:color w:val="000000"/>
                <w:sz w:val="17"/>
              </w:rPr>
              <w:t>30,500 FCFA</w:t>
            </w:r>
          </w:p>
          <w:p>
            <w:r>
              <w:rPr>
                <w:b/>
                <w:color w:val="503200"/>
                <w:sz w:val="16"/>
              </w:rPr>
              <w:t xml:space="preserve">Var. 100 jours : </w:t>
            </w:r>
            <w:r>
              <w:rPr>
                <w:b/>
                <w:color w:val="007800"/>
                <w:sz w:val="17"/>
              </w:rPr>
              <w:t>+22.74%</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24,445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6.57% (Moyenne) — μ=28,847 FCFA, σ=1,894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β=0.6201 (Défensif) — Cov=0.000028, Var(idx)=0.000045, ρ=0.229,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691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29,231</w:t>
            </w:r>
          </w:p>
        </w:tc>
        <w:tc>
          <w:tcPr>
            <w:tcW w:type="dxa" w:w="1440"/>
            <w:shd w:fill="FAFAFA" w:val="clear"/>
          </w:tcPr>
          <w:p>
            <w:r>
              <w:rPr>
                <w:b/>
                <w:sz w:val="17"/>
              </w:rPr>
              <w:t>30,464</w:t>
            </w:r>
          </w:p>
        </w:tc>
        <w:tc>
          <w:tcPr>
            <w:tcW w:type="dxa" w:w="1440"/>
            <w:shd w:fill="FAFAFA" w:val="clear"/>
          </w:tcPr>
          <w:p>
            <w:r>
              <w:rPr>
                <w:sz w:val="17"/>
              </w:rPr>
              <w:t>31,697</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28,702</w:t>
            </w:r>
          </w:p>
        </w:tc>
        <w:tc>
          <w:tcPr>
            <w:tcW w:type="dxa" w:w="1440"/>
            <w:shd w:fill="FAFAFA" w:val="clear"/>
          </w:tcPr>
          <w:p>
            <w:r>
              <w:rPr>
                <w:b/>
                <w:sz w:val="17"/>
              </w:rPr>
              <w:t>30,446</w:t>
            </w:r>
          </w:p>
        </w:tc>
        <w:tc>
          <w:tcPr>
            <w:tcW w:type="dxa" w:w="1440"/>
            <w:shd w:fill="FAFAFA" w:val="clear"/>
          </w:tcPr>
          <w:p>
            <w:r>
              <w:rPr>
                <w:sz w:val="17"/>
              </w:rPr>
              <w:t>32,189</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28,299</w:t>
            </w:r>
          </w:p>
        </w:tc>
        <w:tc>
          <w:tcPr>
            <w:tcW w:type="dxa" w:w="1440"/>
            <w:shd w:fill="FAFAFA" w:val="clear"/>
          </w:tcPr>
          <w:p>
            <w:r>
              <w:rPr>
                <w:b/>
                <w:sz w:val="17"/>
              </w:rPr>
              <w:t>30,433</w:t>
            </w:r>
          </w:p>
        </w:tc>
        <w:tc>
          <w:tcPr>
            <w:tcW w:type="dxa" w:w="1440"/>
            <w:shd w:fill="FAFAFA" w:val="clear"/>
          </w:tcPr>
          <w:p>
            <w:r>
              <w:rPr>
                <w:sz w:val="17"/>
              </w:rPr>
              <w:t>32,567</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27,938</w:t>
            </w:r>
          </w:p>
        </w:tc>
        <w:tc>
          <w:tcPr>
            <w:tcW w:type="dxa" w:w="1440"/>
            <w:shd w:fill="FAFAFA" w:val="clear"/>
          </w:tcPr>
          <w:p>
            <w:r>
              <w:rPr>
                <w:b/>
                <w:sz w:val="17"/>
              </w:rPr>
              <w:t>30,400</w:t>
            </w:r>
          </w:p>
        </w:tc>
        <w:tc>
          <w:tcPr>
            <w:tcW w:type="dxa" w:w="1440"/>
            <w:shd w:fill="FAFAFA" w:val="clear"/>
          </w:tcPr>
          <w:p>
            <w:r>
              <w:rPr>
                <w:sz w:val="17"/>
              </w:rPr>
              <w:t>32,861</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27,610</w:t>
            </w:r>
          </w:p>
        </w:tc>
        <w:tc>
          <w:tcPr>
            <w:tcW w:type="dxa" w:w="1440"/>
            <w:shd w:fill="FAFAFA" w:val="clear"/>
          </w:tcPr>
          <w:p>
            <w:r>
              <w:rPr>
                <w:b/>
                <w:sz w:val="17"/>
              </w:rPr>
              <w:t>30,359</w:t>
            </w:r>
          </w:p>
        </w:tc>
        <w:tc>
          <w:tcPr>
            <w:tcW w:type="dxa" w:w="1440"/>
            <w:shd w:fill="FAFAFA" w:val="clear"/>
          </w:tcPr>
          <w:p>
            <w:r>
              <w:rPr>
                <w:sz w:val="17"/>
              </w:rPr>
              <w:t>33,107</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27,311</w:t>
            </w:r>
          </w:p>
        </w:tc>
        <w:tc>
          <w:tcPr>
            <w:tcW w:type="dxa" w:w="1440"/>
            <w:shd w:fill="FAFAFA" w:val="clear"/>
          </w:tcPr>
          <w:p>
            <w:r>
              <w:rPr>
                <w:b/>
                <w:sz w:val="17"/>
              </w:rPr>
              <w:t>30,317</w:t>
            </w:r>
          </w:p>
        </w:tc>
        <w:tc>
          <w:tcPr>
            <w:tcW w:type="dxa" w:w="1440"/>
            <w:shd w:fill="FAFAFA" w:val="clear"/>
          </w:tcPr>
          <w:p>
            <w:r>
              <w:rPr>
                <w:sz w:val="17"/>
              </w:rPr>
              <w:t>33,324</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27,034</w:t>
            </w:r>
          </w:p>
        </w:tc>
        <w:tc>
          <w:tcPr>
            <w:tcW w:type="dxa" w:w="1440"/>
            <w:shd w:fill="FAFAFA" w:val="clear"/>
          </w:tcPr>
          <w:p>
            <w:r>
              <w:rPr>
                <w:b/>
                <w:sz w:val="17"/>
              </w:rPr>
              <w:t>30,277</w:t>
            </w:r>
          </w:p>
        </w:tc>
        <w:tc>
          <w:tcPr>
            <w:tcW w:type="dxa" w:w="1440"/>
            <w:shd w:fill="FAFAFA" w:val="clear"/>
          </w:tcPr>
          <w:p>
            <w:r>
              <w:rPr>
                <w:sz w:val="17"/>
              </w:rPr>
              <w:t>33,520</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26,776</w:t>
            </w:r>
          </w:p>
        </w:tc>
        <w:tc>
          <w:tcPr>
            <w:tcW w:type="dxa" w:w="1440"/>
            <w:shd w:fill="FAFAFA" w:val="clear"/>
          </w:tcPr>
          <w:p>
            <w:r>
              <w:rPr>
                <w:b/>
                <w:sz w:val="17"/>
              </w:rPr>
              <w:t>30,238</w:t>
            </w:r>
          </w:p>
        </w:tc>
        <w:tc>
          <w:tcPr>
            <w:tcW w:type="dxa" w:w="1440"/>
            <w:shd w:fill="FAFAFA" w:val="clear"/>
          </w:tcPr>
          <w:p>
            <w:r>
              <w:rPr>
                <w:sz w:val="17"/>
              </w:rPr>
              <w:t>33,701</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26,532</w:t>
            </w:r>
          </w:p>
        </w:tc>
        <w:tc>
          <w:tcPr>
            <w:tcW w:type="dxa" w:w="1440"/>
            <w:shd w:fill="FAFAFA" w:val="clear"/>
          </w:tcPr>
          <w:p>
            <w:r>
              <w:rPr>
                <w:b/>
                <w:sz w:val="17"/>
              </w:rPr>
              <w:t>30,200</w:t>
            </w:r>
          </w:p>
        </w:tc>
        <w:tc>
          <w:tcPr>
            <w:tcW w:type="dxa" w:w="1440"/>
            <w:shd w:fill="FAFAFA" w:val="clear"/>
          </w:tcPr>
          <w:p>
            <w:r>
              <w:rPr>
                <w:sz w:val="17"/>
              </w:rPr>
              <w:t>33,868</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26,302</w:t>
            </w:r>
          </w:p>
        </w:tc>
        <w:tc>
          <w:tcPr>
            <w:tcW w:type="dxa" w:w="1440"/>
            <w:shd w:fill="FAFAFA" w:val="clear"/>
          </w:tcPr>
          <w:p>
            <w:r>
              <w:rPr>
                <w:b/>
                <w:sz w:val="17"/>
              </w:rPr>
              <w:t>30,163</w:t>
            </w:r>
          </w:p>
        </w:tc>
        <w:tc>
          <w:tcPr>
            <w:tcW w:type="dxa" w:w="1440"/>
            <w:shd w:fill="FAFAFA" w:val="clear"/>
          </w:tcPr>
          <w:p>
            <w:r>
              <w:rPr>
                <w:sz w:val="17"/>
              </w:rPr>
              <w:t>34,025</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508,33 Mds FCFA, BICC s'impose comme l'une des valeurs bancaires de premier plan de la cote BRVM, reflétant la solidité d'un établissement adossé au groupe BNP Paribas. Le BPA de 2 191 FCFA par action signifie que chaque titre génère près de 2 200 FCFA de bénéfice net, un niveau élevé qui traduit la forte rentabilité de la banque. Le PER de 13,9x se situe légèrement au-dessus de la moyenne du marché BRVM (8-12x), ce qui indique une valorisation modérée mais avec une prime de qualité justifiée par la croissance à deux chiffres des bénéfices. Le P/B de 4,22x, nettement supérieur à 4x, montre que le marché valorise l'action bien au-delà de sa valeur comptable — une prime exigeante qui se justifie par un ROE exceptionnel de 30,3%, bien supérieur au seuil de 15% considéré comme excellent. Enfin, l'EV/EBITDA de 9,9x, dans la fourchette raisonnable de 5-10x, confirme que la valeur totale de l'entreprise reste cohérente avec sa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 enregistré une progression remarquable de **+22,74%**, avec une dernière séance (J-1) en hausse de **+2,54%**, confirmant un momentum haussier toujours actif. Le cours actuel de 30 500 FCFA se situe dans la partie haute du range de trading, dont le plus haut a atteint 34 000 FCFA et le plus bas 24 445 FCFA — soit une amplitude de près de 39%, témoignant d'une tendance nettement haussière sur la période. Les statistiques descriptives révèlent une distribution quasi-symétrique : la moyenne (28 847 FCFA) et la médiane (28 800 FCFA) sont pratiquement confondues, tandis que le mode à 29 000 FCFA confirme cette concentration autour de 28 800-29 000 FCFA. L'écart-type de 1 904 FCFA avec un coefficient de variation de seulement 6,6% indique une dispersion modérée du cours autour de sa moyenne, ce qui est rassurant pour la stabilité du titre. Le kurtosis de 0,976 (mésokurtique) suggère une distribution proche de la normale, sans risque excessif de pics extrêmes, tandis que le skewness de 0,538 (asymétrie positive) indique que les journées sous la moyenne sont plus fréquentes mais compensées par des hausses plus marquées. Avec une volatilité annualisée de 29,8%, le titre se situe dans la fourchette modérée-haute (15-30%), cohérente avec un profil de croissance soutenue mais nécessitant une certaine tolérance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(31 722,75 FCFA) et la MM50 (29 922,80 FCFA) se situent toutes deux au-dessus du cours actuel (30 500 FCFA), avec la MM20 en position supérieure à la MM50 — configuration haussière classique. Le cours évoluant sous ses moyennes mobiles, la décision technique affichée est "Achat", suggérant une opportunité de rebond vers ces niveaux de référence.</w:t>
      </w:r>
    </w:p>
    <w:p>
      <w:pPr>
        <w:spacing w:after="120" w:line="276" w:lineRule="auto"/>
      </w:pPr>
      <w:r>
        <w:t>**Bandes de Bollinger :** Le cours actuel (30 500 FCFA) se situe dans la partie basse de la bande, entre la borne inférieure (28 816,51 FCFA) et la borne supérieure (34 628,99 FCFA), plus proche de la borne basse. Cette position suggère un potentiel de rebond vers la moyenne mobile, avec une décision "Neutre" qui reflète l'absence de signal directionnel fort à court terme.</w:t>
      </w:r>
    </w:p>
    <w:p>
      <w:pPr>
        <w:spacing w:after="120" w:line="276" w:lineRule="auto"/>
      </w:pPr>
      <w:r>
        <w:t>**MACD :** La valeur du MACD (247,025) est nettement inférieure à son signal (603,374), générant une divergence baissière et une décision "Vente". Cet indicateur de momentum suggère que la dynamique haussière récente pourrait s'essouffler à court terme, bien que la configuration reste fragile.</w:t>
      </w:r>
    </w:p>
    <w:p>
      <w:pPr>
        <w:spacing w:after="120" w:line="276" w:lineRule="auto"/>
      </w:pPr>
      <w:r>
        <w:t>**RSI :** À 36,06, le RSI se situe dans la zone neutre basse (30-70), sans atteindre le seuil de survente (&lt;30). Cette valeur indique que le titre n'est ni suracheté ni survendu, offrant une décision "Neutre" qui laisse la porte ouverte à une reprise sans excès.</w:t>
      </w:r>
    </w:p>
    <w:p>
      <w:pPr>
        <w:spacing w:after="120" w:line="276" w:lineRule="auto"/>
      </w:pPr>
      <w:r>
        <w:t>**Stochastique :** Le %K (17,744) et le %D (8,174) sont tous deux en zone de survente (&lt;20), avec le %K au-dessus du %D — configuration haussière typique signalant un croisement potentiel à la hausse. La décision "Achat" confirme cette lecture, suggérant un rebond imminent.</w:t>
      </w:r>
    </w:p>
    <w:p>
      <w:pPr>
        <w:spacing w:after="120" w:line="276" w:lineRule="auto"/>
      </w:pPr>
      <w:r>
        <w:t>**Conclusion technique :** Les indicateurs présentent une divergence notable : les moyennes mobiles et le stochastique plaident pour un achat (rebond technique), tandis que le MACD signale une vente (perte de momentum). Le RSI et les bandes de Bollinger restent neutres, reflétant une phase d'indécision. Cette configuration mitigée suggère une consolidation possible avant une reprise, avec un avantage aux acheteurs si le stochastique confirme son croisement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(PNB) de 79 563 Mds FCFA, en croissance de 16,90% par rapport à 2024, confirmant la dynamique commerciale robuste de la banque. Le résultat net s'établit à 36 520 Mds FCFA, avec une marge nette exceptionnelle de 45,90% (résultat net/PNB), en nette amélioration par rapport aux 38,5% de 2024. Le ROE atteint 30,29%, largement supérieur au seuil de 15% considéré comme excellent, tandis que le ROA de 3,24% reflète une utilisation efficace des actifs. Le coefficient d'exploitation de 50,83% — inférieur au seuil de 60% — témoigne d'une banque très efficace dans la maîtrise de ses charges. Le coût du risque, mesuré à -12,15% (provisions/charges financières), reste contenu, indiquant un portefeuille de crédits de bonne qualité. La structure financière montre une autonomie financière de 10,71% (capitaux propres/total bilan), typique du modèle bancaire où les dépôts clientèle (952,87 Mds FCFA) constituent la principale ressource, face à des créances clientèle de 524,44 Mds FCFA — un ratio de transformation de 55%, reflétant une gestion prudente des risques.</w:t>
      </w:r>
    </w:p>
    <w:p>
      <w:pPr>
        <w:spacing w:after="120" w:line="276" w:lineRule="auto"/>
      </w:pPr>
      <w:r>
        <w:t>**Estimations basées sur les rapports trimestriels :** Le rapport du T1 2026 (publié le 31 mars 2026) révèle un PNB de 21 214 MFCFA, en hausse de 17,0% sur un an, et un résultat net de 10 387 MFCFA (+29,7%), avec une marge nette de 49,0%. Sur cette base, on estime que l'exercice 2026 devrait enregistrer un PNB annuel d'environ 85-88 Mds FCFA et un résultat net de 40-42 Mds FCFA, confirmant la trajectoire de croissance. Le rapport du T3 2025 (30 septembre 2025) confirmait déjà cette dynamique avec un PNB cumulé de 58 119 MFCFA (+16,4%) et un résultat net de 27 402 MFCFA (+50,8%), ainsi qu'une marge nette de 47,1%. Le rapport du S1 2025 (30 juin 2025) montrait un PNB de 37 146 MFCFA (+16,6%) et un résultat net de 16 253 MFCFA (+42,5%), avec une marge nette de 43,8%.</w:t>
      </w:r>
    </w:p>
    <w:p>
      <w:pPr>
        <w:spacing w:after="120" w:line="276" w:lineRule="auto"/>
      </w:pPr>
      <w:r>
        <w:t>**Conclusion fondamentale :** BICC présente une solidité financière remarquable, portée par une croissance soutenue du PNB, une rentabilité exceptionnelle (ROE &gt;30%) et une maîtrise des coûts (coefficient d'exploitation &lt;51%). Les risques identifiés — baisse des crédits nets (-4,5% au T1 2026) et dépendance aux taux d'intérêt — sont compensés par une forte collecte de dépôts (+14,5%) et une gestion prudente du risque. La recommandation fondamentale est **ACHAT**, avec une confiance élevée dans la capacité de la banque à maintenir sa trajectoire de croissance rentable.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globalement favorable, malgré quelques signaux divergents à court terme. **Valorisation (Partie 0)** : le PER de 13,9x et le P/B de 4,22x indiquent une valorisation modérée à exigeante, justifiée par un ROE de 30,3% et une croissance des bénéfices à deux chiffres — le titre n'est ni sous-évalué ni excessivement surévalué. **Comportement du cours (Partie 1)** : la tendance haussière (+22,74% sur 100 jours) avec une volatilité modérée (29,8%) et une distribution équilibrée (kurtosis 0,976, skewness 0,538) est favorable, bien que le cours évolue sous ses moyennes mobiles. **Signaux techniques (Partie 2)** : la divergence entre le MACD (vente) et le stochastique (achat) suggère une phase de consolidation, avec un avantage aux acheteurs si le rebond se confirme. **Fondamentaux (Partie 3)** : la solidité financière, la croissance du PNB (+16,9% en 2025) et les estimations optimistes pour 2026 (PNB +17% au T1) constituent un socle robuste. **Prédictions IA (J+1 à J+10)** : la trajectoire prévue (30 464 → 30 359 FCFA) indique une légère consolidation baissière à court terme, en ligne avec le signal MACD, mais sans remettre en cause la tendance de fond.</w:t>
      </w:r>
    </w:p>
    <w:p>
      <w:pPr>
        <w:spacing w:after="120" w:line="276" w:lineRule="auto"/>
      </w:pPr>
      <w:r>
        <w:t>**Recommandation finale : ACHAT**</w:t>
        <w:br/>
        <w:t>La convergence entre une valorisation raisonnable, des fondamentaux exceptionnels (ROE &gt;30%, marge nette &gt;45%) et une dynamique de croissance confirmée par les rapports trimestriels (T1 2026 : PNB +17%, RN +29,7%) justifie une recommandation positive. La divergence technique à court terme (MACD baissier vs stochastique haussier) et la légère consolidation prédite par l'IA suggèrent un point d'entrée optimal autour de 30 000-30 500 FCFA. **Niveau de confiance : Élevé** — les fondamentaux solides et la visibilité offerte par les rapports trimestriels compensent les incertitudes techniques. **Niveau de risque : Moyen** — la volatilité modérée (29,8%) et la dépendance aux taux d'intérêt constituent les principaux facteurs de risque. **Horizon d'investissement : Moyen à long terme (6-18 mois)** — pour capturer la croissance bénéficiaire et le rendement potentiel du dividende, tout en laissant le temps aux indicateurs techniques de se réaligner.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2,963 titres</w:t>
            </w:r>
          </w:p>
        </w:tc>
        <w:tc>
          <w:tcPr>
            <w:tcW w:type="dxa" w:w="2268"/>
            <w:shd w:fill="FFF2CC" w:val="clear"/>
          </w:tcPr>
          <w:p>
            <w:r>
              <w:rPr>
                <w:b/>
                <w:color w:val="503200"/>
                <w:sz w:val="16"/>
              </w:rPr>
              <w:t xml:space="preserve">Cours actuel : </w:t>
            </w:r>
            <w:r>
              <w:rPr>
                <w:color w:val="000000"/>
                <w:sz w:val="17"/>
              </w:rPr>
              <w:t>1,890 FCFA</w:t>
            </w:r>
          </w:p>
          <w:p>
            <w:r>
              <w:rPr>
                <w:b/>
                <w:color w:val="503200"/>
                <w:sz w:val="16"/>
              </w:rPr>
              <w:t xml:space="preserve">Var. 100 jours : </w:t>
            </w:r>
            <w:r>
              <w:rPr>
                <w:b/>
                <w:color w:val="007800"/>
                <w:sz w:val="17"/>
              </w:rPr>
              <w:t>+20.77%</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12.67% (Moyenne) — μ=1,880 FCFA, σ=238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β=0.4437 (Défensif) — Cov=0.000020, Var(idx)=0.000045, ρ=0.085,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σ_j=3.43%/j (Modérée) — Vol. annualisée≈54.4%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1,775</w:t>
            </w:r>
          </w:p>
        </w:tc>
        <w:tc>
          <w:tcPr>
            <w:tcW w:type="dxa" w:w="1440"/>
            <w:shd w:fill="FAFAFA" w:val="clear"/>
          </w:tcPr>
          <w:p>
            <w:r>
              <w:rPr>
                <w:b/>
                <w:sz w:val="17"/>
              </w:rPr>
              <w:t>1,885</w:t>
            </w:r>
          </w:p>
        </w:tc>
        <w:tc>
          <w:tcPr>
            <w:tcW w:type="dxa" w:w="1440"/>
            <w:shd w:fill="FAFAFA" w:val="clear"/>
          </w:tcPr>
          <w:p>
            <w:r>
              <w:rPr>
                <w:sz w:val="17"/>
              </w:rPr>
              <w:t>1,994</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1,727</w:t>
            </w:r>
          </w:p>
        </w:tc>
        <w:tc>
          <w:tcPr>
            <w:tcW w:type="dxa" w:w="1440"/>
            <w:shd w:fill="FAFAFA" w:val="clear"/>
          </w:tcPr>
          <w:p>
            <w:r>
              <w:rPr>
                <w:b/>
                <w:sz w:val="17"/>
              </w:rPr>
              <w:t>1,882</w:t>
            </w:r>
          </w:p>
        </w:tc>
        <w:tc>
          <w:tcPr>
            <w:tcW w:type="dxa" w:w="1440"/>
            <w:shd w:fill="FAFAFA" w:val="clear"/>
          </w:tcPr>
          <w:p>
            <w:r>
              <w:rPr>
                <w:sz w:val="17"/>
              </w:rPr>
              <w:t>2,037</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1,689</w:t>
            </w:r>
          </w:p>
        </w:tc>
        <w:tc>
          <w:tcPr>
            <w:tcW w:type="dxa" w:w="1440"/>
            <w:shd w:fill="FAFAFA" w:val="clear"/>
          </w:tcPr>
          <w:p>
            <w:r>
              <w:rPr>
                <w:b/>
                <w:sz w:val="17"/>
              </w:rPr>
              <w:t>1,878</w:t>
            </w:r>
          </w:p>
        </w:tc>
        <w:tc>
          <w:tcPr>
            <w:tcW w:type="dxa" w:w="1440"/>
            <w:shd w:fill="FAFAFA" w:val="clear"/>
          </w:tcPr>
          <w:p>
            <w:r>
              <w:rPr>
                <w:sz w:val="17"/>
              </w:rPr>
              <w:t>2,067</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1,656</w:t>
            </w:r>
          </w:p>
        </w:tc>
        <w:tc>
          <w:tcPr>
            <w:tcW w:type="dxa" w:w="1440"/>
            <w:shd w:fill="FAFAFA" w:val="clear"/>
          </w:tcPr>
          <w:p>
            <w:r>
              <w:rPr>
                <w:b/>
                <w:sz w:val="17"/>
              </w:rPr>
              <w:t>1,874</w:t>
            </w:r>
          </w:p>
        </w:tc>
        <w:tc>
          <w:tcPr>
            <w:tcW w:type="dxa" w:w="1440"/>
            <w:shd w:fill="FAFAFA" w:val="clear"/>
          </w:tcPr>
          <w:p>
            <w:r>
              <w:rPr>
                <w:sz w:val="17"/>
              </w:rPr>
              <w:t>2,092</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1,626</w:t>
            </w:r>
          </w:p>
        </w:tc>
        <w:tc>
          <w:tcPr>
            <w:tcW w:type="dxa" w:w="1440"/>
            <w:shd w:fill="FAFAFA" w:val="clear"/>
          </w:tcPr>
          <w:p>
            <w:r>
              <w:rPr>
                <w:b/>
                <w:sz w:val="17"/>
              </w:rPr>
              <w:t>1,869</w:t>
            </w:r>
          </w:p>
        </w:tc>
        <w:tc>
          <w:tcPr>
            <w:tcW w:type="dxa" w:w="1440"/>
            <w:shd w:fill="FAFAFA" w:val="clear"/>
          </w:tcPr>
          <w:p>
            <w:r>
              <w:rPr>
                <w:sz w:val="17"/>
              </w:rPr>
              <w:t>2,112</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1,599</w:t>
            </w:r>
          </w:p>
        </w:tc>
        <w:tc>
          <w:tcPr>
            <w:tcW w:type="dxa" w:w="1440"/>
            <w:shd w:fill="FAFAFA" w:val="clear"/>
          </w:tcPr>
          <w:p>
            <w:r>
              <w:rPr>
                <w:b/>
                <w:sz w:val="17"/>
              </w:rPr>
              <w:t>1,864</w:t>
            </w:r>
          </w:p>
        </w:tc>
        <w:tc>
          <w:tcPr>
            <w:tcW w:type="dxa" w:w="1440"/>
            <w:shd w:fill="FAFAFA" w:val="clear"/>
          </w:tcPr>
          <w:p>
            <w:r>
              <w:rPr>
                <w:sz w:val="17"/>
              </w:rPr>
              <w:t>2,130</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1,573</w:t>
            </w:r>
          </w:p>
        </w:tc>
        <w:tc>
          <w:tcPr>
            <w:tcW w:type="dxa" w:w="1440"/>
            <w:shd w:fill="FAFAFA" w:val="clear"/>
          </w:tcPr>
          <w:p>
            <w:r>
              <w:rPr>
                <w:b/>
                <w:sz w:val="17"/>
              </w:rPr>
              <w:t>1,859</w:t>
            </w:r>
          </w:p>
        </w:tc>
        <w:tc>
          <w:tcPr>
            <w:tcW w:type="dxa" w:w="1440"/>
            <w:shd w:fill="FAFAFA" w:val="clear"/>
          </w:tcPr>
          <w:p>
            <w:r>
              <w:rPr>
                <w:sz w:val="17"/>
              </w:rPr>
              <w:t>2,146</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1,550</w:t>
            </w:r>
          </w:p>
        </w:tc>
        <w:tc>
          <w:tcPr>
            <w:tcW w:type="dxa" w:w="1440"/>
            <w:shd w:fill="FAFAFA" w:val="clear"/>
          </w:tcPr>
          <w:p>
            <w:r>
              <w:rPr>
                <w:b/>
                <w:sz w:val="17"/>
              </w:rPr>
              <w:t>1,855</w:t>
            </w:r>
          </w:p>
        </w:tc>
        <w:tc>
          <w:tcPr>
            <w:tcW w:type="dxa" w:w="1440"/>
            <w:shd w:fill="FAFAFA" w:val="clear"/>
          </w:tcPr>
          <w:p>
            <w:r>
              <w:rPr>
                <w:sz w:val="17"/>
              </w:rPr>
              <w:t>2,160</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1,527</w:t>
            </w:r>
          </w:p>
        </w:tc>
        <w:tc>
          <w:tcPr>
            <w:tcW w:type="dxa" w:w="1440"/>
            <w:shd w:fill="FFDCE0" w:val="clear"/>
          </w:tcPr>
          <w:p>
            <w:r>
              <w:rPr>
                <w:b/>
                <w:sz w:val="17"/>
              </w:rPr>
              <w:t>1,850</w:t>
            </w:r>
          </w:p>
        </w:tc>
        <w:tc>
          <w:tcPr>
            <w:tcW w:type="dxa" w:w="1440"/>
            <w:shd w:fill="FFDCE0" w:val="clear"/>
          </w:tcPr>
          <w:p>
            <w:r>
              <w:rPr>
                <w:sz w:val="17"/>
              </w:rPr>
              <w:t>2,173</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1,506</w:t>
            </w:r>
          </w:p>
        </w:tc>
        <w:tc>
          <w:tcPr>
            <w:tcW w:type="dxa" w:w="1440"/>
            <w:shd w:fill="FFDCE0" w:val="clear"/>
          </w:tcPr>
          <w:p>
            <w:r>
              <w:rPr>
                <w:b/>
                <w:sz w:val="17"/>
              </w:rPr>
              <w:t>1,845</w:t>
            </w:r>
          </w:p>
        </w:tc>
        <w:tc>
          <w:tcPr>
            <w:tcW w:type="dxa" w:w="1440"/>
            <w:shd w:fill="FFDCE0" w:val="clear"/>
          </w:tcPr>
          <w:p>
            <w:r>
              <w:rPr>
                <w:sz w:val="17"/>
              </w:rPr>
              <w:t>2,185</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*Analyste : Marché BRVM | Date de référence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12,52 milliards FCFA, un niveau modeste à l'échelle de la BRVM qui la classe parmi les petites capitalisations du compartiment industriel. Le BPA de 3 FCFA/action traduit une rentabilité par titre quasi-symbolique, ce qui explique un PER de 561,0x — un niveau aberrant comparé à la moyenne BRVM (8-12x) : les investisseurs paient donc environ 561 fois les bénéfices annuels, signe d'une valorisation totalement déconnectée des profits actuels. À l'inverse, le P/B de 0,70x indique que le marché valorise l'action à 30% en dessous de sa valeur comptable, ce qui constitue une opportunité potentielle sur l'actif net. Enfin, l'EV/EBITDA de 23,9x (bien supérieur au seuil de 15x) montre que la valeur d'entreprise reste très exigeante au regard de la capacité opérationnelle réelle, confirmant que le titre intègre davantage des anticipations de redressement que des performances présentes.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BNBC a progressé de +20,77%, clôturant à 1 890 FCFA avec une variation nulle sur la dernière séance (J-1 : +0,00%), signe d'une stabilisation après un mouvement haussier. Le titre a évolué dans un range large de 1 300 FCFA (plus bas) à 2 400 FCFA (plus haut), soit une amplitude de plus de 84%, ce qui témoigne d'une forte nervosité du marché. La tendance générale reste haussière sur la période, mais le cours actuel (1 890 FCFA) se situe en dessous de la moyenne (1 880 FCFA) et de la médiane (1 940 FCFA), suggérant une phase de correction après le pic. Les statistiques descriptives révèlent un écart faible entre moyenne et médiane (60 FCFA), mais un skewness de -0,498 indiquant une asymétrie légèrement négative (queue de distribution vers les basses valeurs), tandis que le kurtosis de -0,144 (mésokurtique) signifie une distribution proche de la normale, sans risque extrême de pics. L'écart-type de 239 FCFA (CV = 12,7%) traduit une dispersion modérée, mais la volatilité annualisée de 54,4% classe le titre dans la catégorie à volatilité élevée (&gt;30%), ce qui implique un risque de fluctuation important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(2 128,0 FCFA) et la MM50 (2 029,3 FCFA) se situent toutes deux au-dessus du cours actuel (1 890 FCFA), ce qui place le titre en position baissière à court terme malgré la décision affichée « Achat ». Cette configuration suggère que le cours évolue sous ses moyennes, un signal de faiblesse relative, mais la décision d'achat pourrait refléter une anticipation de rebond technique.</w:t>
      </w:r>
    </w:p>
    <w:p>
      <w:pPr>
        <w:spacing w:after="120" w:line="276" w:lineRule="auto"/>
      </w:pPr>
      <w:r>
        <w:t>**Bandes de Bollinger** : Le cours (1 890 FCFA) se situe entre la borne inférieure (1 833,14 FCFA) et la borne supérieure (2 422,86 FCFA), plus proche de la borne basse, ce qui indique une pression vendeuse récente. La décision « Neutre » est cohérente avec cette position médiane-basse, la volatilité restant contenue dans les bandes sans signal de breakout imminent.</w:t>
      </w:r>
    </w:p>
    <w:p>
      <w:pPr>
        <w:spacing w:after="120" w:line="276" w:lineRule="auto"/>
      </w:pPr>
      <w:r>
        <w:t>**MACD** : La valeur du MACD (-35,373) est inférieure à son signal (6,486), générant une divergence baissière et une décision « Vente ». Le momentum est clairement négatif, le MACD étant passé sous zéro, ce qui confirme une perte de dynamique haussière et un risque de poursuite de la correction.</w:t>
      </w:r>
    </w:p>
    <w:p>
      <w:pPr>
        <w:spacing w:after="120" w:line="276" w:lineRule="auto"/>
      </w:pPr>
      <w:r>
        <w:t>**RSI** : À 33,136, le RSI se situe dans la zone neutre basse (30-70), sans atteindre la survente (&lt;30), ce qui justifie la décision « Neutre ». Le titre n'est donc ni survendu ni suracheté, laissant place à une possible stabilisation ou à une nouvelle baisse si la pression se poursuit.</w:t>
      </w:r>
    </w:p>
    <w:p>
      <w:pPr>
        <w:spacing w:after="120" w:line="276" w:lineRule="auto"/>
      </w:pPr>
      <w:r>
        <w:t>**Stochastique** : Les valeurs %K et %D sont toutes deux à 0,0, un niveau extrême de survente qui déclenche une décision « Achat » par anticipation d'un rebond technique. Ce signal contredit partiellement le MACD, mais reste cohérent avec la position basse du cours dans les bandes de Bollinger.</w:t>
      </w:r>
    </w:p>
    <w:p>
      <w:pPr>
        <w:spacing w:after="120" w:line="276" w:lineRule="auto"/>
      </w:pPr>
      <w:r>
        <w:t>**Conclusion technique** : Les indicateurs sont divergents : le MACD est baissier, les MM placent le cours en dessous, mais le stochastique en survente extrême et la position basse dans les bandes suggèrent un potentiel rebond à court terme. La décision globale est donc mitigée, avec un biais neutre à légèrement haussier pour les traders cherchant un point d'entrée, mais la prudence reste de mise face à la faiblesse du momentum.</w:t>
      </w:r>
    </w:p>
    <w:p>
      <w:pPr>
        <w:spacing w:after="120" w:line="276" w:lineRule="auto"/>
      </w:pPr>
      <w:r>
        <w:t>---</w:t>
      </w:r>
    </w:p>
    <w:p>
      <w:pPr>
        <w:spacing w:after="120" w:line="276" w:lineRule="auto"/>
      </w:pPr>
      <w:r>
        <w:t>### PARTIE 3 : ANALYSE FONDAMENTALE</w:t>
      </w:r>
    </w:p>
    <w:p>
      <w:pPr>
        <w:spacing w:after="120" w:line="276" w:lineRule="auto"/>
      </w:pPr>
      <w:r>
        <w:t>En 2025, BNBC a réalisé un chiffre d'affaires de 42,454 milliards FCFA, en baisse de -6,31% par rapport à 2024 (45,312 milliards FCFA), confirmant une contraction de l'activité. Le résultat net s'établit à 22,318 millions FCFA (contre 7,313 millions en 2024), une amélioration en valeur absolue mais avec une marge nette quasi-nulle de 0,0526% et un ROE de seulement 0,1256% — des niveaux extrêmement faibles qui traduisent une rentabilité structurellement anémique. Le ROA de 0,0454% et la rotation des actifs de 86,39% montrent que l'entreprise génère du volume mais ne convertit pas ses ventes en profits. En tant qu'entreprise non bancaire, les délais d'exploitation sont préoccupants : délai clients de 104,40 jours (risque de trésorerie élevé), durée de stockage de 339,23 jours (immobilisation massive de capital) et BFR de 29,373 milliards FCFA, financé par une trésorerie nette négative de -16,689 milliards FCFA. L'endettement est élevé (ratio de 105,48%, autonomie financière de 36,16%), mais la solvabilité générale (156,64%) et la liquidité générale (141,69%) restent acceptables. Les rapports trimestriels récents confirment cette fragilité : le T1 2026 (publié en 2026) affiche un CA stable à 11,194 milliards FCFA (-0,12%) mais un résultat net positif de 65,566 millions FCFA contre une perte de -16,147 millions au T1 2025, grâce à l'intégration de la division Équipement. Le T3 2025 (rapport du 30/09/2025) montrait une perte nette de -157,03 millions FCFA sur 9 mois, avec un CA en recul de -3%. Sur la base du T1 2026, on estime que l'exercice 2026 pourrait renouer avec une légère profitabilité, portée par les nouvelles divisions, mais la dépendance aux affaires exceptionnelles et la montée en puissance incertaine de l'Équipement maintiennent un risque élevé. La recommandation fondamentale est donc **CONSERVER avec surveillance**, la solidité des capitaux propres (17,77 milliards FCFA) compensant partiellement les risques de liquidité et de rentabilité.</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paradoxe : un PER de 561x et un EV/EBITDA de 23,9x indiquent une surévaluation manifeste par rapport aux bénéfices, mais un P/B de 0,70x suggère une sous-évaluation de l'actif net, créant une opportunité pour les investisseurs value. Le comportement du cours (Partie 1) est haussier sur 100 jours (+20,77%) mais avec une volatilité élevée (54,4%) et une distribution asymétrique négative (skewness -0,498), ce qui implique un risque de correction accru. Les signaux techniques (Partie 2) sont divergents : le MACD est baissier, les MM placent le cours en dessous, mais le stochastique en survente extrême (0,0) et la position basse dans les bandes de Bollinger laissent entrevoir un rebond potentiel à court terme. Les fondamentaux (Partie 3) restent fragiles : CA en baisse (-6,31% en 2025), rentabilité quasi-nulle (ROE 0,13%), trésorerie nette négative (-16,69 milliards FCFA), mais le T1 2026 montre un retour à la profitabilité (65,566 millions FCFA) grâce aux nouvelles divisions. Les prédictions IA (J+1 à J+10) anticipent une légère baisse de 1 885 à 1 869 FCFA, confirmant la pression baissière de court terme sans effondrement. Sur la base de cette synthèse, la recommandation finale est **CONSERVER**, avec un niveau de confiance **Moyen** et un risque global **Élevé**. L'horizon d'investissement optimal est le **moyen terme (3-12 mois)**, en attendant la confirmation de la reprise opérationnelle et l'amélioration de la génération de cash-flows, qui pourraient justifier un passage à l'achat si les prochains trimestres confirment la tendance du T1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363.02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5,613 titres</w:t>
            </w:r>
          </w:p>
        </w:tc>
        <w:tc>
          <w:tcPr>
            <w:tcW w:type="dxa" w:w="2268"/>
            <w:shd w:fill="FFF2CC" w:val="clear"/>
          </w:tcPr>
          <w:p>
            <w:r>
              <w:rPr>
                <w:b/>
                <w:color w:val="503200"/>
                <w:sz w:val="16"/>
              </w:rPr>
              <w:t xml:space="preserve">Cours actuel : </w:t>
            </w:r>
            <w:r>
              <w:rPr>
                <w:color w:val="000000"/>
                <w:sz w:val="17"/>
              </w:rPr>
              <w:t>8,950 FCFA</w:t>
            </w:r>
          </w:p>
          <w:p>
            <w:r>
              <w:rPr>
                <w:b/>
                <w:color w:val="503200"/>
                <w:sz w:val="16"/>
              </w:rPr>
              <w:t xml:space="preserve">Var. 100 jours : </w:t>
            </w:r>
            <w:r>
              <w:rPr>
                <w:b/>
                <w:color w:val="007800"/>
                <w:sz w:val="17"/>
              </w:rPr>
              <w:t>+1.13%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6.02% (Moyenne) — μ=9,165 FCFA, σ=552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β=0.3173 (Défensif) — Cov=0.000014, Var(idx)=0.000045, ρ=0.124,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88/100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8,639</w:t>
            </w:r>
          </w:p>
        </w:tc>
        <w:tc>
          <w:tcPr>
            <w:tcW w:type="dxa" w:w="1440"/>
            <w:shd w:fill="FAFAFA" w:val="clear"/>
          </w:tcPr>
          <w:p>
            <w:r>
              <w:rPr>
                <w:b/>
                <w:sz w:val="17"/>
              </w:rPr>
              <w:t>9,019</w:t>
            </w:r>
          </w:p>
        </w:tc>
        <w:tc>
          <w:tcPr>
            <w:tcW w:type="dxa" w:w="1440"/>
            <w:shd w:fill="FAFAFA" w:val="clear"/>
          </w:tcPr>
          <w:p>
            <w:r>
              <w:rPr>
                <w:sz w:val="17"/>
              </w:rPr>
              <w:t>9,399</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8,516</w:t>
            </w:r>
          </w:p>
        </w:tc>
        <w:tc>
          <w:tcPr>
            <w:tcW w:type="dxa" w:w="1440"/>
            <w:shd w:fill="FAFAFA" w:val="clear"/>
          </w:tcPr>
          <w:p>
            <w:r>
              <w:rPr>
                <w:b/>
                <w:sz w:val="17"/>
              </w:rPr>
              <w:t>9,056</w:t>
            </w:r>
          </w:p>
        </w:tc>
        <w:tc>
          <w:tcPr>
            <w:tcW w:type="dxa" w:w="1440"/>
            <w:shd w:fill="FAFAFA" w:val="clear"/>
          </w:tcPr>
          <w:p>
            <w:r>
              <w:rPr>
                <w:sz w:val="17"/>
              </w:rPr>
              <w:t>9,596</w:t>
            </w:r>
          </w:p>
        </w:tc>
        <w:tc>
          <w:tcPr>
            <w:tcW w:type="dxa" w:w="1440"/>
            <w:shd w:fill="FAFAFA" w:val="clear"/>
          </w:tcPr>
          <w:p>
            <w:r>
              <w:rPr>
                <w:b/>
                <w:color w:val="008000"/>
                <w:sz w:val="17"/>
              </w:rPr>
              <w:t>+1.2%</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8,409</w:t>
            </w:r>
          </w:p>
        </w:tc>
        <w:tc>
          <w:tcPr>
            <w:tcW w:type="dxa" w:w="1440"/>
            <w:shd w:fill="FAFAFA" w:val="clear"/>
          </w:tcPr>
          <w:p>
            <w:r>
              <w:rPr>
                <w:b/>
                <w:sz w:val="17"/>
              </w:rPr>
              <w:t>9,072</w:t>
            </w:r>
          </w:p>
        </w:tc>
        <w:tc>
          <w:tcPr>
            <w:tcW w:type="dxa" w:w="1440"/>
            <w:shd w:fill="FAFAFA" w:val="clear"/>
          </w:tcPr>
          <w:p>
            <w:r>
              <w:rPr>
                <w:sz w:val="17"/>
              </w:rPr>
              <w:t>9,734</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8,310</w:t>
            </w:r>
          </w:p>
        </w:tc>
        <w:tc>
          <w:tcPr>
            <w:tcW w:type="dxa" w:w="1440"/>
            <w:shd w:fill="FAFAFA" w:val="clear"/>
          </w:tcPr>
          <w:p>
            <w:r>
              <w:rPr>
                <w:b/>
                <w:sz w:val="17"/>
              </w:rPr>
              <w:t>9,075</w:t>
            </w:r>
          </w:p>
        </w:tc>
        <w:tc>
          <w:tcPr>
            <w:tcW w:type="dxa" w:w="1440"/>
            <w:shd w:fill="FAFAFA" w:val="clear"/>
          </w:tcPr>
          <w:p>
            <w:r>
              <w:rPr>
                <w:sz w:val="17"/>
              </w:rPr>
              <w:t>9,841</w:t>
            </w:r>
          </w:p>
        </w:tc>
        <w:tc>
          <w:tcPr>
            <w:tcW w:type="dxa" w:w="1440"/>
            <w:shd w:fill="FAFAFA" w:val="clear"/>
          </w:tcPr>
          <w:p>
            <w:r>
              <w:rPr>
                <w:b/>
                <w:color w:val="008000"/>
                <w:sz w:val="17"/>
              </w:rPr>
              <w:t>+1.4%</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8,220</w:t>
            </w:r>
          </w:p>
        </w:tc>
        <w:tc>
          <w:tcPr>
            <w:tcW w:type="dxa" w:w="1440"/>
            <w:shd w:fill="FAFAFA" w:val="clear"/>
          </w:tcPr>
          <w:p>
            <w:r>
              <w:rPr>
                <w:b/>
                <w:sz w:val="17"/>
              </w:rPr>
              <w:t>9,076</w:t>
            </w:r>
          </w:p>
        </w:tc>
        <w:tc>
          <w:tcPr>
            <w:tcW w:type="dxa" w:w="1440"/>
            <w:shd w:fill="FAFAFA" w:val="clear"/>
          </w:tcPr>
          <w:p>
            <w:r>
              <w:rPr>
                <w:sz w:val="17"/>
              </w:rPr>
              <w:t>9,931</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8,138</w:t>
            </w:r>
          </w:p>
        </w:tc>
        <w:tc>
          <w:tcPr>
            <w:tcW w:type="dxa" w:w="1440"/>
            <w:shd w:fill="FAFAFA" w:val="clear"/>
          </w:tcPr>
          <w:p>
            <w:r>
              <w:rPr>
                <w:b/>
                <w:sz w:val="17"/>
              </w:rPr>
              <w:t>9,075</w:t>
            </w:r>
          </w:p>
        </w:tc>
        <w:tc>
          <w:tcPr>
            <w:tcW w:type="dxa" w:w="1440"/>
            <w:shd w:fill="FAFAFA" w:val="clear"/>
          </w:tcPr>
          <w:p>
            <w:r>
              <w:rPr>
                <w:sz w:val="17"/>
              </w:rPr>
              <w:t>10,012</w:t>
            </w:r>
          </w:p>
        </w:tc>
        <w:tc>
          <w:tcPr>
            <w:tcW w:type="dxa" w:w="1440"/>
            <w:shd w:fill="FAFAFA" w:val="clear"/>
          </w:tcPr>
          <w:p>
            <w:r>
              <w:rPr>
                <w:b/>
                <w:color w:val="008000"/>
                <w:sz w:val="17"/>
              </w:rPr>
              <w:t>+1.4%</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8,061</w:t>
            </w:r>
          </w:p>
        </w:tc>
        <w:tc>
          <w:tcPr>
            <w:tcW w:type="dxa" w:w="1440"/>
            <w:shd w:fill="FAFAFA" w:val="clear"/>
          </w:tcPr>
          <w:p>
            <w:r>
              <w:rPr>
                <w:b/>
                <w:sz w:val="17"/>
              </w:rPr>
              <w:t>9,073</w:t>
            </w:r>
          </w:p>
        </w:tc>
        <w:tc>
          <w:tcPr>
            <w:tcW w:type="dxa" w:w="1440"/>
            <w:shd w:fill="FAFAFA" w:val="clear"/>
          </w:tcPr>
          <w:p>
            <w:r>
              <w:rPr>
                <w:sz w:val="17"/>
              </w:rPr>
              <w:t>10,085</w:t>
            </w:r>
          </w:p>
        </w:tc>
        <w:tc>
          <w:tcPr>
            <w:tcW w:type="dxa" w:w="1440"/>
            <w:shd w:fill="FAFAFA" w:val="clear"/>
          </w:tcPr>
          <w:p>
            <w:r>
              <w:rPr>
                <w:b/>
                <w:color w:val="008000"/>
                <w:sz w:val="17"/>
              </w:rPr>
              <w:t>+1.4%</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7,990</w:t>
            </w:r>
          </w:p>
        </w:tc>
        <w:tc>
          <w:tcPr>
            <w:tcW w:type="dxa" w:w="1440"/>
            <w:shd w:fill="FAFAFA" w:val="clear"/>
          </w:tcPr>
          <w:p>
            <w:r>
              <w:rPr>
                <w:b/>
                <w:sz w:val="17"/>
              </w:rPr>
              <w:t>9,071</w:t>
            </w:r>
          </w:p>
        </w:tc>
        <w:tc>
          <w:tcPr>
            <w:tcW w:type="dxa" w:w="1440"/>
            <w:shd w:fill="FAFAFA" w:val="clear"/>
          </w:tcPr>
          <w:p>
            <w:r>
              <w:rPr>
                <w:sz w:val="17"/>
              </w:rPr>
              <w:t>10,153</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7,922</w:t>
            </w:r>
          </w:p>
        </w:tc>
        <w:tc>
          <w:tcPr>
            <w:tcW w:type="dxa" w:w="1440"/>
            <w:shd w:fill="FAFAFA" w:val="clear"/>
          </w:tcPr>
          <w:p>
            <w:r>
              <w:rPr>
                <w:b/>
                <w:sz w:val="17"/>
              </w:rPr>
              <w:t>9,069</w:t>
            </w:r>
          </w:p>
        </w:tc>
        <w:tc>
          <w:tcPr>
            <w:tcW w:type="dxa" w:w="1440"/>
            <w:shd w:fill="FAFAFA" w:val="clear"/>
          </w:tcPr>
          <w:p>
            <w:r>
              <w:rPr>
                <w:sz w:val="17"/>
              </w:rPr>
              <w:t>10,216</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7,858</w:t>
            </w:r>
          </w:p>
        </w:tc>
        <w:tc>
          <w:tcPr>
            <w:tcW w:type="dxa" w:w="1440"/>
            <w:shd w:fill="FAFAFA" w:val="clear"/>
          </w:tcPr>
          <w:p>
            <w:r>
              <w:rPr>
                <w:b/>
                <w:sz w:val="17"/>
              </w:rPr>
              <w:t>9,067</w:t>
            </w:r>
          </w:p>
        </w:tc>
        <w:tc>
          <w:tcPr>
            <w:tcW w:type="dxa" w:w="1440"/>
            <w:shd w:fill="FAFAFA" w:val="clear"/>
          </w:tcPr>
          <w:p>
            <w:r>
              <w:rPr>
                <w:sz w:val="17"/>
              </w:rPr>
              <w:t>10,276</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363,02 milliards FCFA, BOAB se positionne parmi les valeurs bancaires de premier plan de la cote BRVM, ce qui lui confère une liquidité relative et une visibilité institutionnelle appréciables. Le BPA de 496 FCFA/action signifie que chaque titre génère près de 500 FCFA de bénéfice net, un niveau de rentabilité par action solide pour le secteur. Le PER de 18,1x traduit une valorisation nettement supérieure à la moyenne du marché BRVM (généralement comprise entre 8x et 12x), ce qui indique que les investisseurs paient une prime significative pour les bénéfices de la banque — prime qui doit être justifiée par la qualité de la croissance future. Le P/B de 3,09x confirme cette lecture : le marché valorise BOAB à plus de trois fois sa valeur comptable, ce qui est cohérent avec une banque affichant un ROE supérieur à 17%, mais qui laisse peu de marge d'erreur en cas de déception sur les résultats. Enfin, l'EV/EBITDA de 18,8x, très exigeant (seuil d'alerte &gt;15x), suggère que la valeur d'entreprise intègre déjà une bonne partie du potentiel opérationnel, ce qui plaide pour une certaine prudence sur le potentiel d'appréciation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 affiche une progression modérée de +1,13%, avec une dernière séance (J-1) particulièrement dynamique à +1,82%, signalant un regain d'intérêt acheteur à court terme. Le cours actuel de 8 950 FCFA se situe dans la partie basse du range de trading établi entre 8 520 FCFA (plus bas) et 10 350 FCFA (plus haut), ce qui traduit une tendance générale baissière sur la période, le titre ayant corrigé d'environ 13,5% depuis son sommet. Les statistiques descriptives révèlent une moyenne de 9 165 FCFA légèrement supérieure à la médiane de 8 948 FCFA, avec un mode à 8 700 FCFA : cet écart entre moyenne et médiane, combiné à un skewness positif de 0,978, indique une asymétrie à droite — autrement dit, quelques journées de forte hausse tirent la moyenne vers le haut, mais la majorité des séances se sont déroulées sous la moyenne, ce qui est cohérent avec la correction observée. L'écart-type de 555 FCFA (CV = 6,1%) traduit une dispersion modérée du cours autour de sa moyenne, tandis que le kurtosis de -0,457 (mésokurtique) suggère une distribution proche de la normale, sans risque majeur de pics extrêmes — un élément rassurant pour la gestion du risque. La volatilité annualisée de 27,5% place le titre dans la catégorie des valeurs à volatilité modérée à élevée (seuil &gt;30%), ce qui reste acceptable pour une action bancaire mais implique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9 957,25 FCFA et la MM50 à 9 340,5 FCFA, toutes deux nettement supérieures au cours actuel de 8 950 FCFA. Cette configuration — prix sous les deux moyennes — est techniquement baissière à court terme, mais la décision fournie est « Achat », ce qui suggère une anticipation de retournement ou de rebond technique depuis une zone de survente. Le croisement potentiel de la MM20 sous la MM50 (death cross) reste un signal de prudence à surveiller.</w:t>
      </w:r>
    </w:p>
    <w:p>
      <w:pPr>
        <w:spacing w:after="120" w:line="276" w:lineRule="auto"/>
      </w:pPr>
      <w:r>
        <w:t>**Bandes de Bollinger** : La borne supérieure est à 10 913,28 FCFA et la borne inférieure à 9 001,22 FCFA, avec un cours actuel de 8 950 FCFA qui se situe légèrement SOUS la borne inférieure. Cette position est statistiquement rare et signale une survente extrême, souvent suivie d'un rebond technique — ce qui justifie la décision « Achat ». L'amplitude des bandes (environ 1 912 FCFA) confirme une volatilité significative sur la période.</w:t>
      </w:r>
    </w:p>
    <w:p>
      <w:pPr>
        <w:spacing w:after="120" w:line="276" w:lineRule="auto"/>
      </w:pPr>
      <w:r>
        <w:t>**MACD** : La valeur du MACD est de -84,07 contre un signal à 115,226, soit une divergence baissière marquée (MACD sous son signal). Le momentum est clairement négatif, ce qui justifie la décision « Vente » de cet indicateur. Toutefois, un MACD aussi négatif en zone de survente peut précéder un retournement si les autres indicateurs confirment.</w:t>
      </w:r>
    </w:p>
    <w:p>
      <w:pPr>
        <w:spacing w:after="120" w:line="276" w:lineRule="auto"/>
      </w:pPr>
      <w:r>
        <w:t>**RSI** : À 20,524, le RSI est en zone de survente profonde (seuil &lt;30), ce qui est un signal d'achat classique — la décision fournie est d'ailleurs « Achat ». Un RSI aussi bas indique que la pression vendeuse est excessive et qu'un rebond technique est statistiquement probable à court terme.</w:t>
      </w:r>
    </w:p>
    <w:p>
      <w:pPr>
        <w:spacing w:after="120" w:line="276" w:lineRule="auto"/>
      </w:pPr>
      <w:r>
        <w:t>**Stochastique** : Le %K est à 10,738 et le %D à 3,579, tous deux en zone de survente extrême (&lt;20). Le croisement du %K au-dessus du %D n'est pas encore confirmé, mais la configuration actuelle plaide pour un « Achat » en anticipation d'un retournement haussier.</w:t>
      </w:r>
    </w:p>
    <w:p>
      <w:pPr>
        <w:spacing w:after="120" w:line="276" w:lineRule="auto"/>
      </w:pPr>
      <w:r>
        <w:t>**Conclusion technique** : Les indicateurs présentent une divergence notable : les oscillateurs (RSI, Stochastique, Bollinger) signalent une survente extrême propice à un rebond technique, tandis que le MACD et la position du cours sous les moyennes mobiles confirment une tendance baissière de fond. La convergence des signaux d'achat sur trois indicateurs sur cinq (RSI, Stochastique, Bollinger) suggère qu'un rebond à court terme est probable, mais la prudence reste de mise tant que le MACD n'amorce pas de retournement et que le cours ne repasse pas au-dessus de la MM50 (9 340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 affiche un Produit Net Bancaire (PNB) de 51,274 milliards FCFA, en croissance de 10,20% sur un an, confirmant la dynamique commerciale de la banque. Le résultat net s'établit à 20,107 milliards FCFA, avec une marge nette élevée de 39,22% et une marge opérationnelle de 41,33%. Le ROE atteint 17,11% (seuil d'excellence &gt;15%) et le ROA 2,08%, des niveaux solides pour le secteur bancaire. Le coefficient d'exploitation de 49,53% — inférieur au seuil de 60% — témoigne d'une excellente efficacité opérationnelle, tandis que le coût du risque de 22,50% (provisions/charges financières) reste élevé et constitue un point de vigilance sur la qualité du portefeuille de crédit. La structure financière montre une autonomie financière de 12,18% (faible, mais typique des banques) et un ratio d'endettement de 98,77%, avec une solvabilité générale de 113,87% (total actif/dettes totales &gt;1, donc solvable). Les dépôts clientèle (711,642 milliards FCFA) couvrent largement les créances clientèle (391,724 milliards FCFA), avec un ratio de transformation de 55%, ce qui indique une gestion prudente des liquidités.</w:t>
      </w:r>
    </w:p>
    <w:p>
      <w:pPr>
        <w:spacing w:after="120" w:line="276" w:lineRule="auto"/>
      </w:pPr>
      <w:r>
        <w:t>**Estimations basées sur les rapports trimestriels** : Le rapport du T1 2026 (publié le 31 mars 2026) indique un PNB de 12,329 milliards FCFA (+11% en glissement annuel), un résultat net de 4,502 milliards FCFA (+1%) et des dépôts clientèle de 753,7 milliards FCFA (+3,5%). Le rapport du T3 2025 (30 septembre 2025) faisait état d'un PNB trimestriel de 37,065 milliards FCFA (+9%) et d'un résultat net de 15,880 milliards FCFA (+13%), avec une contraction des crédits (-10%) et des dépôts (-5%) sur un an. Sur la base de ces tendances, on peut estimer que l'exercice 2026 devrait enregistrer une croissance du PNB de l'ordre de 8-10%, avec un résultat net en progression modérée (3-5%), la pression sur les coûts et la hausse des provisions tempérant la croissance des revenus. Le rapport du S1 2025 (30 juin 2025) mentionnait un ROE de 20,3% et un coefficient d'exploitation de 46,1%, confirmant la tendance à l'amélioration de l'efficacité.</w:t>
      </w:r>
    </w:p>
    <w:p>
      <w:pPr>
        <w:spacing w:after="120" w:line="276" w:lineRule="auto"/>
      </w:pPr>
      <w:r>
        <w:t>**Évolution pluriannuelle** : Le rapport annuel 2024 (31 décembre 2024) indiquait un résultat net de 19,647 milliards FCFA, en baisse de 8,7% sur un an, avec un ROE de 16,7% et une augmentation de capital portant le capital souscrit de 20,3 à 40,6 milliards FCFA. Le rapport 2021 (exercice clos 31 décembre 2021) faisait état d'un résultat net de 16,66 milliards FCFA (+25,2%) et d'un ROE de 17,1%. La trajectoire montre donc une résilience de la rentabilité malgré un environnement de contraction du bilan, avec une amélioration notable de l'efficacité opérationnelle (coefficient d'exploitation passé de 53,1% au S1 2024 à 46,1% au S1 2025).</w:t>
      </w:r>
    </w:p>
    <w:p>
      <w:pPr>
        <w:spacing w:after="120" w:line="276" w:lineRule="auto"/>
      </w:pPr>
      <w:r>
        <w:t>**Recommandation fondamentale** : BOAB présente des fondamentaux solides — rentabilité élevée (ROE &gt;17%), efficacité opérationnelle excellente (coefficient &lt;50%), et base de dépôts en croissance. Les risques principaux résident dans le coût du risque élevé (22,5%), la contraction des crédits (-10% au T3 2025) et la dépendance à l'environnement économique béninois. La valorisation exigeante (PER 18,1x) laisse peu de marge d'erreur, mais la qualité des fondamentaux justifie une recommandation de **CONSERVER** pour les investisseurs déjà positionnés, avec un potentiel d'achat sur repli.</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les ratios PER (18,1x), P/B (3,09x) et EV/EBITDA (18,8x) indiquent une action chèrement valorisée par rapport à la moyenne du marché BRVM, ce qui limite le potentiel d'appréciation à court terme et expose à un risque de correction en cas de déception sur les résultats. **Le comportement du cours (Partie 1)** montre une tendance baissière sur 100 jours (-13,5% depuis le plus haut), avec une volatilité modérée (27,5%) et une distribution asymétrique à droite (skewness 0,978) — les statistiques ne sont ni alarmantes ni particulièrement favorables, mais la survente actuelle (cours sous la borne inférieure de Bollinger) plaide pour un rebond technique. **Les signaux techniques (Partie 2)** sont divergents : trois indicateurs sur cinq (RSI, Stochastique, Bollinger) signalent un achat en zone de survente, tandis que le MACD et la position sous les moyennes mobiles confirment la tendance baissière de fond — la convergence partielle suggère un rebond à court terme, mais pas nécessairement un retournement durable. **Les fondamentaux (Partie 3)** restent solides : ROE de 17,11%, coefficient d'exploitation de 49,53%, PNB en croissance de 10,20% en 2025, et estimations T1 2026 (+11% de PNB) confirment la dynamique, malgré un coût du risque élevé et une contraction des crédits. **Les prédictions IA (J+1 à J+10)** anticipent une trajectoire haussière modérée, de 9 019 FCFA à 9 076 FCFA, ce qui confirme le scénario de rebond technique sans emballement majeur.</w:t>
      </w:r>
    </w:p>
    <w:p>
      <w:pPr>
        <w:spacing w:after="120" w:line="276" w:lineRule="auto"/>
      </w:pPr>
      <w:r>
        <w:t>**Recommandation finale : CONSERVER** — Justification : la convergence entre la survente technique (RSI 20,5, Stochastique 10,7), les fondamentaux solides (ROE &gt;17%, PNB +10,2%) et les prédictions IA haussières (+1,4% sur 10 jours) plaide pour un maintien des positions existantes et un achat progressif sur repli vers 8 700-8 800 FCFA. Toutefois, la valorisation exigeante (PER 18,1x) et la divergence du MACD empêchent de recommander un achat fort. **Niveau de confiance : Moyen** — les signaux sont contradictoires entre technique court terme (achat) et valorisation/fondamental long terme (prudence). **Niveau de risque global : Moyen** — la volatilité modérée et la solidité financière limitent le risque, mais la cherté relative et le coût du risque élevé constituent des points de vigilance. **Horizon d'investissement optimal : Moyen terme (3-12 mois)** — le temps que la correction technique s'achève et que les fondamentaux (croissance du PNB, maîtrise du coût du risque) confirment la trajectoire bénéficiaire.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349.80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6,427 titres</w:t>
            </w:r>
          </w:p>
        </w:tc>
        <w:tc>
          <w:tcPr>
            <w:tcW w:type="dxa" w:w="2268"/>
            <w:shd w:fill="FFF2CC" w:val="clear"/>
          </w:tcPr>
          <w:p>
            <w:r>
              <w:rPr>
                <w:b/>
                <w:color w:val="503200"/>
                <w:sz w:val="16"/>
              </w:rPr>
              <w:t xml:space="preserve">Cours actuel : </w:t>
            </w:r>
            <w:r>
              <w:rPr>
                <w:color w:val="000000"/>
                <w:sz w:val="17"/>
              </w:rPr>
              <w:t>7,950 FCFA</w:t>
            </w:r>
          </w:p>
          <w:p>
            <w:r>
              <w:rPr>
                <w:b/>
                <w:color w:val="503200"/>
                <w:sz w:val="16"/>
              </w:rPr>
              <w:t xml:space="preserve">Var. 100 jours : </w:t>
            </w:r>
            <w:r>
              <w:rPr>
                <w:b/>
                <w:color w:val="007800"/>
                <w:sz w:val="17"/>
              </w:rPr>
              <w:t>+40.71%</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18.33% (Élevée) — μ=6,706 FCFA, σ=1,229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β=0.6292 (Défensif) — Cov=0.000028, Var(idx)=0.000045, ρ=0.195,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7,551</w:t>
            </w:r>
          </w:p>
        </w:tc>
        <w:tc>
          <w:tcPr>
            <w:tcW w:type="dxa" w:w="1440"/>
            <w:shd w:fill="FAFAFA" w:val="clear"/>
          </w:tcPr>
          <w:p>
            <w:r>
              <w:rPr>
                <w:b/>
                <w:sz w:val="17"/>
              </w:rPr>
              <w:t>7,940</w:t>
            </w:r>
          </w:p>
        </w:tc>
        <w:tc>
          <w:tcPr>
            <w:tcW w:type="dxa" w:w="1440"/>
            <w:shd w:fill="FAFAFA" w:val="clear"/>
          </w:tcPr>
          <w:p>
            <w:r>
              <w:rPr>
                <w:sz w:val="17"/>
              </w:rPr>
              <w:t>8,328</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7,411</w:t>
            </w:r>
          </w:p>
        </w:tc>
        <w:tc>
          <w:tcPr>
            <w:tcW w:type="dxa" w:w="1440"/>
            <w:shd w:fill="FAFAFA" w:val="clear"/>
          </w:tcPr>
          <w:p>
            <w:r>
              <w:rPr>
                <w:b/>
                <w:sz w:val="17"/>
              </w:rPr>
              <w:t>7,962</w:t>
            </w:r>
          </w:p>
        </w:tc>
        <w:tc>
          <w:tcPr>
            <w:tcW w:type="dxa" w:w="1440"/>
            <w:shd w:fill="FAFAFA" w:val="clear"/>
          </w:tcPr>
          <w:p>
            <w:r>
              <w:rPr>
                <w:sz w:val="17"/>
              </w:rPr>
              <w:t>8,514</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7,284</w:t>
            </w:r>
          </w:p>
        </w:tc>
        <w:tc>
          <w:tcPr>
            <w:tcW w:type="dxa" w:w="1440"/>
            <w:shd w:fill="FAFAFA" w:val="clear"/>
          </w:tcPr>
          <w:p>
            <w:r>
              <w:rPr>
                <w:b/>
                <w:sz w:val="17"/>
              </w:rPr>
              <w:t>7,959</w:t>
            </w:r>
          </w:p>
        </w:tc>
        <w:tc>
          <w:tcPr>
            <w:tcW w:type="dxa" w:w="1440"/>
            <w:shd w:fill="FAFAFA" w:val="clear"/>
          </w:tcPr>
          <w:p>
            <w:r>
              <w:rPr>
                <w:sz w:val="17"/>
              </w:rPr>
              <w:t>8,635</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7,181</w:t>
            </w:r>
          </w:p>
        </w:tc>
        <w:tc>
          <w:tcPr>
            <w:tcW w:type="dxa" w:w="1440"/>
            <w:shd w:fill="FAFAFA" w:val="clear"/>
          </w:tcPr>
          <w:p>
            <w:r>
              <w:rPr>
                <w:b/>
                <w:sz w:val="17"/>
              </w:rPr>
              <w:t>7,961</w:t>
            </w:r>
          </w:p>
        </w:tc>
        <w:tc>
          <w:tcPr>
            <w:tcW w:type="dxa" w:w="1440"/>
            <w:shd w:fill="FAFAFA" w:val="clear"/>
          </w:tcPr>
          <w:p>
            <w:r>
              <w:rPr>
                <w:sz w:val="17"/>
              </w:rPr>
              <w:t>8,741</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7,095</w:t>
            </w:r>
          </w:p>
        </w:tc>
        <w:tc>
          <w:tcPr>
            <w:tcW w:type="dxa" w:w="1440"/>
            <w:shd w:fill="FAFAFA" w:val="clear"/>
          </w:tcPr>
          <w:p>
            <w:r>
              <w:rPr>
                <w:b/>
                <w:sz w:val="17"/>
              </w:rPr>
              <w:t>7,967</w:t>
            </w:r>
          </w:p>
        </w:tc>
        <w:tc>
          <w:tcPr>
            <w:tcW w:type="dxa" w:w="1440"/>
            <w:shd w:fill="FAFAFA" w:val="clear"/>
          </w:tcPr>
          <w:p>
            <w:r>
              <w:rPr>
                <w:sz w:val="17"/>
              </w:rPr>
              <w:t>8,840</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7,019</w:t>
            </w:r>
          </w:p>
        </w:tc>
        <w:tc>
          <w:tcPr>
            <w:tcW w:type="dxa" w:w="1440"/>
            <w:shd w:fill="FAFAFA" w:val="clear"/>
          </w:tcPr>
          <w:p>
            <w:r>
              <w:rPr>
                <w:b/>
                <w:sz w:val="17"/>
              </w:rPr>
              <w:t>7,976</w:t>
            </w:r>
          </w:p>
        </w:tc>
        <w:tc>
          <w:tcPr>
            <w:tcW w:type="dxa" w:w="1440"/>
            <w:shd w:fill="FAFAFA" w:val="clear"/>
          </w:tcPr>
          <w:p>
            <w:r>
              <w:rPr>
                <w:sz w:val="17"/>
              </w:rPr>
              <w:t>8,933</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6,950</w:t>
            </w:r>
          </w:p>
        </w:tc>
        <w:tc>
          <w:tcPr>
            <w:tcW w:type="dxa" w:w="1440"/>
            <w:shd w:fill="FAFAFA" w:val="clear"/>
          </w:tcPr>
          <w:p>
            <w:r>
              <w:rPr>
                <w:b/>
                <w:sz w:val="17"/>
              </w:rPr>
              <w:t>7,985</w:t>
            </w:r>
          </w:p>
        </w:tc>
        <w:tc>
          <w:tcPr>
            <w:tcW w:type="dxa" w:w="1440"/>
            <w:shd w:fill="FAFAFA" w:val="clear"/>
          </w:tcPr>
          <w:p>
            <w:r>
              <w:rPr>
                <w:sz w:val="17"/>
              </w:rPr>
              <w:t>9,020</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6,886</w:t>
            </w:r>
          </w:p>
        </w:tc>
        <w:tc>
          <w:tcPr>
            <w:tcW w:type="dxa" w:w="1440"/>
            <w:shd w:fill="FAFAFA" w:val="clear"/>
          </w:tcPr>
          <w:p>
            <w:r>
              <w:rPr>
                <w:b/>
                <w:sz w:val="17"/>
              </w:rPr>
              <w:t>7,994</w:t>
            </w:r>
          </w:p>
        </w:tc>
        <w:tc>
          <w:tcPr>
            <w:tcW w:type="dxa" w:w="1440"/>
            <w:shd w:fill="FAFAFA" w:val="clear"/>
          </w:tcPr>
          <w:p>
            <w:r>
              <w:rPr>
                <w:sz w:val="17"/>
              </w:rPr>
              <w:t>9,102</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6,827</w:t>
            </w:r>
          </w:p>
        </w:tc>
        <w:tc>
          <w:tcPr>
            <w:tcW w:type="dxa" w:w="1440"/>
            <w:shd w:fill="FAFAFA" w:val="clear"/>
          </w:tcPr>
          <w:p>
            <w:r>
              <w:rPr>
                <w:b/>
                <w:sz w:val="17"/>
              </w:rPr>
              <w:t>8,003</w:t>
            </w:r>
          </w:p>
        </w:tc>
        <w:tc>
          <w:tcPr>
            <w:tcW w:type="dxa" w:w="1440"/>
            <w:shd w:fill="FAFAFA" w:val="clear"/>
          </w:tcPr>
          <w:p>
            <w:r>
              <w:rPr>
                <w:sz w:val="17"/>
              </w:rPr>
              <w:t>9,179</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6,771</w:t>
            </w:r>
          </w:p>
        </w:tc>
        <w:tc>
          <w:tcPr>
            <w:tcW w:type="dxa" w:w="1440"/>
            <w:shd w:fill="FAFAFA" w:val="clear"/>
          </w:tcPr>
          <w:p>
            <w:r>
              <w:rPr>
                <w:b/>
                <w:sz w:val="17"/>
              </w:rPr>
              <w:t>8,012</w:t>
            </w:r>
          </w:p>
        </w:tc>
        <w:tc>
          <w:tcPr>
            <w:tcW w:type="dxa" w:w="1440"/>
            <w:shd w:fill="FAFAFA" w:val="clear"/>
          </w:tcPr>
          <w:p>
            <w:r>
              <w:rPr>
                <w:sz w:val="17"/>
              </w:rPr>
              <w:t>9,253</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349,80 milliards FCFA, BOABF figure parmi les valeurs bancaires de premier plan de la cote BRVM, ce qui lui confère une bonne liquidité relative et une visibilité institutionnelle. Le BPA de 438 FCFA/action signifie que chaque titre génère près de 438 FCFA de bénéfice net, un niveau confortable pour une banque de cette taille. Le PER de 18,2x se situe nettement au-dessus de la moyenne du marché BRVM (généralement 8-12x), traduisant une prime de qualité et de leadership sectoriel, mais aussi un risque de surévaluation si la croissance ne suit pas. Le P/B de 2,76x indique que le marché valorise la banque à près de trois fois ses fonds propres comptables (126,5 Mds FCFA), ce qui reflète une prime de croissance et de rentabilité (ROE de 15,2%) mais laisse peu de marge de sécurité en cas de dégradation. Enfin, l'EV/EBITDA de 8,0x, dans la fourchette raisonnable de 5-10x, suggère que la valeur d'entreprise reste cohérente avec la capacité opérationnelle, bien que cet indicateur soit moins pertinent pour une banque que le P/B et le PER.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+40,71%, avec une dernière séance en hausse de +7,43%, portant le cours à 7 950 FCFA. Le range de trading est large, entre un plus bas de 5 300 FCFA et un plus haut de 9 090 FCFA, soit une amplitude de plus de 70%, signe d'une forte volatilité et d'un intérêt marqué des investisseurs. La tendance générale est clairement haussière, mais le cours actuel (7 950 FCFA) se situe sous le plus haut récent (9 090 FCFA), suggérant une phase de consolidation après le rallye. Les statistiques descriptives révèlent une moyenne de 6 706 FCFA supérieure à la médiane de 6 588 FCFA, avec un mode à 5 400 FCFA, indiquant une distribution asymétrique où les hausses récentes tirent la moyenne vers le haut. L'écart-type de 1 236 FCFA (CV=18,4%) traduit une dispersion modérée à élevée, tandis que le kurtosis de -1,016 (distribution platykurtique) indique une faible concentration des rendements et un risque de pics moins prononcé que sur une distribution normale. Le skewness de +0,541 confirme une asymétrie positive, avec davantage de journées sous la moyenne mais des hausses ponctuelles fortes. La volatilité annualisée de 35,7%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(8 502,25 FCFA) et la MM50 (7 797,30 FCFA) encadrent le cours actuel (7 950 FCFA), qui se situe sous la MM20 mais au-dessus de la MM50. Cette configuration indique une correction à court terme dans une tendance de fond haussière, la décision technique étant à l'achat (cours &gt; MM50).</w:t>
      </w:r>
    </w:p>
    <w:p>
      <w:pPr>
        <w:spacing w:after="120" w:line="276" w:lineRule="auto"/>
      </w:pPr>
      <w:r>
        <w:t>**Bandes de Bollinger** : Le cours (7 950 FCFA) évolue dans la partie basse de la bande (borne inférieure 7 352,54 FCFA, borne supérieure 9 651,96 FCFA), sans franchissement des bornes. La décision est neutre, la volatilité restant contenue dans les bandes, ce qui suggère une absence de signal directionnel fort.</w:t>
      </w:r>
    </w:p>
    <w:p>
      <w:pPr>
        <w:spacing w:after="120" w:line="276" w:lineRule="auto"/>
      </w:pPr>
      <w:r>
        <w:t>**MACD** : La valeur du MACD (-42,594) est inférieure à son signal (149,223), générant une divergence baissière et un momentum négatif. La décision technique est à la vente, ce qui contredit les moyennes mobiles et appelle à la prudence.</w:t>
      </w:r>
    </w:p>
    <w:p>
      <w:pPr>
        <w:spacing w:after="120" w:line="276" w:lineRule="auto"/>
      </w:pPr>
      <w:r>
        <w:t>**RSI** : À 29,425, le RSI est proche de la zone de survente (&lt;30), signalant un potentiel rebond technique. La décision est à l'achat, ce qui est cohérent avec la position du cours sous la MM20 mais au-dessus de la MM50.</w:t>
      </w:r>
    </w:p>
    <w:p>
      <w:pPr>
        <w:spacing w:after="120" w:line="276" w:lineRule="auto"/>
      </w:pPr>
      <w:r>
        <w:t>**Stochastique** : Le %K (34,483) est supérieur au %D (11,494), avec un croisement haussier en cours. La décision est neutre, mais la configuration suggère une possible reprise à court terme.</w:t>
      </w:r>
    </w:p>
    <w:p>
      <w:pPr>
        <w:spacing w:after="120" w:line="276" w:lineRule="auto"/>
      </w:pPr>
      <w:r>
        <w:t>**Conclusion technique** : Les indicateurs sont divergents — les moyennes mobiles et le RSI plaident pour un achat, tandis que le MACD est baissier et les bandes de Bollinger neutres. Le stochastique indique un croisement haussier naissant. Dans l'ensemble, le titre se trouve dans une phase de consolidation après un fort rallye, avec un potentiel de rebond à court terme mais une momentum fragile. La prudence est de mise, et une confirmation par le MACD serait nécessaire pour valider un signal d'achat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de 57,820 milliards FCFA, quasi stable par rapport à 2024 (+0,6%), mais avec un résultat net en recul de -14,1% à 19,252 milliards FCFA, principalement en raison d'un coût du risque qui a quasiment doublé (8,355 Mds FCFA contre 4,303 Mds FCFA en 2024). Le ROE de 15,22% reste excellent (&gt;15%), et le ROA de 1,68% est correct pour le secteur bancaire. Le coefficient d'exploitation de 47,19% est inférieur au seuil de 60%, confirmant l'efficacité opérationnelle de la banque. Le ratio dépôts/crédits (877,8 Mds FCFA de dépôts clientèle contre 474,1 Mds FCFA de créances clientèle) montre une surliquidité, mais aussi une faible transformation, avec des créances interbancaires en forte hausse (213,1 Mds FCFA contre 54,0 Mds FCFA en 2024), signe d'un repositionnement prudent. Le coût du risque/charges financières de 33,92% reste élevé, témoignant d'un portefeuille de crédits sous pression. Les rapports trimestriels récents (T1 2026, S1 2026) montrent une amélioration du résultat net (+31,0% au S1 2026 à 10,770 Mds FCFA) grâce à une normalisation du coût du risque (-65,2%), mais le PNB recule de -5,2% au S1 2026, ce qui est préoccupant. Sur la base du T1 2026 (PNB de 12,694 Mds FCFA, -10,75%), on estime que l'exercice 2026 devrait afficher un PNB en contraction, mais un résultat net en hausse grâce à la baisse des provisions. La solidité financière reste correcte (autonomie financière de 11,01%, solvabilité générale de 112,38%), mais la dépendance aux dépôts clientèle (877,8 Mds FCFA) et la faible croissance du PNB constituent des risques majeurs. La recommandation fondamentale est de **CONSERVER**, avec une surveillance accrue de la dynamique commerciale et de la qualité du portefeuille de crédits.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(PER 18,2x, P/B 2,76x, EV/EBITDA 8,0x) indique une prime de qualité mais un potentiel de surévaluation, notamment au regard de la moyenne du marché BRVM (PER 8-12x). Le comportement du cours sur 100 jours (+40,71%) est haussier, mais la volatilité élevée (35,7%) et le skewness positif (+0,541) suggèrent des mouvements erratiques, avec un risque de correction après le rallye. Les signaux techniques sont divergents : le RSI et les moyennes mobiles plaident pour un achat, mais le MACD est baissier et les bandes de Bollinger neutres, ce qui appelle à la prudence. Les fondamentaux sont mitigés : ROE solide (15,22%) et coefficient d'exploitation efficace (47,19%), mais PNB en stagnation et coût du risque élevé, avec une amélioration récente du résultat net portée par la baisse des provisions plutôt que par la croissance. Les prédictions IA (7 940 FCFA à 7 967 FCFA sur 10 jours) anticipent une stabilisation autour de 7 950 FCFA, ce qui confirme l'absence de tendance claire à court terme. Sur la base de cette synthèse, la recommandation finale est **CONSERVER**, avec un niveau de confiance **Moyen** et un risque global **Élevé**. L'horizon d'investissement optimal est le **moyen terme (3-12 mois)**, en attendant une confirmation de la reprise du PNB et une stabilisation des indicateurs techniques. Une convergence entre la valorisation, les fondamentaux et les signaux techniques serait nécessaire pour envisager un passage à l'achat.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458.80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10,859 titres</w:t>
            </w:r>
          </w:p>
        </w:tc>
        <w:tc>
          <w:tcPr>
            <w:tcW w:type="dxa" w:w="2268"/>
            <w:shd w:fill="FFF2CC" w:val="clear"/>
          </w:tcPr>
          <w:p>
            <w:r>
              <w:rPr>
                <w:b/>
                <w:color w:val="503200"/>
                <w:sz w:val="16"/>
              </w:rPr>
              <w:t xml:space="preserve">Cours actuel : </w:t>
            </w:r>
            <w:r>
              <w:rPr>
                <w:color w:val="000000"/>
                <w:sz w:val="17"/>
              </w:rPr>
              <w:t>11,470 FCFA</w:t>
            </w:r>
          </w:p>
          <w:p>
            <w:r>
              <w:rPr>
                <w:b/>
                <w:color w:val="503200"/>
                <w:sz w:val="16"/>
              </w:rPr>
              <w:t xml:space="preserve">Var. 100 jours : </w:t>
            </w:r>
            <w:r>
              <w:rPr>
                <w:b/>
                <w:color w:val="007800"/>
                <w:sz w:val="17"/>
              </w:rPr>
              <w:t>+24.81%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15.27% (Élevée) — μ=10,396 FCFA, σ=1,587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β=0.2510 (Défensif) — Cov=0.000011, Var(idx)=0.000045, ρ=0.103,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10,859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2026-09-25</w:t>
            </w:r>
          </w:p>
        </w:tc>
        <w:tc>
          <w:tcPr>
            <w:tcW w:type="dxa" w:w="1440"/>
            <w:shd w:fill="FFDCE0" w:val="clear"/>
          </w:tcPr>
          <w:p>
            <w:r>
              <w:rPr>
                <w:sz w:val="17"/>
              </w:rPr>
              <w:t>10,834</w:t>
            </w:r>
          </w:p>
        </w:tc>
        <w:tc>
          <w:tcPr>
            <w:tcW w:type="dxa" w:w="1440"/>
            <w:shd w:fill="FFDCE0" w:val="clear"/>
          </w:tcPr>
          <w:p>
            <w:r>
              <w:rPr>
                <w:b/>
                <w:sz w:val="17"/>
              </w:rPr>
              <w:t>11,206</w:t>
            </w:r>
          </w:p>
        </w:tc>
        <w:tc>
          <w:tcPr>
            <w:tcW w:type="dxa" w:w="1440"/>
            <w:shd w:fill="FFDCE0" w:val="clear"/>
          </w:tcPr>
          <w:p>
            <w:r>
              <w:rPr>
                <w:sz w:val="17"/>
              </w:rPr>
              <w:t>11,577</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2026-09-28</w:t>
            </w:r>
          </w:p>
        </w:tc>
        <w:tc>
          <w:tcPr>
            <w:tcW w:type="dxa" w:w="1440"/>
            <w:shd w:fill="FFDCE0" w:val="clear"/>
          </w:tcPr>
          <w:p>
            <w:r>
              <w:rPr>
                <w:sz w:val="17"/>
              </w:rPr>
              <w:t>10,682</w:t>
            </w:r>
          </w:p>
        </w:tc>
        <w:tc>
          <w:tcPr>
            <w:tcW w:type="dxa" w:w="1440"/>
            <w:shd w:fill="FFDCE0" w:val="clear"/>
          </w:tcPr>
          <w:p>
            <w:r>
              <w:rPr>
                <w:b/>
                <w:sz w:val="17"/>
              </w:rPr>
              <w:t>11,208</w:t>
            </w:r>
          </w:p>
        </w:tc>
        <w:tc>
          <w:tcPr>
            <w:tcW w:type="dxa" w:w="1440"/>
            <w:shd w:fill="FFDCE0" w:val="clear"/>
          </w:tcPr>
          <w:p>
            <w:r>
              <w:rPr>
                <w:sz w:val="17"/>
              </w:rPr>
              <w:t>11,734</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2026-09-29</w:t>
            </w:r>
          </w:p>
        </w:tc>
        <w:tc>
          <w:tcPr>
            <w:tcW w:type="dxa" w:w="1440"/>
            <w:shd w:fill="FFDCE0" w:val="clear"/>
          </w:tcPr>
          <w:p>
            <w:r>
              <w:rPr>
                <w:sz w:val="17"/>
              </w:rPr>
              <w:t>10,527</w:t>
            </w:r>
          </w:p>
        </w:tc>
        <w:tc>
          <w:tcPr>
            <w:tcW w:type="dxa" w:w="1440"/>
            <w:shd w:fill="FFDCE0" w:val="clear"/>
          </w:tcPr>
          <w:p>
            <w:r>
              <w:rPr>
                <w:b/>
                <w:sz w:val="17"/>
              </w:rPr>
              <w:t>11,169</w:t>
            </w:r>
          </w:p>
        </w:tc>
        <w:tc>
          <w:tcPr>
            <w:tcW w:type="dxa" w:w="1440"/>
            <w:shd w:fill="FFDCE0" w:val="clear"/>
          </w:tcPr>
          <w:p>
            <w:r>
              <w:rPr>
                <w:sz w:val="17"/>
              </w:rPr>
              <w:t>11,811</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10,389</w:t>
            </w:r>
          </w:p>
        </w:tc>
        <w:tc>
          <w:tcPr>
            <w:tcW w:type="dxa" w:w="1440"/>
            <w:shd w:fill="FFDCE0" w:val="clear"/>
          </w:tcPr>
          <w:p>
            <w:r>
              <w:rPr>
                <w:b/>
                <w:sz w:val="17"/>
              </w:rPr>
              <w:t>11,127</w:t>
            </w:r>
          </w:p>
        </w:tc>
        <w:tc>
          <w:tcPr>
            <w:tcW w:type="dxa" w:w="1440"/>
            <w:shd w:fill="FFDCE0" w:val="clear"/>
          </w:tcPr>
          <w:p>
            <w:r>
              <w:rPr>
                <w:sz w:val="17"/>
              </w:rPr>
              <w:t>11,866</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10,265</w:t>
            </w:r>
          </w:p>
        </w:tc>
        <w:tc>
          <w:tcPr>
            <w:tcW w:type="dxa" w:w="1440"/>
            <w:shd w:fill="FFDCE0" w:val="clear"/>
          </w:tcPr>
          <w:p>
            <w:r>
              <w:rPr>
                <w:b/>
                <w:sz w:val="17"/>
              </w:rPr>
              <w:t>11,088</w:t>
            </w:r>
          </w:p>
        </w:tc>
        <w:tc>
          <w:tcPr>
            <w:tcW w:type="dxa" w:w="1440"/>
            <w:shd w:fill="FFDCE0" w:val="clear"/>
          </w:tcPr>
          <w:p>
            <w:r>
              <w:rPr>
                <w:sz w:val="17"/>
              </w:rPr>
              <w:t>11,910</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10,152</w:t>
            </w:r>
          </w:p>
        </w:tc>
        <w:tc>
          <w:tcPr>
            <w:tcW w:type="dxa" w:w="1440"/>
            <w:shd w:fill="FFDCE0" w:val="clear"/>
          </w:tcPr>
          <w:p>
            <w:r>
              <w:rPr>
                <w:b/>
                <w:sz w:val="17"/>
              </w:rPr>
              <w:t>11,050</w:t>
            </w:r>
          </w:p>
        </w:tc>
        <w:tc>
          <w:tcPr>
            <w:tcW w:type="dxa" w:w="1440"/>
            <w:shd w:fill="FFDCE0" w:val="clear"/>
          </w:tcPr>
          <w:p>
            <w:r>
              <w:rPr>
                <w:sz w:val="17"/>
              </w:rPr>
              <w:t>11,948</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10,047</w:t>
            </w:r>
          </w:p>
        </w:tc>
        <w:tc>
          <w:tcPr>
            <w:tcW w:type="dxa" w:w="1440"/>
            <w:shd w:fill="FFDCE0" w:val="clear"/>
          </w:tcPr>
          <w:p>
            <w:r>
              <w:rPr>
                <w:b/>
                <w:sz w:val="17"/>
              </w:rPr>
              <w:t>11,014</w:t>
            </w:r>
          </w:p>
        </w:tc>
        <w:tc>
          <w:tcPr>
            <w:tcW w:type="dxa" w:w="1440"/>
            <w:shd w:fill="FFDCE0" w:val="clear"/>
          </w:tcPr>
          <w:p>
            <w:r>
              <w:rPr>
                <w:sz w:val="17"/>
              </w:rPr>
              <w:t>11,981</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9,950</w:t>
            </w:r>
          </w:p>
        </w:tc>
        <w:tc>
          <w:tcPr>
            <w:tcW w:type="dxa" w:w="1440"/>
            <w:shd w:fill="FFDCE0" w:val="clear"/>
          </w:tcPr>
          <w:p>
            <w:r>
              <w:rPr>
                <w:b/>
                <w:sz w:val="17"/>
              </w:rPr>
              <w:t>10,980</w:t>
            </w:r>
          </w:p>
        </w:tc>
        <w:tc>
          <w:tcPr>
            <w:tcW w:type="dxa" w:w="1440"/>
            <w:shd w:fill="FFDCE0" w:val="clear"/>
          </w:tcPr>
          <w:p>
            <w:r>
              <w:rPr>
                <w:sz w:val="17"/>
              </w:rPr>
              <w:t>12,011</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9,858</w:t>
            </w:r>
          </w:p>
        </w:tc>
        <w:tc>
          <w:tcPr>
            <w:tcW w:type="dxa" w:w="1440"/>
            <w:shd w:fill="FFDCE0" w:val="clear"/>
          </w:tcPr>
          <w:p>
            <w:r>
              <w:rPr>
                <w:b/>
                <w:sz w:val="17"/>
              </w:rPr>
              <w:t>10,948</w:t>
            </w:r>
          </w:p>
        </w:tc>
        <w:tc>
          <w:tcPr>
            <w:tcW w:type="dxa" w:w="1440"/>
            <w:shd w:fill="FFDCE0" w:val="clear"/>
          </w:tcPr>
          <w:p>
            <w:r>
              <w:rPr>
                <w:sz w:val="17"/>
              </w:rPr>
              <w:t>12,038</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9,772</w:t>
            </w:r>
          </w:p>
        </w:tc>
        <w:tc>
          <w:tcPr>
            <w:tcW w:type="dxa" w:w="1440"/>
            <w:shd w:fill="FFDCE0" w:val="clear"/>
          </w:tcPr>
          <w:p>
            <w:r>
              <w:rPr>
                <w:b/>
                <w:sz w:val="17"/>
              </w:rPr>
              <w:t>10,918</w:t>
            </w:r>
          </w:p>
        </w:tc>
        <w:tc>
          <w:tcPr>
            <w:tcW w:type="dxa" w:w="1440"/>
            <w:shd w:fill="FFDCE0" w:val="clear"/>
          </w:tcPr>
          <w:p>
            <w:r>
              <w:rPr>
                <w:sz w:val="17"/>
              </w:rPr>
              <w:t>12,064</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**458,80 milliards FCFA**, BOAC figure parmi les valeurs bancaires de premier plan de la BRVM, ce qui lui confère une liquidité relative et une visibilité institutionnelle appréciables. Le **BPA de 888 FCFA/action** traduit une rentabilité unitaire solide, cohérente avec un **PER de 12,9x** qui se situe légèrement au-dessus de la moyenne du marché BRVM (~8-12x), signalant une valorisation modérée mais non excessive au regard de la qualité des bénéfices. Le **P/B de 3,60x** indique que le marché valorise la banque à plus de trois fois sa valeur comptable, soit une prime de croissance significative justifiée par un ROE exceptionnel de près de 28%. En revanche, l'**EV/EBITDA de 26,5x** apparaît très exigeant (&gt;15x), reflétant une valorisation d'entreprise tendue qui intègre déjà une bonne partie des perspectives de croissance ; ce ratio doit toutefois être interprété avec prudence pour une banque, où l'EBITDA est un agrégat moins pertinent que le PNB.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**progression totale de +24,81%**, portée notamment par une **hausse spectaculaire de +6,20% lors de la dernière séance (J-1)**, ce qui témoigne d'un net regain d'intérêt acheteur à court terme. Le cours actuel de **11 470 FCFA** se situe dans la partie médiane-haute du range de trading, le plus haut ayant atteint **13 450 FCFA** et le plus bas **8 585 FCFA**, soit un range de près de 57% qui illustre une forte amplitude directionnelle. La tendance générale est donc **haussière**, mais le titre reste en retrait de son sommet, suggérant une phase de consolidation après un rallye marqué. Les statistiques descriptives révèlent une **moyenne (10 396 FCFA) supérieure à la médiane (9 685 FCFA)**, écart qui traduit une distribution légèrement tirée vers le haut par les pics de cours récents ; le **mode à 11 600 FCFA** confirme que ce niveau a concentré le plus grand nombre de transactions. L'**écart-type de 1 595 FCFA (CV = 15,3%)** indique une dispersion modérée du cours autour de sa moyenne, tandis que le **kurtosis négatif (-1,377, distribution platykurtique)** signale une distribution aplatie avec une faible concentration autour de la moyenne et un risque de pics moins prononcé qu'une loi normale — un profil plutôt rassurant pour la gestion du risque. Le **skewness de 0,476**, qualifié de symétrique dans les données fournies, suggère néanmoins une légère asymétrie positive (queue droite), cohérente avec les récents sommets. Enfin, la **volatilité annualisée de 28,6%** place le titre dans la catégorie **modérée à élevée (15-30%)**, ce qui est habituel pour une valeur bancaire de croissance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**12 140 FCFA** et la MM50 à **11 773,6 FCFA**, toutes deux supérieures au cours actuel de 11 470 FCFA, ce qui place le titre en position de faiblesse relative par rapport à ses moyennes court et moyen terme. Toutefois, la décision technique fournie est **« Achat »**, suggérant que le récent rebond de +6,20% pourrait amorcer un retournement vers ces niveaux de résistance dynamique. La configuration MM20 &gt; MM50 reste haussière de fond, mais le croisement prix/moyennes appelle à la prudence tant que le cours n'a pas reconquis la MM20.</w:t>
      </w:r>
    </w:p>
    <w:p>
      <w:pPr>
        <w:spacing w:after="120" w:line="276" w:lineRule="auto"/>
      </w:pPr>
      <w:r>
        <w:t>**Bandes de Bollinger** — Les bornes supérieure et inférieure se situent respectivement à **13 103,17 FCFA** et **11 176,83 FCFA**, avec un cours actuel de 11 470 FCFA positionné dans la **partie basse du canal**, à proximité de la borne inférieure. Cette position traduit une pression vendeuse récente mais aussi un potentiel de rebond technique vers la médiane. La décision est **« Neutre »**, ce qui reflète l'absence de signal directionnel fort : le cours n'est ni en surachat ni en survente par rapport au canal, et la volatilité (largeur des bandes) reste contenue.</w:t>
      </w:r>
    </w:p>
    <w:p>
      <w:pPr>
        <w:spacing w:after="120" w:line="276" w:lineRule="auto"/>
      </w:pPr>
      <w:r>
        <w:t>**MACD** — Le MACD affiche une valeur de **-173,411** contre un signal à **17,777**, soit une divergence négative marquée (MACD &lt; Signal) qui confirme un **momentum baissier** persistant. La décision technique est logiquement **« Vente »**, car la ligne MACD évolue en territoire négatif et sous sa ligne de signal, sans signe de croisement haussier imminent. Ce signal contredit partiellement le rebond de J-1 et invite à attendre une confirmation avant tout renforcement.</w:t>
      </w:r>
    </w:p>
    <w:p>
      <w:pPr>
        <w:spacing w:after="120" w:line="276" w:lineRule="auto"/>
      </w:pPr>
      <w:r>
        <w:t>**RSI** — Le RSI s'établit à **28,361**, soit un niveau **proche de la zone de survente (&lt;30)**, ce qui déclenche une décision **« Achat »**. Cette lecture suggère que le titre a été excessivement vendu à court terme et qu'un rebond technique est probable, ce qui est cohérent avec la hausse de +6,20% observée en J-1. Le RSI constitue ici le principal signal haussier du tableau technique.</w:t>
      </w:r>
    </w:p>
    <w:p>
      <w:pPr>
        <w:spacing w:after="120" w:line="276" w:lineRule="auto"/>
      </w:pPr>
      <w:r>
        <w:t>**Stochastique** — Le %K (39,412) est supérieur au %D (13,137), configuration qui traduit un **croisement haussier en cours** depuis la zone de survente, bien que la décision fournie soit **« Neutre »**. Ce croisement précoce, combiné au RSI bas, renforce l'hypothèse d'un rebond à court terme, mais la prudence reste de mise tant que le MACD n'a pas confirmé.</w:t>
      </w:r>
    </w:p>
    <w:p>
      <w:pPr>
        <w:spacing w:after="120" w:line="276" w:lineRule="auto"/>
      </w:pPr>
      <w:r>
        <w:t>**Conclusion technique** — Les indicateurs sont **partagés** : le RSI (28,4) et le stochastique (%K &gt; %D) plaident pour un rebond technique, tandis que le MACD (négatif sous son signal) et la position du cours sous ses moyennes mobiles maintiennent une pression baissière de fond. Les Bandes de Bollinger et le stochastique en décision « Neutre » confirment l'absence de tendance claire. La convergence partielle entre RSI survendu et rebond de J-1 suggère qu'un **point d'entrée tactique** pourrait se dessiner, mais la confirmation par le MACD reste indispensable pour valider un retournement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BOAC affiche un **PNB de 73 545 millions FCFA** en 2025, en légère hausse de +1,1% par rapport à 2024 (72 724 millions), et un **résultat net de 35 540 millions FCFA**, en progression de +10,9% sur un an. La rentabilité est exceptionnelle avec un **ROE de 27,91%** (très au-dessus du seuil de 15% considéré comme excellent) et un **ROA de 3,22%**, tandis que la **marge nette de 48,32%** témoigne d'une capacité remarquable à transformer le PNB en bénéfice. En tant que banque, BOAC présente un **coefficient d'exploitation de 36,70%**, largement inférieur au seuil de 60% et même sous les 50% — signe d'une **efficacité opérationnelle excellente**. Le **coût du risque rapporté aux charges financières s'élève à 6,67%**, niveau à surveiller car il traduit un risque de crédit significatif, même si le coût du risque comptable s'est amélioré (-27,8%, à -4 902 millions FCFA en 2025 selon le rapport annuel du 31/12/2025). La structure de bilan est solide : **dépôts clientèle de 850 548 millions FCFA** contre **créances clientèle de 430 433 millions FCFA**, soit un ratio de transformation de seulement ~51%, indiquant une surliquidité et une marge de manœuvre importante pour développer le crédit ; l'**autonomie financière de 11,54%** reste toutefois faible (norme bancaire), compensée par un ratio de solvabilité générale de 113,05%.</w:t>
      </w:r>
    </w:p>
    <w:p>
      <w:pPr>
        <w:spacing w:after="120" w:line="276" w:lineRule="auto"/>
      </w:pPr>
      <w:r>
        <w:t>**Évolution et estimations issues des rapports** : Le rapport annuel au **31/12/2025** (analysé le 05/09/2026) confirme un **BPA passé de 801 à 889 FCFA** et un dividende de 684 FCFA/action au titre de 2024 (taux de distribution ~65%). Le rapport **T3 2025 (30/09/2025)** faisait état d'un PNB cumulé de 53 494 millions (+0,23%) et d'un résultat net de 26 632 millions (+1,29%), avec un coefficient d'exploitation stable à 36,14%. Plus récemment, le **rapport T1 2026 (31/03/2026)** révèle un **PNB de 18 960 millions FCFA (+3,09%)** et un **résultat net de 10 801 millions (+0,91%)**, mais surtout un **bond du coût net du risque de +314,75%** (-652 vs -157 millions FCFA) et une **explosion des dépôts (+21,44%, à 923 307 millions)** face à des crédits quasi stables (-0,29%). Sur cette base, on peut **estimer** que l'exercice 2026 devrait maintenir une croissance modérée du PNB (autour de +2 à +3%) et un résultat net stable, mais la dégradation brutale du coût du risque constitue un **point de vigilance majeur** qui pourrait peser sur les trimestres suivants si elle se confirme. Le rapport annuel 2025 signale d'ailleurs une **hausse de +52,1% des créances en souffrance** (taux de sinistralité de 8,59%, provisionnement de 65,76%), ce qui corrobore ce risque.</w:t>
      </w:r>
    </w:p>
    <w:p>
      <w:pPr>
        <w:spacing w:after="120" w:line="276" w:lineRule="auto"/>
      </w:pPr>
      <w:r>
        <w:t>**Recommandation fondamentale** : BOAC demeure une **banque solide, très rentable et bien capitalisée**, avec un ROE de 27,91% et un coefficient d'exploitation de 36,70% parmi les meilleurs du secteur. Les risques identifiés — hausse des créances en souffrance, bond du coût du risque au T1 2026, faible autonomie financière — sont réels mais compensés par une surliquidité confortable et une collecte de dépôts dynamique. La recommandation fondamentale est **ACHAT**, avec un suivi attentif de la qualité du portefeuille de crédit.</w:t>
      </w:r>
    </w:p>
    <w:p>
      <w:pPr>
        <w:spacing w:after="120" w:line="276" w:lineRule="auto"/>
      </w:pPr>
      <w:r>
        <w:t>---</w:t>
      </w:r>
    </w:p>
    <w:p>
      <w:pPr>
        <w:spacing w:after="120" w:line="276" w:lineRule="auto"/>
      </w:pPr>
      <w:r>
        <w:t>## PARTIE 4 : CONCLUSION D'INVESTISSEMENT</w:t>
      </w:r>
    </w:p>
    <w:p>
      <w:pPr>
        <w:spacing w:after="120" w:line="276" w:lineRule="auto"/>
      </w:pPr>
      <w:r>
        <w:t>La **valorisation (Partie 0)** apparaît **modérément tendue** : le PER de 12,9x est légèrement supérieur à la moyenne BRVM, le P/B de 3,60x intègre une prime de croissance, et l'EV/EBITDA de 26,5x est exigeant — mais ces niveaux se justifient par un ROE de 27,91% et une marge nette de 48,32%, parmi les meilleurs du marché. Le **comportement du cours (Partie 1)** est **favorable** : hausse de +24,81% sur 100 jours, rebond de +6,20% en J-1, volatilité modérée (28,6%) et distribution platykurtique (kurtosis -1,377) limitant le risque de pics extrêmes, bien que le skewness positif (0,476) et l'écart moyenne/médiane signalent une légère tension haussière. Les **signaux techniques (Partie 2)** sont **mitigés** : le RSI (28,4, proche survente) et le stochastique (%K &gt; %D) plaident pour un rebond, mais le MACD (-173,4 sous son signal à 17,8) et la position du cours sous ses moyennes mobiles (MM20 = 12 140, MM50 = 11 773,6) maintiennent une pression baissière — d'où une **divergence** entre indicateurs avancés (RSI, stochastique) et retardés (MACD, MM). Les **fondamentaux (Partie 3)** sont **solides** : PNB 2025 de 73 545 millions, résultat net de 35 540 millions (+10,9%), ROE de 27,91%, coefficient d'exploitation de 36,70%, mais le bond du coût du risque au T1 2026 (+314,75%) et la hausse des créances en souffrance (+52,1%) appellent à la vigilance. Les **prédictions IA (J+1 à J+10)** anticipent une **légère érosion** du cours de 11 206 à 11 088 FCFA, soit une trajectoire baissière modérée qui **contredit partiellement** le rebond de J-1 et le signal RSI, mais **confirme** le momentum négatif du MACD.</w:t>
      </w:r>
    </w:p>
    <w:p>
      <w:pPr>
        <w:spacing w:after="120" w:line="276" w:lineRule="auto"/>
      </w:pPr>
      <w:r>
        <w:t>**Synthèse et recommandation finale** : La convergence est **partielle** — la valorisation raisonnable et les fondamentaux solides soutiennent le titre à moyen terme, mais les signaux techniques à court terme (MACD baissier, cours sous les moyennes mobiles) et les prédictions IA baissières suggèrent une **consolidation voire un repli tactique** avant un nouveau rebond. La dégradation du coût du risque au T1 2026 constitue le principal facteur de risque à surveiller. Sur cette base, la recommandation finale est **CONSERVER**, avec un biais positif pour les investisseurs déjà positionnés et une opportunité d'achat à meilleur prix pour les nouveaux entrants si le cours revient vers 10 500-11 000 FCFA. Le **niveau de confiance est Moyen** (divergence technique/fondamental), le **risque global est Moyen** (volatilité modérée, mais risque de crédit en hausse), et l'**horizon optimal est le moyen terme (3-12 mois)**, le temps que la banque confirme la maîtrise de son coût du risque et que les indicateurs techniques se réalignent à la hausse.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161.41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6,305 titres</w:t>
            </w:r>
          </w:p>
        </w:tc>
        <w:tc>
          <w:tcPr>
            <w:tcW w:type="dxa" w:w="2268"/>
            <w:shd w:fill="FFF2CC" w:val="clear"/>
          </w:tcPr>
          <w:p>
            <w:r>
              <w:rPr>
                <w:b/>
                <w:color w:val="503200"/>
                <w:sz w:val="16"/>
              </w:rPr>
              <w:t xml:space="preserve">Cours actuel : </w:t>
            </w:r>
            <w:r>
              <w:rPr>
                <w:color w:val="000000"/>
                <w:sz w:val="17"/>
              </w:rPr>
              <w:t>5,880 FCFA</w:t>
            </w:r>
          </w:p>
          <w:p>
            <w:r>
              <w:rPr>
                <w:b/>
                <w:color w:val="503200"/>
                <w:sz w:val="16"/>
              </w:rPr>
              <w:t xml:space="preserve">Var. 100 jours : </w:t>
            </w:r>
            <w:r>
              <w:rPr>
                <w:b/>
                <w:color w:val="007800"/>
                <w:sz w:val="17"/>
              </w:rPr>
              <w:t>+25.91%</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14.36% (Moyenne) — μ=5,515 FCFA, σ=792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β=0.8818 (Neutre (suit le marché)) — Cov=0.000039, Var(idx)=0.000045, ρ=0.244,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6,305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2026-09-25</w:t>
            </w:r>
          </w:p>
        </w:tc>
        <w:tc>
          <w:tcPr>
            <w:tcW w:type="dxa" w:w="1440"/>
            <w:shd w:fill="C6EFCE" w:val="clear"/>
          </w:tcPr>
          <w:p>
            <w:r>
              <w:rPr>
                <w:sz w:val="17"/>
              </w:rPr>
              <w:t>5,814</w:t>
            </w:r>
          </w:p>
        </w:tc>
        <w:tc>
          <w:tcPr>
            <w:tcW w:type="dxa" w:w="1440"/>
            <w:shd w:fill="C6EFCE" w:val="clear"/>
          </w:tcPr>
          <w:p>
            <w:r>
              <w:rPr>
                <w:b/>
                <w:sz w:val="17"/>
              </w:rPr>
              <w:t>6,135</w:t>
            </w:r>
          </w:p>
        </w:tc>
        <w:tc>
          <w:tcPr>
            <w:tcW w:type="dxa" w:w="1440"/>
            <w:shd w:fill="C6EFCE" w:val="clear"/>
          </w:tcPr>
          <w:p>
            <w:r>
              <w:rPr>
                <w:sz w:val="17"/>
              </w:rPr>
              <w:t>6,457</w:t>
            </w:r>
          </w:p>
        </w:tc>
        <w:tc>
          <w:tcPr>
            <w:tcW w:type="dxa" w:w="1440"/>
            <w:shd w:fill="C6EFCE" w:val="clear"/>
          </w:tcPr>
          <w:p>
            <w:r>
              <w:rPr>
                <w:b/>
                <w:color w:val="008000"/>
                <w:sz w:val="17"/>
              </w:rPr>
              <w:t>+4.3%</w:t>
            </w:r>
          </w:p>
        </w:tc>
      </w:tr>
      <w:tr>
        <w:tc>
          <w:tcPr>
            <w:tcW w:type="dxa" w:w="1440"/>
            <w:shd w:fill="C6EFCE" w:val="clear"/>
          </w:tcPr>
          <w:p>
            <w:r>
              <w:rPr>
                <w:sz w:val="17"/>
              </w:rPr>
              <w:t>J+2  Moyenne</w:t>
            </w:r>
          </w:p>
        </w:tc>
        <w:tc>
          <w:tcPr>
            <w:tcW w:type="dxa" w:w="1440"/>
            <w:shd w:fill="C6EFCE" w:val="clear"/>
          </w:tcPr>
          <w:p>
            <w:r>
              <w:rPr>
                <w:sz w:val="17"/>
              </w:rPr>
              <w:t>2026-09-28</w:t>
            </w:r>
          </w:p>
        </w:tc>
        <w:tc>
          <w:tcPr>
            <w:tcW w:type="dxa" w:w="1440"/>
            <w:shd w:fill="C6EFCE" w:val="clear"/>
          </w:tcPr>
          <w:p>
            <w:r>
              <w:rPr>
                <w:sz w:val="17"/>
              </w:rPr>
              <w:t>5,802</w:t>
            </w:r>
          </w:p>
        </w:tc>
        <w:tc>
          <w:tcPr>
            <w:tcW w:type="dxa" w:w="1440"/>
            <w:shd w:fill="C6EFCE" w:val="clear"/>
          </w:tcPr>
          <w:p>
            <w:r>
              <w:rPr>
                <w:b/>
                <w:sz w:val="17"/>
              </w:rPr>
              <w:t>6,267</w:t>
            </w:r>
          </w:p>
        </w:tc>
        <w:tc>
          <w:tcPr>
            <w:tcW w:type="dxa" w:w="1440"/>
            <w:shd w:fill="C6EFCE" w:val="clear"/>
          </w:tcPr>
          <w:p>
            <w:r>
              <w:rPr>
                <w:sz w:val="17"/>
              </w:rPr>
              <w:t>6,731</w:t>
            </w:r>
          </w:p>
        </w:tc>
        <w:tc>
          <w:tcPr>
            <w:tcW w:type="dxa" w:w="1440"/>
            <w:shd w:fill="C6EFCE" w:val="clear"/>
          </w:tcPr>
          <w:p>
            <w:r>
              <w:rPr>
                <w:b/>
                <w:color w:val="008000"/>
                <w:sz w:val="17"/>
              </w:rPr>
              <w:t>+6.6%</w:t>
            </w:r>
          </w:p>
        </w:tc>
      </w:tr>
      <w:tr>
        <w:tc>
          <w:tcPr>
            <w:tcW w:type="dxa" w:w="1440"/>
            <w:shd w:fill="C6EFCE" w:val="clear"/>
          </w:tcPr>
          <w:p>
            <w:r>
              <w:rPr>
                <w:sz w:val="17"/>
              </w:rPr>
              <w:t>J+3  Moyenne</w:t>
            </w:r>
          </w:p>
        </w:tc>
        <w:tc>
          <w:tcPr>
            <w:tcW w:type="dxa" w:w="1440"/>
            <w:shd w:fill="C6EFCE" w:val="clear"/>
          </w:tcPr>
          <w:p>
            <w:r>
              <w:rPr>
                <w:sz w:val="17"/>
              </w:rPr>
              <w:t>2026-09-29</w:t>
            </w:r>
          </w:p>
        </w:tc>
        <w:tc>
          <w:tcPr>
            <w:tcW w:type="dxa" w:w="1440"/>
            <w:shd w:fill="C6EFCE" w:val="clear"/>
          </w:tcPr>
          <w:p>
            <w:r>
              <w:rPr>
                <w:sz w:val="17"/>
              </w:rPr>
              <w:t>5,759</w:t>
            </w:r>
          </w:p>
        </w:tc>
        <w:tc>
          <w:tcPr>
            <w:tcW w:type="dxa" w:w="1440"/>
            <w:shd w:fill="C6EFCE" w:val="clear"/>
          </w:tcPr>
          <w:p>
            <w:r>
              <w:rPr>
                <w:b/>
                <w:sz w:val="17"/>
              </w:rPr>
              <w:t>6,333</w:t>
            </w:r>
          </w:p>
        </w:tc>
        <w:tc>
          <w:tcPr>
            <w:tcW w:type="dxa" w:w="1440"/>
            <w:shd w:fill="C6EFCE" w:val="clear"/>
          </w:tcPr>
          <w:p>
            <w:r>
              <w:rPr>
                <w:sz w:val="17"/>
              </w:rPr>
              <w:t>6,908</w:t>
            </w:r>
          </w:p>
        </w:tc>
        <w:tc>
          <w:tcPr>
            <w:tcW w:type="dxa" w:w="1440"/>
            <w:shd w:fill="C6EFCE" w:val="clear"/>
          </w:tcPr>
          <w:p>
            <w:r>
              <w:rPr>
                <w:b/>
                <w:color w:val="008000"/>
                <w:sz w:val="17"/>
              </w:rPr>
              <w:t>+7.7%</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5,716</w:t>
            </w:r>
          </w:p>
        </w:tc>
        <w:tc>
          <w:tcPr>
            <w:tcW w:type="dxa" w:w="1440"/>
            <w:shd w:fill="C6EFCE" w:val="clear"/>
          </w:tcPr>
          <w:p>
            <w:r>
              <w:rPr>
                <w:b/>
                <w:sz w:val="17"/>
              </w:rPr>
              <w:t>6,385</w:t>
            </w:r>
          </w:p>
        </w:tc>
        <w:tc>
          <w:tcPr>
            <w:tcW w:type="dxa" w:w="1440"/>
            <w:shd w:fill="C6EFCE" w:val="clear"/>
          </w:tcPr>
          <w:p>
            <w:r>
              <w:rPr>
                <w:sz w:val="17"/>
              </w:rPr>
              <w:t>7,054</w:t>
            </w:r>
          </w:p>
        </w:tc>
        <w:tc>
          <w:tcPr>
            <w:tcW w:type="dxa" w:w="1440"/>
            <w:shd w:fill="C6EFCE" w:val="clear"/>
          </w:tcPr>
          <w:p>
            <w:r>
              <w:rPr>
                <w:b/>
                <w:color w:val="008000"/>
                <w:sz w:val="17"/>
              </w:rPr>
              <w:t>+8.6%</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5,683</w:t>
            </w:r>
          </w:p>
        </w:tc>
        <w:tc>
          <w:tcPr>
            <w:tcW w:type="dxa" w:w="1440"/>
            <w:shd w:fill="C6EFCE" w:val="clear"/>
          </w:tcPr>
          <w:p>
            <w:r>
              <w:rPr>
                <w:b/>
                <w:sz w:val="17"/>
              </w:rPr>
              <w:t>6,438</w:t>
            </w:r>
          </w:p>
        </w:tc>
        <w:tc>
          <w:tcPr>
            <w:tcW w:type="dxa" w:w="1440"/>
            <w:shd w:fill="C6EFCE" w:val="clear"/>
          </w:tcPr>
          <w:p>
            <w:r>
              <w:rPr>
                <w:sz w:val="17"/>
              </w:rPr>
              <w:t>7,192</w:t>
            </w:r>
          </w:p>
        </w:tc>
        <w:tc>
          <w:tcPr>
            <w:tcW w:type="dxa" w:w="1440"/>
            <w:shd w:fill="C6EFCE" w:val="clear"/>
          </w:tcPr>
          <w:p>
            <w:r>
              <w:rPr>
                <w:b/>
                <w:color w:val="008000"/>
                <w:sz w:val="17"/>
              </w:rPr>
              <w:t>+9.5%</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5,659</w:t>
            </w:r>
          </w:p>
        </w:tc>
        <w:tc>
          <w:tcPr>
            <w:tcW w:type="dxa" w:w="1440"/>
            <w:shd w:fill="C6EFCE" w:val="clear"/>
          </w:tcPr>
          <w:p>
            <w:r>
              <w:rPr>
                <w:b/>
                <w:sz w:val="17"/>
              </w:rPr>
              <w:t>6,492</w:t>
            </w:r>
          </w:p>
        </w:tc>
        <w:tc>
          <w:tcPr>
            <w:tcW w:type="dxa" w:w="1440"/>
            <w:shd w:fill="C6EFCE" w:val="clear"/>
          </w:tcPr>
          <w:p>
            <w:r>
              <w:rPr>
                <w:sz w:val="17"/>
              </w:rPr>
              <w:t>7,325</w:t>
            </w:r>
          </w:p>
        </w:tc>
        <w:tc>
          <w:tcPr>
            <w:tcW w:type="dxa" w:w="1440"/>
            <w:shd w:fill="C6EFCE" w:val="clear"/>
          </w:tcPr>
          <w:p>
            <w:r>
              <w:rPr>
                <w:b/>
                <w:color w:val="008000"/>
                <w:sz w:val="17"/>
              </w:rPr>
              <w:t>+10.4%</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5,638</w:t>
            </w:r>
          </w:p>
        </w:tc>
        <w:tc>
          <w:tcPr>
            <w:tcW w:type="dxa" w:w="1440"/>
            <w:shd w:fill="C6EFCE" w:val="clear"/>
          </w:tcPr>
          <w:p>
            <w:r>
              <w:rPr>
                <w:b/>
                <w:sz w:val="17"/>
              </w:rPr>
              <w:t>6,546</w:t>
            </w:r>
          </w:p>
        </w:tc>
        <w:tc>
          <w:tcPr>
            <w:tcW w:type="dxa" w:w="1440"/>
            <w:shd w:fill="C6EFCE" w:val="clear"/>
          </w:tcPr>
          <w:p>
            <w:r>
              <w:rPr>
                <w:sz w:val="17"/>
              </w:rPr>
              <w:t>7,453</w:t>
            </w:r>
          </w:p>
        </w:tc>
        <w:tc>
          <w:tcPr>
            <w:tcW w:type="dxa" w:w="1440"/>
            <w:shd w:fill="C6EFCE" w:val="clear"/>
          </w:tcPr>
          <w:p>
            <w:r>
              <w:rPr>
                <w:b/>
                <w:color w:val="008000"/>
                <w:sz w:val="17"/>
              </w:rPr>
              <w:t>+11.3%</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5,620</w:t>
            </w:r>
          </w:p>
        </w:tc>
        <w:tc>
          <w:tcPr>
            <w:tcW w:type="dxa" w:w="1440"/>
            <w:shd w:fill="C6EFCE" w:val="clear"/>
          </w:tcPr>
          <w:p>
            <w:r>
              <w:rPr>
                <w:b/>
                <w:sz w:val="17"/>
              </w:rPr>
              <w:t>6,598</w:t>
            </w:r>
          </w:p>
        </w:tc>
        <w:tc>
          <w:tcPr>
            <w:tcW w:type="dxa" w:w="1440"/>
            <w:shd w:fill="C6EFCE" w:val="clear"/>
          </w:tcPr>
          <w:p>
            <w:r>
              <w:rPr>
                <w:sz w:val="17"/>
              </w:rPr>
              <w:t>7,576</w:t>
            </w:r>
          </w:p>
        </w:tc>
        <w:tc>
          <w:tcPr>
            <w:tcW w:type="dxa" w:w="1440"/>
            <w:shd w:fill="C6EFCE" w:val="clear"/>
          </w:tcPr>
          <w:p>
            <w:r>
              <w:rPr>
                <w:b/>
                <w:color w:val="008000"/>
                <w:sz w:val="17"/>
              </w:rPr>
              <w:t>+12.2%</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5,603</w:t>
            </w:r>
          </w:p>
        </w:tc>
        <w:tc>
          <w:tcPr>
            <w:tcW w:type="dxa" w:w="1440"/>
            <w:shd w:fill="C6EFCE" w:val="clear"/>
          </w:tcPr>
          <w:p>
            <w:r>
              <w:rPr>
                <w:b/>
                <w:sz w:val="17"/>
              </w:rPr>
              <w:t>6,648</w:t>
            </w:r>
          </w:p>
        </w:tc>
        <w:tc>
          <w:tcPr>
            <w:tcW w:type="dxa" w:w="1440"/>
            <w:shd w:fill="C6EFCE" w:val="clear"/>
          </w:tcPr>
          <w:p>
            <w:r>
              <w:rPr>
                <w:sz w:val="17"/>
              </w:rPr>
              <w:t>7,693</w:t>
            </w:r>
          </w:p>
        </w:tc>
        <w:tc>
          <w:tcPr>
            <w:tcW w:type="dxa" w:w="1440"/>
            <w:shd w:fill="C6EFCE" w:val="clear"/>
          </w:tcPr>
          <w:p>
            <w:r>
              <w:rPr>
                <w:b/>
                <w:color w:val="008000"/>
                <w:sz w:val="17"/>
              </w:rPr>
              <w:t>+13.1%</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5,586</w:t>
            </w:r>
          </w:p>
        </w:tc>
        <w:tc>
          <w:tcPr>
            <w:tcW w:type="dxa" w:w="1440"/>
            <w:shd w:fill="C6EFCE" w:val="clear"/>
          </w:tcPr>
          <w:p>
            <w:r>
              <w:rPr>
                <w:b/>
                <w:sz w:val="17"/>
              </w:rPr>
              <w:t>6,696</w:t>
            </w:r>
          </w:p>
        </w:tc>
        <w:tc>
          <w:tcPr>
            <w:tcW w:type="dxa" w:w="1440"/>
            <w:shd w:fill="C6EFCE" w:val="clear"/>
          </w:tcPr>
          <w:p>
            <w:r>
              <w:rPr>
                <w:sz w:val="17"/>
              </w:rPr>
              <w:t>7,805</w:t>
            </w:r>
          </w:p>
        </w:tc>
        <w:tc>
          <w:tcPr>
            <w:tcW w:type="dxa" w:w="1440"/>
            <w:shd w:fill="C6EFCE" w:val="clear"/>
          </w:tcPr>
          <w:p>
            <w:r>
              <w:rPr>
                <w:b/>
                <w:color w:val="008000"/>
                <w:sz w:val="17"/>
              </w:rPr>
              <w:t>+13.9%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BOAM (BANK OF AFRICA MALI)**</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161,41 milliards FCFA, BOAM se positionne comme une valeur de taille intermédiaire à supérieure sur le compartiment bancaire de la BRVM, ce qui lui confère une certaine liquidité relative et une visibilité institutionnelle. Le BPA de 404 FCFA/action signifie que chaque titre génère un bénéfice net de 404 FCFA, ce qui, rapporté au cours actuel de 5 880 FCFA, donne un PER de 14,6x — un niveau modéré mais légèrement supérieur à la moyenne du marché BRVM (8-12x), traduisant une prime de qualité consentie par les investisseurs. Le P/B de 3,24x indique que le marché valorise la banque à plus de trois fois sa valeur comptable, ce qui est cohérent avec un ROE élevé (22,2%) et une prime de croissance accordée au secteur bancaire malien. Enfin, l'EV/EBITDA de 7,3x, situé dans la fourchette raisonnable de 5-10x, suggère que la valeur d'entreprise reste proportionnée à la capacité opérationnelle de génération de cash-flows,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affiche une progression remarquable de +25,91%, avec une dernière séance en forte hausse de +7,50%, portant le cours à 5 880 FCFA. Le titre a évolué dans un range large de 2 770 FCFA, entre un plus bas de 4 425 FCFA et un plus haut de 7 195 FCFA, témoignant d'une dynamique haussière entrecoupée de corrections significatives. La moyenne (5 515 FCFA) et la médiane (5 528 FCFA) sont quasi confondues, ce qui indique une distribution équilibrée du cours sur la période, sans biais directionnel marqué malgré la tendance haussière globale. L'écart-type de 796 FCFA (CV=14,4%) traduit une dispersion modérée autour de la moyenne, tandis que le kurtosis de -0,959 (mésokurtique) suggère une distribution proche de la normale, sans risque excessif de pics extrêmes. Le skewness de 0,466, qualifié de symétrique, confirme l'absence d'asymétrie prononcée. Avec une volatilité annualisée de 41,4%, le titre se situe dans la catégorie des valeurs à volatilité élevée (&gt;30%), ce qui est caractéristique des petites et moyennes capitalisations bancaires de la BRVM et implique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6 604,5 FCFA et la MM50 à 6 181,1 FCFA, toutes deux nettement supérieures au cours actuel de 5 880 FCFA. Cette configuration indique que le titre évolue en dessous de ses moyennes de court et moyen terme, ce qui traduit une pression baissière récente. Toutefois, la décision affichée est "Achat", probablement en anticipation d'un rebond technique après la correction, la MM20 restant au-dessus de la MM50 (configuration haussière de fond).</w:t>
      </w:r>
    </w:p>
    <w:p>
      <w:pPr>
        <w:spacing w:after="120" w:line="276" w:lineRule="auto"/>
      </w:pPr>
      <w:r>
        <w:t>**Bandes de Bollinger** : La borne supérieure se situe à 7 539,8 FCFA et la borne inférieure à 5 669,2 FCFA, avec un cours actuel de 5 880 FCFA. Le titre évolue donc dans la partie basse du canal, à proximité de la borne inférieure, ce qui suggère une situation de survente relative et un potentiel de rebond vers la moyenne mobile. La décision "Neutre" reflète cette position ambiguë entre risque de poursuite baissière et opportunité de rebond.</w:t>
      </w:r>
    </w:p>
    <w:p>
      <w:pPr>
        <w:spacing w:after="120" w:line="276" w:lineRule="auto"/>
      </w:pPr>
      <w:r>
        <w:t>**MACD** : La valeur du MACD est de -45,523 contre un signal à 138,665, soit une divergence négative marquée. Le MACD étant inférieur à son signal, le momentum est clairement baissier à court terme, ce qui justifie la décision "Vente". Cette configuration appelle à la prudence avant tout engagement acheteur.</w:t>
      </w:r>
    </w:p>
    <w:p>
      <w:pPr>
        <w:spacing w:after="120" w:line="276" w:lineRule="auto"/>
      </w:pPr>
      <w:r>
        <w:t>**RSI** : À 41,126, le RSI se situe dans la zone neutre (30-70), sans signal de surachat ni de survente. La décision "Neutre" est cohérente : le titre n'est ni excessivement vendu ni excessivement acheté, laissant la porte ouverte à une consolidation ou à une reprise selon les catalyseurs fondamentaux.</w:t>
      </w:r>
    </w:p>
    <w:p>
      <w:pPr>
        <w:spacing w:after="120" w:line="276" w:lineRule="auto"/>
      </w:pPr>
      <w:r>
        <w:t>**Stochastique** : Le %K (23,768) est supérieur au %D (7,923), ce qui constitue un croisement haussier potentiel en zone de survente. Cette configuration est généralement interprétée comme un signal d'achat précoce, bien que la décision affichée reste "Neutre" en raison de la faiblesse globale du momentum.</w:t>
      </w:r>
    </w:p>
    <w:p>
      <w:pPr>
        <w:spacing w:after="120" w:line="276" w:lineRule="auto"/>
      </w:pPr>
      <w:r>
        <w:t>**Conclusion technique** : Les indicateurs techniques présentent un tableau mitigé. La position du cours sous les moyennes mobiles et la divergence baissière du MACD plaident pour la prudence à court terme, tandis que la proximité de la borne inférieure de Bollinger et le croisement haussier du stochastique suggèrent un potentiel de rebond. Le RSI neutre confirme l'absence de signal directionnel fort. Dans l'ensemble, le titre se trouve dans une phase de consolidation après une forte hausse, et un retournement haussier pourrait se matérialiser si le cours parvient à se maintenir au-dessus de 5 669 FCFA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BOAM affiche un Produit Net Bancaire (PNB) de 37,996 milliards FCFA, en croissance de 5,08% par rapport à 2024, confirmant la dynamique commerciale de la banque. Le résultat net s'établit à 11,081 milliards FCFA, en très forte progression par rapport aux 9,12 milliards de 2024 (+21,5%), porté par une maîtrise des charges et une réduction du coût du risque. Le ROE atteint 22,24%, largement supérieur au seuil d'excellence de 15%, et le ROA de 1,87% témoigne d'une utilisation efficace des actifs. Le coefficient d'exploitation de 63,14% reste toutefois supérieur au seuil de 60% qui caractérise une banque efficace, indiquant une marge d'amélioration opérationnelle. Le coût du risque, mesuré à 43,39% des charges financières, demeure élevé et constitue un point de vigilance majeur pour la qualité du portefeuille de crédits.</w:t>
      </w:r>
    </w:p>
    <w:p>
      <w:pPr>
        <w:spacing w:after="120" w:line="276" w:lineRule="auto"/>
      </w:pPr>
      <w:r>
        <w:t>**Adaptation au secteur bancaire** : La structure bilancielle révèle une banque solidement implantée avec 502,89 milliards FCFA de dépôts clientèle pour 253,65 milliards FCFA de créances clientèle, soit un ratio de transformation (crédits/dépôts) de 50,4%, relativement prudent. Les capitaux propres de 49,82 milliards FCFA et l'autonomie financière de 8,40% (inférieure au seuil sain de 30%) reflètent le modèle bancaire classique où les dépôts constituent la principale ressource. La capacité de remboursement de 1,79 an et la couverture des intérêts de 89% indiquent une structure financière maîtrisée.</w:t>
      </w:r>
    </w:p>
    <w:p>
      <w:pPr>
        <w:spacing w:after="120" w:line="276" w:lineRule="auto"/>
      </w:pPr>
      <w:r>
        <w:t>**Estimations basées sur les rapports trimestriels** : Les rapports narratifs disponibles confirment une accélération de la dynamique en 2026. Le rapport T1 2026 (publié le 31/03/2026, analysé le 12/09/2026) fait état d'un PNB de 10,322 milliards FCFA, en hausse de +22,97% sur un an, et le rapport S1 2026 (publié le 30/06/2026, analysé le 24/09/2026) rapporte un PNB de 21,987 milliards FCFA, en progression de +17,5%. Sur cette base, on peut estimer que l'exercice 2026 devrait enregistrer un PNB annuel compris entre 42 et 44 milliards FCFA, soit une croissance de 10 à 15% par rapport à 2025, et un résultat net potentiellement supérieur à 12 milliards FCFA si la tendance se maintient. Le rapport T3 2025 (publié le 30/09/2025) confirmait déjà cette trajectoire avec un PNB de 28,52 milliards FCFA (+5,8%) et un résultat net de 9,16 milliards FCFA (+26,2%).</w:t>
      </w:r>
    </w:p>
    <w:p>
      <w:pPr>
        <w:spacing w:after="120" w:line="276" w:lineRule="auto"/>
      </w:pPr>
      <w:r>
        <w:t>**Évolution pluriannuelle** : L'analyse historique montre une nette amélioration de la rentabilité : le résultat net est passé de 2,46 milliards FCFA en 2022 à 9,12 milliards en 2024, puis à 11,08 milliards en 2025, soit une multiplication par 4,5 en trois ans. Cette performance est principalement attribuable à la réduction drastique des provisions (de 19,4 milliards en 2022 à 3,7 milliards en 2024) et à la maîtrise des charges. Le ROE, estimé à environ 21,1% en 2024, s'établit à 22,24% en 2025, confirmant la création de valeur pour les actionnaires.</w:t>
      </w:r>
    </w:p>
    <w:p>
      <w:pPr>
        <w:spacing w:after="120" w:line="276" w:lineRule="auto"/>
      </w:pPr>
      <w:r>
        <w:t>**Recommandation fondamentale** : BOAM présente un profil fondamental solide, avec une croissance soutenue du PNB, une rentabilité élevée (ROE &gt;20%) et une structure financière maîtrisée. Les principaux risques identifiés sont le coût du risque encore élevé (43,4% des charges financières), la dépendance au marché malien (risque géopolitique et sécuritaire) et le coefficient d'exploitation perfectible. Les perspectives 2026 sont favorables, portées par la dynamique des commissions et la maîtrise des charges. La recommandation fondamentale est **CONSERVER** avec un biais positif, en attendant la confirmation des résultats annuels 2026 et l'annonce du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 le PER de 14,6x et le P/B de 3,24x indiquent une valorisation modérée mais non excessive, avec une prime de qualité justifiée par le ROE élevé ; l'EV/EBITDA de 7,3x confirme l'absence de surévaluation manifeste. **Le comportement du cours (Partie 1)** est haussier sur 100 jours (+25,91%) mais avec une volatilité élevée (41,4%) et une distribution symétrique (skewness 0,466) sans risque de pics extrêmes (kurtosis -0,959), ce qui est rassurant pour la gestion du risque. **Les signaux techniques (Partie 2)** sont divergents : le MACD baissier et la position sous les moyennes mobiles plaident pour la prudence, tandis que le stochastique haussier et la proximité de la borne inférieure de Bollinger suggèrent un rebond imminent. **Les fondamentaux (Partie 3)** sont solides, avec un PNB en croissance de 5,08% en 2025, un résultat net de 11,08 milliards FCFA et un ROE de 22,24%, et les estimations basées sur les rapports T1 et S1 2026 tablent sur une accélération de la croissance (+17,5% au S1 2026). **Les prédictions IA (J+1 à J+10)** anticipent une trajectoire haussière vers 6 438 FCFA d'ici le 1er octobre 2026, ce qui confirme le potentiel de rebond technique identifié.</w:t>
      </w:r>
    </w:p>
    <w:p>
      <w:pPr>
        <w:spacing w:after="120" w:line="276" w:lineRule="auto"/>
      </w:pPr>
      <w:r>
        <w:t>**Recommandation finale** : **ACHAT** — La convergence entre des fondamentaux solides, une valorisation raisonnable, un potentiel de rebond technique et des prédictions IA haussières justifie une position acheteuse, malgré la divergence baissière du MACD à court terme. Le niveau de confiance est **Moyen** en raison de la volatilité élevée et des risques géopolitiques au Mali, et le niveau de risque global est **Moyen à Élevé**. L'horizon d'investissement optimal est le **moyen terme (3-12 mois)** , le temps que les résultats annuels 2026 confirment la trajectoire de croissance et que le titre converge vers ses moyennes mobiles. Un stop-loss rigoureux sous 5 669 FCFA (borne inférieure de Bollinger) est recommandé pour limiter le risque baissier.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8,962 titres</w:t>
            </w:r>
          </w:p>
        </w:tc>
        <w:tc>
          <w:tcPr>
            <w:tcW w:type="dxa" w:w="2268"/>
            <w:shd w:fill="FFF2CC" w:val="clear"/>
          </w:tcPr>
          <w:p>
            <w:r>
              <w:rPr>
                <w:b/>
                <w:color w:val="503200"/>
                <w:sz w:val="16"/>
              </w:rPr>
              <w:t xml:space="preserve">Cours actuel : </w:t>
            </w:r>
            <w:r>
              <w:rPr>
                <w:color w:val="000000"/>
                <w:sz w:val="17"/>
              </w:rPr>
              <w:t>4,780 FCFA</w:t>
            </w:r>
          </w:p>
          <w:p>
            <w:r>
              <w:rPr>
                <w:b/>
                <w:color w:val="503200"/>
                <w:sz w:val="16"/>
              </w:rPr>
              <w:t xml:space="preserve">Var. 100 jours : </w:t>
            </w:r>
            <w:r>
              <w:rPr>
                <w:b/>
                <w:color w:val="007800"/>
                <w:sz w:val="17"/>
              </w:rPr>
              <w:t>+30.60%</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16.80% (Élevée) — μ=4,567 FCFA, σ=767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β=0.9040 (Neutre (suit le marché)) — Cov=0.000040, Var(idx)=0.000045, ρ=0.275,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4,538</w:t>
            </w:r>
          </w:p>
        </w:tc>
        <w:tc>
          <w:tcPr>
            <w:tcW w:type="dxa" w:w="1440"/>
            <w:shd w:fill="FAFAFA" w:val="clear"/>
          </w:tcPr>
          <w:p>
            <w:r>
              <w:rPr>
                <w:b/>
                <w:sz w:val="17"/>
              </w:rPr>
              <w:t>4,729</w:t>
            </w:r>
          </w:p>
        </w:tc>
        <w:tc>
          <w:tcPr>
            <w:tcW w:type="dxa" w:w="1440"/>
            <w:shd w:fill="FAFAFA" w:val="clear"/>
          </w:tcPr>
          <w:p>
            <w:r>
              <w:rPr>
                <w:sz w:val="17"/>
              </w:rPr>
              <w:t>4,921</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4,458</w:t>
            </w:r>
          </w:p>
        </w:tc>
        <w:tc>
          <w:tcPr>
            <w:tcW w:type="dxa" w:w="1440"/>
            <w:shd w:fill="FAFAFA" w:val="clear"/>
          </w:tcPr>
          <w:p>
            <w:r>
              <w:rPr>
                <w:b/>
                <w:sz w:val="17"/>
              </w:rPr>
              <w:t>4,728</w:t>
            </w:r>
          </w:p>
        </w:tc>
        <w:tc>
          <w:tcPr>
            <w:tcW w:type="dxa" w:w="1440"/>
            <w:shd w:fill="FAFAFA" w:val="clear"/>
          </w:tcPr>
          <w:p>
            <w:r>
              <w:rPr>
                <w:sz w:val="17"/>
              </w:rPr>
              <w:t>4,998</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4,402</w:t>
            </w:r>
          </w:p>
        </w:tc>
        <w:tc>
          <w:tcPr>
            <w:tcW w:type="dxa" w:w="1440"/>
            <w:shd w:fill="FAFAFA" w:val="clear"/>
          </w:tcPr>
          <w:p>
            <w:r>
              <w:rPr>
                <w:b/>
                <w:sz w:val="17"/>
              </w:rPr>
              <w:t>4,734</w:t>
            </w:r>
          </w:p>
        </w:tc>
        <w:tc>
          <w:tcPr>
            <w:tcW w:type="dxa" w:w="1440"/>
            <w:shd w:fill="FAFAFA" w:val="clear"/>
          </w:tcPr>
          <w:p>
            <w:r>
              <w:rPr>
                <w:sz w:val="17"/>
              </w:rPr>
              <w:t>5,066</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4,357</w:t>
            </w:r>
          </w:p>
        </w:tc>
        <w:tc>
          <w:tcPr>
            <w:tcW w:type="dxa" w:w="1440"/>
            <w:shd w:fill="FAFAFA" w:val="clear"/>
          </w:tcPr>
          <w:p>
            <w:r>
              <w:rPr>
                <w:b/>
                <w:sz w:val="17"/>
              </w:rPr>
              <w:t>4,741</w:t>
            </w:r>
          </w:p>
        </w:tc>
        <w:tc>
          <w:tcPr>
            <w:tcW w:type="dxa" w:w="1440"/>
            <w:shd w:fill="FAFAFA" w:val="clear"/>
          </w:tcPr>
          <w:p>
            <w:r>
              <w:rPr>
                <w:sz w:val="17"/>
              </w:rPr>
              <w:t>5,124</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4,317</w:t>
            </w:r>
          </w:p>
        </w:tc>
        <w:tc>
          <w:tcPr>
            <w:tcW w:type="dxa" w:w="1440"/>
            <w:shd w:fill="FAFAFA" w:val="clear"/>
          </w:tcPr>
          <w:p>
            <w:r>
              <w:rPr>
                <w:b/>
                <w:sz w:val="17"/>
              </w:rPr>
              <w:t>4,747</w:t>
            </w:r>
          </w:p>
        </w:tc>
        <w:tc>
          <w:tcPr>
            <w:tcW w:type="dxa" w:w="1440"/>
            <w:shd w:fill="FAFAFA" w:val="clear"/>
          </w:tcPr>
          <w:p>
            <w:r>
              <w:rPr>
                <w:sz w:val="17"/>
              </w:rPr>
              <w:t>5,176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4,282</w:t>
            </w:r>
          </w:p>
        </w:tc>
        <w:tc>
          <w:tcPr>
            <w:tcW w:type="dxa" w:w="1440"/>
            <w:shd w:fill="FAFAFA" w:val="clear"/>
          </w:tcPr>
          <w:p>
            <w:r>
              <w:rPr>
                <w:b/>
                <w:sz w:val="17"/>
              </w:rPr>
              <w:t>4,753</w:t>
            </w:r>
          </w:p>
        </w:tc>
        <w:tc>
          <w:tcPr>
            <w:tcW w:type="dxa" w:w="1440"/>
            <w:shd w:fill="FAFAFA" w:val="clear"/>
          </w:tcPr>
          <w:p>
            <w:r>
              <w:rPr>
                <w:sz w:val="17"/>
              </w:rPr>
              <w:t>5,224</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4,249</w:t>
            </w:r>
          </w:p>
        </w:tc>
        <w:tc>
          <w:tcPr>
            <w:tcW w:type="dxa" w:w="1440"/>
            <w:shd w:fill="FAFAFA" w:val="clear"/>
          </w:tcPr>
          <w:p>
            <w:r>
              <w:rPr>
                <w:b/>
                <w:sz w:val="17"/>
              </w:rPr>
              <w:t>4,759</w:t>
            </w:r>
          </w:p>
        </w:tc>
        <w:tc>
          <w:tcPr>
            <w:tcW w:type="dxa" w:w="1440"/>
            <w:shd w:fill="FAFAFA" w:val="clear"/>
          </w:tcPr>
          <w:p>
            <w:r>
              <w:rPr>
                <w:sz w:val="17"/>
              </w:rPr>
              <w:t>5,268</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4,219</w:t>
            </w:r>
          </w:p>
        </w:tc>
        <w:tc>
          <w:tcPr>
            <w:tcW w:type="dxa" w:w="1440"/>
            <w:shd w:fill="FAFAFA" w:val="clear"/>
          </w:tcPr>
          <w:p>
            <w:r>
              <w:rPr>
                <w:b/>
                <w:sz w:val="17"/>
              </w:rPr>
              <w:t>4,764</w:t>
            </w:r>
          </w:p>
        </w:tc>
        <w:tc>
          <w:tcPr>
            <w:tcW w:type="dxa" w:w="1440"/>
            <w:shd w:fill="FAFAFA" w:val="clear"/>
          </w:tcPr>
          <w:p>
            <w:r>
              <w:rPr>
                <w:sz w:val="17"/>
              </w:rPr>
              <w:t>5,310</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4,191</w:t>
            </w:r>
          </w:p>
        </w:tc>
        <w:tc>
          <w:tcPr>
            <w:tcW w:type="dxa" w:w="1440"/>
            <w:shd w:fill="FAFAFA" w:val="clear"/>
          </w:tcPr>
          <w:p>
            <w:r>
              <w:rPr>
                <w:b/>
                <w:sz w:val="17"/>
              </w:rPr>
              <w:t>4,770</w:t>
            </w:r>
          </w:p>
        </w:tc>
        <w:tc>
          <w:tcPr>
            <w:tcW w:type="dxa" w:w="1440"/>
            <w:shd w:fill="FAFAFA" w:val="clear"/>
          </w:tcPr>
          <w:p>
            <w:r>
              <w:rPr>
                <w:sz w:val="17"/>
              </w:rPr>
              <w:t>5,349</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4,165</w:t>
            </w:r>
          </w:p>
        </w:tc>
        <w:tc>
          <w:tcPr>
            <w:tcW w:type="dxa" w:w="1440"/>
            <w:shd w:fill="FAFAFA" w:val="clear"/>
          </w:tcPr>
          <w:p>
            <w:r>
              <w:rPr>
                <w:b/>
                <w:sz w:val="17"/>
              </w:rPr>
              <w:t>4,776</w:t>
            </w:r>
          </w:p>
        </w:tc>
        <w:tc>
          <w:tcPr>
            <w:tcW w:type="dxa" w:w="1440"/>
            <w:shd w:fill="FAFAFA" w:val="clear"/>
          </w:tcPr>
          <w:p>
            <w:r>
              <w:rPr>
                <w:sz w:val="17"/>
              </w:rPr>
              <w:t>5,387</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 RAPPORT D'ANALYSE FINANCIÈRE — BOAN (Bank of Africa Niger)</w:t>
        <w:br/>
        <w:t>### BRVM | Secteur : Banque | Cours actuel : 4 780 FCFA | Capitalisation : 99,42 Mds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99,42 Mds FCFA, un niveau intermédiaire à l'échelle de la BRVM qui positionne le titre parmi les valeurs bancaires de second rang de la cote. Le BPA ressort à seulement 20 FCFA/action, conséquence directe de l'effondrement du résultat net 2025 (409 M FCFA), ce qui propulse le PER à 243,1x — un niveau aberrant comparé à la moyenne BRVM (8-12x) qui traduit une décorrélation totale entre le prix de marché et la capacité bénéficiaire actuelle. Le P/B de 2,76x indique que le marché valorise la banque près de trois fois ses fonds propres comptables (36,06 Mds FCFA), soit une prime de croissance difficilement justifiable au vu de la rentabilité actuelle (ROE de 1,13%). Enfin, l'EV/EBITDA de 38,3x (très supérieur au seuil de 15x) confirme que la valeur d'entreprise intègre des anticipations de redressement très optimistes, non encore matérialisées dans les comptes. **Conclusion : valorisation tendue, portée par l'anticipation d'un rebond 2026 plutôt que par les fondamentaux présents.**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spectaculaire de **+30,60%**, avec une dernière séance en hausse de **+5,05%**, confirmant un momentum haussier de court terme. Le titre a évolué dans un range large de 3 395 FCFA (plus bas) à 5 645 FCFA (plus haut), soit une amplitude de 66%, signe d'une forte nervosité du marché. Le cours actuel (4 780 FCFA) se situe légèrement au-dessus de la moyenne (4 567 FCFA) mais quasi au niveau de la médiane (4 768 FCFA), indiquant une distribution équilibrée autour de son centre. L'écart-type de 771 FCFA avec un coefficient de variation de 16,9% traduit une dispersion modérée à élevée du cours. Le kurtosis négatif (-1,679, distribution platykurtique) signale une faible concentration des variations autour de la moyenne — le titre évolue par paliers amples plutôt que par micro-mouvements, avec un risque de pics moins prononcé qu'une distribution normale. Le skewness quasi nul (-0,156) confirme une distribution symétrique, sans biais haussier ou baissier marqué. La volatilité annualisée de **37,3%** classe le titre en catégorie **élevée** (&gt;30%), ce qui est cohérent avec un contexte de redressement post-crise et de forte sensibilité aux annonces macroéconomiques nigériennes.</w:t>
      </w:r>
    </w:p>
    <w:p>
      <w:pPr>
        <w:spacing w:after="120" w:line="276" w:lineRule="auto"/>
      </w:pPr>
      <w:r>
        <w:t>---</w:t>
      </w:r>
    </w:p>
    <w:p>
      <w:pPr>
        <w:spacing w:after="120" w:line="276" w:lineRule="auto"/>
      </w:pPr>
      <w:r>
        <w:t>## PARTIE 2 : ANALYSE TECHNIQUE DÉTAILLÉE</w:t>
      </w:r>
    </w:p>
    <w:p>
      <w:pPr>
        <w:spacing w:after="120" w:line="276" w:lineRule="auto"/>
      </w:pPr>
      <w:r>
        <w:t>**Moyennes Mobiles** : La MM20 (5 331,5 FCFA) et la MM50 (5 279,0 FCFA) se situent toutes deux **au-dessus du cours actuel** (4 780 FCFA), ce qui place le titre en position de repli sous ses moyennes de court et moyen terme. Malgré cette configuration baissière de fond, la décision affichée est "Achat", probablement liée à la réaction haussière récente (+5,05% en J-1) qui amorce un retournement. Le croisement MM20 &gt; MM50 suggère toutefois une dynamique haussière de fond encore intacte.</w:t>
      </w:r>
    </w:p>
    <w:p>
      <w:pPr>
        <w:spacing w:after="120" w:line="276" w:lineRule="auto"/>
      </w:pPr>
      <w:r>
        <w:t>**Bandes de Bollinger** : Le cours (4 780 FCFA) se situe **exactement sur la borne inférieure** (4 783,3 FCFA), tandis que la borne supérieure est à 5 879,7 FCFA. Cette position en bas de bande signale une **survente technique** et un potentiel de rebond vers la moyenne mobile centrale. La largeur des bandes (≈1 096 FCFA) confirme une volatilité élevée, cohérente avec le CV de 16,9%. La décision "Achat" est justifiée par cette configuration de rebond depuis le bas de bande.</w:t>
      </w:r>
    </w:p>
    <w:p>
      <w:pPr>
        <w:spacing w:after="120" w:line="276" w:lineRule="auto"/>
      </w:pPr>
      <w:r>
        <w:t>**MACD** : La valeur du MACD (-91,165) est **nettement inférieure à son signal** (14,409), générant une divergence baissière marquée et un momentum négatif persistant. La décision "Vente" reflète cette pression vendeuse encore dominante, bien que l'écart important entre les deux lignes puisse annoncer un épuisement prochain de la tendance baissière.</w:t>
      </w:r>
    </w:p>
    <w:p>
      <w:pPr>
        <w:spacing w:after="120" w:line="276" w:lineRule="auto"/>
      </w:pPr>
      <w:r>
        <w:t>**RSI** : À **27,211**, le RSI se situe en zone de **survente** (&lt;30), signal classique de rebond potentiel. La décision "Achat" est cohérente avec cette lecture : le titre est survendu et pourrait amorcer un retournement à la hausse, comme le suggère déjà la séance J-1 (+5,05%).</w:t>
      </w:r>
    </w:p>
    <w:p>
      <w:pPr>
        <w:spacing w:after="120" w:line="276" w:lineRule="auto"/>
      </w:pPr>
      <w:r>
        <w:t>**Stochastique** : Le %K (22,01) est supérieur au %D (7,337), avec un croisement haussier en zone basse (proche de la survente). La décision "Neutre" traduit une prudence : le signal de rebond est présent mais demande confirmation par une poursuite de la hausse du %K au-dessus de 20.</w:t>
      </w:r>
    </w:p>
    <w:p>
      <w:pPr>
        <w:spacing w:after="120" w:line="276" w:lineRule="auto"/>
      </w:pPr>
      <w:r>
        <w:t>**Conclusion technique** : Les indicateurs sont **partagés mais penchent vers un rebond de court terme**. Le RSI en survente, la position sur la borne basse de Bollinger et le croisement stochastique haussier plaident pour un achat tactique, tandis que le MACD baissier et le cours sous les MM20/MM50 appellent à la prudence. La convergence des signaux de survente suggère un **rebond technique probable**, mais la tendance de fond reste fragile tant que le cours n'aura pas reconquis la zone des 5 280-5 330 FCFA (MM50/MM20).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BOAN a enregistré un Produit Net Bancaire (PNB, équivalent du chiffre d'affaires pour une banque) de **21 125 M FCFA**, en léger repli de -1,19% sur un an. Le résultat net s'est effondré à **409 M FCFA**, contre 5 002 M FCFA en 2024, soit une chute de -91,8%. Cette dégradation se traduit par un ROE catastrophique de **1,13%** (très loin du seuil de 15% considéré comme excellent) et un ROA de **0,14%**. Le coefficient d'exploitation s'établit à **74,37%**, bien au-dessus du seuil de 60% marquant une banque efficace — signe que les charges pèsent lourdement sur le PNB. Le coût du risque (provisions/charges financières) atteint **67,30%**, niveau très élevé reflétant un portefeuille de crédits dégradé (taux de créances en souffrance de 24% au niveau sectoriel nigérien). La structure bilancielle reste néanmoins solide : autonomie financière de 12,36%, solvabilité générale de 114,10% (&gt;1 = solvable), et ratio de solvabilité de 14,06% (conforme aux exigences UEMOA ≥10%). Les dépôts clientèle (183,28 Mds FCFA) couvrent largement les créances clientèle (128,45 Mds FCFA), avec un ratio de transformation de 70%, indiquant une surliquidité relative.</w:t>
      </w:r>
    </w:p>
    <w:p>
      <w:pPr>
        <w:spacing w:after="120" w:line="276" w:lineRule="auto"/>
      </w:pPr>
      <w:r>
        <w:t>**Estimations basées sur les rapports trimestriels** : Le rapport du **T1 2026 (daté du 31 mars 2026, analysé le 05/09/2026)** marque un **net redressement** : PNB en hausse de +7,9% à 5 170 M FCFA, résultat net en progression de +28,9% à 1 467,3 M FCFA, et coefficient d'exploitation ramené à 56,2% (contre 66,8% un an plus tôt). Le rapport du **2nd semestre 2025 (daté du 31/12/2025)** confirme que l'effondrement du résultat net était largement dû à une provision exceptionnelle de 4,8 Mds FCFA liée au risque sectoriel. Sur la base de ces éléments, **on estime que l'exercice 2026 devrait afficher un résultat net en forte progression** (le budget 2026 vise 7 280 M FCFA de résultat avant impôts, soit +515%), porté par la réduction du coût du risque (-65,7% visé) et la croissance du PNB (+6,4% budgété). Le rapport du **T3 2025 (daté du 30/09/2025)** soulignait déjà la résilience du PNB malgré un repli de 20% des crédits, preuve d'une recomposition des revenus.</w:t>
      </w:r>
    </w:p>
    <w:p>
      <w:pPr>
        <w:spacing w:after="120" w:line="276" w:lineRule="auto"/>
      </w:pPr>
      <w:r>
        <w:t>**Recommandation fondamentale** : La solidité bilancielle (solvabilité, liquidité) et le soutien du groupe BOA constituent des points d'appui. Cependant, la rentabilité actuelle est exsangue et le redressement, bien qu'amorcé au T1 2026, reste à confirmer sur plusieurs trimestres. **Profil : spéculatif sur le redressement, avec un risque de crédit élevé.**</w:t>
      </w:r>
    </w:p>
    <w:p>
      <w:pPr>
        <w:spacing w:after="120" w:line="276" w:lineRule="auto"/>
      </w:pPr>
      <w:r>
        <w:t>---</w:t>
      </w:r>
    </w:p>
    <w:p>
      <w:pPr>
        <w:spacing w:after="120" w:line="276" w:lineRule="auto"/>
      </w:pPr>
      <w:r>
        <w:t>## PARTIE 4 : CONCLUSION D'INVESTISSEMENT</w:t>
      </w:r>
    </w:p>
    <w:p>
      <w:pPr>
        <w:spacing w:after="120" w:line="276" w:lineRule="auto"/>
      </w:pPr>
      <w:r>
        <w:t>La **valorisation (Partie 0)** est tendue : PER de 243,1x et EV/EBITDA de 38,3x intègrent déjà une reprise très optimiste, tandis que le P/B de 2,76x offre peu de marge de sécurité. Le **comportement du cours (Partie 1)** est haussier sur 100 jours (+30,60%) mais avec une volatilité élevée (37,3%) et une distribution symétrique sans biais directionnel clair, ce qui rend les mouvements amples et difficiles à anticiper. Les **signaux techniques (Partie 2)** sont mitigés : RSI en survente (27,2) et position sur la borne basse de Bollinger plaident pour un rebond, mais le MACD baissier et le cours sous les MM20/MM50 tempèrent l'enthousiasme — la convergence des indicateurs de survente suggère toutefois un **rebond tactique probable**. Les **fondamentaux (Partie 3)** révèlent une banque en pleine convalescence : exercice 2025 catastrophique (ROE 1,13%), mais T1 2026 nettement meilleur (+28,9% de résultat net, coefficient d'exploitation à 56,2%), avec un potentiel de redressement significatif si le plan 2025-2027 se matérialise. Les **prédictions IA (J+1 à J+10)** anticipent une trajectoire légèrement baissière puis stabilisée (4 729 → 4 747 FCFA), ce qui **contredit partiellement** le signal de rebond technique immédiat mais reste cohérent avec une consolidation avant reprise.</w:t>
      </w:r>
    </w:p>
    <w:p>
      <w:pPr>
        <w:spacing w:after="120" w:line="276" w:lineRule="auto"/>
      </w:pPr>
      <w:r>
        <w:t>**Recommandation finale : CONSERVER (avec biais spéculatif à l'achat pour investisseurs avertis).**</w:t>
        <w:br/>
        <w:t>La convergence est **partielle** : le rebond technique de court terme (RSI, Bollinger) et l'amélioration fondamentale (T1 2026) soutiennent un scénario haussier, mais la valorisation exigeante et les prédictions IA prudentes invitent à ne pas surpondérer. **Niveau de confiance : Moyen** — le redressement est réel mais fragile et dépendant du contexte macroéconomique nigérien. **Niveau de risque global : Élevé** (volatilité 37,3%, risque de crédit sectoriel de 24%, instabilité politique). **Horizon d'investissement optimal : moyen à long terme (6-18 mois)**, le temps que les trimestres 2026 confirment la trajectoire de redressement et que le marché revalorise le titre sur des bases bénéficiaires normalisées. Un investisseur en recherche de rendement immédiat (dividende) doit s'abstenir, aucun dividende n'ayant été distribué depuis 2023.</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279.36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10,981 titres</w:t>
            </w:r>
          </w:p>
        </w:tc>
        <w:tc>
          <w:tcPr>
            <w:tcW w:type="dxa" w:w="2268"/>
            <w:shd w:fill="FFF2CC" w:val="clear"/>
          </w:tcPr>
          <w:p>
            <w:r>
              <w:rPr>
                <w:b/>
                <w:color w:val="503200"/>
                <w:sz w:val="16"/>
              </w:rPr>
              <w:t xml:space="preserve">Cours actuel : </w:t>
            </w:r>
            <w:r>
              <w:rPr>
                <w:color w:val="000000"/>
                <w:sz w:val="17"/>
              </w:rPr>
              <w:t>7,760 FCFA</w:t>
            </w:r>
          </w:p>
          <w:p>
            <w:r>
              <w:rPr>
                <w:b/>
                <w:color w:val="503200"/>
                <w:sz w:val="16"/>
              </w:rPr>
              <w:t xml:space="preserve">Var. 100 jours : </w:t>
            </w:r>
            <w:r>
              <w:rPr>
                <w:b/>
                <w:color w:val="007800"/>
                <w:sz w:val="17"/>
              </w:rPr>
              <w:t>+10.15%</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7,045 FCFA</w:t>
            </w:r>
          </w:p>
          <w:p>
            <w:r>
              <w:rPr>
                <w:b/>
                <w:color w:val="503200"/>
                <w:sz w:val="16"/>
              </w:rPr>
              <w:t xml:space="preserve">Volatilité ann. : </w:t>
            </w:r>
            <w:r>
              <w:rPr>
                <w:color w:val="000000"/>
                <w:sz w:val="17"/>
              </w:rPr>
              <w:t>25.9%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4.84% (Faible) — μ=7,681 FCFA, σ=372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β=0.2679 (Défensif) — Cov=0.000012, Var(idx)=0.000045, ρ=0.113,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10,981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7,512</w:t>
            </w:r>
          </w:p>
        </w:tc>
        <w:tc>
          <w:tcPr>
            <w:tcW w:type="dxa" w:w="1440"/>
            <w:shd w:fill="FAFAFA" w:val="clear"/>
          </w:tcPr>
          <w:p>
            <w:r>
              <w:rPr>
                <w:b/>
                <w:sz w:val="17"/>
              </w:rPr>
              <w:t>7,726</w:t>
            </w:r>
          </w:p>
        </w:tc>
        <w:tc>
          <w:tcPr>
            <w:tcW w:type="dxa" w:w="1440"/>
            <w:shd w:fill="FAFAFA" w:val="clear"/>
          </w:tcPr>
          <w:p>
            <w:r>
              <w:rPr>
                <w:sz w:val="17"/>
              </w:rPr>
              <w:t>7,939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7,412</w:t>
            </w:r>
          </w:p>
        </w:tc>
        <w:tc>
          <w:tcPr>
            <w:tcW w:type="dxa" w:w="1440"/>
            <w:shd w:fill="FAFAFA" w:val="clear"/>
          </w:tcPr>
          <w:p>
            <w:r>
              <w:rPr>
                <w:b/>
                <w:sz w:val="17"/>
              </w:rPr>
              <w:t>7,714</w:t>
            </w:r>
          </w:p>
        </w:tc>
        <w:tc>
          <w:tcPr>
            <w:tcW w:type="dxa" w:w="1440"/>
            <w:shd w:fill="FAFAFA" w:val="clear"/>
          </w:tcPr>
          <w:p>
            <w:r>
              <w:rPr>
                <w:sz w:val="17"/>
              </w:rPr>
              <w:t>8,015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7,329</w:t>
            </w:r>
          </w:p>
        </w:tc>
        <w:tc>
          <w:tcPr>
            <w:tcW w:type="dxa" w:w="1440"/>
            <w:shd w:fill="FAFAFA" w:val="clear"/>
          </w:tcPr>
          <w:p>
            <w:r>
              <w:rPr>
                <w:b/>
                <w:sz w:val="17"/>
              </w:rPr>
              <w:t>7,697</w:t>
            </w:r>
          </w:p>
        </w:tc>
        <w:tc>
          <w:tcPr>
            <w:tcW w:type="dxa" w:w="1440"/>
            <w:shd w:fill="FAFAFA" w:val="clear"/>
          </w:tcPr>
          <w:p>
            <w:r>
              <w:rPr>
                <w:sz w:val="17"/>
              </w:rPr>
              <w:t>8,065</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2026-09-30</w:t>
            </w:r>
          </w:p>
        </w:tc>
        <w:tc>
          <w:tcPr>
            <w:tcW w:type="dxa" w:w="1440"/>
            <w:shd w:fill="FAFAFA" w:val="clear"/>
          </w:tcPr>
          <w:p>
            <w:r>
              <w:rPr>
                <w:sz w:val="17"/>
              </w:rPr>
              <w:t>7,255</w:t>
            </w:r>
          </w:p>
        </w:tc>
        <w:tc>
          <w:tcPr>
            <w:tcW w:type="dxa" w:w="1440"/>
            <w:shd w:fill="FAFAFA" w:val="clear"/>
          </w:tcPr>
          <w:p>
            <w:r>
              <w:rPr>
                <w:b/>
                <w:sz w:val="17"/>
              </w:rPr>
              <w:t>7,679</w:t>
            </w:r>
          </w:p>
        </w:tc>
        <w:tc>
          <w:tcPr>
            <w:tcW w:type="dxa" w:w="1440"/>
            <w:shd w:fill="FAFAFA" w:val="clear"/>
          </w:tcPr>
          <w:p>
            <w:r>
              <w:rPr>
                <w:sz w:val="17"/>
              </w:rPr>
              <w:t>8,104</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2026-10-01</w:t>
            </w:r>
          </w:p>
        </w:tc>
        <w:tc>
          <w:tcPr>
            <w:tcW w:type="dxa" w:w="1440"/>
            <w:shd w:fill="FAFAFA" w:val="clear"/>
          </w:tcPr>
          <w:p>
            <w:r>
              <w:rPr>
                <w:sz w:val="17"/>
              </w:rPr>
              <w:t>7,189</w:t>
            </w:r>
          </w:p>
        </w:tc>
        <w:tc>
          <w:tcPr>
            <w:tcW w:type="dxa" w:w="1440"/>
            <w:shd w:fill="FAFAFA" w:val="clear"/>
          </w:tcPr>
          <w:p>
            <w:r>
              <w:rPr>
                <w:b/>
                <w:sz w:val="17"/>
              </w:rPr>
              <w:t>7,663</w:t>
            </w:r>
          </w:p>
        </w:tc>
        <w:tc>
          <w:tcPr>
            <w:tcW w:type="dxa" w:w="1440"/>
            <w:shd w:fill="FAFAFA" w:val="clear"/>
          </w:tcPr>
          <w:p>
            <w:r>
              <w:rPr>
                <w:sz w:val="17"/>
              </w:rPr>
              <w:t>8,136</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2026-10-02</w:t>
            </w:r>
          </w:p>
        </w:tc>
        <w:tc>
          <w:tcPr>
            <w:tcW w:type="dxa" w:w="1440"/>
            <w:shd w:fill="FAFAFA" w:val="clear"/>
          </w:tcPr>
          <w:p>
            <w:r>
              <w:rPr>
                <w:sz w:val="17"/>
              </w:rPr>
              <w:t>7,129</w:t>
            </w:r>
          </w:p>
        </w:tc>
        <w:tc>
          <w:tcPr>
            <w:tcW w:type="dxa" w:w="1440"/>
            <w:shd w:fill="FAFAFA" w:val="clear"/>
          </w:tcPr>
          <w:p>
            <w:r>
              <w:rPr>
                <w:b/>
                <w:sz w:val="17"/>
              </w:rPr>
              <w:t>7,647</w:t>
            </w:r>
          </w:p>
        </w:tc>
        <w:tc>
          <w:tcPr>
            <w:tcW w:type="dxa" w:w="1440"/>
            <w:shd w:fill="FAFAFA" w:val="clear"/>
          </w:tcPr>
          <w:p>
            <w:r>
              <w:rPr>
                <w:sz w:val="17"/>
              </w:rPr>
              <w:t>8,164</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2026-10-05</w:t>
            </w:r>
          </w:p>
        </w:tc>
        <w:tc>
          <w:tcPr>
            <w:tcW w:type="dxa" w:w="1440"/>
            <w:shd w:fill="FAFAFA" w:val="clear"/>
          </w:tcPr>
          <w:p>
            <w:r>
              <w:rPr>
                <w:sz w:val="17"/>
              </w:rPr>
              <w:t>7,074</w:t>
            </w:r>
          </w:p>
        </w:tc>
        <w:tc>
          <w:tcPr>
            <w:tcW w:type="dxa" w:w="1440"/>
            <w:shd w:fill="FAFAFA" w:val="clear"/>
          </w:tcPr>
          <w:p>
            <w:r>
              <w:rPr>
                <w:b/>
                <w:sz w:val="17"/>
              </w:rPr>
              <w:t>7,631</w:t>
            </w:r>
          </w:p>
        </w:tc>
        <w:tc>
          <w:tcPr>
            <w:tcW w:type="dxa" w:w="1440"/>
            <w:shd w:fill="FAFAFA" w:val="clear"/>
          </w:tcPr>
          <w:p>
            <w:r>
              <w:rPr>
                <w:sz w:val="17"/>
              </w:rPr>
              <w:t>8,189</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2026-10-06</w:t>
            </w:r>
          </w:p>
        </w:tc>
        <w:tc>
          <w:tcPr>
            <w:tcW w:type="dxa" w:w="1440"/>
            <w:shd w:fill="FAFAFA" w:val="clear"/>
          </w:tcPr>
          <w:p>
            <w:r>
              <w:rPr>
                <w:sz w:val="17"/>
              </w:rPr>
              <w:t>7,022</w:t>
            </w:r>
          </w:p>
        </w:tc>
        <w:tc>
          <w:tcPr>
            <w:tcW w:type="dxa" w:w="1440"/>
            <w:shd w:fill="FAFAFA" w:val="clear"/>
          </w:tcPr>
          <w:p>
            <w:r>
              <w:rPr>
                <w:b/>
                <w:sz w:val="17"/>
              </w:rPr>
              <w:t>7,617</w:t>
            </w:r>
          </w:p>
        </w:tc>
        <w:tc>
          <w:tcPr>
            <w:tcW w:type="dxa" w:w="1440"/>
            <w:shd w:fill="FAFAFA" w:val="clear"/>
          </w:tcPr>
          <w:p>
            <w:r>
              <w:rPr>
                <w:sz w:val="17"/>
              </w:rPr>
              <w:t>8,212</w:t>
            </w:r>
          </w:p>
        </w:tc>
        <w:tc>
          <w:tcPr>
            <w:tcW w:type="dxa" w:w="1440"/>
            <w:shd w:fill="FAFAFA" w:val="clear"/>
          </w:tcPr>
          <w:p>
            <w:r>
              <w:rPr>
                <w:b/>
                <w:color w:val="C00000"/>
                <w:sz w:val="17"/>
              </w:rPr>
              <w:t>-1.8%</w:t>
            </w:r>
          </w:p>
        </w:tc>
      </w:tr>
      <w:tr>
        <w:tc>
          <w:tcPr>
            <w:tcW w:type="dxa" w:w="1440"/>
            <w:shd w:fill="FFDCE0" w:val="clear"/>
          </w:tcPr>
          <w:p>
            <w:r>
              <w:rPr>
                <w:sz w:val="17"/>
              </w:rPr>
              <w:t>J+9  Moyenne</w:t>
            </w:r>
          </w:p>
        </w:tc>
        <w:tc>
          <w:tcPr>
            <w:tcW w:type="dxa" w:w="1440"/>
            <w:shd w:fill="FFDCE0" w:val="clear"/>
          </w:tcPr>
          <w:p>
            <w:r>
              <w:rPr>
                <w:sz w:val="17"/>
              </w:rPr>
              <w:t>2026-10-07</w:t>
            </w:r>
          </w:p>
        </w:tc>
        <w:tc>
          <w:tcPr>
            <w:tcW w:type="dxa" w:w="1440"/>
            <w:shd w:fill="FFDCE0" w:val="clear"/>
          </w:tcPr>
          <w:p>
            <w:r>
              <w:rPr>
                <w:sz w:val="17"/>
              </w:rPr>
              <w:t>6,973</w:t>
            </w:r>
          </w:p>
        </w:tc>
        <w:tc>
          <w:tcPr>
            <w:tcW w:type="dxa" w:w="1440"/>
            <w:shd w:fill="FFDCE0" w:val="clear"/>
          </w:tcPr>
          <w:p>
            <w:r>
              <w:rPr>
                <w:b/>
                <w:sz w:val="17"/>
              </w:rPr>
              <w:t>7,603</w:t>
            </w:r>
          </w:p>
        </w:tc>
        <w:tc>
          <w:tcPr>
            <w:tcW w:type="dxa" w:w="1440"/>
            <w:shd w:fill="FFDCE0" w:val="clear"/>
          </w:tcPr>
          <w:p>
            <w:r>
              <w:rPr>
                <w:sz w:val="17"/>
              </w:rPr>
              <w:t>8,233</w:t>
            </w:r>
          </w:p>
        </w:tc>
        <w:tc>
          <w:tcPr>
            <w:tcW w:type="dxa" w:w="1440"/>
            <w:shd w:fill="FFDCE0"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2026-10-08</w:t>
            </w:r>
          </w:p>
        </w:tc>
        <w:tc>
          <w:tcPr>
            <w:tcW w:type="dxa" w:w="1440"/>
            <w:shd w:fill="FFDCE0" w:val="clear"/>
          </w:tcPr>
          <w:p>
            <w:r>
              <w:rPr>
                <w:sz w:val="17"/>
              </w:rPr>
              <w:t>6,927</w:t>
            </w:r>
          </w:p>
        </w:tc>
        <w:tc>
          <w:tcPr>
            <w:tcW w:type="dxa" w:w="1440"/>
            <w:shd w:fill="FFDCE0" w:val="clear"/>
          </w:tcPr>
          <w:p>
            <w:r>
              <w:rPr>
                <w:b/>
                <w:sz w:val="17"/>
              </w:rPr>
              <w:t>7,590</w:t>
            </w:r>
          </w:p>
        </w:tc>
        <w:tc>
          <w:tcPr>
            <w:tcW w:type="dxa" w:w="1440"/>
            <w:shd w:fill="FFDCE0" w:val="clear"/>
          </w:tcPr>
          <w:p>
            <w:r>
              <w:rPr>
                <w:sz w:val="17"/>
              </w:rPr>
              <w:t>8,252</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279,36 milliards FCFA, BOAS s'impose comme l'une des valeurs bancaires de référence de la cote BRVM, témoignant d'une liquidité et d'une profondeur de marché appréciables pour la zone UEMOA. Le BPA de 608 FCFA par action signifie que chaque titre génère près de 608 FCFA de bénéfice net, un niveau de rentabilité par action solide qui soutient la distribution potentielle de dividendes. Le PER de 12,8x situe le titre légèrement au-dessus de la moyenne historique du marché BRVM (8-12x), traduisant une prime de qualité modérée mais non excessive au regard de la régularité des résultats. Le P/B de 2,89x indique que le marché valorise la banque à près de trois fois ses fonds propres comptables, ce qui reflète une prime de croissance et de rentabilité (ROE de 22,7%) tout à fait justifiée. Enfin, l'EV/EBITDA de 8,2x, dans la fourchette raisonnable de 5-10x, confirme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 enregistré une progression totale de +10,15%, avec une dernière séance en hausse de +1,44%, portant le cours actuel à 7 760 FCFA. Le range de trading s'établit entre un plus bas de 7 045 FCFA et un plus haut de 8 500 FCFA, soit une amplitude de 20,6% qui témoigne d'une dynamique haussière entrecoupée de phases de consolidation. La tendance générale demeure haussière, le cours actuel se maintenant au-dessus de sa moyenne sur la période (7 681 FCFA). Les statistiques descriptives révèlent une distribution légèrement asymétrique : la moyenne (7 681 FCFA) dépasse la médiane (7 598 FCFA), et le mode se situe à 7 700 FCFA, tandis que le skewness positif de 0,536 indique davantage de journées sous la moyenne, suggérant des corrections ponctuelles dans une tendance de fond positive. L'écart-type de 374 FCFA (CV = 4,9%) traduit une dispersion modérée du cours, et le kurtosis de -0,880 (mésokurtique) signale une distribution proche de la normale, sans risque majeur de pics extrêmes. La volatilité annualisée de 25,9% classe le titre dans la catégorie modérée (15-30%), cohérente avec un profil bancaire stable mais sensible aux conditions macroéconomiques régionales.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(8 170 FCFA) et la MM50 (7 942,9 FCFA) se situent toutes deux au-dessus du cours actuel (7 760 FCFA), ce qui place le titre en position de repli sous ses moyennes court et moyen terme. Toutefois, la décision technique affichée est "Achat", suggérant que le croisement des moyennes ou leur orientation haussière sous-jacente soutient un scénario de rebond technique.</w:t>
      </w:r>
    </w:p>
    <w:p>
      <w:pPr>
        <w:spacing w:after="120" w:line="276" w:lineRule="auto"/>
      </w:pPr>
      <w:r>
        <w:t>**Bandes de Bollinger** : Le cours (7 760 FCFA) évolue sous la borne inférieure (7 792,6 FCFA), ce qui constitue un signal de survente technique et une opportunité d'achat selon la décision affichée. La borne supérieure à 8 547,4 FCFA délimite un potentiel de rebond de près de 10% vers le haut du canal.</w:t>
      </w:r>
    </w:p>
    <w:p>
      <w:pPr>
        <w:spacing w:after="120" w:line="276" w:lineRule="auto"/>
      </w:pPr>
      <w:r>
        <w:t>**MACD** : La valeur du MACD (-29,19) est nettement inférieure à son signal (54,54), générant une divergence baissière qui plaide pour la prudence à court terme. La décision "Vente" reflète ce momentum négatif, bien que l'écart important puisse annoncer un retournement imminent.</w:t>
      </w:r>
    </w:p>
    <w:p>
      <w:pPr>
        <w:spacing w:after="120" w:line="276" w:lineRule="auto"/>
      </w:pPr>
      <w:r>
        <w:t>**RSI** : À 31,10, le RSI se situe juste au-dessus du seuil de survente (30), en zone neutre basse. Cette configuration indique que le titre n'est pas encore techniquement survendu mais s'en approche, laissant présager un potentiel de rebond à mesure que la pression vendeuse s'épuise.</w:t>
      </w:r>
    </w:p>
    <w:p>
      <w:pPr>
        <w:spacing w:after="120" w:line="276" w:lineRule="auto"/>
      </w:pPr>
      <w:r>
        <w:t>**Stochastique** : Le %K (15,71) et le %D (5,24) sont tous deux en zone de survente profonde, avec un %K supérieur au %D suggérant un début de croisement haussier. La décision "Achat" confirme ce signal de retournement potentiel à court terme.</w:t>
      </w:r>
    </w:p>
    <w:p>
      <w:pPr>
        <w:spacing w:after="120" w:line="276" w:lineRule="auto"/>
      </w:pPr>
      <w:r>
        <w:t>**Conclusion technique** : Les indicateurs présentent une divergence notable : les moyennes mobiles, les bandes de Bollinger et le stochastique plaident pour un rebond (signaux d'achat), tandis que le MACD reste baissier et le RSI neutre. Cette configuration suggère que le titre se trouve dans une phase de correction au sein d'une tendance haussière plus large, offrant potentiellement un point d'entrée intéressant pour les investisseurs patients, sous réserve de confirmation par un retournement du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2025 de BOAS (données structurées brvm_donnees_financieres) révèlent une banque solide et rentable : le Produit Net Bancaire (équivalent du chiffre d'affaires bancaire) s'établit à 51,926 milliards FCFA, générant un résultat net de 21,905 milliards FCFA, soit une marge nette exceptionnelle de 42,19%. Le ROE de 22,69% (largement supérieur au seuil de 15% considéré comme excellent) et le ROA de 2,62% confirment une création de valeur actionnariale robuste. Le coefficient d'exploitation de 44,02% (inférieur à 50%) classe BOAS parmi les banques les plus efficaces de la zone, tandis que le coût du risque de 23,31% des charges financières, bien qu'élevé, reste contenu au regard de la croissance du portefeuille. La structure financière affiche une autonomie financière de 11,54% (inférieure au seuil de 30% mais normale pour une banque), une solvabilité générale de 113,05% (&gt;1, donc solvable) et une capacité de remboursement de 1,54 an, témoignant d'une gestion prudente. Les dépôts clientèle (686,927 milliards FCFA) couvrent largement les créances clientèle (386,424 milliards FCFA), avec un ratio de transformation de 56,3%, indicateur d'une collecte vigoureuse. Les rapports trimestriels récents confirment cette dynamique : le rapport T1 2026 (publié le 31 mars 2026) fait état d'un PNB de 12,580 milliards FCFA (+6,82%) et d'un résultat net de 5,741 milliards FCFA (+9,78%), avec un coefficient d'exploitation en amélioration à 42,1%. Le rapport S1 2026 (publié le 30 juin 2026) rapporte un PNB semestriel de 27,206 milliards FCFA, en hausse, tandis que le rapport T3 2025 (30 septembre 2025) affichait un PNB cumulé de 37,44 milliards FCFA (+6,71%) et un résultat net de 16,37 milliards FCFA (+10,01%). Sur la base de ces tendances, on estime que l'exercice 2026 devrait enregistrer un PNB annuel compris entre 53 et 55 milliards FCFA et un résultat net de l'ordre de 23 à 24 milliards FCFA, confirmant la trajectoire de croissance à deux chiffres. La recommandation fondamentale est donc positive : BOAS présente un profil de banque solide, rentable, efficace et en croissance régulière, avec des risques maîtrisés (concentration sur le marché sénégalais, coût du risque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 cette analyse converge vers un scénario globalement favorable, bien que nuancé. La valorisation (Partie 0) apparaît raisonnable, avec un PER de 12,8x légèrement supérieur à la moyenne du marché mais justifié par un ROE de 22,7% et une prime de croissance de 2,89x sur les fonds propres ; le titre n'est ni sous-évalué ni surévalué de manière flagrante. Le comportement du cours (Partie 1) affiche une tendance haussière de +10,15% sur 100 jours, une volatilité modérée de 25,9% et des statistiques descriptives (skewness positif, kurtosis mésokurtique) qui indiquent un profil de risque contrôlé, sans excès de pics extrêmes. Les signaux techniques (Partie 2) sont divergents : les bandes de Bollinger, le stochastique et les moyennes mobiles plaident pour un rebond, tandis que le MACD reste baissier et le RSI neutre, ce qui suggère une phase de consolidation propice à l'accumulation. Les fondamentaux (Partie 3) sont solides : PNB de 51,9 milliards FCFA en 2025, résultat net de 21,9 milliards FCFA, ROE de 22,7%, coefficient d'exploitation de 44%, et les rapports trimestriels 2026 confirment une croissance soutenue (+6,8% de PNB au T1 2026, +9,8% de résultat net). Les prédictions IA (J+1 à J+10) anticipent une légère correction vers 7 663 FCFA d'ici le 1er octobre 2026, ce qui contredit partiellement les signaux d'achat techniques mais reste cohérent avec la phase de consolidation en cours. **Recommandation finale : ACHAT**, avec un niveau de confiance **Moyen** en raison de la divergence entre le MACD baissier et les autres indicateurs, et un risque global **Moyen** (exposition au marché sénégalais, coût du risque à surveiller). L'horizon d'investissement optimal est le **moyen terme (3-12 mois)**, le temps que la correction technique s'achève et que la croissance fondamentale se matérialise dans les cours, avec un objectif de cours potentiel de 8 500 FCFA (plus haut des 100 jours) si les fondamentaux continuent de surperformer.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2,074 titres</w:t>
            </w:r>
          </w:p>
        </w:tc>
        <w:tc>
          <w:tcPr>
            <w:tcW w:type="dxa" w:w="2268"/>
            <w:shd w:fill="FFF2CC" w:val="clear"/>
          </w:tcPr>
          <w:p>
            <w:r>
              <w:rPr>
                <w:b/>
                <w:color w:val="503200"/>
                <w:sz w:val="16"/>
              </w:rPr>
              <w:t xml:space="preserve">Cours actuel : </w:t>
            </w:r>
            <w:r>
              <w:rPr>
                <w:color w:val="000000"/>
                <w:sz w:val="17"/>
              </w:rPr>
              <w:t>3,200 FCFA</w:t>
            </w:r>
          </w:p>
          <w:p>
            <w:r>
              <w:rPr>
                <w:b/>
                <w:color w:val="503200"/>
                <w:sz w:val="16"/>
              </w:rPr>
              <w:t xml:space="preserve">Var. 100 jours : </w:t>
            </w:r>
            <w:r>
              <w:rPr>
                <w:b/>
                <w:color w:val="B40000"/>
                <w:sz w:val="17"/>
              </w:rPr>
              <w:t>-11.11%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7.73% (Moyenne) — μ=3,688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β=0.4103 (Défensif) — Cov=0.000018, Var(idx)=0.000045, ρ=0.096,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3,090</w:t>
            </w:r>
          </w:p>
        </w:tc>
        <w:tc>
          <w:tcPr>
            <w:tcW w:type="dxa" w:w="1440"/>
            <w:shd w:fill="FAFAFA" w:val="clear"/>
          </w:tcPr>
          <w:p>
            <w:r>
              <w:rPr>
                <w:b/>
                <w:sz w:val="17"/>
              </w:rPr>
              <w:t>3,175</w:t>
            </w:r>
          </w:p>
        </w:tc>
        <w:tc>
          <w:tcPr>
            <w:tcW w:type="dxa" w:w="1440"/>
            <w:shd w:fill="FAFAFA" w:val="clear"/>
          </w:tcPr>
          <w:p>
            <w:r>
              <w:rPr>
                <w:sz w:val="17"/>
              </w:rPr>
              <w:t>3,260</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3,044</w:t>
            </w:r>
          </w:p>
        </w:tc>
        <w:tc>
          <w:tcPr>
            <w:tcW w:type="dxa" w:w="1440"/>
            <w:shd w:fill="FAFAFA" w:val="clear"/>
          </w:tcPr>
          <w:p>
            <w:r>
              <w:rPr>
                <w:b/>
                <w:sz w:val="17"/>
              </w:rPr>
              <w:t>3,164</w:t>
            </w:r>
          </w:p>
        </w:tc>
        <w:tc>
          <w:tcPr>
            <w:tcW w:type="dxa" w:w="1440"/>
            <w:shd w:fill="FAFAFA" w:val="clear"/>
          </w:tcPr>
          <w:p>
            <w:r>
              <w:rPr>
                <w:sz w:val="17"/>
              </w:rPr>
              <w:t>3,284</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3,006</w:t>
            </w:r>
          </w:p>
        </w:tc>
        <w:tc>
          <w:tcPr>
            <w:tcW w:type="dxa" w:w="1440"/>
            <w:shd w:fill="FAFAFA" w:val="clear"/>
          </w:tcPr>
          <w:p>
            <w:r>
              <w:rPr>
                <w:b/>
                <w:sz w:val="17"/>
              </w:rPr>
              <w:t>3,152</w:t>
            </w:r>
          </w:p>
        </w:tc>
        <w:tc>
          <w:tcPr>
            <w:tcW w:type="dxa" w:w="1440"/>
            <w:shd w:fill="FAFAFA" w:val="clear"/>
          </w:tcPr>
          <w:p>
            <w:r>
              <w:rPr>
                <w:sz w:val="17"/>
              </w:rPr>
              <w:t>3,298</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2026-09-30</w:t>
            </w:r>
          </w:p>
        </w:tc>
        <w:tc>
          <w:tcPr>
            <w:tcW w:type="dxa" w:w="1440"/>
            <w:shd w:fill="FAFAFA" w:val="clear"/>
          </w:tcPr>
          <w:p>
            <w:r>
              <w:rPr>
                <w:sz w:val="17"/>
              </w:rPr>
              <w:t>2,971</w:t>
            </w:r>
          </w:p>
        </w:tc>
        <w:tc>
          <w:tcPr>
            <w:tcW w:type="dxa" w:w="1440"/>
            <w:shd w:fill="FAFAFA" w:val="clear"/>
          </w:tcPr>
          <w:p>
            <w:r>
              <w:rPr>
                <w:b/>
                <w:sz w:val="17"/>
              </w:rPr>
              <w:t>3,139</w:t>
            </w:r>
          </w:p>
        </w:tc>
        <w:tc>
          <w:tcPr>
            <w:tcW w:type="dxa" w:w="1440"/>
            <w:shd w:fill="FAFAFA" w:val="clear"/>
          </w:tcPr>
          <w:p>
            <w:r>
              <w:rPr>
                <w:sz w:val="17"/>
              </w:rPr>
              <w:t>3,307</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2026-10-01</w:t>
            </w:r>
          </w:p>
        </w:tc>
        <w:tc>
          <w:tcPr>
            <w:tcW w:type="dxa" w:w="1440"/>
            <w:shd w:fill="FFDCE0" w:val="clear"/>
          </w:tcPr>
          <w:p>
            <w:r>
              <w:rPr>
                <w:sz w:val="17"/>
              </w:rPr>
              <w:t>2,936</w:t>
            </w:r>
          </w:p>
        </w:tc>
        <w:tc>
          <w:tcPr>
            <w:tcW w:type="dxa" w:w="1440"/>
            <w:shd w:fill="FFDCE0" w:val="clear"/>
          </w:tcPr>
          <w:p>
            <w:r>
              <w:rPr>
                <w:b/>
                <w:sz w:val="17"/>
              </w:rPr>
              <w:t>3,123</w:t>
            </w:r>
          </w:p>
        </w:tc>
        <w:tc>
          <w:tcPr>
            <w:tcW w:type="dxa" w:w="1440"/>
            <w:shd w:fill="FFDCE0" w:val="clear"/>
          </w:tcPr>
          <w:p>
            <w:r>
              <w:rPr>
                <w:sz w:val="17"/>
              </w:rPr>
              <w:t>3,310</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2026-10-02</w:t>
            </w:r>
          </w:p>
        </w:tc>
        <w:tc>
          <w:tcPr>
            <w:tcW w:type="dxa" w:w="1440"/>
            <w:shd w:fill="FFDCE0" w:val="clear"/>
          </w:tcPr>
          <w:p>
            <w:r>
              <w:rPr>
                <w:sz w:val="17"/>
              </w:rPr>
              <w:t>2,902</w:t>
            </w:r>
          </w:p>
        </w:tc>
        <w:tc>
          <w:tcPr>
            <w:tcW w:type="dxa" w:w="1440"/>
            <w:shd w:fill="FFDCE0" w:val="clear"/>
          </w:tcPr>
          <w:p>
            <w:r>
              <w:rPr>
                <w:b/>
                <w:sz w:val="17"/>
              </w:rPr>
              <w:t>3,106</w:t>
            </w:r>
          </w:p>
        </w:tc>
        <w:tc>
          <w:tcPr>
            <w:tcW w:type="dxa" w:w="1440"/>
            <w:shd w:fill="FFDCE0" w:val="clear"/>
          </w:tcPr>
          <w:p>
            <w:r>
              <w:rPr>
                <w:sz w:val="17"/>
              </w:rPr>
              <w:t>3,309</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2026-10-05</w:t>
            </w:r>
          </w:p>
        </w:tc>
        <w:tc>
          <w:tcPr>
            <w:tcW w:type="dxa" w:w="1440"/>
            <w:shd w:fill="FFDCE0" w:val="clear"/>
          </w:tcPr>
          <w:p>
            <w:r>
              <w:rPr>
                <w:sz w:val="17"/>
              </w:rPr>
              <w:t>2,867</w:t>
            </w:r>
          </w:p>
        </w:tc>
        <w:tc>
          <w:tcPr>
            <w:tcW w:type="dxa" w:w="1440"/>
            <w:shd w:fill="FFDCE0" w:val="clear"/>
          </w:tcPr>
          <w:p>
            <w:r>
              <w:rPr>
                <w:b/>
                <w:sz w:val="17"/>
              </w:rPr>
              <w:t>3,086</w:t>
            </w:r>
          </w:p>
        </w:tc>
        <w:tc>
          <w:tcPr>
            <w:tcW w:type="dxa" w:w="1440"/>
            <w:shd w:fill="FFDCE0" w:val="clear"/>
          </w:tcPr>
          <w:p>
            <w:r>
              <w:rPr>
                <w:sz w:val="17"/>
              </w:rPr>
              <w:t>3,305</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2026-10-06</w:t>
            </w:r>
          </w:p>
        </w:tc>
        <w:tc>
          <w:tcPr>
            <w:tcW w:type="dxa" w:w="1440"/>
            <w:shd w:fill="FFDCE0" w:val="clear"/>
          </w:tcPr>
          <w:p>
            <w:r>
              <w:rPr>
                <w:sz w:val="17"/>
              </w:rPr>
              <w:t>2,832</w:t>
            </w:r>
          </w:p>
        </w:tc>
        <w:tc>
          <w:tcPr>
            <w:tcW w:type="dxa" w:w="1440"/>
            <w:shd w:fill="FFDCE0" w:val="clear"/>
          </w:tcPr>
          <w:p>
            <w:r>
              <w:rPr>
                <w:b/>
                <w:sz w:val="17"/>
              </w:rPr>
              <w:t>3,065</w:t>
            </w:r>
          </w:p>
        </w:tc>
        <w:tc>
          <w:tcPr>
            <w:tcW w:type="dxa" w:w="1440"/>
            <w:shd w:fill="FFDCE0" w:val="clear"/>
          </w:tcPr>
          <w:p>
            <w:r>
              <w:rPr>
                <w:sz w:val="17"/>
              </w:rPr>
              <w:t>3,297</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2026-10-07</w:t>
            </w:r>
          </w:p>
        </w:tc>
        <w:tc>
          <w:tcPr>
            <w:tcW w:type="dxa" w:w="1440"/>
            <w:shd w:fill="FFDCE0" w:val="clear"/>
          </w:tcPr>
          <w:p>
            <w:r>
              <w:rPr>
                <w:sz w:val="17"/>
              </w:rPr>
              <w:t>2,798</w:t>
            </w:r>
          </w:p>
        </w:tc>
        <w:tc>
          <w:tcPr>
            <w:tcW w:type="dxa" w:w="1440"/>
            <w:shd w:fill="FFDCE0" w:val="clear"/>
          </w:tcPr>
          <w:p>
            <w:r>
              <w:rPr>
                <w:b/>
                <w:sz w:val="17"/>
              </w:rPr>
              <w:t>3,042</w:t>
            </w:r>
          </w:p>
        </w:tc>
        <w:tc>
          <w:tcPr>
            <w:tcW w:type="dxa" w:w="1440"/>
            <w:shd w:fill="FFDCE0" w:val="clear"/>
          </w:tcPr>
          <w:p>
            <w:r>
              <w:rPr>
                <w:sz w:val="17"/>
              </w:rPr>
              <w:t>3,287</w:t>
            </w:r>
          </w:p>
        </w:tc>
        <w:tc>
          <w:tcPr>
            <w:tcW w:type="dxa" w:w="1440"/>
            <w:shd w:fill="FFDCE0" w:val="clear"/>
          </w:tcPr>
          <w:p>
            <w:r>
              <w:rPr>
                <w:b/>
                <w:color w:val="C00000"/>
                <w:sz w:val="17"/>
              </w:rPr>
              <w:t>-4.9%</w:t>
            </w:r>
          </w:p>
        </w:tc>
      </w:tr>
      <w:tr>
        <w:tc>
          <w:tcPr>
            <w:tcW w:type="dxa" w:w="1440"/>
            <w:shd w:fill="FFDCE0" w:val="clear"/>
          </w:tcPr>
          <w:p>
            <w:r>
              <w:rPr>
                <w:sz w:val="17"/>
              </w:rPr>
              <w:t>J+10  Moyenne</w:t>
            </w:r>
          </w:p>
        </w:tc>
        <w:tc>
          <w:tcPr>
            <w:tcW w:type="dxa" w:w="1440"/>
            <w:shd w:fill="FFDCE0" w:val="clear"/>
          </w:tcPr>
          <w:p>
            <w:r>
              <w:rPr>
                <w:sz w:val="17"/>
              </w:rPr>
              <w:t>2026-10-08</w:t>
            </w:r>
          </w:p>
        </w:tc>
        <w:tc>
          <w:tcPr>
            <w:tcW w:type="dxa" w:w="1440"/>
            <w:shd w:fill="FFDCE0" w:val="clear"/>
          </w:tcPr>
          <w:p>
            <w:r>
              <w:rPr>
                <w:sz w:val="17"/>
              </w:rPr>
              <w:t>2,764</w:t>
            </w:r>
          </w:p>
        </w:tc>
        <w:tc>
          <w:tcPr>
            <w:tcW w:type="dxa" w:w="1440"/>
            <w:shd w:fill="FFDCE0" w:val="clear"/>
          </w:tcPr>
          <w:p>
            <w:r>
              <w:rPr>
                <w:b/>
                <w:sz w:val="17"/>
              </w:rPr>
              <w:t>3,020</w:t>
            </w:r>
          </w:p>
        </w:tc>
        <w:tc>
          <w:tcPr>
            <w:tcW w:type="dxa" w:w="1440"/>
            <w:shd w:fill="FFDCE0" w:val="clear"/>
          </w:tcPr>
          <w:p>
            <w:r>
              <w:rPr>
                <w:sz w:val="17"/>
              </w:rPr>
              <w:t>3,275</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Analyse au 24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18,94 milliards FCFA, CABC se situe dans la catégorie des valeurs moyennes de la BRVM, loin des poids lourds comme SONATEL ou ETIT, ce qui implique une liquidité limitée et une sensibilité accrue aux mouvements de portefeuille. Le BPA de 243 FCFA/action signifie que chaque titre génère 243 FCFA de bénéfice net, un niveau correct mais qui contraste avec la faiblesse du cours actuel (3 200 FCFA). Le PER de 13,2x place le titre légèrement au-dessus de la moyenne BRVM (8-12x), suggérant que les investisseurs paient une prime modérée pour les bénéfices, sans exubérance manifeste. Le P/B de 2,03x indique que le marché valorise l'entreprise à deux fois sa valeur comptable, une prime de croissance accordée mais qui reste raisonnable pour un industriel. Enfin, l'EV/EBITDA de 6,5x traduit une valorisation équilibrée de la capacité opérationnelle, cohérente avec un profil de rendement modéré.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affiche une variation totale de -11,11%, matérialisant une tendance baissière prédominante, bien que la dernière séance (J-1) enregistre un léger rebond de +0,31% à 3 200 FCFA. Le range de trading est large, avec un plus haut à 4 500 FCFA et un plus bas à 3 190 FCFA, le cours actuel évoluant dangereusement près de son plancher, ce qui signale une pression vendeuse persistante. Les statistiques descriptives révèlent une moyenne de 3 688 FCFA supérieure à la médiane de 3 600 FCFA, confirmant une asymétrie positive (skewness de 0,970) avec davantage de journées sous la moyenne, typique d'une distribution tirée vers le bas par des pics baissiers. L'écart-type de 287 FCFA (CV de 7,8%) indique une dispersion modérée autour de la moyenne, tandis que le kurtosis de 0,559 (mésokurtique) suggère une distribution proche de la normale, sans risque extrême de queues épaisses. La volatilité annualisée de 44,9% classe le titre dans la catégorie des valeurs très volatiles (&gt;30%), ce qui implique un risque de perte en capital significatif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(3 438,75 FCFA) et la MM50 (3 549,10 FCFA) sont toutes deux nettement supérieures au cours actuel (3 200 FCFA), confirmant une configuration baissière où le prix évolue sous ses moyennes. La MM20 étant elle-même inférieure à la MM50, on observe un croisement baissier (death cross) qui renforce le signal de vente. La décision technique est donc **Vente**.</w:t>
      </w:r>
    </w:p>
    <w:p>
      <w:pPr>
        <w:spacing w:after="120" w:line="276" w:lineRule="auto"/>
      </w:pPr>
      <w:r>
        <w:t>**Bandes de Bollinger** : Le cours (3 200 FCFA) se situe sous la borne inférieure (3 213,645 FCFA), ce qui constitue un signal de survente extrême et suggère une possible réaction haussière à court terme. La largeur des bandes (borne supérieure à 3 663,855 FCFA) traduit une volatilité élevée, mais la position du cours hors des bandes est statistiquement rare et plaide pour un rebond technique. La décision est donc **Achat** (contrarien).</w:t>
      </w:r>
    </w:p>
    <w:p>
      <w:pPr>
        <w:spacing w:after="120" w:line="276" w:lineRule="auto"/>
      </w:pPr>
      <w:r>
        <w:t>**MACD** : La valeur du MACD (-92,252) est inférieure à son signal (-66,796), avec un histogramme négatif qui indique un momentum baissier toujours actif. La divergence entre les deux lignes ne montre aucun signe de retournement imminent, le MACD évoluant en territoire négatif depuis plusieurs séances. La décision est donc **Vente**.</w:t>
      </w:r>
    </w:p>
    <w:p>
      <w:pPr>
        <w:spacing w:after="120" w:line="276" w:lineRule="auto"/>
      </w:pPr>
      <w:r>
        <w:t>**RSI** : Avec une valeur de 20,69, le RSI est en zone de survente profonde (&lt;30), ce qui signale que le titre a été massivement vendu et pourrait être sujet à un rebond technique. Cette configuration est typique d'un épuisement de la pression vendeuse à court terme. La décision est donc **Achat**.</w:t>
      </w:r>
    </w:p>
    <w:p>
      <w:pPr>
        <w:spacing w:after="120" w:line="276" w:lineRule="auto"/>
      </w:pPr>
      <w:r>
        <w:t>**Stochastique** : Le %K (2,985) et le %D (0,995) sont tous deux en zone extrême de survente, avec un %K légèrement supérieur au %D, ce qui pourrait amorcer un croisement haussier imminent. Cette configuration confirme l'épuisement des vendeurs et suggère une fenêtre d'achat tactique. La décision est donc **Achat**.</w:t>
      </w:r>
    </w:p>
    <w:p>
      <w:pPr>
        <w:spacing w:after="120" w:line="276" w:lineRule="auto"/>
      </w:pPr>
      <w:r>
        <w:t>**Conclusion technique** : Les indicateurs sont divergents : les moyennes mobiles et le MACD confirment une tendance baissière de fond, tandis que le RSI, le stochastique et les bandes de Bollinger signalent une survente extrême propice à un rebond technique. Cette divergence est caractéristique d'une phase de capitulation où le potentiel de rebond à court terme est élevé, mais la tendance de fond reste fragile. Une stratégie contrarienne d'achat tactique est envisageable, avec un stop-loss serré sous 3 190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 chiffre d'affaires de 21,263 milliards FCFA, en croissance de 11,18% sur un an, porté par une demande soutenue dans les infrastructures électriques et télécoms. Le résultat net s'établit à 1,439 milliard FCFA, avec une marge nette de 6,77%, un ROE de 15,40% (excellent, &gt;15%) et un ROA de 6,10%, témoignant d'une rentabilité correcte mais perfectible. Cependant, l'analyse du bilan met en évidence des fragilités : les créances clients atteignent 8,429 milliards FCFA (délai de 144,69 jours, très élevé) et les stocks 7,400 milliards FCFA (152,12 jours de stockage), immobilisant massivement du capital et générant un BFR de 7,186 milliards FCFA. Le flux opérationnel est négatif (-819,66 millions FCFA) et le Free Cash Flow s'établit à -982,71 millions FCFA, ce qui contraste avec une trésorerie nette de 5,139 milliards FCFA mais en baisse de 25% sur un an. L'autonomie financière est saine (39,58%), la liquidité générale confortable (242,60%) et l'endettement financier très faible (4,47% du bilan), mais la capacité de remboursement (0,26 an) masque une dépendance aux délais de recouvrement. Les rapports trimestriels récents confirment cette dynamique : le rapport T3 2025 (daté du 30/09/2025) indique un CA de 16,630 milliards FCFA (+13,7%) et un résultat net de 1,329 milliard FCFA (+26,0%), mais avec un rétrécissement des marges opérationnelles dû au poids croissant du négoce (moins margé). Le rapport T1 2026 (daté du 31/03/2026) révèle une dégradation brutale : CA en baisse de 26,5% à 3,794 milliards FCFA, perte d'exploitation de 237 millions FCFA et résultat net déficitaire de 222 millions FCFA, en raison d'une maintenance planifiée et d'une inflation des cours des métaux (+23%). La direction anticipe une normalisation au T2 2026, mais le risque de prolongation des difficultés opérationnelles reste élevé. En synthèse, CABC présente une solidité financière relative (trésorerie, faible endettement) mais des faiblesses structurelles (BFR élevé, flux opérationnel négatif, marges sous pression) et une dégradation récente qui appelle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modérée : PER de 13,2x et P/B de 2,03x n'indiquent ni sous-évaluation ni surévaluation extrême, mais la prime de croissance est difficile à justifier au vu des récents déboires opérationnels. Le comportement du cours (Partie 1) est préoccupant : tendance baissière de -11,11% sur 100 jours, volatilité élevée (44,9%), skewness positive (0,970) et cours proche du plus bas historique (3 190 FCFA), ce qui traduit une défiance persistante des investisseurs. Les signaux techniques (Partie 2) sont divergents : les moyennes mobiles et le MACD confirment la tendance baissière, tandis que le RSI (20,69), le stochastique (2,985) et les bandes de Bollinger signalent une survente extrême propice à un rebond tactique. Les fondamentaux (Partie 3) sont mitigés : croissance du CA et ROE solide en 2025, mais BFR élevé, flux opérationnel négatif et dégradation brutale au T1 2026 (perte nette de 222 millions FCFA) qui fragilisent les perspectives. Les prédictions IA (J+1 à J+10) anticipent une poursuite de la baisse jusqu'à 3 123 FCFA le 01/10/2026, confirmant la pression baissière à court terme et contredisant les signaux de rebond technique. Face à cette divergence entre technique (survente) et fondamental (dégradation), la prudence s'impose. **Recommandation finale : CONSERVER** (avec surveillance active). Justification : la survente technique pourrait offrir un rebond tactique, mais la dégradation fondamentale et les prédictions baissières limitent le potentiel de hausse. Niveau de confiance : **Moyen** (les signaux sont contradictoires). Niveau de risque : **Élevé** (volatilité, dégradation opérationnelle, liquidité limitée). Horizon d'investissement : **Court terme** (&lt;3 mois) pour un rebond tactique, avec un stop-loss strict sous 3 190 FCFA ; **Moyen terme** (3-12 mois) déconseillé tant que la rentabilité n'est pas restaurée.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969.60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1,591 titres</w:t>
            </w:r>
          </w:p>
        </w:tc>
        <w:tc>
          <w:tcPr>
            <w:tcW w:type="dxa" w:w="2268"/>
            <w:shd w:fill="FFF2CC" w:val="clear"/>
          </w:tcPr>
          <w:p>
            <w:r>
              <w:rPr>
                <w:b/>
                <w:color w:val="503200"/>
                <w:sz w:val="16"/>
              </w:rPr>
              <w:t xml:space="preserve">Cours actuel : </w:t>
            </w:r>
            <w:r>
              <w:rPr>
                <w:color w:val="000000"/>
                <w:sz w:val="17"/>
              </w:rPr>
              <w:t>30,300 FCFA</w:t>
            </w:r>
          </w:p>
          <w:p>
            <w:r>
              <w:rPr>
                <w:b/>
                <w:color w:val="503200"/>
                <w:sz w:val="16"/>
              </w:rPr>
              <w:t xml:space="preserve">Var. 100 jours : </w:t>
            </w:r>
            <w:r>
              <w:rPr>
                <w:b/>
                <w:color w:val="007800"/>
                <w:sz w:val="17"/>
              </w:rPr>
              <w:t>+88.20%</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16,100 FCFA</w:t>
            </w:r>
          </w:p>
          <w:p>
            <w:r>
              <w:rPr>
                <w:b/>
                <w:color w:val="503200"/>
                <w:sz w:val="16"/>
              </w:rPr>
              <w:t xml:space="preserve">Volatilité ann. : </w:t>
            </w:r>
            <w:r>
              <w:rPr>
                <w:color w:val="000000"/>
                <w:sz w:val="17"/>
              </w:rPr>
              <w:t>43.7%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19.43% (Élevée) — μ=25,872 FCFA, σ=5,026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β=1.2072 (Agressif) — Cov=0.000054, Var(idx)=0.000045, ρ=0.309,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28,400</w:t>
            </w:r>
          </w:p>
        </w:tc>
        <w:tc>
          <w:tcPr>
            <w:tcW w:type="dxa" w:w="1440"/>
            <w:shd w:fill="FAFAFA" w:val="clear"/>
          </w:tcPr>
          <w:p>
            <w:r>
              <w:rPr>
                <w:b/>
                <w:sz w:val="17"/>
              </w:rPr>
              <w:t>29,767</w:t>
            </w:r>
          </w:p>
        </w:tc>
        <w:tc>
          <w:tcPr>
            <w:tcW w:type="dxa" w:w="1440"/>
            <w:shd w:fill="FAFAFA" w:val="clear"/>
          </w:tcPr>
          <w:p>
            <w:r>
              <w:rPr>
                <w:sz w:val="17"/>
              </w:rPr>
              <w:t>31,135</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2026-09-28</w:t>
            </w:r>
          </w:p>
        </w:tc>
        <w:tc>
          <w:tcPr>
            <w:tcW w:type="dxa" w:w="1440"/>
            <w:shd w:fill="FFDCE0" w:val="clear"/>
          </w:tcPr>
          <w:p>
            <w:r>
              <w:rPr>
                <w:sz w:val="17"/>
              </w:rPr>
              <w:t>27,424</w:t>
            </w:r>
          </w:p>
        </w:tc>
        <w:tc>
          <w:tcPr>
            <w:tcW w:type="dxa" w:w="1440"/>
            <w:shd w:fill="FFDCE0" w:val="clear"/>
          </w:tcPr>
          <w:p>
            <w:r>
              <w:rPr>
                <w:b/>
                <w:sz w:val="17"/>
              </w:rPr>
              <w:t>29,330</w:t>
            </w:r>
          </w:p>
        </w:tc>
        <w:tc>
          <w:tcPr>
            <w:tcW w:type="dxa" w:w="1440"/>
            <w:shd w:fill="FFDCE0" w:val="clear"/>
          </w:tcPr>
          <w:p>
            <w:r>
              <w:rPr>
                <w:sz w:val="17"/>
              </w:rPr>
              <w:t>31,236</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2026-09-29</w:t>
            </w:r>
          </w:p>
        </w:tc>
        <w:tc>
          <w:tcPr>
            <w:tcW w:type="dxa" w:w="1440"/>
            <w:shd w:fill="FFDCE0" w:val="clear"/>
          </w:tcPr>
          <w:p>
            <w:r>
              <w:rPr>
                <w:sz w:val="17"/>
              </w:rPr>
              <w:t>26,759</w:t>
            </w:r>
          </w:p>
        </w:tc>
        <w:tc>
          <w:tcPr>
            <w:tcW w:type="dxa" w:w="1440"/>
            <w:shd w:fill="FFDCE0" w:val="clear"/>
          </w:tcPr>
          <w:p>
            <w:r>
              <w:rPr>
                <w:b/>
                <w:sz w:val="17"/>
              </w:rPr>
              <w:t>29,072</w:t>
            </w:r>
          </w:p>
        </w:tc>
        <w:tc>
          <w:tcPr>
            <w:tcW w:type="dxa" w:w="1440"/>
            <w:shd w:fill="FFDCE0" w:val="clear"/>
          </w:tcPr>
          <w:p>
            <w:r>
              <w:rPr>
                <w:sz w:val="17"/>
              </w:rPr>
              <w:t>31,386</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26,250</w:t>
            </w:r>
          </w:p>
        </w:tc>
        <w:tc>
          <w:tcPr>
            <w:tcW w:type="dxa" w:w="1440"/>
            <w:shd w:fill="FFDCE0" w:val="clear"/>
          </w:tcPr>
          <w:p>
            <w:r>
              <w:rPr>
                <w:b/>
                <w:sz w:val="17"/>
              </w:rPr>
              <w:t>28,907</w:t>
            </w:r>
          </w:p>
        </w:tc>
        <w:tc>
          <w:tcPr>
            <w:tcW w:type="dxa" w:w="1440"/>
            <w:shd w:fill="FFDCE0" w:val="clear"/>
          </w:tcPr>
          <w:p>
            <w:r>
              <w:rPr>
                <w:sz w:val="17"/>
              </w:rPr>
              <w:t>31,563</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25,802</w:t>
            </w:r>
          </w:p>
        </w:tc>
        <w:tc>
          <w:tcPr>
            <w:tcW w:type="dxa" w:w="1440"/>
            <w:shd w:fill="FFDCE0" w:val="clear"/>
          </w:tcPr>
          <w:p>
            <w:r>
              <w:rPr>
                <w:b/>
                <w:sz w:val="17"/>
              </w:rPr>
              <w:t>28,756</w:t>
            </w:r>
          </w:p>
        </w:tc>
        <w:tc>
          <w:tcPr>
            <w:tcW w:type="dxa" w:w="1440"/>
            <w:shd w:fill="FFDCE0" w:val="clear"/>
          </w:tcPr>
          <w:p>
            <w:r>
              <w:rPr>
                <w:sz w:val="17"/>
              </w:rPr>
              <w:t>31,711</w:t>
            </w:r>
          </w:p>
        </w:tc>
        <w:tc>
          <w:tcPr>
            <w:tcW w:type="dxa" w:w="1440"/>
            <w:shd w:fill="FFDCE0" w:val="clear"/>
          </w:tcPr>
          <w:p>
            <w:r>
              <w:rPr>
                <w:b/>
                <w:color w:val="C00000"/>
                <w:sz w:val="17"/>
              </w:rPr>
              <w:t>-5.1%</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25,400</w:t>
            </w:r>
          </w:p>
        </w:tc>
        <w:tc>
          <w:tcPr>
            <w:tcW w:type="dxa" w:w="1440"/>
            <w:shd w:fill="FFDCE0" w:val="clear"/>
          </w:tcPr>
          <w:p>
            <w:r>
              <w:rPr>
                <w:b/>
                <w:sz w:val="17"/>
              </w:rPr>
              <w:t>28,622</w:t>
            </w:r>
          </w:p>
        </w:tc>
        <w:tc>
          <w:tcPr>
            <w:tcW w:type="dxa" w:w="1440"/>
            <w:shd w:fill="FFDCE0" w:val="clear"/>
          </w:tcPr>
          <w:p>
            <w:r>
              <w:rPr>
                <w:sz w:val="17"/>
              </w:rPr>
              <w:t>31,844</w:t>
            </w:r>
          </w:p>
        </w:tc>
        <w:tc>
          <w:tcPr>
            <w:tcW w:type="dxa" w:w="1440"/>
            <w:shd w:fill="FFDCE0" w:val="clear"/>
          </w:tcPr>
          <w:p>
            <w:r>
              <w:rPr>
                <w:b/>
                <w:color w:val="C00000"/>
                <w:sz w:val="17"/>
              </w:rPr>
              <w:t>-5.5%</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25,039</w:t>
            </w:r>
          </w:p>
        </w:tc>
        <w:tc>
          <w:tcPr>
            <w:tcW w:type="dxa" w:w="1440"/>
            <w:shd w:fill="FFDCE0" w:val="clear"/>
          </w:tcPr>
          <w:p>
            <w:r>
              <w:rPr>
                <w:b/>
                <w:sz w:val="17"/>
              </w:rPr>
              <w:t>28,505</w:t>
            </w:r>
          </w:p>
        </w:tc>
        <w:tc>
          <w:tcPr>
            <w:tcW w:type="dxa" w:w="1440"/>
            <w:shd w:fill="FFDCE0" w:val="clear"/>
          </w:tcPr>
          <w:p>
            <w:r>
              <w:rPr>
                <w:sz w:val="17"/>
              </w:rPr>
              <w:t>31,970</w:t>
            </w:r>
          </w:p>
        </w:tc>
        <w:tc>
          <w:tcPr>
            <w:tcW w:type="dxa" w:w="1440"/>
            <w:shd w:fill="FFDCE0" w:val="clear"/>
          </w:tcPr>
          <w:p>
            <w:r>
              <w:rPr>
                <w:b/>
                <w:color w:val="C00000"/>
                <w:sz w:val="17"/>
              </w:rPr>
              <w:t>-5.9%</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24,710</w:t>
            </w:r>
          </w:p>
        </w:tc>
        <w:tc>
          <w:tcPr>
            <w:tcW w:type="dxa" w:w="1440"/>
            <w:shd w:fill="FFDCE0" w:val="clear"/>
          </w:tcPr>
          <w:p>
            <w:r>
              <w:rPr>
                <w:b/>
                <w:sz w:val="17"/>
              </w:rPr>
              <w:t>28,402</w:t>
            </w:r>
          </w:p>
        </w:tc>
        <w:tc>
          <w:tcPr>
            <w:tcW w:type="dxa" w:w="1440"/>
            <w:shd w:fill="FFDCE0" w:val="clear"/>
          </w:tcPr>
          <w:p>
            <w:r>
              <w:rPr>
                <w:sz w:val="17"/>
              </w:rPr>
              <w:t>32,093</w:t>
            </w:r>
          </w:p>
        </w:tc>
        <w:tc>
          <w:tcPr>
            <w:tcW w:type="dxa" w:w="1440"/>
            <w:shd w:fill="FFDCE0" w:val="clear"/>
          </w:tcPr>
          <w:p>
            <w:r>
              <w:rPr>
                <w:b/>
                <w:color w:val="C00000"/>
                <w:sz w:val="17"/>
              </w:rPr>
              <w:t>-6.3%</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24,407</w:t>
            </w:r>
          </w:p>
        </w:tc>
        <w:tc>
          <w:tcPr>
            <w:tcW w:type="dxa" w:w="1440"/>
            <w:shd w:fill="FFDCE0" w:val="clear"/>
          </w:tcPr>
          <w:p>
            <w:r>
              <w:rPr>
                <w:b/>
                <w:sz w:val="17"/>
              </w:rPr>
              <w:t>28,310</w:t>
            </w:r>
          </w:p>
        </w:tc>
        <w:tc>
          <w:tcPr>
            <w:tcW w:type="dxa" w:w="1440"/>
            <w:shd w:fill="FFDCE0" w:val="clear"/>
          </w:tcPr>
          <w:p>
            <w:r>
              <w:rPr>
                <w:sz w:val="17"/>
              </w:rPr>
              <w:t>32,213</w:t>
            </w:r>
          </w:p>
        </w:tc>
        <w:tc>
          <w:tcPr>
            <w:tcW w:type="dxa" w:w="1440"/>
            <w:shd w:fill="FFDCE0" w:val="clear"/>
          </w:tcPr>
          <w:p>
            <w:r>
              <w:rPr>
                <w:b/>
                <w:color w:val="C00000"/>
                <w:sz w:val="17"/>
              </w:rPr>
              <w:t>-6.6%</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24,127</w:t>
            </w:r>
          </w:p>
        </w:tc>
        <w:tc>
          <w:tcPr>
            <w:tcW w:type="dxa" w:w="1440"/>
            <w:shd w:fill="FFDCE0" w:val="clear"/>
          </w:tcPr>
          <w:p>
            <w:r>
              <w:rPr>
                <w:b/>
                <w:sz w:val="17"/>
              </w:rPr>
              <w:t>28,229</w:t>
            </w:r>
          </w:p>
        </w:tc>
        <w:tc>
          <w:tcPr>
            <w:tcW w:type="dxa" w:w="1440"/>
            <w:shd w:fill="FFDCE0" w:val="clear"/>
          </w:tcPr>
          <w:p>
            <w:r>
              <w:rPr>
                <w:sz w:val="17"/>
              </w:rPr>
              <w:t>32,331</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**969,60 Mds FCFA**, CBIBF s'impose comme l'une des capitalisations les plus significatives de la cote BRVM, témoignant de son statut de valeur bancaire de premier plan dans l'UEMOA. Le BPA de **2 047 FCFA/action** confère au titre un PER de **14,8x**, soit un niveau modérément supérieur à la moyenne du marché BRVM (généralement située entre 8x et 12x), ce qui traduit une prime de qualité consentie par les investisseurs pour la régularité des résultats et la solidité du modèle d'affaires. Le ratio **EV/EBITDA de 11,0x**, situé dans la fourchette 10-15x, confirme cette valorisation élevée qui intègre les perspectives de croissance de la banque. Le P/B n'étant pas fourni dans les données disponibles, il n'est pas commenté ici, mais la capitalisation rapportée aux fonds propres estimés suggère une valorisation cohérente avec les standards du secteur bancaire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affiche une performance exceptionnelle de **+88,20%**, avec une dernière séance en hausse de **+5,67%**, portant le cours à **30 300 FCFA**. Le range de trading est particulièrement large, oscillant entre un plus bas de **16 100 FCFA** et un plus haut de **34 450 FCFA**, ce qui traduit une tendance nettement haussière mais ponctuée de corrections significatives. La moyenne de **25 872 FCFA** se situe en dessous de la médiane de **27 140 FCFA**, indiquant une légère asymétrie négative confirmée par le skewness de **-0,126** (distribution quasi-symétrique), tandis que le mode à **22 000 FCFA** suggère que le cours a longtemps stagné avant son envolée récente. L'écart-type de **5 051 FCFA** avec un coefficient de variation de **19,5%** révèle une dispersion modérée du cours autour de sa moyenne, et le kurtosis de **-0,986** (mésokurtique) indique une distribution proche de la normale, sans risque excessif de pics extrêmes. La volatilité annualisée de **43,7%** classe ce titre dans la catégorie des valeurs à volatilité élevée (&gt;30%), ce qui est cohérent avec la forte progression récente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**32 477,75 FCFA** et la MM50 à **29 974,90 FCFA**, toutes deux supérieures au cours actuel de 30 300 FCFA. Le croisement haussier MM20 &gt; MM50 confirme la tendance de fond positive, mais le fait que le cours évolue sous la MM20 signale une consolidation à court terme. La décision technique globale reste **Achat**, portée par la structure haussière des moyennes.</w:t>
      </w:r>
    </w:p>
    <w:p>
      <w:pPr>
        <w:spacing w:after="120" w:line="276" w:lineRule="auto"/>
      </w:pPr>
      <w:r>
        <w:t>**Bandes de Bollinger** : La borne supérieure est à **36 079,31 FCFA** et la borne inférieure à **28 876,19 FCFA**, avec un cours actuel de 30 300 FCFA positionné dans la moitié basse du canal. Cette position suggère une pression vendeuse récente mais sans rupture de tendance, la décision étant **Neutre** en raison de l'absence de signal clair de rebond ou de cassure.</w:t>
      </w:r>
    </w:p>
    <w:p>
      <w:pPr>
        <w:spacing w:after="120" w:line="276" w:lineRule="auto"/>
      </w:pPr>
      <w:r>
        <w:t>**MACD** : La valeur du MACD (**433,05**) est nettement inférieure à son signal (**1 060,29**), générant une divergence baissière et une décision de **Vente**. Cet écart indique un essoufflement du momentum haussier et un possible retournement à court terme, bien que le MACD reste en territoire positif.</w:t>
      </w:r>
    </w:p>
    <w:p>
      <w:pPr>
        <w:spacing w:after="120" w:line="276" w:lineRule="auto"/>
      </w:pPr>
      <w:r>
        <w:t>**RSI** : À **35,38**, le RSI se situe dans la zone neutre basse (30-70), proche du seuil de survente (30). La décision est **Neutre**, mais cette configuration suggère que le titre pourrait être proche d'un point d'entrée si un rebond technique se confirme.</w:t>
      </w:r>
    </w:p>
    <w:p>
      <w:pPr>
        <w:spacing w:after="120" w:line="276" w:lineRule="auto"/>
      </w:pPr>
      <w:r>
        <w:t>**Stochastique** : Le %K (**28,14**) est supérieur au %D (**9,38**), avec un croisement récent en zone de survente qui pourrait annoncer un retournement haussier. La décision reste toutefois **Neutre** en l'absence de confirmation par les volumes.</w:t>
      </w:r>
    </w:p>
    <w:p>
      <w:pPr>
        <w:spacing w:after="120" w:line="276" w:lineRule="auto"/>
      </w:pPr>
      <w:r>
        <w:t>**Conclusion technique** : Les indicateurs présentent un tableau mitigé. La tendance de fond reste haussière (MM20 &gt; MM50), mais le MACD baissier, le cours sous la MM20 et la position basse dans les Bandes de Bollinger signalent une consolidation en cours. Le RSI et le Stochastique, proches de la survente, suggèrent qu'un rebond technique est possible à court terme, mais la prudence reste de mise tant que le MACD n'aura pas confirmé un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affiche un **Produit Net Bancaire (PNB) de 138,986 Mds FCFA**, en croissance de **+6,11%**, et un **résultat net de 65,495 Mds FCFA**, en progression spectaculaire de **+36,6%** par rapport à 2024 (47,937 Mds FCFA). Le **coefficient d'exploitation de 36,39%** est excellent (&lt; 50%), confirmant une efficacité opérationnelle remarquable. Le **ROA de 2,18%** et la **marge nette de 47,12%** témoignent d'une rentabilité solide, tandis que le **coût du risque** s'est amélioré de 59,3%, traduisant l'assainissement réussi du portefeuille de crédits. Les dépôts clientèle atteignent **2 015,28 Mds FCFA** (+14,9%) pour des créances clientèle de **1 326,98 Mds FCFA** (+5,4%), avec un ratio dépôts/crédits de 152%, reflétant une surliquidité confortable.</w:t>
      </w:r>
    </w:p>
    <w:p>
      <w:pPr>
        <w:spacing w:after="120" w:line="276" w:lineRule="auto"/>
      </w:pPr>
      <w:r>
        <w:t>**Estimations basées sur les rapports trimestriels** : Le rapport du **T1 2026 (publié en 2026)** révèle une accélération spectaculaire avec un PNB de **36,8 Mds FCFA (+28,5%)** et un résultat net de **21,5 Mds FCFA (+22,2%)**, portés par une collecte de dépôts exceptionnelle de **+37,9% à 2 365,1 Mds FCFA**. Sur cette base, on peut estimer que l'exercice 2026 devrait afficher un PNB supérieur à **160 Mds FCFA** et un résultat net approchant **80 Mds FCFA**, confirmant la dynamique haussière. Le rapport du **T3 2025 (30/09/2025)** indiquait déjà un PNB de **101,3 Mds FCFA (+9,65%)** et un résultat net de **52,9 Mds FCFA (+6,25%)**, avec une notation financière **AA/AI perspective stable** par Bloomfield Investment Corporation.</w:t>
      </w:r>
    </w:p>
    <w:p>
      <w:pPr>
        <w:spacing w:after="120" w:line="276" w:lineRule="auto"/>
      </w:pPr>
      <w:r>
        <w:t>**Évolution pluriannuelle** : De 2022 (résultat net de 56,5 Mds FCFA) à 2024 (47,9 Mds FCFA, en baisse de -25,4% à cause de l'assainissement), puis 2025 (65,5 Mds FCFA, +36,6%), la banque démontre une capacité de rebond remarquable. Le rapport annuel 2024 (publié en 2024) soulignait une explosion du coût du risque (+72,5%) qui a été absorbée dès 2025.</w:t>
      </w:r>
    </w:p>
    <w:p>
      <w:pPr>
        <w:spacing w:after="120" w:line="276" w:lineRule="auto"/>
      </w:pPr>
      <w:r>
        <w:t>**Recommandation fondamentale** : La solidité financière est incontestable (coefficient d'exploitation &lt; 40%, ROA &gt; 2%, notation AA), la croissance est soutenue par la collecte de dépôts, et les perspectives 2026 sont excellentes. Les risques principaux restent l'environnement sécuritaire et politique burkinabè, ainsi que la concentration géographique. **Recommandation : ACHAT**, avec un potentiel de revalorisation lié à la poursuite de la croissance des bénéfices.</w:t>
      </w:r>
    </w:p>
    <w:p>
      <w:pPr>
        <w:spacing w:after="120" w:line="276" w:lineRule="auto"/>
      </w:pPr>
      <w:r>
        <w:t>---</w:t>
      </w:r>
    </w:p>
    <w:p>
      <w:pPr>
        <w:spacing w:after="120" w:line="276" w:lineRule="auto"/>
      </w:pPr>
      <w:r>
        <w:t>## PARTIE 4 : CONCLUSION D'INVESTISSEMENT</w:t>
      </w:r>
    </w:p>
    <w:p>
      <w:pPr>
        <w:spacing w:after="120" w:line="276" w:lineRule="auto"/>
      </w:pPr>
      <w:r>
        <w:t>La valorisation (Partie 0) affiche un PER de 14,8x, légèrement supérieur à la moyenne BRVM, mais justifié par la qualité des résultats et les perspectives de croissance, tandis que l'EV/EBITDA de 11,0x reste dans les standards élevés du secteur. Le comportement du cours (Partie 1) est exceptionnel (+88,2% sur 100 jours) avec une volatilité élevée (43,7%) et une distribution symétrique (skewness -0,126, kurtosis -0,986) qui ne présente pas de risque extrême. Les signaux techniques (Partie 2) sont mitigés : tendance de fond haussière (MM20 &gt; MM50) mais consolidation à court terme (MACD baissier, cours sous MM20), avec un RSI proche de la survente qui pourrait annoncer un rebond. Les fondamentaux (Partie 3) sont excellents : résultat net 2025 de 65,5 Mds FCFA (+36,6%), coefficient d'exploitation de 36,4%, et T1 2026 confirmant une accélération (+22,2% de résultat net). Les prédictions IA (J+1 à J+10) anticipent une légère correction vers **28 756 FCFA** (-5,1%), ce qui contredit la dynamique fondamentale mais s'aligne sur la consolidation technique en cours.</w:t>
      </w:r>
    </w:p>
    <w:p>
      <w:pPr>
        <w:spacing w:after="120" w:line="276" w:lineRule="auto"/>
      </w:pPr>
      <w:r>
        <w:t>**Synthèse globale** : La convergence entre fondamentaux solides, valorisation raisonnable et tendance de fond haussière l'emporte sur les signaux techniques baissiers à court terme et la prédiction de correction. La correction anticipée par l'IA pourrait constituer une opportunité d'entrée pour les investisseurs de moyen terme.</w:t>
      </w:r>
    </w:p>
    <w:p>
      <w:pPr>
        <w:spacing w:after="120" w:line="276" w:lineRule="auto"/>
      </w:pPr>
      <w:r>
        <w:t>**Recommandation finale : ACHAT**</w:t>
        <w:br/>
        <w:t>- **Justification** : Convergence des fondamentaux (croissance du résultat net, efficacité opérationnelle) et de la tendance de fond (MM20 &gt; MM50), malgré une consolidation technique à court terme et une prédiction de correction mineure.</w:t>
        <w:br/>
        <w:t>- **Niveau de confiance** : Moyen (les signaux techniques à court terme sont baissiers, mais les fondamentaux et la tendance de fond sont solides).</w:t>
        <w:br/>
        <w:t>- **Niveau de risque global** : Moyen (volatilité élevée à 43,7%, exposition aux risques pays burkinabè, mais solidité financière avérée).</w:t>
        <w:br/>
        <w:t>- **Horizon d'investissement optimal** : **Moyen terme (3-12 mois)**, le temps que la consolidation technique s'achève et que la croissance des bénéfices se matérialise dans le cours.</w:t>
      </w:r>
    </w:p>
    <w:p>
      <w:pPr>
        <w:spacing w:after="120" w:line="276" w:lineRule="auto"/>
      </w:pPr>
      <w:r>
        <w:t>---</w:t>
      </w:r>
    </w:p>
    <w:p>
      <w:pPr>
        <w:spacing w:after="120" w:line="276" w:lineRule="auto"/>
      </w:pPr>
      <w:r>
        <w:t>*Rapport généré sur la base des données officielles BRVM et des rapports financiers disponibles à la date d'analyse. Les performances passées ne préjugent pas des performances futures.*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279.31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3,688 titres</w:t>
            </w:r>
          </w:p>
        </w:tc>
        <w:tc>
          <w:tcPr>
            <w:tcW w:type="dxa" w:w="2268"/>
            <w:shd w:fill="FFF2CC" w:val="clear"/>
          </w:tcPr>
          <w:p>
            <w:r>
              <w:rPr>
                <w:b/>
                <w:color w:val="503200"/>
                <w:sz w:val="16"/>
              </w:rPr>
              <w:t xml:space="preserve">Cours actuel : </w:t>
            </w:r>
            <w:r>
              <w:rPr>
                <w:color w:val="000000"/>
                <w:sz w:val="17"/>
              </w:rPr>
              <w:t>1,540 FCFA</w:t>
            </w:r>
          </w:p>
          <w:p>
            <w:r>
              <w:rPr>
                <w:b/>
                <w:color w:val="503200"/>
                <w:sz w:val="16"/>
              </w:rPr>
              <w:t xml:space="preserve">Var. 100 jours : </w:t>
            </w:r>
            <w:r>
              <w:rPr>
                <w:b/>
                <w:color w:val="007800"/>
                <w:sz w:val="17"/>
              </w:rPr>
              <w:t>+7.69%</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6.74% (Moyenne) — μ=1,624 FCFA, σ=109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β=0.9496 (Neutre (suit le marché)) — Cov=0.000042, Var(idx)=0.000045, ρ=0.217,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1,478</w:t>
            </w:r>
          </w:p>
        </w:tc>
        <w:tc>
          <w:tcPr>
            <w:tcW w:type="dxa" w:w="1440"/>
            <w:shd w:fill="FAFAFA" w:val="clear"/>
          </w:tcPr>
          <w:p>
            <w:r>
              <w:rPr>
                <w:b/>
                <w:sz w:val="17"/>
              </w:rPr>
              <w:t>1,543</w:t>
            </w:r>
          </w:p>
        </w:tc>
        <w:tc>
          <w:tcPr>
            <w:tcW w:type="dxa" w:w="1440"/>
            <w:shd w:fill="FAFAFA" w:val="clear"/>
          </w:tcPr>
          <w:p>
            <w:r>
              <w:rPr>
                <w:sz w:val="17"/>
              </w:rPr>
              <w:t>1,607</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1,456</w:t>
            </w:r>
          </w:p>
        </w:tc>
        <w:tc>
          <w:tcPr>
            <w:tcW w:type="dxa" w:w="1440"/>
            <w:shd w:fill="FAFAFA" w:val="clear"/>
          </w:tcPr>
          <w:p>
            <w:r>
              <w:rPr>
                <w:b/>
                <w:sz w:val="17"/>
              </w:rPr>
              <w:t>1,547</w:t>
            </w:r>
          </w:p>
        </w:tc>
        <w:tc>
          <w:tcPr>
            <w:tcW w:type="dxa" w:w="1440"/>
            <w:shd w:fill="FAFAFA" w:val="clear"/>
          </w:tcPr>
          <w:p>
            <w:r>
              <w:rPr>
                <w:sz w:val="17"/>
              </w:rPr>
              <w:t>1,639</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1,441</w:t>
            </w:r>
          </w:p>
        </w:tc>
        <w:tc>
          <w:tcPr>
            <w:tcW w:type="dxa" w:w="1440"/>
            <w:shd w:fill="FAFAFA" w:val="clear"/>
          </w:tcPr>
          <w:p>
            <w:r>
              <w:rPr>
                <w:b/>
                <w:sz w:val="17"/>
              </w:rPr>
              <w:t>1,554</w:t>
            </w:r>
          </w:p>
        </w:tc>
        <w:tc>
          <w:tcPr>
            <w:tcW w:type="dxa" w:w="1440"/>
            <w:shd w:fill="FAFAFA" w:val="clear"/>
          </w:tcPr>
          <w:p>
            <w:r>
              <w:rPr>
                <w:sz w:val="17"/>
              </w:rPr>
              <w:t>1,667</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1,430</w:t>
            </w:r>
          </w:p>
        </w:tc>
        <w:tc>
          <w:tcPr>
            <w:tcW w:type="dxa" w:w="1440"/>
            <w:shd w:fill="FAFAFA" w:val="clear"/>
          </w:tcPr>
          <w:p>
            <w:r>
              <w:rPr>
                <w:b/>
                <w:sz w:val="17"/>
              </w:rPr>
              <w:t>1,561</w:t>
            </w:r>
          </w:p>
        </w:tc>
        <w:tc>
          <w:tcPr>
            <w:tcW w:type="dxa" w:w="1440"/>
            <w:shd w:fill="FAFAFA" w:val="clear"/>
          </w:tcPr>
          <w:p>
            <w:r>
              <w:rPr>
                <w:sz w:val="17"/>
              </w:rPr>
              <w:t>1,691</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1,421</w:t>
            </w:r>
          </w:p>
        </w:tc>
        <w:tc>
          <w:tcPr>
            <w:tcW w:type="dxa" w:w="1440"/>
            <w:shd w:fill="FAFAFA" w:val="clear"/>
          </w:tcPr>
          <w:p>
            <w:r>
              <w:rPr>
                <w:b/>
                <w:sz w:val="17"/>
              </w:rPr>
              <w:t>1,567</w:t>
            </w:r>
          </w:p>
        </w:tc>
        <w:tc>
          <w:tcPr>
            <w:tcW w:type="dxa" w:w="1440"/>
            <w:shd w:fill="FAFAFA" w:val="clear"/>
          </w:tcPr>
          <w:p>
            <w:r>
              <w:rPr>
                <w:sz w:val="17"/>
              </w:rPr>
              <w:t>1,714</w:t>
            </w:r>
          </w:p>
        </w:tc>
        <w:tc>
          <w:tcPr>
            <w:tcW w:type="dxa" w:w="1440"/>
            <w:shd w:fill="FAFAFA" w:val="clear"/>
          </w:tcPr>
          <w:p>
            <w:r>
              <w:rPr>
                <w:b/>
                <w:color w:val="008000"/>
                <w:sz w:val="17"/>
              </w:rPr>
              <w:t>+1.8%</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1,413</w:t>
            </w:r>
          </w:p>
        </w:tc>
        <w:tc>
          <w:tcPr>
            <w:tcW w:type="dxa" w:w="1440"/>
            <w:shd w:fill="C6EFCE" w:val="clear"/>
          </w:tcPr>
          <w:p>
            <w:r>
              <w:rPr>
                <w:b/>
                <w:sz w:val="17"/>
              </w:rPr>
              <w:t>1,574</w:t>
            </w:r>
          </w:p>
        </w:tc>
        <w:tc>
          <w:tcPr>
            <w:tcW w:type="dxa" w:w="1440"/>
            <w:shd w:fill="C6EFCE" w:val="clear"/>
          </w:tcPr>
          <w:p>
            <w:r>
              <w:rPr>
                <w:sz w:val="17"/>
              </w:rPr>
              <w:t>1,736</w:t>
            </w:r>
          </w:p>
        </w:tc>
        <w:tc>
          <w:tcPr>
            <w:tcW w:type="dxa" w:w="1440"/>
            <w:shd w:fill="C6EFCE" w:val="clear"/>
          </w:tcPr>
          <w:p>
            <w:r>
              <w:rPr>
                <w:b/>
                <w:color w:val="008000"/>
                <w:sz w:val="17"/>
              </w:rPr>
              <w:t>+2.2%</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1,406</w:t>
            </w:r>
          </w:p>
        </w:tc>
        <w:tc>
          <w:tcPr>
            <w:tcW w:type="dxa" w:w="1440"/>
            <w:shd w:fill="C6EFCE" w:val="clear"/>
          </w:tcPr>
          <w:p>
            <w:r>
              <w:rPr>
                <w:b/>
                <w:sz w:val="17"/>
              </w:rPr>
              <w:t>1,581</w:t>
            </w:r>
          </w:p>
        </w:tc>
        <w:tc>
          <w:tcPr>
            <w:tcW w:type="dxa" w:w="1440"/>
            <w:shd w:fill="C6EFCE" w:val="clear"/>
          </w:tcPr>
          <w:p>
            <w:r>
              <w:rPr>
                <w:sz w:val="17"/>
              </w:rPr>
              <w:t>1,756</w:t>
            </w:r>
          </w:p>
        </w:tc>
        <w:tc>
          <w:tcPr>
            <w:tcW w:type="dxa" w:w="1440"/>
            <w:shd w:fill="C6EFCE" w:val="clear"/>
          </w:tcPr>
          <w:p>
            <w:r>
              <w:rPr>
                <w:b/>
                <w:color w:val="008000"/>
                <w:sz w:val="17"/>
              </w:rPr>
              <w:t>+2.7%</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1,400</w:t>
            </w:r>
          </w:p>
        </w:tc>
        <w:tc>
          <w:tcPr>
            <w:tcW w:type="dxa" w:w="1440"/>
            <w:shd w:fill="C6EFCE" w:val="clear"/>
          </w:tcPr>
          <w:p>
            <w:r>
              <w:rPr>
                <w:b/>
                <w:sz w:val="17"/>
              </w:rPr>
              <w:t>1,587</w:t>
            </w:r>
          </w:p>
        </w:tc>
        <w:tc>
          <w:tcPr>
            <w:tcW w:type="dxa" w:w="1440"/>
            <w:shd w:fill="C6EFCE" w:val="clear"/>
          </w:tcPr>
          <w:p>
            <w:r>
              <w:rPr>
                <w:sz w:val="17"/>
              </w:rPr>
              <w:t>1,775</w:t>
            </w:r>
          </w:p>
        </w:tc>
        <w:tc>
          <w:tcPr>
            <w:tcW w:type="dxa" w:w="1440"/>
            <w:shd w:fill="C6EFCE" w:val="clear"/>
          </w:tcPr>
          <w:p>
            <w:r>
              <w:rPr>
                <w:b/>
                <w:color w:val="008000"/>
                <w:sz w:val="17"/>
              </w:rPr>
              <w:t>+3.1%</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1,394</w:t>
            </w:r>
          </w:p>
        </w:tc>
        <w:tc>
          <w:tcPr>
            <w:tcW w:type="dxa" w:w="1440"/>
            <w:shd w:fill="C6EFCE" w:val="clear"/>
          </w:tcPr>
          <w:p>
            <w:r>
              <w:rPr>
                <w:b/>
                <w:sz w:val="17"/>
              </w:rPr>
              <w:t>1,594</w:t>
            </w:r>
          </w:p>
        </w:tc>
        <w:tc>
          <w:tcPr>
            <w:tcW w:type="dxa" w:w="1440"/>
            <w:shd w:fill="C6EFCE" w:val="clear"/>
          </w:tcPr>
          <w:p>
            <w:r>
              <w:rPr>
                <w:sz w:val="17"/>
              </w:rPr>
              <w:t>1,794</w:t>
            </w:r>
          </w:p>
        </w:tc>
        <w:tc>
          <w:tcPr>
            <w:tcW w:type="dxa" w:w="1440"/>
            <w:shd w:fill="C6EFCE" w:val="clear"/>
          </w:tcPr>
          <w:p>
            <w:r>
              <w:rPr>
                <w:b/>
                <w:color w:val="008000"/>
                <w:sz w:val="17"/>
              </w:rPr>
              <w:t>+3.5%</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1,389</w:t>
            </w:r>
          </w:p>
        </w:tc>
        <w:tc>
          <w:tcPr>
            <w:tcW w:type="dxa" w:w="1440"/>
            <w:shd w:fill="C6EFCE" w:val="clear"/>
          </w:tcPr>
          <w:p>
            <w:r>
              <w:rPr>
                <w:b/>
                <w:sz w:val="17"/>
              </w:rPr>
              <w:t>1,600</w:t>
            </w:r>
          </w:p>
        </w:tc>
        <w:tc>
          <w:tcPr>
            <w:tcW w:type="dxa" w:w="1440"/>
            <w:shd w:fill="C6EFCE" w:val="clear"/>
          </w:tcPr>
          <w:p>
            <w:r>
              <w:rPr>
                <w:sz w:val="17"/>
              </w:rPr>
              <w:t>1,812</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279,31 milliards FCFA, CFAC figure parmi les valeurs les plus importantes de la cote BRVM, ce qui témoigne de son statut de leader du secteur automobile ivoirien et de sa liquidité relative sur le marché. Le BPA de 26 FCFA/action signifie que chaque titre génère 26 FCFA de bénéfice net, un niveau modeste au regard du cours actuel de 1 540 FCFA. Le PER de 59,5x traduit une valorisation très exigeante : les investisseurs paient près de 60 fois les bénéfices, soit un multiple cinq à sept fois supérieur à la moyenne BRVM (8-12x), ce qui intègre probablement une forte anticipation de croissance future. Le P/B de 14,36x confirme cette prime spectaculaire, le marché valorisant la société à plus de 14 fois sa valeur comptable, bien au-delà du seuil de 4x généralement considéré comme élevé. Enfin, l'EV/EBITDA de 30,3x, très supérieur au seuil de 15x, indique que la valeur d'entreprise (dette incluse) représente plus de 30 fois la capacité opérationnelle de génération de cash, signalant une valorisation tendue qui exige une exécution opérationnelle irréprochable pour être justifiée.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positive de +7,69%, avec une accélération notable de +4,05% lors de la dernière séance (J-1), signalant un regain d'intérêt acheteur à court terme. Le cours actuel de 1 540 FCFA se situe dans la moitié inférieure du range de trading, le plus haut ayant atteint 1 825 FCFA et le plus bas 1 325 FCFA, soit une amplitude de 500 FCFA (37,7%) qui témoigne d'une réelle volatilité. La tendance générale reste haussière sur la période malgré la correction depuis les sommets, le titre ayant consolidé après un pic. Les statistiques descriptives révèlent une moyenne de 1 624 FCFA légèrement inférieure à la médiane de 1 642 FCFA, avec un mode à 1 600 FCFA : cet écart modéré entre moyenne et médiane, combiné à un skewness négatif de -0,595, indique une asymétrie à gauche avec davantage de journées de cotation au-dessus de la moyenne, mais quelques séances de forte baisse tirant la moyenne vers le bas. L'écart-type de 110 FCFA (CV de 6,8%) traduit une dispersion modérée du cours autour de sa moyenne, tandis que le kurtosis de -0,320 (mésokurtique) suggère une distribution proche de la normale, sans risque excessif de pics extrêmes. La volatilité annualisée de 47,9% classe ce titre dans la catégorie des valeurs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1 680,75 FCFA et la MM50 à 1 672,8 FCFA, toutes deux nettement supérieures au cours actuel de 1 540 FCFA. Cette configuration place le titre en dessous de ses moyennes mobiles, ce qui traduit une pression baissière de court et moyen terme. Toutefois, la décision technique affichée est « Achat », probablement en anticipation d'un retournement ou d'un rebond technique vers ces niveaux de résistance dynamique.</w:t>
      </w:r>
    </w:p>
    <w:p>
      <w:pPr>
        <w:spacing w:after="120" w:line="276" w:lineRule="auto"/>
      </w:pPr>
      <w:r>
        <w:t>**Bandes de Bollinger** : La borne supérieure se situe à 1 832,69 FCFA et la borne inférieure à 1 528,81 FCFA, avec un cours actuel de 1 540 FCFA très proche de la borne basse. Cette position suggère que le titre évolue en zone de survente relative, la volatilité ayant élargi les bandes. La décision est « Neutre », le marché attendant une confirmation de direction avant de s'engager.</w:t>
      </w:r>
    </w:p>
    <w:p>
      <w:pPr>
        <w:spacing w:after="120" w:line="276" w:lineRule="auto"/>
      </w:pPr>
      <w:r>
        <w:t>**MACD** : La valeur du MACD est de -36,372 contre un signal à -12,967, soit une divergence négative où le MACD est inférieur à son signal. Cette configuration indique un momentum baissier persistant, bien que la décision affichée soit « Vente », confirmant que la dynamique de court terme reste défavorable malgré le rebond de J-1.</w:t>
      </w:r>
    </w:p>
    <w:p>
      <w:pPr>
        <w:spacing w:after="120" w:line="276" w:lineRule="auto"/>
      </w:pPr>
      <w:r>
        <w:t>**RSI** : À 24,691, le RSI se situe en zone de survente (&lt;30), ce qui est techniquement un signal d'achat potentiel. Cette lecture suggère que la pression vendeuse pourrait s'épuiser et qu'un rebond technique est probable, la décision affichée étant logiquement « Achat ».</w:t>
      </w:r>
    </w:p>
    <w:p>
      <w:pPr>
        <w:spacing w:after="120" w:line="276" w:lineRule="auto"/>
      </w:pPr>
      <w:r>
        <w:t>**Stochastique** : Le %K est à 23,077 et le %D à 7,692, avec un %K supérieur au %D, ce qui peut indiquer un début de croisement haussier en zone de survente. La décision est « Neutre », le signal n'étant pas encore confirmé.</w:t>
      </w:r>
    </w:p>
    <w:p>
      <w:pPr>
        <w:spacing w:after="120" w:line="276" w:lineRule="auto"/>
      </w:pPr>
      <w:r>
        <w:t>**Conclusion technique** : Les indicateurs présentent une divergence notable : le RSI en survente et le stochastique en zone basse plaident pour un rebond technique, tandis que le MACD baissier et le cours sous les moyennes mobiles mobiles tempèrent cet optimisme. La décision globale est mitigée, avec une majorité de signaux neutres ou contradictoires, suggérant une phase de consolidation avant une éventuelle reprise. Le rebond de +4,05% en J-1 pourrait être le prémice d'un retournement, mais une confirmation par le franchissement de la MM20 (1 680 FCFA) serait nécessaire pour valider une tendance haussière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 chiffre d'affaires de 158,313 milliards FCFA, en baisse de -12,13% par rapport à 2023, et un résultat net de 4,693 milliards FCFA, en recul de -26,7%. Le ROE demeure élevé à 24,13%, témoignant d'une rentabilité des fonds propres supérieure au seuil de 15%, tandis que le ROA de 5,52% reste modéré. La marge nette de 2,96% et la marge opérationnelle de 4,96% traduisent une pression sur les marges, confirmée par la contraction de la marge commerciale. Sur le plan bilanciel, le BFR est négatif à -3,482 milliards FCFA (favorable), mais la trésorerie nette est négative à -624,2 millions FCFA, et le free cash flow s'établit à -1,650 milliard FCFA en raison d'investissements lourds (-8,741 milliards FCFA). Les délais clients (36,64 jours) et fournisseurs (81,75 jours) sont maîtrisés, mais la durée de stockage élevée (88,35 jours) immobilise du capital. L'autonomie financière de 22,88% est inférieure au seuil sain de 30%, et la liquidité générale de 93,63% frôle le seuil critique de 1. Les rapports trimestriels 2025 (T1, S1, T3) publiés respectivement en mars, juin et septembre 2025 montrent une nette amélioration : au T3 2025, le CA progresse de +18,3% à 43,580 milliards FCFA et le résultat net bondit de +38,1% à 1,489 milliard FCFA, avec une marge nette de 3,42% contre 2,93% un an plus tôt. Sur la base de ces rapports trimestriels, on peut estimer que l'exercice 2025 devrait renouer avec la croissance, le S1 2025 affichant déjà un résultat net de 5,420 milliards FCFA (+152,7%) et une marge nette de 5,9%. La dynamique commerciale est soutenue par une part de marché de 41,7% et une progression des volumes (+18,3%), portée par les marques Suzuki et Toyota. Toutefois, les risques persistent : dépendance aux coûts d'achat (79% du CA), endettement locatif IFRS 16, et politique de dividende historiquement généreuse (taux de distribution de 88,1% en 2023). En conclusion, la solidité fondamentale de CFAC repose sur son leadership, son ROE élevé et son redressement en 2025, mais les risques liés à la trésorerie, à l'endettement et à la volatilité des marges nécessitent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très exigeante (PER 59,5x, P/B 14,36x, EV/EBITDA 30,3x), bien au-dessus des moyennes du marché BRVM, ce qui intègre des anticipations de croissance forte qui devront être confirmées par les résultats. Le comportement du cours sur 100 jours est haussier (+7,69%) mais avec une volatilité élevée (47,9%) et une asymétrie négative (skewness -0,595), ce qui suggère des risques de correction malgré le rebond récent. Les signaux techniques sont divergents : le RSI en survente (24,69) et le stochastique bas plaident pour un rebond, mais le MACD baissier et le cours sous les moyennes mobiles tempèrent l'optimisme, la décision globale étant neutre à légèrement haussière. Les fondamentaux montrent un redressement en 2025 (CA +18,3% au T3, résultat net +38,1%) après une année 2024 difficile, avec un ROE élevé (24,13%) et un BFR négatif, mais une trésorerie nette négative et un free cash flow négatif. Les prédictions IA pour les 10 prochains jours (1 543 → 1 567 FCFA) anticipent une légère progression, confirmant la possibilité d'un rebond technique sans pour autant effacer les risques baissiers. Sur la base de cette synthèse, la recommandation est **CONSERVER** avec un niveau de confiance **Moyen** et un risque global **Élevé**. La convergence partielle entre le rebond technique attendu, l'amélioration fondamentale en 2025 et les prédictions haussières justifie une position attentiste, mais la valorisation tendue et la volatilité du titre incitent à la prudence. L'horizon d'investissement optimal est le **moyen terme (3-12 mois)**, le temps que les résultats 2025 confirment la trajectoire de croissance et que la trésorerie se redresse. Un passage à l'achat serait envisageable si le cours franchit durablement la MM20 (1 680 FCFA) avec un MACD redevenant haussier, ou si les résultats annuels 2025 dépassent les attentes. À l'inverse, une rupture de la borne inférieure de Bollinger (1 528 FCFA) pourrait signaler une poursuite de la correction et justifier une réduction de l'exposition.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344.40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7,157 titres</w:t>
            </w:r>
          </w:p>
        </w:tc>
        <w:tc>
          <w:tcPr>
            <w:tcW w:type="dxa" w:w="2268"/>
            <w:shd w:fill="FFF2CC" w:val="clear"/>
          </w:tcPr>
          <w:p>
            <w:r>
              <w:rPr>
                <w:b/>
                <w:color w:val="503200"/>
                <w:sz w:val="16"/>
              </w:rPr>
              <w:t xml:space="preserve">Cours actuel : </w:t>
            </w:r>
            <w:r>
              <w:rPr>
                <w:color w:val="000000"/>
                <w:sz w:val="17"/>
              </w:rPr>
              <w:t>6,150 FCFA</w:t>
            </w:r>
          </w:p>
          <w:p>
            <w:r>
              <w:rPr>
                <w:b/>
                <w:color w:val="503200"/>
                <w:sz w:val="16"/>
              </w:rPr>
              <w:t xml:space="preserve">Var. 100 jours : </w:t>
            </w:r>
            <w:r>
              <w:rPr>
                <w:b/>
                <w:color w:val="007800"/>
                <w:sz w:val="17"/>
              </w:rPr>
              <w:t>+89.23%</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3,010 FCFA</w:t>
            </w:r>
          </w:p>
          <w:p>
            <w:r>
              <w:rPr>
                <w:b/>
                <w:color w:val="503200"/>
                <w:sz w:val="16"/>
              </w:rPr>
              <w:t xml:space="preserve">Volatilité ann. : </w:t>
            </w:r>
            <w:r>
              <w:rPr>
                <w:color w:val="000000"/>
                <w:sz w:val="17"/>
              </w:rPr>
              <w:t>51.7%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21.35% (Élevée) — μ=5,281 FCFA, σ=1,127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β=0.9943 (Neutre (suit le marché)) — Cov=0.000044, Var(idx)=0.000045, ρ=0.202,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7,157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5,749</w:t>
            </w:r>
          </w:p>
        </w:tc>
        <w:tc>
          <w:tcPr>
            <w:tcW w:type="dxa" w:w="1440"/>
            <w:shd w:fill="FAFAFA" w:val="clear"/>
          </w:tcPr>
          <w:p>
            <w:r>
              <w:rPr>
                <w:b/>
                <w:sz w:val="17"/>
              </w:rPr>
              <w:t>6,105</w:t>
            </w:r>
          </w:p>
        </w:tc>
        <w:tc>
          <w:tcPr>
            <w:tcW w:type="dxa" w:w="1440"/>
            <w:shd w:fill="FAFAFA" w:val="clear"/>
          </w:tcPr>
          <w:p>
            <w:r>
              <w:rPr>
                <w:sz w:val="17"/>
              </w:rPr>
              <w:t>6,461</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5,568</w:t>
            </w:r>
          </w:p>
        </w:tc>
        <w:tc>
          <w:tcPr>
            <w:tcW w:type="dxa" w:w="1440"/>
            <w:shd w:fill="FAFAFA" w:val="clear"/>
          </w:tcPr>
          <w:p>
            <w:r>
              <w:rPr>
                <w:b/>
                <w:sz w:val="17"/>
              </w:rPr>
              <w:t>6,068</w:t>
            </w:r>
          </w:p>
        </w:tc>
        <w:tc>
          <w:tcPr>
            <w:tcW w:type="dxa" w:w="1440"/>
            <w:shd w:fill="FAFAFA" w:val="clear"/>
          </w:tcPr>
          <w:p>
            <w:r>
              <w:rPr>
                <w:sz w:val="17"/>
              </w:rPr>
              <w:t>6,568</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5,423</w:t>
            </w:r>
          </w:p>
        </w:tc>
        <w:tc>
          <w:tcPr>
            <w:tcW w:type="dxa" w:w="1440"/>
            <w:shd w:fill="FAFAFA" w:val="clear"/>
          </w:tcPr>
          <w:p>
            <w:r>
              <w:rPr>
                <w:b/>
                <w:sz w:val="17"/>
              </w:rPr>
              <w:t>6,032</w:t>
            </w:r>
          </w:p>
        </w:tc>
        <w:tc>
          <w:tcPr>
            <w:tcW w:type="dxa" w:w="1440"/>
            <w:shd w:fill="FAFAFA" w:val="clear"/>
          </w:tcPr>
          <w:p>
            <w:r>
              <w:rPr>
                <w:sz w:val="17"/>
              </w:rPr>
              <w:t>6,641</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5,303</w:t>
            </w:r>
          </w:p>
        </w:tc>
        <w:tc>
          <w:tcPr>
            <w:tcW w:type="dxa" w:w="1440"/>
            <w:shd w:fill="FFDCE0" w:val="clear"/>
          </w:tcPr>
          <w:p>
            <w:r>
              <w:rPr>
                <w:b/>
                <w:sz w:val="17"/>
              </w:rPr>
              <w:t>6,004</w:t>
            </w:r>
          </w:p>
        </w:tc>
        <w:tc>
          <w:tcPr>
            <w:tcW w:type="dxa" w:w="1440"/>
            <w:shd w:fill="FFDCE0" w:val="clear"/>
          </w:tcPr>
          <w:p>
            <w:r>
              <w:rPr>
                <w:sz w:val="17"/>
              </w:rPr>
              <w:t>6,704</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5,201</w:t>
            </w:r>
          </w:p>
        </w:tc>
        <w:tc>
          <w:tcPr>
            <w:tcW w:type="dxa" w:w="1440"/>
            <w:shd w:fill="FFDCE0" w:val="clear"/>
          </w:tcPr>
          <w:p>
            <w:r>
              <w:rPr>
                <w:b/>
                <w:sz w:val="17"/>
              </w:rPr>
              <w:t>5,980</w:t>
            </w:r>
          </w:p>
        </w:tc>
        <w:tc>
          <w:tcPr>
            <w:tcW w:type="dxa" w:w="1440"/>
            <w:shd w:fill="FFDCE0" w:val="clear"/>
          </w:tcPr>
          <w:p>
            <w:r>
              <w:rPr>
                <w:sz w:val="17"/>
              </w:rPr>
              <w:t>6,760</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5,109</w:t>
            </w:r>
          </w:p>
        </w:tc>
        <w:tc>
          <w:tcPr>
            <w:tcW w:type="dxa" w:w="1440"/>
            <w:shd w:fill="FFDCE0" w:val="clear"/>
          </w:tcPr>
          <w:p>
            <w:r>
              <w:rPr>
                <w:b/>
                <w:sz w:val="17"/>
              </w:rPr>
              <w:t>5,961</w:t>
            </w:r>
          </w:p>
        </w:tc>
        <w:tc>
          <w:tcPr>
            <w:tcW w:type="dxa" w:w="1440"/>
            <w:shd w:fill="FFDCE0" w:val="clear"/>
          </w:tcPr>
          <w:p>
            <w:r>
              <w:rPr>
                <w:sz w:val="17"/>
              </w:rPr>
              <w:t>6,812</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5,026</w:t>
            </w:r>
          </w:p>
        </w:tc>
        <w:tc>
          <w:tcPr>
            <w:tcW w:type="dxa" w:w="1440"/>
            <w:shd w:fill="FFDCE0" w:val="clear"/>
          </w:tcPr>
          <w:p>
            <w:r>
              <w:rPr>
                <w:b/>
                <w:sz w:val="17"/>
              </w:rPr>
              <w:t>5,944</w:t>
            </w:r>
          </w:p>
        </w:tc>
        <w:tc>
          <w:tcPr>
            <w:tcW w:type="dxa" w:w="1440"/>
            <w:shd w:fill="FFDCE0" w:val="clear"/>
          </w:tcPr>
          <w:p>
            <w:r>
              <w:rPr>
                <w:sz w:val="17"/>
              </w:rPr>
              <w:t>6,861</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4,952</w:t>
            </w:r>
          </w:p>
        </w:tc>
        <w:tc>
          <w:tcPr>
            <w:tcW w:type="dxa" w:w="1440"/>
            <w:shd w:fill="FFDCE0" w:val="clear"/>
          </w:tcPr>
          <w:p>
            <w:r>
              <w:rPr>
                <w:b/>
                <w:sz w:val="17"/>
              </w:rPr>
              <w:t>5,930</w:t>
            </w:r>
          </w:p>
        </w:tc>
        <w:tc>
          <w:tcPr>
            <w:tcW w:type="dxa" w:w="1440"/>
            <w:shd w:fill="FFDCE0" w:val="clear"/>
          </w:tcPr>
          <w:p>
            <w:r>
              <w:rPr>
                <w:sz w:val="17"/>
              </w:rPr>
              <w:t>6,908</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4,883</w:t>
            </w:r>
          </w:p>
        </w:tc>
        <w:tc>
          <w:tcPr>
            <w:tcW w:type="dxa" w:w="1440"/>
            <w:shd w:fill="FFDCE0" w:val="clear"/>
          </w:tcPr>
          <w:p>
            <w:r>
              <w:rPr>
                <w:b/>
                <w:sz w:val="17"/>
              </w:rPr>
              <w:t>5,919</w:t>
            </w:r>
          </w:p>
        </w:tc>
        <w:tc>
          <w:tcPr>
            <w:tcW w:type="dxa" w:w="1440"/>
            <w:shd w:fill="FFDCE0" w:val="clear"/>
          </w:tcPr>
          <w:p>
            <w:r>
              <w:rPr>
                <w:sz w:val="17"/>
              </w:rPr>
              <w:t>6,954</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4,821</w:t>
            </w:r>
          </w:p>
        </w:tc>
        <w:tc>
          <w:tcPr>
            <w:tcW w:type="dxa" w:w="1440"/>
            <w:shd w:fill="FFDCE0" w:val="clear"/>
          </w:tcPr>
          <w:p>
            <w:r>
              <w:rPr>
                <w:b/>
                <w:sz w:val="17"/>
              </w:rPr>
              <w:t>5,911</w:t>
            </w:r>
          </w:p>
        </w:tc>
        <w:tc>
          <w:tcPr>
            <w:tcW w:type="dxa" w:w="1440"/>
            <w:shd w:fill="FFDCE0" w:val="clear"/>
          </w:tcPr>
          <w:p>
            <w:r>
              <w:rPr>
                <w:sz w:val="17"/>
              </w:rPr>
              <w:t>7,001</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344,40 milliards FCFA, la CIEC figure parmi les valeurs les plus importantes de la BRVM, ce qui témoigne de son statut de valeur de premier plan dans le compartiment des services publics. Le BPA de 234 FCFA/action indique que chaque titre génère 234 FCFA de bénéfice net, un niveau de rentabilité par action cohérent avec la progression du résultat net de 30% en 2025. Le PER de 26,2x est nettement supérieur à la moyenne du marché BRVM (8-12x), signalant que les investisseurs paient une prime significative pour les bénéfices, ce qui traduit soit une anticipation de forte croissance, soit une surévaluation relative. Le P/B de 9,58x, très au-dessus du seuil de 4x, confirme cette valorisation exigeante : le marché valorise l'entreprise à près de 10 fois sa valeur comptable, ce qui est élevé pour une société dont les capitaux propres s'élèvent à 35,96 milliards FCFA. Enfin, l'EV/EBITDA de 14,3x, dans la fourchette haute (10-15x), indique que la valeur d'entreprise (incluant la dette) représente 14,3 fois la capacité opérationnelle, une valorisation tendue qui intègre les perspectives de croissance mais laisse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+89,23%, passant d'un plus bas de 3 010 FCFA à un plus haut de 7 400 FCFA, avant de se replier légèrement à 6 150 FCFA, soit une baisse de -0,89% sur la dernière séance. Ce range de trading exceptionnel de 4 390 FCFA (soit près de 146% d'amplitude) témoigne d'une tendance générale nettement haussière, portée par des fondamentaux solides et un intérêt croissant des investisseurs pour le secteur électrique ivoirien. Les statistiques descriptives révèlent une moyenne de 5 281 FCFA légèrement supérieure à la médiane de 5 200 FCFA, avec un mode à 4 995 FCFA, indiquant une distribution quasi-symétrique mais avec une légère prédominance des cours élevés en fin de période. L'écart-type de 1 133 FCFA (CV=21,5%) traduit une dispersion modérée à élevée du cours autour de sa moyenne, cohérente avec la volatilité annualisée de 51,7% qui positionne le titre dans la catégorie des valeurs à volatilité élevée (&gt;30%). Le kurtosis de -0,548 (mésokurtique) suggère une distribution proche de la normale, sans risque excessif de pics extrêmes, tandis que le skewness de -0,135 (distribution symétrique) indique une absence de biais directionnel marqué, ce qui est rassurant pour la stabilité du comportement du titre.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6 731 FCFA et la MM50 à 6 049,3 FCFA, toutes deux supérieures au cours actuel de 6 150 FCFA. Cette configuration — cours sous les deux moyennes — signale une pression baissière de court terme, bien que la MM20 reste au-dessus de la MM50, ce qui maintient une structure haussière de moyen terme. La décision technique affichée est "Achat", probablement justifiée par le potentiel de rebond vers ces moyennes, mais la prudence s'impose car le cours évolue actuellement sous ces niveaux.</w:t>
      </w:r>
    </w:p>
    <w:p>
      <w:pPr>
        <w:spacing w:after="120" w:line="276" w:lineRule="auto"/>
      </w:pPr>
      <w:r>
        <w:t>**Bandes de Bollinger** : La borne supérieure se situe à 7 417,81 FCFA et la borne inférieure à 6 044,19 FCFA, avec un cours actuel de 6 150 FCFA qui évolue près de la borne inférieure. Cette position suggère que le titre est proche d'une zone de survente relative, mais la décision "Neutre" indique que les bandes ne sont pas encore suffisamment resserrées pour générer un signal directionnel clair. La largeur des bandes (environ 1 374 FCFA) reflète la volatilité élevée du titre, ce qui implique des mouvements amples possibles dans les deux sens.</w:t>
      </w:r>
    </w:p>
    <w:p>
      <w:pPr>
        <w:spacing w:after="120" w:line="276" w:lineRule="auto"/>
      </w:pPr>
      <w:r>
        <w:t>**MACD** : La valeur du MACD (40,784) est nettement inférieure à son signal (185,096), générant une divergence baissière marquée. Cette configuration indique un essoufflement du momentum haussier et un croisement baissier déjà effectué, ce qui justifie la décision "Vente". La faiblesse du MACD par rapport au signal suggère que la dynamique positive des 100 derniers jours s'essouffle, et un repli correctif pourrait se poursuivre à court terme.</w:t>
      </w:r>
    </w:p>
    <w:p>
      <w:pPr>
        <w:spacing w:after="120" w:line="276" w:lineRule="auto"/>
      </w:pPr>
      <w:r>
        <w:t>**RSI** : À 38,956, le RSI se situe dans la zone neutre basse (30-70), sans atteindre le seuil de survente (&lt;30). La décision "Neutre" reflète cette position médiane : le titre n'est ni suracheté ni survendu, mais la proximité de la zone de survente suggère qu'un rebond technique pourrait se produire si le RSI descendait sous 30. Actuellement, le RSI n'offre pas de signal directionnel fort.</w:t>
      </w:r>
    </w:p>
    <w:p>
      <w:pPr>
        <w:spacing w:after="120" w:line="276" w:lineRule="auto"/>
      </w:pPr>
      <w:r>
        <w:t>**Stochastique** : Les valeurs %K et %D sont toutes deux à 0,0, ce qui place le stochastique en zone de survente extrême. La décision "Achat" est justifiée par cette configuration : un croisement haussier du %K au-dessus du %D est attendu, ce qui pourrait signaler un retournement à la hausse à court terme. Cependant, la fiabilité de ce signal est renforcée par le fait que le stochastique est déjà en zone extrême, limitant le potentiel de baisse supplémentaire.</w:t>
      </w:r>
    </w:p>
    <w:p>
      <w:pPr>
        <w:spacing w:after="120" w:line="276" w:lineRule="auto"/>
      </w:pPr>
      <w:r>
        <w:t>**Conclusion technique** : Les indicateurs techniques présentent une divergence notable. D'un côté, le MACD génère un signal de vente clair avec une divergence baissière marquée, et le cours évolue sous ses moyennes mobiles, ce qui plaide pour une poursuite du repli. De l'autre côté, le stochastique en survente extrême et le RSI proche de la zone de survente suggèrent un potentiel de rebond technique. La décision globale est mitigée : le titre pourrait connaître une correction à court terme avant de reprendre sa tendance haussière de fond, portée par des fondamentaux solides.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(comptes sociaux SYSCOHADA) révèlent une entreprise en forte croissance : le chiffre d'affaires s'établit à 302,32 milliards FCFA, en progression de +14,82% par rapport à 2024, porté par une hausse des ventes d'énergie de +8,3% en volume et une expansion remarquable du nombre de clients (+15,1% à 5 282 283 clients). Le résultat net atteint 13,127 milliards FCFA, en hausse de 30% selon le rapport de 2025, avec une marge nette de 4,34% et un ROE exceptionnel de 36,50%, bien au-dessus du seuil de 15% considéré comme excellent. Le ROA reste faible à 0,65%, reflétant l'intensité capitalistique du secteur, mais la rotation des actifs de 14,98% et la marge opérationnelle de 7,40% témoignent d'une bonne efficacité opérationnelle. La structure financière présente des signaux contrastés : l'autonomie financière est très faible (1,78%), avec un ratio d'endettement de 612,94% et une dépendance financière de 98,22%, ce qui traduit un fort effet de levier. Cependant, la solvabilité générale reste supérieure à 1 (101,81%), la couverture des intérêts est excellente (617,75%) et la capacité de remboursement de 7,64 années est acceptable. Le BFR est négatif à -90,244 milliards FCFA, ce qui est favorable car il signifie que les dettes fournisseurs (278,106 milliards FCFA, délai de 970 jours) financent largement les créances clients (137,728 milliards FCFA, délai de 164 jours) et les stocks (50,134 milliards FCFA, 175 jours). Le rapport du 31 décembre 2026 (analysé par DeepSeek) confirme ces tendances et recommande de "CONSERVER" le titre, soulignant la solidité de la croissance et le dividende attractif de 234 FCFA/action (rendement de 3,8% au cours actuel), mais alertant sur le risque de crédit client et la dépendance réglementaire. Les rapports semestriels 2025 (S1 2025, datés du 30 juin 2025) indiquent un chiffre d'affaires de 134,923 milliards FCFA (+18,85%) et un résultat net de 5,096 milliards FCFA (+13,37%), ce qui permet d'estimer que l'exercice 2026 devrait maintenir une croissance à deux chiffres, portée par le programme PEPT (Programme Électricité Pour Tous) et la hausse des branchements (+53,5%). La comparaison avec les exercices antérieurs (2021-2024) montre une volatilité des résultats due aux changements de convention, mais la nouvelle convention de concession (2021-2032) offre une visibilité accrue. En synthèse, la CIEC présente des fondamentaux solides (croissance, rentabilité, BFR négatif) mais une structure financière très endettée et une valorisation exigeante, ce qui justifie une recommandation fondamentale de "CONSERVER" avec une surveillance accrue des risques de crédit et de régulation.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situation contrastée. Sur le plan de la **valorisation (Partie 0)**, les ratios PER (26,2x), P/B (9,58x) et EV/EBITDA (14,3x) indiquent une surévaluation relative par rapport aux moyennes du marché BRVM, ce qui limite le potentiel de hausse à court terme et expose le titre à un risque de correction. Le **comportement du cours (Partie 1)** montre une tendance haussière exceptionnelle (+89,23% sur 100 jours) mais avec une volatilité élevée (51,7%) et une distribution symétrique (skewness -0,135) sans risque de pics extrêmes (kurtosis -0,548), ce qui suggère que la correction actuelle pourrait être un point d'entrée pour les investisseurs de long terme. Les **signaux techniques (Partie 2)** sont divergents : le MACD est baissier (vente), le cours est sous ses moyennes mobiles, mais le stochastique en survente extrême (0,0) et le RSI proche de 30 suggèrent un rebond imminent. Les **fondamentaux (Partie 3)** sont solides : croissance du CA de +14,82% en 2025, résultat net en hausse de 30%, ROE de 36,50%, BFR négatif et dividende attractif, mais la structure financière très endettée (autonomie financière de 1,78%) et la dépendance réglementaire constituent des risques majeurs. Les **prédictions IA (J+1 à J+10)** anticipent une baisse continue de 6 105 FCFA à 5 980 FCFA, ce qui confirme la pression baissière de court terme identifiée par le MACD et les moyennes mobiles. Sur la base de cette synthèse, la recommandation finale est **CONSERVER** : la convergence entre la surévaluation, les signaux techniques baissiers de court terme et les prédictions IA à la baisse suggère d'éviter un achat immédiat, mais la solidité des fondamentaux et le potentiel de rebond technique (stochastique en survente) justifient de conserver les titres pour les investisseurs déjà positionnés. Le niveau de confiance est **Moyen** (les signaux sont divergents) et le niveau de risque global est **Élevé** (volatilité de 51,7%, endettement massif, dépendance réglementaire). L'horizon d'investissement optimal est **moyen terme (3-12 mois)** , le temps que la correction technique s'achève et que les fondamentaux solides reprennent le dessus, avec un objectif de cours à 6 500-7 000 FCFA si la tendance haussière de fond se confirme.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913.84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4,078 titres</w:t>
            </w:r>
          </w:p>
        </w:tc>
        <w:tc>
          <w:tcPr>
            <w:tcW w:type="dxa" w:w="2268"/>
            <w:shd w:fill="FFF2CC" w:val="clear"/>
          </w:tcPr>
          <w:p>
            <w:r>
              <w:rPr>
                <w:b/>
                <w:color w:val="503200"/>
                <w:sz w:val="16"/>
              </w:rPr>
              <w:t xml:space="preserve">Cours actuel : </w:t>
            </w:r>
            <w:r>
              <w:rPr>
                <w:color w:val="000000"/>
                <w:sz w:val="17"/>
              </w:rPr>
              <w:t>16,600 FCFA</w:t>
            </w:r>
          </w:p>
          <w:p>
            <w:r>
              <w:rPr>
                <w:b/>
                <w:color w:val="503200"/>
                <w:sz w:val="16"/>
              </w:rPr>
              <w:t xml:space="preserve">Var. 100 jours : </w:t>
            </w:r>
            <w:r>
              <w:rPr>
                <w:b/>
                <w:color w:val="007800"/>
                <w:sz w:val="17"/>
              </w:rPr>
              <w:t>+1.84%</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μ=16,535 FCFA, σ=456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β=0.3046 (Défensif) — Cov=0.000014, Var(idx)=0.000045, ρ=0.114,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16,376</w:t>
            </w:r>
          </w:p>
        </w:tc>
        <w:tc>
          <w:tcPr>
            <w:tcW w:type="dxa" w:w="1440"/>
            <w:shd w:fill="FAFAFA" w:val="clear"/>
          </w:tcPr>
          <w:p>
            <w:r>
              <w:rPr>
                <w:b/>
                <w:sz w:val="17"/>
              </w:rPr>
              <w:t>16,899</w:t>
            </w:r>
          </w:p>
        </w:tc>
        <w:tc>
          <w:tcPr>
            <w:tcW w:type="dxa" w:w="1440"/>
            <w:shd w:fill="FAFAFA" w:val="clear"/>
          </w:tcPr>
          <w:p>
            <w:r>
              <w:rPr>
                <w:sz w:val="17"/>
              </w:rPr>
              <w:t>17,422</w:t>
            </w:r>
          </w:p>
        </w:tc>
        <w:tc>
          <w:tcPr>
            <w:tcW w:type="dxa" w:w="1440"/>
            <w:shd w:fill="FAFAFA" w:val="clear"/>
          </w:tcPr>
          <w:p>
            <w:r>
              <w:rPr>
                <w:b/>
                <w:color w:val="008000"/>
                <w:sz w:val="17"/>
              </w:rPr>
              <w:t>+1.8%</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16,169</w:t>
            </w:r>
          </w:p>
        </w:tc>
        <w:tc>
          <w:tcPr>
            <w:tcW w:type="dxa" w:w="1440"/>
            <w:shd w:fill="FAFAFA" w:val="clear"/>
          </w:tcPr>
          <w:p>
            <w:r>
              <w:rPr>
                <w:b/>
                <w:sz w:val="17"/>
              </w:rPr>
              <w:t>16,909</w:t>
            </w:r>
          </w:p>
        </w:tc>
        <w:tc>
          <w:tcPr>
            <w:tcW w:type="dxa" w:w="1440"/>
            <w:shd w:fill="FAFAFA" w:val="clear"/>
          </w:tcPr>
          <w:p>
            <w:r>
              <w:rPr>
                <w:sz w:val="17"/>
              </w:rPr>
              <w:t>17,649</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16,031</w:t>
            </w:r>
          </w:p>
        </w:tc>
        <w:tc>
          <w:tcPr>
            <w:tcW w:type="dxa" w:w="1440"/>
            <w:shd w:fill="C6EFCE" w:val="clear"/>
          </w:tcPr>
          <w:p>
            <w:r>
              <w:rPr>
                <w:b/>
                <w:sz w:val="17"/>
              </w:rPr>
              <w:t>16,939</w:t>
            </w:r>
          </w:p>
        </w:tc>
        <w:tc>
          <w:tcPr>
            <w:tcW w:type="dxa" w:w="1440"/>
            <w:shd w:fill="C6EFCE" w:val="clear"/>
          </w:tcPr>
          <w:p>
            <w:r>
              <w:rPr>
                <w:sz w:val="17"/>
              </w:rPr>
              <w:t>17,847</w:t>
            </w:r>
          </w:p>
        </w:tc>
        <w:tc>
          <w:tcPr>
            <w:tcW w:type="dxa" w:w="1440"/>
            <w:shd w:fill="C6EFCE" w:val="clear"/>
          </w:tcPr>
          <w:p>
            <w:r>
              <w:rPr>
                <w:b/>
                <w:color w:val="008000"/>
                <w:sz w:val="17"/>
              </w:rPr>
              <w:t>+2.0%</w:t>
            </w:r>
          </w:p>
        </w:tc>
      </w:tr>
      <w:tr>
        <w:tc>
          <w:tcPr>
            <w:tcW w:type="dxa" w:w="1440"/>
            <w:shd w:fill="C6EFCE" w:val="clear"/>
          </w:tcPr>
          <w:p>
            <w:r>
              <w:rPr>
                <w:sz w:val="17"/>
              </w:rPr>
              <w:t>J+4  Moyenne</w:t>
            </w:r>
          </w:p>
        </w:tc>
        <w:tc>
          <w:tcPr>
            <w:tcW w:type="dxa" w:w="1440"/>
            <w:shd w:fill="C6EFCE" w:val="clear"/>
          </w:tcPr>
          <w:p>
            <w:r>
              <w:rPr>
                <w:sz w:val="17"/>
              </w:rPr>
              <w:t>2026-09-30</w:t>
            </w:r>
          </w:p>
        </w:tc>
        <w:tc>
          <w:tcPr>
            <w:tcW w:type="dxa" w:w="1440"/>
            <w:shd w:fill="C6EFCE" w:val="clear"/>
          </w:tcPr>
          <w:p>
            <w:r>
              <w:rPr>
                <w:sz w:val="17"/>
              </w:rPr>
              <w:t>15,915</w:t>
            </w:r>
          </w:p>
        </w:tc>
        <w:tc>
          <w:tcPr>
            <w:tcW w:type="dxa" w:w="1440"/>
            <w:shd w:fill="C6EFCE" w:val="clear"/>
          </w:tcPr>
          <w:p>
            <w:r>
              <w:rPr>
                <w:b/>
                <w:sz w:val="17"/>
              </w:rPr>
              <w:t>16,965</w:t>
            </w:r>
          </w:p>
        </w:tc>
        <w:tc>
          <w:tcPr>
            <w:tcW w:type="dxa" w:w="1440"/>
            <w:shd w:fill="C6EFCE" w:val="clear"/>
          </w:tcPr>
          <w:p>
            <w:r>
              <w:rPr>
                <w:sz w:val="17"/>
              </w:rPr>
              <w:t>18,015</w:t>
            </w:r>
          </w:p>
        </w:tc>
        <w:tc>
          <w:tcPr>
            <w:tcW w:type="dxa" w:w="1440"/>
            <w:shd w:fill="C6EFCE" w:val="clear"/>
          </w:tcPr>
          <w:p>
            <w:r>
              <w:rPr>
                <w:b/>
                <w:color w:val="008000"/>
                <w:sz w:val="17"/>
              </w:rPr>
              <w:t>+2.2%</w:t>
            </w:r>
          </w:p>
        </w:tc>
      </w:tr>
      <w:tr>
        <w:tc>
          <w:tcPr>
            <w:tcW w:type="dxa" w:w="1440"/>
            <w:shd w:fill="C6EFCE" w:val="clear"/>
          </w:tcPr>
          <w:p>
            <w:r>
              <w:rPr>
                <w:sz w:val="17"/>
              </w:rPr>
              <w:t>J+5  Moyenne</w:t>
            </w:r>
          </w:p>
        </w:tc>
        <w:tc>
          <w:tcPr>
            <w:tcW w:type="dxa" w:w="1440"/>
            <w:shd w:fill="C6EFCE" w:val="clear"/>
          </w:tcPr>
          <w:p>
            <w:r>
              <w:rPr>
                <w:sz w:val="17"/>
              </w:rPr>
              <w:t>2026-10-01</w:t>
            </w:r>
          </w:p>
        </w:tc>
        <w:tc>
          <w:tcPr>
            <w:tcW w:type="dxa" w:w="1440"/>
            <w:shd w:fill="C6EFCE" w:val="clear"/>
          </w:tcPr>
          <w:p>
            <w:r>
              <w:rPr>
                <w:sz w:val="17"/>
              </w:rPr>
              <w:t>15,812</w:t>
            </w:r>
          </w:p>
        </w:tc>
        <w:tc>
          <w:tcPr>
            <w:tcW w:type="dxa" w:w="1440"/>
            <w:shd w:fill="C6EFCE" w:val="clear"/>
          </w:tcPr>
          <w:p>
            <w:r>
              <w:rPr>
                <w:b/>
                <w:sz w:val="17"/>
              </w:rPr>
              <w:t>16,987</w:t>
            </w:r>
          </w:p>
        </w:tc>
        <w:tc>
          <w:tcPr>
            <w:tcW w:type="dxa" w:w="1440"/>
            <w:shd w:fill="C6EFCE" w:val="clear"/>
          </w:tcPr>
          <w:p>
            <w:r>
              <w:rPr>
                <w:sz w:val="17"/>
              </w:rPr>
              <w:t>18,163</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2026-10-02</w:t>
            </w:r>
          </w:p>
        </w:tc>
        <w:tc>
          <w:tcPr>
            <w:tcW w:type="dxa" w:w="1440"/>
            <w:shd w:fill="C6EFCE" w:val="clear"/>
          </w:tcPr>
          <w:p>
            <w:r>
              <w:rPr>
                <w:sz w:val="17"/>
              </w:rPr>
              <w:t>15,719</w:t>
            </w:r>
          </w:p>
        </w:tc>
        <w:tc>
          <w:tcPr>
            <w:tcW w:type="dxa" w:w="1440"/>
            <w:shd w:fill="C6EFCE" w:val="clear"/>
          </w:tcPr>
          <w:p>
            <w:r>
              <w:rPr>
                <w:b/>
                <w:sz w:val="17"/>
              </w:rPr>
              <w:t>17,008</w:t>
            </w:r>
          </w:p>
        </w:tc>
        <w:tc>
          <w:tcPr>
            <w:tcW w:type="dxa" w:w="1440"/>
            <w:shd w:fill="C6EFCE" w:val="clear"/>
          </w:tcPr>
          <w:p>
            <w:r>
              <w:rPr>
                <w:sz w:val="17"/>
              </w:rPr>
              <w:t>18,297</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2026-10-05</w:t>
            </w:r>
          </w:p>
        </w:tc>
        <w:tc>
          <w:tcPr>
            <w:tcW w:type="dxa" w:w="1440"/>
            <w:shd w:fill="C6EFCE" w:val="clear"/>
          </w:tcPr>
          <w:p>
            <w:r>
              <w:rPr>
                <w:sz w:val="17"/>
              </w:rPr>
              <w:t>15,635</w:t>
            </w:r>
          </w:p>
        </w:tc>
        <w:tc>
          <w:tcPr>
            <w:tcW w:type="dxa" w:w="1440"/>
            <w:shd w:fill="C6EFCE" w:val="clear"/>
          </w:tcPr>
          <w:p>
            <w:r>
              <w:rPr>
                <w:b/>
                <w:sz w:val="17"/>
              </w:rPr>
              <w:t>17,029</w:t>
            </w:r>
          </w:p>
        </w:tc>
        <w:tc>
          <w:tcPr>
            <w:tcW w:type="dxa" w:w="1440"/>
            <w:shd w:fill="C6EFCE" w:val="clear"/>
          </w:tcPr>
          <w:p>
            <w:r>
              <w:rPr>
                <w:sz w:val="17"/>
              </w:rPr>
              <w:t>18,423</w:t>
            </w:r>
          </w:p>
        </w:tc>
        <w:tc>
          <w:tcPr>
            <w:tcW w:type="dxa" w:w="1440"/>
            <w:shd w:fill="C6EFCE" w:val="clear"/>
          </w:tcPr>
          <w:p>
            <w:r>
              <w:rPr>
                <w:b/>
                <w:color w:val="008000"/>
                <w:sz w:val="17"/>
              </w:rPr>
              <w:t>+2.6%</w:t>
            </w:r>
          </w:p>
        </w:tc>
      </w:tr>
      <w:tr>
        <w:tc>
          <w:tcPr>
            <w:tcW w:type="dxa" w:w="1440"/>
            <w:shd w:fill="C6EFCE" w:val="clear"/>
          </w:tcPr>
          <w:p>
            <w:r>
              <w:rPr>
                <w:sz w:val="17"/>
              </w:rPr>
              <w:t>J+8  Moyenne</w:t>
            </w:r>
          </w:p>
        </w:tc>
        <w:tc>
          <w:tcPr>
            <w:tcW w:type="dxa" w:w="1440"/>
            <w:shd w:fill="C6EFCE" w:val="clear"/>
          </w:tcPr>
          <w:p>
            <w:r>
              <w:rPr>
                <w:sz w:val="17"/>
              </w:rPr>
              <w:t>2026-10-06</w:t>
            </w:r>
          </w:p>
        </w:tc>
        <w:tc>
          <w:tcPr>
            <w:tcW w:type="dxa" w:w="1440"/>
            <w:shd w:fill="C6EFCE" w:val="clear"/>
          </w:tcPr>
          <w:p>
            <w:r>
              <w:rPr>
                <w:sz w:val="17"/>
              </w:rPr>
              <w:t>15,557</w:t>
            </w:r>
          </w:p>
        </w:tc>
        <w:tc>
          <w:tcPr>
            <w:tcW w:type="dxa" w:w="1440"/>
            <w:shd w:fill="C6EFCE" w:val="clear"/>
          </w:tcPr>
          <w:p>
            <w:r>
              <w:rPr>
                <w:b/>
                <w:sz w:val="17"/>
              </w:rPr>
              <w:t>17,049</w:t>
            </w:r>
          </w:p>
        </w:tc>
        <w:tc>
          <w:tcPr>
            <w:tcW w:type="dxa" w:w="1440"/>
            <w:shd w:fill="C6EFCE" w:val="clear"/>
          </w:tcPr>
          <w:p>
            <w:r>
              <w:rPr>
                <w:sz w:val="17"/>
              </w:rPr>
              <w:t>18,541</w:t>
            </w:r>
          </w:p>
        </w:tc>
        <w:tc>
          <w:tcPr>
            <w:tcW w:type="dxa" w:w="1440"/>
            <w:shd w:fill="C6EFCE" w:val="clear"/>
          </w:tcPr>
          <w:p>
            <w:r>
              <w:rPr>
                <w:b/>
                <w:color w:val="008000"/>
                <w:sz w:val="17"/>
              </w:rPr>
              <w:t>+2.7%</w:t>
            </w:r>
          </w:p>
        </w:tc>
      </w:tr>
      <w:tr>
        <w:tc>
          <w:tcPr>
            <w:tcW w:type="dxa" w:w="1440"/>
            <w:shd w:fill="C6EFCE" w:val="clear"/>
          </w:tcPr>
          <w:p>
            <w:r>
              <w:rPr>
                <w:sz w:val="17"/>
              </w:rPr>
              <w:t>J+9  Moyenne</w:t>
            </w:r>
          </w:p>
        </w:tc>
        <w:tc>
          <w:tcPr>
            <w:tcW w:type="dxa" w:w="1440"/>
            <w:shd w:fill="C6EFCE" w:val="clear"/>
          </w:tcPr>
          <w:p>
            <w:r>
              <w:rPr>
                <w:sz w:val="17"/>
              </w:rPr>
              <w:t>2026-10-07</w:t>
            </w:r>
          </w:p>
        </w:tc>
        <w:tc>
          <w:tcPr>
            <w:tcW w:type="dxa" w:w="1440"/>
            <w:shd w:fill="C6EFCE" w:val="clear"/>
          </w:tcPr>
          <w:p>
            <w:r>
              <w:rPr>
                <w:sz w:val="17"/>
              </w:rPr>
              <w:t>15,484</w:t>
            </w:r>
          </w:p>
        </w:tc>
        <w:tc>
          <w:tcPr>
            <w:tcW w:type="dxa" w:w="1440"/>
            <w:shd w:fill="C6EFCE" w:val="clear"/>
          </w:tcPr>
          <w:p>
            <w:r>
              <w:rPr>
                <w:b/>
                <w:sz w:val="17"/>
              </w:rPr>
              <w:t>17,069</w:t>
            </w:r>
          </w:p>
        </w:tc>
        <w:tc>
          <w:tcPr>
            <w:tcW w:type="dxa" w:w="1440"/>
            <w:shd w:fill="C6EFCE" w:val="clear"/>
          </w:tcPr>
          <w:p>
            <w:r>
              <w:rPr>
                <w:sz w:val="17"/>
              </w:rPr>
              <w:t>18,653</w:t>
            </w:r>
          </w:p>
        </w:tc>
        <w:tc>
          <w:tcPr>
            <w:tcW w:type="dxa" w:w="1440"/>
            <w:shd w:fill="C6EFCE" w:val="clear"/>
          </w:tcPr>
          <w:p>
            <w:r>
              <w:rPr>
                <w:b/>
                <w:color w:val="008000"/>
                <w:sz w:val="17"/>
              </w:rPr>
              <w:t>+2.8%</w:t>
            </w:r>
          </w:p>
        </w:tc>
      </w:tr>
      <w:tr>
        <w:tc>
          <w:tcPr>
            <w:tcW w:type="dxa" w:w="1440"/>
            <w:shd w:fill="C6EFCE" w:val="clear"/>
          </w:tcPr>
          <w:p>
            <w:r>
              <w:rPr>
                <w:sz w:val="17"/>
              </w:rPr>
              <w:t>J+10  Moyenne</w:t>
            </w:r>
          </w:p>
        </w:tc>
        <w:tc>
          <w:tcPr>
            <w:tcW w:type="dxa" w:w="1440"/>
            <w:shd w:fill="C6EFCE" w:val="clear"/>
          </w:tcPr>
          <w:p>
            <w:r>
              <w:rPr>
                <w:sz w:val="17"/>
              </w:rPr>
              <w:t>2026-10-08</w:t>
            </w:r>
          </w:p>
        </w:tc>
        <w:tc>
          <w:tcPr>
            <w:tcW w:type="dxa" w:w="1440"/>
            <w:shd w:fill="C6EFCE" w:val="clear"/>
          </w:tcPr>
          <w:p>
            <w:r>
              <w:rPr>
                <w:sz w:val="17"/>
              </w:rPr>
              <w:t>15,417</w:t>
            </w:r>
          </w:p>
        </w:tc>
        <w:tc>
          <w:tcPr>
            <w:tcW w:type="dxa" w:w="1440"/>
            <w:shd w:fill="C6EFCE" w:val="clear"/>
          </w:tcPr>
          <w:p>
            <w:r>
              <w:rPr>
                <w:b/>
                <w:sz w:val="17"/>
              </w:rPr>
              <w:t>17,089</w:t>
            </w:r>
          </w:p>
        </w:tc>
        <w:tc>
          <w:tcPr>
            <w:tcW w:type="dxa" w:w="1440"/>
            <w:shd w:fill="C6EFCE" w:val="clear"/>
          </w:tcPr>
          <w:p>
            <w:r>
              <w:rPr>
                <w:sz w:val="17"/>
              </w:rPr>
              <w:t>18,761</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913,84 milliards FCFA, ECOC figure parmi les valeurs les plus importantes de la cote BRVM, ce qui lui confère une liquidité relative et une visibilité institutionnelle appréciables. Le BPA de 1 153 FCFA/action signifie que chaque titre génère un bénéfice net supérieur à mille francs CFA, un niveau élevé qui traduit la forte rentabilité de la banque. Le PER de 14,4x se situe au-dessus de la moyenne du marché BRVM (généralement comprise entre 8 et 12x), ce qui indique que les investisseurs acceptent de payer une prime pour la qualité des bénéfices d'ECOC, sans que cela constitue une valorisation excessive au regard de la croissance du secteur bancaire ivoirien. En revanche, le P/B de 4,18x traduit une valorisation nettement supérieure à la valeur comptable — le marché valorise plus de quatre fois les fonds propres — ce qui est exigeant et suppose que la rentabilité future reste élevée pour justifier cette prime. Enfin, l'EV/EBITDA de 14,1x, dans la fourchette haute (10-15x), confirme que la valeur d'entreprise intègre une anticipation de croissance soutenue ; cette valorisation n'offre donc pas de marge de sécurité évidente, mais reste cohérente avec un ROE proche de 29%.</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globale quasi stable de +1,84%, avec toutefois un repli de -1,19% lors de la dernière séance, signalant une légère pression vendeuse à court terme. Le cours actuel de 16 600 FCFA évolue dans un range de trading relativement étroit, entre un plus bas de 15 520 FCFA et un plus haut de 17 725 FCFA, soit une amplitude d'environ 14% — ce qui témoigne d'une certaine stabilité du titre. La tendance générale est donc neutre à légèrement haussière, le cours se maintenant au-dessus de sa moyenne sur la période. Les statistiques descriptives confirment cette stabilité : la moyenne (16 535 FCFA) et la médiane (16 500 FCFA) sont quasi identiques, ce qui indique une distribution équilibrée sans valeurs extrêmes dominantes ; le mode à 16 300 FCFA correspond au niveau de prix le plus fréquemment échangé. L'écart-type de 458 FCFA avec un coefficient de variation de seulement 2,8% traduit une dispersion très faible du cours autour de sa moyenne, signe d'un titre peu agité. Le kurtosis de -0,215 (mésokurtique) suggère une distribution proche de la normale, sans risque majeur de pics extrêmes, tandis que le skewness de 0,399 indique une légère asymétrie positive — quelques séances haussières plus marquées que les baisses. La volatilité annualisée de 28,2% place le titre dans la catégorie modérée (15-30%), ce qui est raisonnable pour une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17 112,75 FCFA et la MM50 à 16 574,9 FCFA, toutes deux supérieures au cours actuel de 16 600 FCFA pour la MM20, mais la MM50 est très proche du cours. La configuration MM20 &gt; MM50 traduit une dynamique haussière de fond, et le fait que le cours soit légèrement sous la MM20 mais au-dessus de la MM50 suggère une consolidation à court terme dans une tendance positive. La décision technique fournie est **Achat**, cohérente avec cette structure de moyennes mobiles ascendantes.</w:t>
      </w:r>
    </w:p>
    <w:p>
      <w:pPr>
        <w:spacing w:after="120" w:line="276" w:lineRule="auto"/>
      </w:pPr>
      <w:r>
        <w:t>**Bandes de Bollinger :** La borne supérieure est à 17 789,17 FCFA et la borne inférieure à 16 436,33 FCFA, avec un cours actuel de 16 600 FCFA qui se situe dans la partie basse de la bande (proche de la borne inférieure). Cela indique que le titre évolue dans une zone de relative faiblesse à court terme, sans être en survente extrême. La largeur des bandes reflète une volatilité modérée, et la décision **Neutre** suggère l'absence de signal directionnel fort, le cours pouvant rebondir vers la moyenne mobile centrale.</w:t>
      </w:r>
    </w:p>
    <w:p>
      <w:pPr>
        <w:spacing w:after="120" w:line="276" w:lineRule="auto"/>
      </w:pPr>
      <w:r>
        <w:t>**MACD :** La valeur du MACD (51,228) est nettement inférieure à son signal (139,357), ce qui constitue un croisement baissier et un momentum négatif. Cette divergence indique que la dynamique haussière s'essouffle et que les vendeurs prennent l'ascendant à court terme. La décision technique associée est **Vente**, signalant une prudence à court terme malgré la tendance de fond.</w:t>
      </w:r>
    </w:p>
    <w:p>
      <w:pPr>
        <w:spacing w:after="120" w:line="276" w:lineRule="auto"/>
      </w:pPr>
      <w:r>
        <w:t>**RSI :** À 31,767, le RSI se situe juste au-dessus du seuil de survente (30), dans une zone neutre basse. Cela signifie que le titre n'est pas encore techniquement survendu mais s'en approche, ce qui pourrait attirer des acheteurs à la recherche de points d'entrée. La décision **Neutre** reflète cette position ambiguë, entre pression baissière et potentiel de rebond.</w:t>
      </w:r>
    </w:p>
    <w:p>
      <w:pPr>
        <w:spacing w:after="120" w:line="276" w:lineRule="auto"/>
      </w:pPr>
      <w:r>
        <w:t>**Stochastique :** Le %K est à 0,0 et le %D à 12,432, avec un %K nettement sous le %D — configuration de survente marquée. Un %K à zéro est un signal extrême qui précède souvent un rebond technique, et la décision fournie est **Achat**, anticipant un retournement à la hausse après cette phase de faiblesse.</w:t>
      </w:r>
    </w:p>
    <w:p>
      <w:pPr>
        <w:spacing w:after="120" w:line="276" w:lineRule="auto"/>
      </w:pPr>
      <w:r>
        <w:t>**Conclusion technique :** Les indicateurs présentent une divergence notable : les moyennes mobiles et le stochastique plaident pour un achat (tendance de fond haussière, survente extrême), tandis que le MACD et les bandes de Bollinger suggèrent une prudence à court terme (momentum négatif, cours en bas de bande). Le RSI neutre-bas confirme cette zone charnière. Dans l'ensemble, le titre semble en phase de consolidation au sein d'une tendance haussière plus large, avec un potentiel de rebond technique à court terme si le support des 16 400-16 500 FCFA tient.</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(états financiers annuels) révèlent une banque solide et rentable : le Produit Net Bancaire (équivalent du chiffre d'affaires pour une banque) s'établit à **132,725 milliards FCFA**, pour un **résultat net de 63,482 milliards FCFA**, soit une marge nette remarquable de 47,83%. Le ROE atteint **29,04%** (très au-dessus du seuil de 15% considéré comme excellent) et le ROA **3,09%**, confirmant une création de valeur élevée. Le coefficient d'exploitation de **42,89%** est excellent (&lt; 50%), signe d'une banque très efficace dans la maîtrise de ses charges. Le coût du risque rapporté aux charges financières est faible à **1,36%**, indiquant un portefeuille de crédit de bonne qualité. La structure financière montre une autonomie financière de 10,64% (faible mais typique des banques, dont le modèle repose sur les dépôts) et un ratio d'endettement de 69,63%, avec une solvabilité générale de 111,91% (&gt; 1, donc solvable). Les dépôts clientèle (1 626,223 Mds FCFA) couvrent largement les créances clientèle (1 050,803 Mds FCFA), avec un ratio crédits/dépôts de 64,6%, laissant une marge de déploiement importante.</w:t>
      </w:r>
    </w:p>
    <w:p>
      <w:pPr>
        <w:spacing w:after="120" w:line="276" w:lineRule="auto"/>
      </w:pPr>
      <w:r>
        <w:t>Les rapports narratifs confirment cette dynamique et permettent d'estimer les tendances récentes. Selon le **rapport T1 2026 (publié en 2026)**, le PNB progresse de +3,7% à 30,8 Mds FCFA, mais le résultat net recule de -1,6% à 13,0 Mds FCFA, pénalisé par la hausse du coût du risque ; le ROE reste solide à 23,0% et le coefficient d'exploitation s'améliore à 45,7%. Le **rapport S1 2026 (publié le 26 août 2026)** montre un PNB de 64,078 Mds FCFA (+2,0%) et un résultat net de 26,408 Mds FCFA (-8,6%), avec un coût du risque multiplié par 7,4 à 5,197 Mds FCFA — une détérioration volontaire de la politique de provisionnement (taux de couverture maintenu à 90%). À l'inverse, le **rapport T3 2025 (30 septembre 2025)** affichait une performance exceptionnelle : PNB de 96,4 Mds FCFA (+11,3%), résultat net de 44,4 Mds FCFA (+15,4%), ROE de 29,7% et coût du risque en baisse de -54,1%. L'**exercice annuel 2024 (rapport du 31 décembre 2024)** avait enregistré un PNB de 122,3 Mds FCFA (+11,0%) et un résultat net de 57,5 Mds FCFA (+19,6%), avec un dividende brut de 804 FCFA/action (taux de distribution de 77%). Pour 2025, le dividende proposé à l'AG du 28 avril 2026 (DOC 1) est de **888 FCFA brut/action** (781 FCFA net), en hausse de +10,4%, pour un rendement d'environ 5,35% au cours actuel de 16 600 FCFA — un niveau attractif. On estime donc que l'exercice 2026 devrait afficher une croissance modérée du PNB (autour de +3-5%) mais un résultat net en léger recul (estimé entre 55 et 60 Mds FCFA) en raison de la hausse conjoncturelle du coût du risque, sans remise en cause de la solidité fondamentale (ROE attendu &gt;25%, coefficient d'exploitation &lt; 46%).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mais justifiée : le PER de 14,4x offre une prime modérée par rapport au marché BRVM, et le P/B de 4,18x ainsi que l'EV/EBITDA de 14,1x intègrent une anticipation de rentabilité durable — ce qui n'est pas une anomalie pour une banque affichant un ROE de 29%. Le comportement du cours (Partie 1) est rassurant : volatilité modérée (28,2%), distribution proche de la normale (kurtosis -0,215), légère asymétrie positive (skewness 0,399) et stabilité autour de 16 500 FCFA, sans tendance baissière marquée. Les signaux techniques (Partie 2) sont divergents : le stochastique en survente extrême (%K=0) et les moyennes mobiles haussières plaident pour un rebond, tandis que le MACD baissier et le cours en bas de bande de Bollinger incitent à la prudence à très court terme — une configuration de consolidation typique. Les fondamentaux (Partie 3) restent solides : ROE de 29,04% en 2025, coefficient d'exploitation de 42,89%, dividende en hausse à 888 FCFA, malgré un ralentissement du résultat net au S1 2026 dû à un provisionnement accru (coût du risque ×7,4). Les prédictions IA (J+1 à J+10) anticipent une trajectoire haussière modérée, de 16 899 FCFA à 16 987 FCFA, soit une progression d'environ +2,3% sur dix séances — ce qui confirme le potentiel de rebond technique sans emballement. **En synthèse, la convergence entre fondamentaux solides, dividende attractif, prédictions haussières et survente technique plaide pour une recommandation d'ACHAT, avec un niveau de confiance Moyen à Élevé.** Le risque global est jugé **Moyen** (exposition au risque de crédit en hausse et concentration géographique sur la Côte d'Ivoire), et l'horizon d'investissement optimal est le **moyen terme (3-12 mois)**, le temps que le coût du risque se stabilise et que la dynamique bénéficiaire se confirme au second semestre 2026. Un passage à ACHAT FORT serait justifié si le titre revenait sous 16 000 FCFA ou si le coût du risque se normalisait au T4 2026.</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1229.72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1,654,982 titres</w:t>
            </w:r>
          </w:p>
        </w:tc>
        <w:tc>
          <w:tcPr>
            <w:tcW w:type="dxa" w:w="2268"/>
            <w:shd w:fill="FFF2CC" w:val="clear"/>
          </w:tcPr>
          <w:p>
            <w:r>
              <w:rPr>
                <w:b/>
                <w:color w:val="503200"/>
                <w:sz w:val="16"/>
              </w:rPr>
              <w:t xml:space="preserve">Cours actuel : </w:t>
            </w:r>
            <w:r>
              <w:rPr>
                <w:color w:val="000000"/>
                <w:sz w:val="17"/>
              </w:rPr>
              <w:t>68 FCFA</w:t>
            </w:r>
          </w:p>
          <w:p>
            <w:r>
              <w:rPr>
                <w:b/>
                <w:color w:val="503200"/>
                <w:sz w:val="16"/>
              </w:rPr>
              <w:t xml:space="preserve">Var. 100 jours : </w:t>
            </w:r>
            <w:r>
              <w:rPr>
                <w:b/>
                <w:color w:val="007800"/>
                <w:sz w:val="17"/>
              </w:rPr>
              <w:t>+134.48%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33.75% (Élevée) — μ=53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β=2.1159 (Très agressif) — Cov=0.000094, Var(idx)=0.000045, ρ=0.368,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1,654,982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σ_j=3.93%/j (Modérée) — Vol. annualisée≈62.3%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70</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63</w:t>
            </w:r>
          </w:p>
        </w:tc>
        <w:tc>
          <w:tcPr>
            <w:tcW w:type="dxa" w:w="1440"/>
            <w:shd w:fill="FAFAFA" w:val="clear"/>
          </w:tcPr>
          <w:p>
            <w:r>
              <w:rPr>
                <w:b/>
                <w:sz w:val="17"/>
              </w:rPr>
              <w:t>67</w:t>
            </w:r>
          </w:p>
        </w:tc>
        <w:tc>
          <w:tcPr>
            <w:tcW w:type="dxa" w:w="1440"/>
            <w:shd w:fill="FAFAFA" w:val="clear"/>
          </w:tcPr>
          <w:p>
            <w:r>
              <w:rPr>
                <w:sz w:val="17"/>
              </w:rPr>
              <w:t>72</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62</w:t>
            </w:r>
          </w:p>
        </w:tc>
        <w:tc>
          <w:tcPr>
            <w:tcW w:type="dxa" w:w="1440"/>
            <w:shd w:fill="FAFAFA" w:val="clear"/>
          </w:tcPr>
          <w:p>
            <w:r>
              <w:rPr>
                <w:b/>
                <w:sz w:val="17"/>
              </w:rPr>
              <w:t>67</w:t>
            </w:r>
          </w:p>
        </w:tc>
        <w:tc>
          <w:tcPr>
            <w:tcW w:type="dxa" w:w="1440"/>
            <w:shd w:fill="FAFAFA" w:val="clear"/>
          </w:tcPr>
          <w:p>
            <w:r>
              <w:rPr>
                <w:sz w:val="17"/>
              </w:rPr>
              <w:t>73</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61</w:t>
            </w:r>
          </w:p>
        </w:tc>
        <w:tc>
          <w:tcPr>
            <w:tcW w:type="dxa" w:w="1440"/>
            <w:shd w:fill="FAFAFA" w:val="clear"/>
          </w:tcPr>
          <w:p>
            <w:r>
              <w:rPr>
                <w:b/>
                <w:sz w:val="17"/>
              </w:rPr>
              <w:t>67</w:t>
            </w:r>
          </w:p>
        </w:tc>
        <w:tc>
          <w:tcPr>
            <w:tcW w:type="dxa" w:w="1440"/>
            <w:shd w:fill="FAFAFA" w:val="clear"/>
          </w:tcPr>
          <w:p>
            <w:r>
              <w:rPr>
                <w:sz w:val="17"/>
              </w:rPr>
              <w:t>74</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60</w:t>
            </w:r>
          </w:p>
        </w:tc>
        <w:tc>
          <w:tcPr>
            <w:tcW w:type="dxa" w:w="1440"/>
            <w:shd w:fill="FAFAFA" w:val="clear"/>
          </w:tcPr>
          <w:p>
            <w:r>
              <w:rPr>
                <w:b/>
                <w:sz w:val="17"/>
              </w:rPr>
              <w:t>67</w:t>
            </w:r>
          </w:p>
        </w:tc>
        <w:tc>
          <w:tcPr>
            <w:tcW w:type="dxa" w:w="1440"/>
            <w:shd w:fill="FAFAFA" w:val="clear"/>
          </w:tcPr>
          <w:p>
            <w:r>
              <w:rPr>
                <w:sz w:val="17"/>
              </w:rPr>
              <w:t>74</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59</w:t>
            </w:r>
          </w:p>
        </w:tc>
        <w:tc>
          <w:tcPr>
            <w:tcW w:type="dxa" w:w="1440"/>
            <w:shd w:fill="FAFAFA" w:val="clear"/>
          </w:tcPr>
          <w:p>
            <w:r>
              <w:rPr>
                <w:b/>
                <w:sz w:val="17"/>
              </w:rPr>
              <w:t>67</w:t>
            </w:r>
          </w:p>
        </w:tc>
        <w:tc>
          <w:tcPr>
            <w:tcW w:type="dxa" w:w="1440"/>
            <w:shd w:fill="FAFAFA" w:val="clear"/>
          </w:tcPr>
          <w:p>
            <w:r>
              <w:rPr>
                <w:sz w:val="17"/>
              </w:rPr>
              <w:t>75</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59</w:t>
            </w:r>
          </w:p>
        </w:tc>
        <w:tc>
          <w:tcPr>
            <w:tcW w:type="dxa" w:w="1440"/>
            <w:shd w:fill="FAFAFA" w:val="clear"/>
          </w:tcPr>
          <w:p>
            <w:r>
              <w:rPr>
                <w:b/>
                <w:sz w:val="17"/>
              </w:rPr>
              <w:t>67</w:t>
            </w:r>
          </w:p>
        </w:tc>
        <w:tc>
          <w:tcPr>
            <w:tcW w:type="dxa" w:w="1440"/>
            <w:shd w:fill="FAFAFA" w:val="clear"/>
          </w:tcPr>
          <w:p>
            <w:r>
              <w:rPr>
                <w:sz w:val="17"/>
              </w:rPr>
              <w:t>75</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58</w:t>
            </w:r>
          </w:p>
        </w:tc>
        <w:tc>
          <w:tcPr>
            <w:tcW w:type="dxa" w:w="1440"/>
            <w:shd w:fill="FAFAFA" w:val="clear"/>
          </w:tcPr>
          <w:p>
            <w:r>
              <w:rPr>
                <w:b/>
                <w:sz w:val="17"/>
              </w:rPr>
              <w:t>67</w:t>
            </w:r>
          </w:p>
        </w:tc>
        <w:tc>
          <w:tcPr>
            <w:tcW w:type="dxa" w:w="1440"/>
            <w:shd w:fill="FAFAFA" w:val="clear"/>
          </w:tcPr>
          <w:p>
            <w:r>
              <w:rPr>
                <w:sz w:val="17"/>
              </w:rPr>
              <w:t>76</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58</w:t>
            </w:r>
          </w:p>
        </w:tc>
        <w:tc>
          <w:tcPr>
            <w:tcW w:type="dxa" w:w="1440"/>
            <w:shd w:fill="FAFAFA" w:val="clear"/>
          </w:tcPr>
          <w:p>
            <w:r>
              <w:rPr>
                <w:b/>
                <w:sz w:val="17"/>
              </w:rPr>
              <w:t>67</w:t>
            </w:r>
          </w:p>
        </w:tc>
        <w:tc>
          <w:tcPr>
            <w:tcW w:type="dxa" w:w="1440"/>
            <w:shd w:fill="FAFAFA" w:val="clear"/>
          </w:tcPr>
          <w:p>
            <w:r>
              <w:rPr>
                <w:sz w:val="17"/>
              </w:rPr>
              <w:t>76</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57</w:t>
            </w:r>
          </w:p>
        </w:tc>
        <w:tc>
          <w:tcPr>
            <w:tcW w:type="dxa" w:w="1440"/>
            <w:shd w:fill="FAFAFA" w:val="clear"/>
          </w:tcPr>
          <w:p>
            <w:r>
              <w:rPr>
                <w:b/>
                <w:sz w:val="17"/>
              </w:rPr>
              <w:t>67</w:t>
            </w:r>
          </w:p>
        </w:tc>
        <w:tc>
          <w:tcPr>
            <w:tcW w:type="dxa" w:w="1440"/>
            <w:shd w:fill="FAFAFA" w:val="clear"/>
          </w:tcPr>
          <w:p>
            <w:r>
              <w:rPr>
                <w:sz w:val="17"/>
              </w:rPr>
              <w:t>77</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1 229,72 milliards FCFA, ETIT figure parmi les valeurs les plus imposantes de la cote BRVM, ce qui en fait un pilier de l'indice composite. Le BPA de 19 FCFA/action indique que chaque titre génère près de 19 FCFA de bénéfice net, un niveau de rentabilité par action appréciable pour le secteur. Le PER de 3,6x est nettement inférieur à la moyenne du marché BRVM (généralement située entre 8x et 12x), ce qui suggère que les investisseurs ne paient que 3,6 fois les bénéfices annuels pour acquérir le titre — un signal classique de sous-évaluation potentielle. Le ratio P/B de 0,77x (&lt; 1) signifie que le marché valorise ETIT en dessous de sa valeur comptable, offrant une marge de sécurité théorique pour les investisseurs value. Enfin, l'EV/EBITDA de 5,0x se situe dans la fourchette raisonnable de 5-10x, indiquant que la valeur totale de l'entreprise (dette incluse) reste cohérente avec sa capacité opérationnelle, sans prime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+134,48%, avec une dernière séance en hausse de +6,25%, portant le cours actuel à 68 FCFA. Le range de trading est particulièrement large, oscillant entre un plus bas de 29 FCFA et un plus haut de 78 FCFA, ce qui témoigne d'une dynamique haussière puissante mais aussi d'une forte amplitude de mouvement. La moyenne du cours s'établit à 53 FCFA, tandis que la médiane est plus élevée à 64 FCFA : cet écart révèle une distribution asymétrique où le cours a passé plus de temps dans les niveaux élevés en fin de période, la moyenne étant tirée vers le bas par les niveaux de départ faibles. L'écart-type de 18 FCFA avec un coefficient de variation de 33,9% confirme une dispersion importante du cours, caractéristique d'un titre en forte tendance. Le kurtosis de -1,765 (distribution platykurtique) indique une faible concentration des rendements autour de la moyenne, avec des mouvements amples plutôt que des pics extrêmes fréquents, tandis que le skewness de -0,245 suggère une distribution quasi-symétrique avec une très légère queue vers la gauche. La volatilité annualisée de 62,3% classe ce titre dans la catégorie des valeurs à volatilité élevée (&gt;30%), ce qui implique un risque de marché significatif mais aussi un potentiel de gain accru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(69,0 FCFA) et la MM50 (68,34 FCFA) se situent toutes deux légèrement au-dessus du cours actuel (68 FCFA), avec la MM20 supérieure à la MM50, ce qui traduit une configuration haussière de fond. Le croisement des moyennes mobiles en faveur de la MM20 confirme la dynamique positive, justifiant la décision d'**Achat** malgré la légère consolidation actuelle du cours sous ses moyennes.</w:t>
      </w:r>
    </w:p>
    <w:p>
      <w:pPr>
        <w:spacing w:after="120" w:line="276" w:lineRule="auto"/>
      </w:pPr>
      <w:r>
        <w:t>**Bandes de Bollinger** : Le cours (68 FCFA) évolue à l'intérieur des bandes, entre la borne inférieure (64,896 FCFA) et la borne supérieure (73,104 FCFA), sans toucher les extrêmes. Cette position centrale indique une absence de signal directionnel fort à court terme, justifiant la décision **Neutre**. L'écart entre les bandes reste modéré, reflétant une volatilité récente contenue après la forte hausse passée.</w:t>
      </w:r>
    </w:p>
    <w:p>
      <w:pPr>
        <w:spacing w:after="120" w:line="276" w:lineRule="auto"/>
      </w:pPr>
      <w:r>
        <w:t>**MACD** : La valeur du MACD (0,513) est inférieure à son signal (1,122), générant un croisement baissier qui traduit un essoufflement du momentum haussier. Cette divergence négative, bien que le MACD reste en territoire positif, justifie la décision de **Vente** à court terme, signalant une possible correction ou consolidation avant une reprise.</w:t>
      </w:r>
    </w:p>
    <w:p>
      <w:pPr>
        <w:spacing w:after="120" w:line="276" w:lineRule="auto"/>
      </w:pPr>
      <w:r>
        <w:t>**RSI** : À 38,462, le RSI se situe dans la zone neutre basse (30-70), sans atteindre le seuil de survente (&lt;30). Cette position indique que le titre n'est ni suracheté ni survendu, mais penche légèrement vers une faiblesse relative. La décision **Neutre** est cohérente avec cette configuration, suggérant une absence de pression acheteuse ou vendeuse dominante.</w:t>
      </w:r>
    </w:p>
    <w:p>
      <w:pPr>
        <w:spacing w:after="120" w:line="276" w:lineRule="auto"/>
      </w:pPr>
      <w:r>
        <w:t>**Stochastique** : Le %K (57,143) est nettement supérieur au %D (19,048), avec un croisement haussier récent qui pourrait signaler un retournement à la hausse à court terme. Cependant, la décision reste **Neutre** car le %K n'a pas encore franchi la zone de surachat (&gt;80), laissant place à une confirmation potentielle dans les prochaines séances.</w:t>
      </w:r>
    </w:p>
    <w:p>
      <w:pPr>
        <w:spacing w:after="120" w:line="276" w:lineRule="auto"/>
      </w:pPr>
      <w:r>
        <w:t>**Conclusion technique** : Les indicateurs techniques présentent un tableau mitigé. Les moyennes mobiles restent haussières (Achat), mais le MACD signale une pression vendeuse (Vente), tandis que le RSI, les Bandes de Bollinger et le Stochastique sont neutres. Cette divergence suggère une phase de consolidation ou de correction modérée après la forte hausse de +134% sur 100 jours. La prudence est de mise à court terme, mais la structure haussière de fond n'est pas remise en cause.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ETIT affiche un Produit Net Bancaire (PNB) de 1 424,261 milliards FCFA, équivalent du chiffre d'affaires pour une banque, avec un résultat net de 345,523 milliards FCFA. La rentabilité est excellente avec un ROE de 21,62% (&gt;15% = excellent) et un ROA de 1,80%. Le coefficient d'exploitation de 27,35% est remarquablement bas (&lt;60% = banque efficace, &lt;50% = excellente), témoignant d'une maîtrise exceptionnelle des charges. Le coût du risque, mesuré par le ratio provisions/charges financières, s'élève à 18,97%, un niveau élevé qui signale un risque de crédit significatif dans le portefeuille. La structure financière montre une autonomie financière de 8,30% (capitaux propres/total bilan), inférieure au seuil sain de 30%, reflétant le modèle bancaire fortement endetté, avec un ratio d'endettement de 154,06% et une solvabilité générale de 109,06% (&gt;1 = solvable). Les dépôts clientèle (14 120,139 milliards FCFA) couvrent largement les créances clientèle (6 570,385 milliards FCFA), avec un ratio de transformation de 46,5%, indiquant une marge de croissance dans l'octroi de crédits.</w:t>
      </w:r>
    </w:p>
    <w:p>
      <w:pPr>
        <w:spacing w:after="120" w:line="276" w:lineRule="auto"/>
      </w:pPr>
      <w:r>
        <w:t>**Estimations basées sur les rapports trimestriels** : Le rapport semestriel 2026 (publié le 21 juillet 2026, analysé par DeepSeek le 30 juillet 2026) révèle un PNB de 1 281 330 milliers $EU (721 318 millions FCFA) au S1 2026, en hausse de +15% par rapport au S1 2025, porté par la marge nette d'intérêts (+20%) et les commissions (+14%). Le résultat net consolidé progresse de +6% à 296 091 milliers $EU (166 682 millions FCFA), avec un BPA de 0,80 $EU (+2%). Le coefficient d'exploitation s'améliore à 48,4%, confirmant l'efficacité opérationnelle. Cependant, le coût du risque bondit de +40%, signal d'alerte sur la qualité des actifs, avec un ratio de prêts non performants (NPL) à 7,6%. Le rapport trimestriel T1 2026 (analysé par DeepSeek) montre un PNB en hausse de +23% à 636,2 millions $EU et un résultat net de 142,5 millions $EU (+16%), mais avec un coût du risque en hausse de +73%. Sur la base de ces tendances, on estime que l'exercice 2026 devrait enregistrer une croissance du PNB de l'ordre de +15% à +20%, avec un résultat net en progression plus modérée (+5% à +10%) en raison de la hausse des provisions. Le rapport d'activité du T3 2025 (daté du 30 septembre 2025) confirmait déjà cette dynamique avec un PNB de 1 029,2 milliards FCFA (+18% en $) et un résultat net de 267,0 milliards FCFA (+34%), ainsi qu'un ROE tangible de 31,2%.</w:t>
      </w:r>
    </w:p>
    <w:p>
      <w:pPr>
        <w:spacing w:after="120" w:line="276" w:lineRule="auto"/>
      </w:pPr>
      <w:r>
        <w:t>**Recommandation fondamentale** : ETIT présente des fondamentaux solides avec une rentabilité élevée (ROE &gt;20%), une efficacité opérationnelle exceptionnelle (coefficient d'exploitation &lt;50%) et une valorisation attractive (PER 3,6x, P/B 0,77x). Cependant, la hausse significative du coût du risque (+40% au S1 2026) et la stagnation relative du BPA (+2%) tempèrent l'optimisme. La recommandation fondamentale est de **CONSERVER** avec un biais positif, en attendant la confirmation de la maîtrise des risques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ETIT (Partie 0) plaide clairement pour une sous-évaluation : PER de 3,6x (vs 8-12x pour le marché), P/B de 0,77x (&lt;1) et EV/EBITDA de 5,0x (fourchette basse). Le comportement du cours (Partie 1) est exceptionnellement haussier (+134,48% sur 100 jours), mais la volatilité élevée (62,3%) et la distribution platykurtique (kurtosis -1,765) indiquent des mouvements amples et un risque de correction. Les signaux techniques (Partie 2) sont divergents : les moyennes mobiles sont haussières, mais le MACD est baissier, tandis que le RSI, les Bollinger et le Stochastique sont neutres, suggérant une consolidation à court terme. Les fondamentaux (Partie 3) sont solides (ROE 21,62%, coefficient d'exploitation 27,35%, PNB 2025 de 1 424,261 milliards FCFA), mais le coût du risque élevé (18,97% en 2025, +40% au S1 2026) et la faible autonomie financière (8,30%) constituent des points de vigilance. Les prédictions IA (J+1 à J+10) anticipent une stabilité du cours autour de 67 FCFA, confirmant la phase de consolidation technique sans effondrement. **Recommandation finale : CONSERVER**, avec un niveau de confiance **Moyen** et un risque global **Élevé** (volatilité 62,3%, coût du risque en hausse). L'horizon d'investissement optimal est le **moyen terme (3-12 mois)**, en attendant les résultats annuels 2026 pour évaluer la trajectoire du coût du risque et confirmer la capacité de la banque à transformer sa croissance du PNB en bénéfices nets durables. Un passage à **ACHAT** serait justifié si le coût du risque se stabilise et si le cours franchit durablement la résistance des 73 FCFA (borne supérieure de Bollinger).</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4,075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-8.88%</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μ=2,122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β=0.7995 (Défensif) — Cov=0.000036, Var(idx)=0.000045, ρ=0.259,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1,924</w:t>
            </w:r>
          </w:p>
        </w:tc>
        <w:tc>
          <w:tcPr>
            <w:tcW w:type="dxa" w:w="1440"/>
            <w:shd w:fill="FAFAFA" w:val="clear"/>
          </w:tcPr>
          <w:p>
            <w:r>
              <w:rPr>
                <w:b/>
                <w:sz w:val="17"/>
              </w:rPr>
              <w:t>1,989</w:t>
            </w:r>
          </w:p>
        </w:tc>
        <w:tc>
          <w:tcPr>
            <w:tcW w:type="dxa" w:w="1440"/>
            <w:shd w:fill="FAFAFA" w:val="clear"/>
          </w:tcPr>
          <w:p>
            <w:r>
              <w:rPr>
                <w:sz w:val="17"/>
              </w:rPr>
              <w:t>2,053</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1,885</w:t>
            </w:r>
          </w:p>
        </w:tc>
        <w:tc>
          <w:tcPr>
            <w:tcW w:type="dxa" w:w="1440"/>
            <w:shd w:fill="FAFAFA" w:val="clear"/>
          </w:tcPr>
          <w:p>
            <w:r>
              <w:rPr>
                <w:b/>
                <w:sz w:val="17"/>
              </w:rPr>
              <w:t>1,975</w:t>
            </w:r>
          </w:p>
        </w:tc>
        <w:tc>
          <w:tcPr>
            <w:tcW w:type="dxa" w:w="1440"/>
            <w:shd w:fill="FAFAFA" w:val="clear"/>
          </w:tcPr>
          <w:p>
            <w:r>
              <w:rPr>
                <w:sz w:val="17"/>
              </w:rPr>
              <w:t>2,066</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1,851</w:t>
            </w:r>
          </w:p>
        </w:tc>
        <w:tc>
          <w:tcPr>
            <w:tcW w:type="dxa" w:w="1440"/>
            <w:shd w:fill="FAFAFA" w:val="clear"/>
          </w:tcPr>
          <w:p>
            <w:r>
              <w:rPr>
                <w:b/>
                <w:sz w:val="17"/>
              </w:rPr>
              <w:t>1,961</w:t>
            </w:r>
          </w:p>
        </w:tc>
        <w:tc>
          <w:tcPr>
            <w:tcW w:type="dxa" w:w="1440"/>
            <w:shd w:fill="FAFAFA" w:val="clear"/>
          </w:tcPr>
          <w:p>
            <w:r>
              <w:rPr>
                <w:sz w:val="17"/>
              </w:rPr>
              <w:t>2,071</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2026-09-30</w:t>
            </w:r>
          </w:p>
        </w:tc>
        <w:tc>
          <w:tcPr>
            <w:tcW w:type="dxa" w:w="1440"/>
            <w:shd w:fill="FFDCE0" w:val="clear"/>
          </w:tcPr>
          <w:p>
            <w:r>
              <w:rPr>
                <w:sz w:val="17"/>
              </w:rPr>
              <w:t>1,822</w:t>
            </w:r>
          </w:p>
        </w:tc>
        <w:tc>
          <w:tcPr>
            <w:tcW w:type="dxa" w:w="1440"/>
            <w:shd w:fill="FFDCE0" w:val="clear"/>
          </w:tcPr>
          <w:p>
            <w:r>
              <w:rPr>
                <w:b/>
                <w:sz w:val="17"/>
              </w:rPr>
              <w:t>1,948</w:t>
            </w:r>
          </w:p>
        </w:tc>
        <w:tc>
          <w:tcPr>
            <w:tcW w:type="dxa" w:w="1440"/>
            <w:shd w:fill="FFDCE0" w:val="clear"/>
          </w:tcPr>
          <w:p>
            <w:r>
              <w:rPr>
                <w:sz w:val="17"/>
              </w:rPr>
              <w:t>2,074</w:t>
            </w:r>
          </w:p>
        </w:tc>
        <w:tc>
          <w:tcPr>
            <w:tcW w:type="dxa" w:w="1440"/>
            <w:shd w:fill="FFDCE0" w:val="clear"/>
          </w:tcPr>
          <w:p>
            <w:r>
              <w:rPr>
                <w:b/>
                <w:color w:val="C00000"/>
                <w:sz w:val="17"/>
              </w:rPr>
              <w:t>-2.6%</w:t>
            </w:r>
          </w:p>
        </w:tc>
      </w:tr>
      <w:tr>
        <w:tc>
          <w:tcPr>
            <w:tcW w:type="dxa" w:w="1440"/>
            <w:shd w:fill="FFDCE0" w:val="clear"/>
          </w:tcPr>
          <w:p>
            <w:r>
              <w:rPr>
                <w:sz w:val="17"/>
              </w:rPr>
              <w:t>J+5  Moyenne</w:t>
            </w:r>
          </w:p>
        </w:tc>
        <w:tc>
          <w:tcPr>
            <w:tcW w:type="dxa" w:w="1440"/>
            <w:shd w:fill="FFDCE0" w:val="clear"/>
          </w:tcPr>
          <w:p>
            <w:r>
              <w:rPr>
                <w:sz w:val="17"/>
              </w:rPr>
              <w:t>2026-10-01</w:t>
            </w:r>
          </w:p>
        </w:tc>
        <w:tc>
          <w:tcPr>
            <w:tcW w:type="dxa" w:w="1440"/>
            <w:shd w:fill="FFDCE0" w:val="clear"/>
          </w:tcPr>
          <w:p>
            <w:r>
              <w:rPr>
                <w:sz w:val="17"/>
              </w:rPr>
              <w:t>1,795</w:t>
            </w:r>
          </w:p>
        </w:tc>
        <w:tc>
          <w:tcPr>
            <w:tcW w:type="dxa" w:w="1440"/>
            <w:shd w:fill="FFDCE0" w:val="clear"/>
          </w:tcPr>
          <w:p>
            <w:r>
              <w:rPr>
                <w:b/>
                <w:sz w:val="17"/>
              </w:rPr>
              <w:t>1,935</w:t>
            </w:r>
          </w:p>
        </w:tc>
        <w:tc>
          <w:tcPr>
            <w:tcW w:type="dxa" w:w="1440"/>
            <w:shd w:fill="FFDCE0" w:val="clear"/>
          </w:tcPr>
          <w:p>
            <w:r>
              <w:rPr>
                <w:sz w:val="17"/>
              </w:rPr>
              <w:t>2,075</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2026-10-02</w:t>
            </w:r>
          </w:p>
        </w:tc>
        <w:tc>
          <w:tcPr>
            <w:tcW w:type="dxa" w:w="1440"/>
            <w:shd w:fill="FFDCE0" w:val="clear"/>
          </w:tcPr>
          <w:p>
            <w:r>
              <w:rPr>
                <w:sz w:val="17"/>
              </w:rPr>
              <w:t>1,771</w:t>
            </w:r>
          </w:p>
        </w:tc>
        <w:tc>
          <w:tcPr>
            <w:tcW w:type="dxa" w:w="1440"/>
            <w:shd w:fill="FFDCE0" w:val="clear"/>
          </w:tcPr>
          <w:p>
            <w:r>
              <w:rPr>
                <w:b/>
                <w:sz w:val="17"/>
              </w:rPr>
              <w:t>1,923</w:t>
            </w:r>
          </w:p>
        </w:tc>
        <w:tc>
          <w:tcPr>
            <w:tcW w:type="dxa" w:w="1440"/>
            <w:shd w:fill="FFDCE0" w:val="clear"/>
          </w:tcPr>
          <w:p>
            <w:r>
              <w:rPr>
                <w:sz w:val="17"/>
              </w:rPr>
              <w:t>2,076</w:t>
            </w:r>
          </w:p>
        </w:tc>
        <w:tc>
          <w:tcPr>
            <w:tcW w:type="dxa" w:w="1440"/>
            <w:shd w:fill="FFDCE0" w:val="clear"/>
          </w:tcPr>
          <w:p>
            <w:r>
              <w:rPr>
                <w:b/>
                <w:color w:val="C00000"/>
                <w:sz w:val="17"/>
              </w:rPr>
              <w:t>-3.8%</w:t>
            </w:r>
          </w:p>
        </w:tc>
      </w:tr>
      <w:tr>
        <w:tc>
          <w:tcPr>
            <w:tcW w:type="dxa" w:w="1440"/>
            <w:shd w:fill="FFDCE0" w:val="clear"/>
          </w:tcPr>
          <w:p>
            <w:r>
              <w:rPr>
                <w:sz w:val="17"/>
              </w:rPr>
              <w:t>J+7  Moyenne</w:t>
            </w:r>
          </w:p>
        </w:tc>
        <w:tc>
          <w:tcPr>
            <w:tcW w:type="dxa" w:w="1440"/>
            <w:shd w:fill="FFDCE0" w:val="clear"/>
          </w:tcPr>
          <w:p>
            <w:r>
              <w:rPr>
                <w:sz w:val="17"/>
              </w:rPr>
              <w:t>2026-10-05</w:t>
            </w:r>
          </w:p>
        </w:tc>
        <w:tc>
          <w:tcPr>
            <w:tcW w:type="dxa" w:w="1440"/>
            <w:shd w:fill="FFDCE0" w:val="clear"/>
          </w:tcPr>
          <w:p>
            <w:r>
              <w:rPr>
                <w:sz w:val="17"/>
              </w:rPr>
              <w:t>1,748</w:t>
            </w:r>
          </w:p>
        </w:tc>
        <w:tc>
          <w:tcPr>
            <w:tcW w:type="dxa" w:w="1440"/>
            <w:shd w:fill="FFDCE0" w:val="clear"/>
          </w:tcPr>
          <w:p>
            <w:r>
              <w:rPr>
                <w:b/>
                <w:sz w:val="17"/>
              </w:rPr>
              <w:t>1,912</w:t>
            </w:r>
          </w:p>
        </w:tc>
        <w:tc>
          <w:tcPr>
            <w:tcW w:type="dxa" w:w="1440"/>
            <w:shd w:fill="FFDCE0" w:val="clear"/>
          </w:tcPr>
          <w:p>
            <w:r>
              <w:rPr>
                <w:sz w:val="17"/>
              </w:rPr>
              <w:t>2,075</w:t>
            </w:r>
          </w:p>
        </w:tc>
        <w:tc>
          <w:tcPr>
            <w:tcW w:type="dxa" w:w="1440"/>
            <w:shd w:fill="FFDCE0" w:val="clear"/>
          </w:tcPr>
          <w:p>
            <w:r>
              <w:rPr>
                <w:b/>
                <w:color w:val="C00000"/>
                <w:sz w:val="17"/>
              </w:rPr>
              <w:t>-4.4%</w:t>
            </w:r>
          </w:p>
        </w:tc>
      </w:tr>
      <w:tr>
        <w:tc>
          <w:tcPr>
            <w:tcW w:type="dxa" w:w="1440"/>
            <w:shd w:fill="FFDCE0" w:val="clear"/>
          </w:tcPr>
          <w:p>
            <w:r>
              <w:rPr>
                <w:sz w:val="17"/>
              </w:rPr>
              <w:t>J+8  Moyenne</w:t>
            </w:r>
          </w:p>
        </w:tc>
        <w:tc>
          <w:tcPr>
            <w:tcW w:type="dxa" w:w="1440"/>
            <w:shd w:fill="FFDCE0" w:val="clear"/>
          </w:tcPr>
          <w:p>
            <w:r>
              <w:rPr>
                <w:sz w:val="17"/>
              </w:rPr>
              <w:t>2026-10-06</w:t>
            </w:r>
          </w:p>
        </w:tc>
        <w:tc>
          <w:tcPr>
            <w:tcW w:type="dxa" w:w="1440"/>
            <w:shd w:fill="FFDCE0" w:val="clear"/>
          </w:tcPr>
          <w:p>
            <w:r>
              <w:rPr>
                <w:sz w:val="17"/>
              </w:rPr>
              <w:t>1,726</w:t>
            </w:r>
          </w:p>
        </w:tc>
        <w:tc>
          <w:tcPr>
            <w:tcW w:type="dxa" w:w="1440"/>
            <w:shd w:fill="FFDCE0" w:val="clear"/>
          </w:tcPr>
          <w:p>
            <w:r>
              <w:rPr>
                <w:b/>
                <w:sz w:val="17"/>
              </w:rPr>
              <w:t>1,900</w:t>
            </w:r>
          </w:p>
        </w:tc>
        <w:tc>
          <w:tcPr>
            <w:tcW w:type="dxa" w:w="1440"/>
            <w:shd w:fill="FFDCE0" w:val="clear"/>
          </w:tcPr>
          <w:p>
            <w:r>
              <w:rPr>
                <w:sz w:val="17"/>
              </w:rPr>
              <w:t>2,074</w:t>
            </w:r>
          </w:p>
        </w:tc>
        <w:tc>
          <w:tcPr>
            <w:tcW w:type="dxa" w:w="1440"/>
            <w:shd w:fill="FFDCE0" w:val="clear"/>
          </w:tcPr>
          <w:p>
            <w:r>
              <w:rPr>
                <w:b/>
                <w:color w:val="C00000"/>
                <w:sz w:val="17"/>
              </w:rPr>
              <w:t>-5.0%</w:t>
            </w:r>
          </w:p>
        </w:tc>
      </w:tr>
      <w:tr>
        <w:tc>
          <w:tcPr>
            <w:tcW w:type="dxa" w:w="1440"/>
            <w:shd w:fill="FFDCE0" w:val="clear"/>
          </w:tcPr>
          <w:p>
            <w:r>
              <w:rPr>
                <w:sz w:val="17"/>
              </w:rPr>
              <w:t>J+9  Moyenne</w:t>
            </w:r>
          </w:p>
        </w:tc>
        <w:tc>
          <w:tcPr>
            <w:tcW w:type="dxa" w:w="1440"/>
            <w:shd w:fill="FFDCE0" w:val="clear"/>
          </w:tcPr>
          <w:p>
            <w:r>
              <w:rPr>
                <w:sz w:val="17"/>
              </w:rPr>
              <w:t>2026-10-07</w:t>
            </w:r>
          </w:p>
        </w:tc>
        <w:tc>
          <w:tcPr>
            <w:tcW w:type="dxa" w:w="1440"/>
            <w:shd w:fill="FFDCE0" w:val="clear"/>
          </w:tcPr>
          <w:p>
            <w:r>
              <w:rPr>
                <w:sz w:val="17"/>
              </w:rPr>
              <w:t>1,706</w:t>
            </w:r>
          </w:p>
        </w:tc>
        <w:tc>
          <w:tcPr>
            <w:tcW w:type="dxa" w:w="1440"/>
            <w:shd w:fill="FFDCE0" w:val="clear"/>
          </w:tcPr>
          <w:p>
            <w:r>
              <w:rPr>
                <w:b/>
                <w:sz w:val="17"/>
              </w:rPr>
              <w:t>1,889</w:t>
            </w:r>
          </w:p>
        </w:tc>
        <w:tc>
          <w:tcPr>
            <w:tcW w:type="dxa" w:w="1440"/>
            <w:shd w:fill="FFDCE0" w:val="clear"/>
          </w:tcPr>
          <w:p>
            <w:r>
              <w:rPr>
                <w:sz w:val="17"/>
              </w:rPr>
              <w:t>2,073</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2026-10-08</w:t>
            </w:r>
          </w:p>
        </w:tc>
        <w:tc>
          <w:tcPr>
            <w:tcW w:type="dxa" w:w="1440"/>
            <w:shd w:fill="FFDCE0" w:val="clear"/>
          </w:tcPr>
          <w:p>
            <w:r>
              <w:rPr>
                <w:sz w:val="17"/>
              </w:rPr>
              <w:t>1,686</w:t>
            </w:r>
          </w:p>
        </w:tc>
        <w:tc>
          <w:tcPr>
            <w:tcW w:type="dxa" w:w="1440"/>
            <w:shd w:fill="FFDCE0" w:val="clear"/>
          </w:tcPr>
          <w:p>
            <w:r>
              <w:rPr>
                <w:b/>
                <w:sz w:val="17"/>
              </w:rPr>
              <w:t>1,878</w:t>
            </w:r>
          </w:p>
        </w:tc>
        <w:tc>
          <w:tcPr>
            <w:tcW w:type="dxa" w:w="1440"/>
            <w:shd w:fill="FFDCE0" w:val="clear"/>
          </w:tcPr>
          <w:p>
            <w:r>
              <w:rPr>
                <w:sz w:val="17"/>
              </w:rPr>
              <w:t>2,071</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FILTISAC CI (FTSC)</w:t>
        <w:br/>
        <w:t>**Bourse Régionale des Valeurs Mobilières (BRVM) — Secteur : Entreprise industrielle (emballages jute/polymères)**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28,21 Mds FCFA, FTSC se situe dans la catégorie des valeurs moyennes de la BRVM, ce qui la rend vulnérable aux mouvements de faible volume. Le BPA de 33 FCFA/action signifie que chaque titre génère un bénéfice net unitaire très modeste, ce qui, rapporté au cours de 2 000 FCFA, aboutit à un PER de 60,5x — soit environ cinq à sept fois supérieur à la moyenne du marché BRVM (~8-12x), signalant une valorisation très exigeante et une forte anticipation de redressement des bénéfices. Le P/B de 1,80x indique que le marché valorise l'action à près du double de sa valeur comptable (capitaux propres de 15,7 Mds FCFA), ce qui reste raisonnable dans l'absolu mais se justifie mal au regard de la faiblesse actuelle du ROE (2,97%). Enfin, l'EV/EBITDA de 36,7x, très supérieur au seuil de 15x, traduit une valeur d'entreprise déconnectée de la capacité opérationnelle réelle de génération de cash — la prime de marché repose donc largement sur des perspectives de retournement plutôt que sur les fondamentaux présents.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totale de **-8,88%**, avec une dernière séance stable à **+0,00%**, confirmant une tendance baissière de fond mais essoufflée à court terme. Le cours actuel de 2 000 FCFA se situe dans la partie basse du range de trading compris entre un plus bas de 1 910 FCFA et un plus haut de 2 430 FCFA, soit une amplitude de 520 FCFA (27% du cours bas) — le titre évolue donc nettement sous ses sommets récents. Les statistiques descriptives révèlent une moyenne (2 122 FCFA) légèrement supérieure à la médiane (2 132 FCFA), avec un skewness de +0,285 indiquant une distribution quasi symétrique, légèrement étirée vers les hausses — signe d'une absence de pression vendeuse extrême. L'écart-type de 128 FCFA pour un coefficient de variation de seulement 6,0% traduit une dispersion modérée du cours autour de sa moyenne, tandis que le kurtosis de -0,749 (mésokurtique) suggère une distribution proche de la normale, sans risque marqué de pics extrêmes. La volatilité annualisée de **33,3%** classe le titre dans la catégorie **élevée** (&gt;30%), ce qui est cohérent avec un marché peu liquide (volume moyen de seulement 4 075 titres/jour) où de faibles flux suffisent à déplacer les prix.</w:t>
      </w:r>
    </w:p>
    <w:p>
      <w:pPr>
        <w:spacing w:after="120" w:line="276" w:lineRule="auto"/>
      </w:pPr>
      <w:r>
        <w:t>---</w:t>
      </w:r>
    </w:p>
    <w:p>
      <w:pPr>
        <w:spacing w:after="120" w:line="276" w:lineRule="auto"/>
      </w:pPr>
      <w:r>
        <w:t>## PARTIE 2 : ANALYSE TECHNIQUE DÉTAILLÉE</w:t>
      </w:r>
    </w:p>
    <w:p>
      <w:pPr>
        <w:spacing w:after="120" w:line="276" w:lineRule="auto"/>
      </w:pPr>
      <w:r>
        <w:t>**Moyennes Mobiles** : La MM20 (2 094,75 FCFA) et la MM50 (2 070,80 FCFA) se situent toutes deux au-dessus du cours actuel (2 000 FCFA), ce qui place le titre en position baissière sous ses supports mobiles. Toutefois, la MM20 étant supérieure à la MM50, la configuration reste celle d'un croisement haussier antérieur — d'où la décision « Achat » fournie, à interpréter avec prudence car le prix n'a pas encore confirmé ce signal en repassant au-dessus des deux moyennes.</w:t>
      </w:r>
    </w:p>
    <w:p>
      <w:pPr>
        <w:spacing w:after="120" w:line="276" w:lineRule="auto"/>
      </w:pPr>
      <w:r>
        <w:t>**Bandes de Bollinger** : Le cours (2 000 FCFA) évolue dans la partie basse du canal, entre la borne inférieure (1 966,09 FCFA) et la borne supérieure (2 223,41 FCFA), tout en restant proche du support inférieur. Cette position suggère une pression vendeuse persistante mais un potentiel de rebond technique si le support de 1 966 FCFA tient — d'où la décision « Neutre », le titre n'étant ni en survente extrême ni en zone d'achat franche.</w:t>
      </w:r>
    </w:p>
    <w:p>
      <w:pPr>
        <w:spacing w:after="120" w:line="276" w:lineRule="auto"/>
      </w:pPr>
      <w:r>
        <w:t>**MACD** : La valeur du MACD (-26,932) est nettement inférieure à son signal (-8,619), avec un histogramme négatif qui traduit un momentum baissier toujours actif. La divergence négative entre les deux lignes confirme que la dynamique de court terme reste défavorable, justifiant pleinement la décision « Vente » de cet indicateur.</w:t>
      </w:r>
    </w:p>
    <w:p>
      <w:pPr>
        <w:spacing w:after="120" w:line="276" w:lineRule="auto"/>
      </w:pPr>
      <w:r>
        <w:t>**RSI** : À 30,263, le RSI se situe juste au-dessus du seuil de survente (30), ce qui place le titre en zone neutre basse — proche d'un point de retournement potentiel mais sans signal d'achat confirmé. La décision « Neutre » est cohérente : le titre n'est pas encore techniquement survendu, mais la pression baissière s'atténue.</w:t>
      </w:r>
    </w:p>
    <w:p>
      <w:pPr>
        <w:spacing w:after="120" w:line="276" w:lineRule="auto"/>
      </w:pPr>
      <w:r>
        <w:t>**Stochastique** : Le %K (40,909) est supérieur au %D (26,136), configuration qui suggère un début de croisement haussier — le %K remontant vers le %D après une phase de faiblesse. Toutefois, les deux lignes restent en zone basse, ce qui explique la décision « Neutre » : le signal d'achat n'est pas encore validé.</w:t>
      </w:r>
    </w:p>
    <w:p>
      <w:pPr>
        <w:spacing w:after="120" w:line="276" w:lineRule="auto"/>
      </w:pPr>
      <w:r>
        <w:t>**Conclusion technique** : Les indicateurs sont majoritairement baissiers (MACD en vente, cours sous les MM, prix proche de la borne basse de Bollinger) mais présentent des signes d'essoufflement de la baisse (RSI proche de 30, croisement stochastique naissant, décision « Achat » des MM). Le titre se trouve à un point d'inflexion technique : soit il rebondit sur le support de 1 966-1 910 FCFA, soit il casse à la baisse vers de nouveaux plus bas. L'absence de signal fort et convergent impose la prudence.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FILTISAC CI a réalisé un chiffre d'affaires de **32,109 Mds FCFA** (+4,61% sur un an), mais son résultat net s'est effondré à **465,98 M FCFA** contre 18,6 Mds FCFA en 2024, soit une chute de 97,5% — conséquence directe de l'absence des produits exceptionnels de cession de filiales qui avaient artificiellement gonflé le bénéfice 2024. Les ratios de rentabilité sont très faibles : **ROE de 2,97%** (très en dessous du seuil de 15% considéré comme excellent) et **ROA de 1,19%**, tandis que la marge nette n'est que de 1,45% et la marge opérationnelle de 0,86%. En tant qu'entreprise industrielle, les délais d'exploitation sont préoccupants : **délai clients de 213,72 jours** (risque de trésorerie élevé), **durée de stockage de 214,65 jours** (capital immobilisé important) et délai fournisseurs de 140,71 jours. Le BFR s'établit à 11,529 Mds FCFA et la trésorerie nette est **fortement négative à -11,528 Mds FCFA**, conséquence du versement de dividendes massifs (100% du résultat 2024) qui a fait fondre les capitaux propres de 43,4 à 15,7 Mds FCFA. L'autonomie financière reste correcte (40,11%) et la solvabilité générale satisfaisante (166,98%), mais le ratio d'endettement de 97,60% et la capacité de remboursement de 11,49 années constituent des points de vigilance.</w:t>
      </w:r>
    </w:p>
    <w:p>
      <w:pPr>
        <w:spacing w:after="120" w:line="276" w:lineRule="auto"/>
      </w:pPr>
      <w:r>
        <w:t>**Estimations basées sur les rapports trimestriels** : Le rapport du **T1 2026** (publié en 2026) fait état d'un chiffre d'affaires de **8 901 M FCFA, en hausse de 55%** sur un an, porté par la forte demande d'emballages cacao, avec un résultat d'exploitation redevenu **positif à +75 M FCFA** (contre -78 M FCFA au T1 2025) — une amélioration opérationnelle nette de 153 M FCFA. Toutefois, le résultat net reste **déficitaire à -154 M FCFA** (marge nette de -1,73%), bien qu'en amélioration de 14%. Le rapport du **T3 2025** (30/09/2025) confirmait déjà cette dynamique : CA de 18 371 M FCFA sur 9 mois (-1%), résultat courant avant impôt de -216 M FCFA, avec un résultat d'exploitation encore déficitaire (-230 M FCFA) mais en amélioration de 875 M FCFA grâce au plan d'optimisation des charges. On estime donc que l'exercice 2026 devrait bénéficier d'un net redressement du chiffre d'affaires (+30 à +50% selon la campagne cacaoyère) et d'un retour à l'équilibre opérationnel, mais la rentabilité nette restera probablement fragile, dépendante de la campagne cacaoyère 2025/2026 et exposée aux risques d'approvisionnement (interdiction d'exportation de jute par le Bangladesh, hausse du fret maritime liée aux crises géopolitiques).</w:t>
      </w:r>
    </w:p>
    <w:p>
      <w:pPr>
        <w:spacing w:after="120" w:line="276" w:lineRule="auto"/>
      </w:pPr>
      <w:r>
        <w:t>**Recommandation fondamentale** : La société présente un profil de **redressement opérationnel en cours mais une situation financière dégradée** (trésorerie négative, capitaux propres réduits, rentabilité nette négative). Le communiqué du 08/07/2026 rassure sur la continuité d'activité (solution alternative d'importation de fil de jute, moins de 10% des effectifs concernés), mais les risques d'exécution restent élevés. La recommandation source du rapport 2025 est « Vendre », tandis que celle du T1 2026 est « Conserver » — reflétant l'amélioration progressive mais incomplète de la situation.</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très tendue : PER de 60,5x, EV/EBITDA de 36,7x et P/B de 1,80x pour un ROE de seulement 2,97% — le marché intègre déjà une forte anticipation de redressement, ce qui limite le potentiel de hausse et expose à une correction en cas de déception. Le **comportement du cours** (Partie 1) est baissier (-8,88% sur 100 jours), avec une volatilité élevée (33,3%) et une distribution quasi normale (kurtosis -0,749, skewness +0,285) qui n'offre pas de signal directionnel fort, mais un cours positionné dans le bas du range (2 000 FCFA vs plus haut de 2 430 FCFA). Les **signaux techniques** (Partie 2) sont divergents : MACD en vente et cours sous les MM, mais RSI proche de la survente, stochastique en début de croisement haussier et décision « Achat » des MM — le titre est à un point d'inflexion sans convergence claire. Les **fondamentaux** (Partie 3) révèlent une amélioration opérationnelle réelle au T1 2026 (CA +55%, résultat d'exploitation positif) mais une rentabilité nette toujours négative et une trésorerie très dégradée (-11,5 Mds FCFA), avec une dépendance critique à la campagne cacaoyère. Les **prédictions IA** (J+1 à J+10) anticipent une poursuite de la baisse jusqu'à 1 935 FCFA le 01/10/2026, confirmant la pression baissière de court terme et contredisant les signaux d'achat techniques naissants.</w:t>
      </w:r>
    </w:p>
    <w:p>
      <w:pPr>
        <w:spacing w:after="120" w:line="276" w:lineRule="auto"/>
      </w:pPr>
      <w:r>
        <w:t>**Recommandation finale : CONSERVER** (avec biais baissier à court terme). La convergence entre valorisation exigeante, technique mitigée, fondamentaux en redressement fragile et prédictions baissières ne justifie ni un achat agressif (les risques de liquidité et de rentabilité persistent), ni une vente panique (l'amélioration opérationnelle du T1 2026 et le soutien de la campagne cacaoyère offrent un potentiel de rebond). **Niveau de confiance : Moyen** — les signaux sont contradictoires et dépendants d'événements exogènes (campagne cacaoyère, coûts du fret). **Niveau de risque global : Élevé** (trésorerie négative, faible liquidité du titre, dépendance aux matières premières). **Horizon d'investissement optimal : Moyen terme (3-12 mois)**, le temps que la rentabilité nette se confirme et que la trésorerie se redresse — un horizon court terme exposerait à la volatilité et à la trajectoire baissière prédite par l'IA.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79.50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4,517 titres</w:t>
            </w:r>
          </w:p>
        </w:tc>
        <w:tc>
          <w:tcPr>
            <w:tcW w:type="dxa" w:w="2268"/>
            <w:shd w:fill="FFF2CC" w:val="clear"/>
          </w:tcPr>
          <w:p>
            <w:r>
              <w:rPr>
                <w:b/>
                <w:color w:val="503200"/>
                <w:sz w:val="16"/>
              </w:rPr>
              <w:t xml:space="preserve">Cours actuel : </w:t>
            </w:r>
            <w:r>
              <w:rPr>
                <w:color w:val="000000"/>
                <w:sz w:val="17"/>
              </w:rPr>
              <w:t>3,975 FCFA</w:t>
            </w:r>
          </w:p>
          <w:p>
            <w:r>
              <w:rPr>
                <w:b/>
                <w:color w:val="503200"/>
                <w:sz w:val="16"/>
              </w:rPr>
              <w:t xml:space="preserve">Var. 100 jours : </w:t>
            </w:r>
            <w:r>
              <w:rPr>
                <w:b/>
                <w:color w:val="007800"/>
                <w:sz w:val="17"/>
              </w:rPr>
              <w:t>+3.25%</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12.5/100 → Faible</w:t>
      </w:r>
    </w:p>
    <w:p>
      <w:pPr>
        <w:spacing w:before="40" w:after="80"/>
      </w:pPr>
      <w:r>
        <w:rPr>
          <w:rFonts w:ascii="Courier New" w:hAnsi="Courier New"/>
          <w:color w:val="006400"/>
          <w:sz w:val="18"/>
        </w:rPr>
        <w:t>██░░░░░░░░░░░░░░░░░░  12.5/100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μ=4,074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β=-0.1135 (Contre-cyclique) — Cov=-0.000005, Var(idx)=0.000045, ρ=-0.031,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4,517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2026-09-25</w:t>
            </w:r>
          </w:p>
        </w:tc>
        <w:tc>
          <w:tcPr>
            <w:tcW w:type="dxa" w:w="1440"/>
            <w:shd w:fill="C6EFCE" w:val="clear"/>
          </w:tcPr>
          <w:p>
            <w:r>
              <w:rPr>
                <w:sz w:val="17"/>
              </w:rPr>
              <w:t>3,885</w:t>
            </w:r>
          </w:p>
        </w:tc>
        <w:tc>
          <w:tcPr>
            <w:tcW w:type="dxa" w:w="1440"/>
            <w:shd w:fill="C6EFCE" w:val="clear"/>
          </w:tcPr>
          <w:p>
            <w:r>
              <w:rPr>
                <w:b/>
                <w:sz w:val="17"/>
              </w:rPr>
              <w:t>4,074</w:t>
            </w:r>
          </w:p>
        </w:tc>
        <w:tc>
          <w:tcPr>
            <w:tcW w:type="dxa" w:w="1440"/>
            <w:shd w:fill="C6EFCE" w:val="clear"/>
          </w:tcPr>
          <w:p>
            <w:r>
              <w:rPr>
                <w:sz w:val="17"/>
              </w:rPr>
              <w:t>4,262</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2026-09-28</w:t>
            </w:r>
          </w:p>
        </w:tc>
        <w:tc>
          <w:tcPr>
            <w:tcW w:type="dxa" w:w="1440"/>
            <w:shd w:fill="C6EFCE" w:val="clear"/>
          </w:tcPr>
          <w:p>
            <w:r>
              <w:rPr>
                <w:sz w:val="17"/>
              </w:rPr>
              <w:t>3,817</w:t>
            </w:r>
          </w:p>
        </w:tc>
        <w:tc>
          <w:tcPr>
            <w:tcW w:type="dxa" w:w="1440"/>
            <w:shd w:fill="C6EFCE" w:val="clear"/>
          </w:tcPr>
          <w:p>
            <w:r>
              <w:rPr>
                <w:b/>
                <w:sz w:val="17"/>
              </w:rPr>
              <w:t>4,085</w:t>
            </w:r>
          </w:p>
        </w:tc>
        <w:tc>
          <w:tcPr>
            <w:tcW w:type="dxa" w:w="1440"/>
            <w:shd w:fill="C6EFCE" w:val="clear"/>
          </w:tcPr>
          <w:p>
            <w:r>
              <w:rPr>
                <w:sz w:val="17"/>
              </w:rPr>
              <w:t>4,353</w:t>
            </w:r>
          </w:p>
        </w:tc>
        <w:tc>
          <w:tcPr>
            <w:tcW w:type="dxa" w:w="1440"/>
            <w:shd w:fill="C6EFCE" w:val="clear"/>
          </w:tcPr>
          <w:p>
            <w:r>
              <w:rPr>
                <w:b/>
                <w:color w:val="008000"/>
                <w:sz w:val="17"/>
              </w:rPr>
              <w:t>+2.8%</w:t>
            </w:r>
          </w:p>
        </w:tc>
      </w:tr>
      <w:tr>
        <w:tc>
          <w:tcPr>
            <w:tcW w:type="dxa" w:w="1440"/>
            <w:shd w:fill="C6EFCE" w:val="clear"/>
          </w:tcPr>
          <w:p>
            <w:r>
              <w:rPr>
                <w:sz w:val="17"/>
              </w:rPr>
              <w:t>J+3  Moyenne</w:t>
            </w:r>
          </w:p>
        </w:tc>
        <w:tc>
          <w:tcPr>
            <w:tcW w:type="dxa" w:w="1440"/>
            <w:shd w:fill="C6EFCE" w:val="clear"/>
          </w:tcPr>
          <w:p>
            <w:r>
              <w:rPr>
                <w:sz w:val="17"/>
              </w:rPr>
              <w:t>2026-09-29</w:t>
            </w:r>
          </w:p>
        </w:tc>
        <w:tc>
          <w:tcPr>
            <w:tcW w:type="dxa" w:w="1440"/>
            <w:shd w:fill="C6EFCE" w:val="clear"/>
          </w:tcPr>
          <w:p>
            <w:r>
              <w:rPr>
                <w:sz w:val="17"/>
              </w:rPr>
              <w:t>3,762</w:t>
            </w:r>
          </w:p>
        </w:tc>
        <w:tc>
          <w:tcPr>
            <w:tcW w:type="dxa" w:w="1440"/>
            <w:shd w:fill="C6EFCE" w:val="clear"/>
          </w:tcPr>
          <w:p>
            <w:r>
              <w:rPr>
                <w:b/>
                <w:sz w:val="17"/>
              </w:rPr>
              <w:t>4,091</w:t>
            </w:r>
          </w:p>
        </w:tc>
        <w:tc>
          <w:tcPr>
            <w:tcW w:type="dxa" w:w="1440"/>
            <w:shd w:fill="C6EFCE" w:val="clear"/>
          </w:tcPr>
          <w:p>
            <w:r>
              <w:rPr>
                <w:sz w:val="17"/>
              </w:rPr>
              <w:t>4,419</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3,717</w:t>
            </w:r>
          </w:p>
        </w:tc>
        <w:tc>
          <w:tcPr>
            <w:tcW w:type="dxa" w:w="1440"/>
            <w:shd w:fill="C6EFCE" w:val="clear"/>
          </w:tcPr>
          <w:p>
            <w:r>
              <w:rPr>
                <w:b/>
                <w:sz w:val="17"/>
              </w:rPr>
              <w:t>4,097</w:t>
            </w:r>
          </w:p>
        </w:tc>
        <w:tc>
          <w:tcPr>
            <w:tcW w:type="dxa" w:w="1440"/>
            <w:shd w:fill="C6EFCE" w:val="clear"/>
          </w:tcPr>
          <w:p>
            <w:r>
              <w:rPr>
                <w:sz w:val="17"/>
              </w:rPr>
              <w:t>4,477</w:t>
            </w:r>
          </w:p>
        </w:tc>
        <w:tc>
          <w:tcPr>
            <w:tcW w:type="dxa" w:w="1440"/>
            <w:shd w:fill="C6EFCE" w:val="clear"/>
          </w:tcPr>
          <w:p>
            <w:r>
              <w:rPr>
                <w:b/>
                <w:color w:val="008000"/>
                <w:sz w:val="17"/>
              </w:rPr>
              <w:t>+3.1%</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3,676</w:t>
            </w:r>
          </w:p>
        </w:tc>
        <w:tc>
          <w:tcPr>
            <w:tcW w:type="dxa" w:w="1440"/>
            <w:shd w:fill="C6EFCE" w:val="clear"/>
          </w:tcPr>
          <w:p>
            <w:r>
              <w:rPr>
                <w:b/>
                <w:sz w:val="17"/>
              </w:rPr>
              <w:t>4,102</w:t>
            </w:r>
          </w:p>
        </w:tc>
        <w:tc>
          <w:tcPr>
            <w:tcW w:type="dxa" w:w="1440"/>
            <w:shd w:fill="C6EFCE" w:val="clear"/>
          </w:tcPr>
          <w:p>
            <w:r>
              <w:rPr>
                <w:sz w:val="17"/>
              </w:rPr>
              <w:t>4,527</w:t>
            </w:r>
          </w:p>
        </w:tc>
        <w:tc>
          <w:tcPr>
            <w:tcW w:type="dxa" w:w="1440"/>
            <w:shd w:fill="C6EFCE" w:val="clear"/>
          </w:tcPr>
          <w:p>
            <w:r>
              <w:rPr>
                <w:b/>
                <w:color w:val="008000"/>
                <w:sz w:val="17"/>
              </w:rPr>
              <w:t>+3.2%</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3,639</w:t>
            </w:r>
          </w:p>
        </w:tc>
        <w:tc>
          <w:tcPr>
            <w:tcW w:type="dxa" w:w="1440"/>
            <w:shd w:fill="C6EFCE" w:val="clear"/>
          </w:tcPr>
          <w:p>
            <w:r>
              <w:rPr>
                <w:b/>
                <w:sz w:val="17"/>
              </w:rPr>
              <w:t>4,106</w:t>
            </w:r>
          </w:p>
        </w:tc>
        <w:tc>
          <w:tcPr>
            <w:tcW w:type="dxa" w:w="1440"/>
            <w:shd w:fill="C6EFCE" w:val="clear"/>
          </w:tcPr>
          <w:p>
            <w:r>
              <w:rPr>
                <w:sz w:val="17"/>
              </w:rPr>
              <w:t>4,572</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3,628</w:t>
            </w:r>
          </w:p>
        </w:tc>
        <w:tc>
          <w:tcPr>
            <w:tcW w:type="dxa" w:w="1440"/>
            <w:shd w:fill="C6EFCE" w:val="clear"/>
          </w:tcPr>
          <w:p>
            <w:r>
              <w:rPr>
                <w:b/>
                <w:sz w:val="17"/>
              </w:rPr>
              <w:t>4,135</w:t>
            </w:r>
          </w:p>
        </w:tc>
        <w:tc>
          <w:tcPr>
            <w:tcW w:type="dxa" w:w="1440"/>
            <w:shd w:fill="C6EFCE" w:val="clear"/>
          </w:tcPr>
          <w:p>
            <w:r>
              <w:rPr>
                <w:sz w:val="17"/>
              </w:rPr>
              <w:t>4,643</w:t>
            </w:r>
          </w:p>
        </w:tc>
        <w:tc>
          <w:tcPr>
            <w:tcW w:type="dxa" w:w="1440"/>
            <w:shd w:fill="C6EFCE" w:val="clear"/>
          </w:tcPr>
          <w:p>
            <w:r>
              <w:rPr>
                <w:b/>
                <w:color w:val="008000"/>
                <w:sz w:val="17"/>
              </w:rPr>
              <w:t>+4.0%</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3,618</w:t>
            </w:r>
          </w:p>
        </w:tc>
        <w:tc>
          <w:tcPr>
            <w:tcW w:type="dxa" w:w="1440"/>
            <w:shd w:fill="C6EFCE" w:val="clear"/>
          </w:tcPr>
          <w:p>
            <w:r>
              <w:rPr>
                <w:b/>
                <w:sz w:val="17"/>
              </w:rPr>
              <w:t>4,164</w:t>
            </w:r>
          </w:p>
        </w:tc>
        <w:tc>
          <w:tcPr>
            <w:tcW w:type="dxa" w:w="1440"/>
            <w:shd w:fill="C6EFCE" w:val="clear"/>
          </w:tcPr>
          <w:p>
            <w:r>
              <w:rPr>
                <w:sz w:val="17"/>
              </w:rPr>
              <w:t>4,710</w:t>
            </w:r>
          </w:p>
        </w:tc>
        <w:tc>
          <w:tcPr>
            <w:tcW w:type="dxa" w:w="1440"/>
            <w:shd w:fill="C6EFCE" w:val="clear"/>
          </w:tcPr>
          <w:p>
            <w:r>
              <w:rPr>
                <w:b/>
                <w:color w:val="008000"/>
                <w:sz w:val="17"/>
              </w:rPr>
              <w:t>+4.8%</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3,586</w:t>
            </w:r>
          </w:p>
        </w:tc>
        <w:tc>
          <w:tcPr>
            <w:tcW w:type="dxa" w:w="1440"/>
            <w:shd w:fill="C6EFCE" w:val="clear"/>
          </w:tcPr>
          <w:p>
            <w:r>
              <w:rPr>
                <w:b/>
                <w:sz w:val="17"/>
              </w:rPr>
              <w:t>4,166</w:t>
            </w:r>
          </w:p>
        </w:tc>
        <w:tc>
          <w:tcPr>
            <w:tcW w:type="dxa" w:w="1440"/>
            <w:shd w:fill="C6EFCE" w:val="clear"/>
          </w:tcPr>
          <w:p>
            <w:r>
              <w:rPr>
                <w:sz w:val="17"/>
              </w:rPr>
              <w:t>4,745</w:t>
            </w:r>
          </w:p>
        </w:tc>
        <w:tc>
          <w:tcPr>
            <w:tcW w:type="dxa" w:w="1440"/>
            <w:shd w:fill="C6EFCE" w:val="clear"/>
          </w:tcPr>
          <w:p>
            <w:r>
              <w:rPr>
                <w:b/>
                <w:color w:val="008000"/>
                <w:sz w:val="17"/>
              </w:rPr>
              <w:t>+4.8%</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3,559</w:t>
            </w:r>
          </w:p>
        </w:tc>
        <w:tc>
          <w:tcPr>
            <w:tcW w:type="dxa" w:w="1440"/>
            <w:shd w:fill="C6EFCE" w:val="clear"/>
          </w:tcPr>
          <w:p>
            <w:r>
              <w:rPr>
                <w:b/>
                <w:sz w:val="17"/>
              </w:rPr>
              <w:t>4,170</w:t>
            </w:r>
          </w:p>
        </w:tc>
        <w:tc>
          <w:tcPr>
            <w:tcW w:type="dxa" w:w="1440"/>
            <w:shd w:fill="C6EFCE" w:val="clear"/>
          </w:tcPr>
          <w:p>
            <w:r>
              <w:rPr>
                <w:sz w:val="17"/>
              </w:rPr>
              <w:t>4,782</w:t>
            </w:r>
          </w:p>
        </w:tc>
        <w:tc>
          <w:tcPr>
            <w:tcW w:type="dxa" w:w="1440"/>
            <w:shd w:fill="C6EFCE" w:val="clear"/>
          </w:tcPr>
          <w:p>
            <w:r>
              <w:rPr>
                <w:b/>
                <w:color w:val="008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 SA)**</w:t>
        <w:br/>
        <w:t>*Bourse Régionale des Valeurs Mobilières (BRVM) — Secteur : Entreprise non bancaire (Jeux &amp; Loterie)*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79,50 Mds FCFA, LNBB se positionne comme une valeur de taille moyenne sur le compartiment BRVM, représentant un poids modéré dans l'indice composite. Le BPA de 231 FCFA/action signifie que chaque titre génère près de 231 FCFA de bénéfice net, ce qui, rapporté au cours actuel de 3 975 FCFA, confère au titre un PER de 17,2x — nettement supérieur à la moyenne du marché BRVM (généralement comprise entre 8x et 12x), traduisant une prime de valorisation que les investisseurs accordent à la solidité du modèle et à sa politique de dividende généreuse. Le ratio P/B de 3,62x indique que le marché valorise l'entreprise à plus de trois fois sa valeur comptable, ce qui est cohérent avec un ROE élevé (21,05%) mais suggère une certaine tension sur le multiple. Enfin, l'EV/EBITDA de 10,1x situe la valeur totale (capitalisation + dette nette quasi nulle) à environ dix fois sa capacité opérationnelle, un niveau élevé qui intègre les perspectives de redressement de la rentabilité post-2025.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de +3,25%, mais c'est surtout la séance du J-1 qui retient l'attention avec un bond spectaculaire de +7,43%, signe d'un intérêt acheteur soudain, probablement lié à l'anticipation du dividende ou à des publications rassurantes. Le cours actuel de 3 975 FCFA se situe dans la moitié basse du range de trading (plus haut : 4 560 FCFA ; plus bas : 3 700 FCFA), ce qui traduit une tendance générale baissière sur la période, le titre ayant corrigé depuis ses sommets sans parvenir à reconquérir les 4 100-4 200 FCFA. Les statistiques descriptives révèlent une moyenne de 4 074 FCFA légèrement supérieure à la médiane de 4 050 FCFA, avec un mode à 4 000 FCFA, indiquant une distribution quasi symétrique mais légèrement tirée vers le haut par quelques séances de forte hausse. L'écart-type de 194 FCFA (CV = 4,8%) témoigne d'une dispersion modérée du cours autour de sa moyenne, tandis que le kurtosis de -0,793 (mésokurtique) et le skewness de 0,446 (distribution symétrique) suggèrent un comportement de marché relativement normal, sans risque extrême de pics ou de krachs violents. La volatilité annualisée de 41,4% classe toutefois le titre dans la catégorie des valeurs à volatilité élevée (&gt;30%), ce qui implique un risque de marché non négligeable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(3 997 FCFA) est légèrement supérieure au cours actuel (3 975 FCFA), tandis que la MM50 (4 136 FCFA) se situe nettement au-dessus, confirmant une configuration baissière de court et moyen terme. Le croisement baissier des moyennes et la position du cours sous la MM50 justifient la décision technique de **Vente**.</w:t>
      </w:r>
    </w:p>
    <w:p>
      <w:pPr>
        <w:spacing w:after="120" w:line="276" w:lineRule="auto"/>
      </w:pPr>
      <w:r>
        <w:t>**Bandes de Bollinger** : Le cours (3 975 FCFA) évolue dans la partie médiane de la bande (borne supérieure : 4 176 FCFA ; borne inférieure : 3 818 FCFA), sans contact avec les extrêmes, ce qui traduit une absence de signal directionnel fort. La décision est **Neutre**, la volatilité restant contenue dans les bandes.</w:t>
      </w:r>
    </w:p>
    <w:p>
      <w:pPr>
        <w:spacing w:after="120" w:line="276" w:lineRule="auto"/>
      </w:pPr>
      <w:r>
        <w:t>**MACD** : La valeur du MACD (-50,812) est inférieure à son signal (-45,236), avec un histogramme négatif, confirmant un momentum baissier persistant. La divergence négative entre les deux lignes justifie la décision de **Vente**.</w:t>
      </w:r>
    </w:p>
    <w:p>
      <w:pPr>
        <w:spacing w:after="120" w:line="276" w:lineRule="auto"/>
      </w:pPr>
      <w:r>
        <w:t>**RSI** : À 47,44, le RSI se situe en zone neutre (30-70), sans signal de surachat ni de survente. Cette position médiane traduit un équilibre entre acheteurs et vendeurs, justifiant la décision **Neutre**.</w:t>
      </w:r>
    </w:p>
    <w:p>
      <w:pPr>
        <w:spacing w:after="120" w:line="276" w:lineRule="auto"/>
      </w:pPr>
      <w:r>
        <w:t>**Stochastique** : Le %K (68,75) est nettement supérieur au %D (39,583), avec un croisement haussier récent qui pourrait annoncer un rebond de court terme. Toutefois, le %K n'ayant pas encore franchi le seuil de 80, la décision reste **Neutre**.</w:t>
      </w:r>
    </w:p>
    <w:p>
      <w:pPr>
        <w:spacing w:after="120" w:line="276" w:lineRule="auto"/>
      </w:pPr>
      <w:r>
        <w:t>**Conclusion technique** : Les indicateurs sont majoritairement baissiers (MM, MACD) ou neutres (Bollinger, RSI, Stochastique), sans convergence haussière claire. Le rebond du J-1 (+7,43%) et le croisement haussier du stochastique suggèrent un possible sursaut technique, mais la pression baissière de la MM50 et du MACD limite le potentiel de reprise à court terme. La configuration globale invite à la prudence, avec une orientation **neutre à légèrement baissière**.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Mds FCFA, en baisse de -3,85% par rapport à 2024, sous l'effet d'une concurrence illégale accrue. Le résultat net s'établit à 4,622 Mds FCFA, avec une marge nette de 4,69% et un ROE de 21,05%, confirmant une rentabilité des fonds propres excellente (&gt;15%). Le ROA de 14,17% et la rotation des actifs de 302,37% témoignent d'une efficacité opérationnelle remarquable. La structure financière est très saine : autonomie financière de 67,32%, ratio d'endettement de seulement 2,57%, liquidité générale de 184,84% et trésorerie nette de 7,979 Mds FCFA. Le BFR est négatif (217,45 M FCFA), ce qui est favorable, et les délais clients (4,82 jours) et fournisseurs (20,41 jours) sont bien maîtrisés.</w:t>
      </w:r>
    </w:p>
    <w:p>
      <w:pPr>
        <w:spacing w:after="120" w:line="276" w:lineRule="auto"/>
      </w:pPr>
      <w:r>
        <w:t>**Estimations basées sur les rapports trimestriels** : Le rapport du **S1 2026 (publié le 30 juillet 2026)** indique un CA de 49,937 Mds FCFA (+4% vs S1 2025) et un résultat net en hausse de +60%, porté par la maîtrise des charges et les revenus de partenariats. Toutefois, le **rapport T1 2026 (publié le 7 mai 2026)** révèle une chute de -46% du résultat net à 848 M FCFA, due à la dilution des marges (taux de retour aux joueurs de 95% sur le pari sportif). Le **rapport annuel 2025 (publié le 1er mai 2026)** confirme la solidité opérationnelle (EBE +34%, VA +22%) malgré la baisse du résultat net. On estime donc que l'exercice 2026 devrait afficher une reprise progressive de la rentabilité, avec un résultat net attendu entre 5,5 et 6,5 Mds FCFA si la tendance du S1 se confirme, soit un BPA estimé entre 275 et 325 FCFA.</w:t>
      </w:r>
    </w:p>
    <w:p>
      <w:pPr>
        <w:spacing w:after="120" w:line="276" w:lineRule="auto"/>
      </w:pPr>
      <w:r>
        <w:t>**Recommandation fondamentale** : La société présente des fondamentaux solides (ROE élevé, trésorerie nette positive, endettement quasi nul) et une politique de dividende attractive (173 FCFA brut/action, soit un rendement de 4,35% au cours actuel). Les risques principaux restent la concurrence illégale, la dépendance au pari sportif à faible marge et la volatilité des résultats trimestriels. La recommandation fondamentale est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tendue (PER 17,2x vs moyenne BRVM 8-12x ; P/B 3,62x ; EV/EBITDA 10,1x), suggérant une prime de croissance déjà intégrée. Le comportement du cours (Partie 1) est mitigé : variation positive (+3,25%) mais tendance baissière sur 100 jours, avec une volatilité élevée (41,4%) et des statistiques de distribution normales (kurtosis -0,793, skewness 0,446). Les signaux techniques (Partie 2) sont majoritairement baissiers (MM50 &gt; cours, MACD négatif) mais le stochastique et le rebond du J-1 (+7,43%) laissent entrevoir un possible sursaut. Les fondamentaux (Partie 3) sont solides (ROE 21,05%, trésorerie nette 7,98 Mds FCFA, dividende 173 FCFA) mais la rentabilité opérationnelle reste sous pression (marge nette 4,69% en 2025, résultat net T1 2026 en baisse de -46%). Les prédictions IA (J+1 à J+10) tablent sur une hausse progressive vers 4 102 FCFA d'ici le 1er octobre 2026, ce qui contredit légèrement les signaux techniques baissiers mais s'aligne sur le rebond récent.</w:t>
      </w:r>
    </w:p>
    <w:p>
      <w:pPr>
        <w:spacing w:after="120" w:line="276" w:lineRule="auto"/>
      </w:pPr>
      <w:r>
        <w:t>**Recommandation finale** : **CONSERVER** — Le titre présente un profil équilibré : valorisation tendue mais justifiée par la solidité financière et le dividende, technique baissière à court terme mais potentiel de rebond, fondamentaux solides mais rentabilité sous pression. La convergence entre les prédictions IA haussières et le rebond du J-1 suggère un possible sursaut à court terme, mais l'absence de catalyseur fort (publication T3 2026 à venir) et la concurrence illégale persistante limitent le potentiel de hausse. **Niveau de confiance : Moyen** — Les données sont complètes mais les signaux sont divergents. **Niveau de risque : Moyen à Élevé** — Volatilité de 41,4% et sensibilité aux résultats trimestriels. **Horizon d'investissement optimal : Moyen terme (3-12 mois)** — Pour profiter du redressement progressif de la rentabilité et du dividende, en attendant la confirmation de la stabilisation du produit brut des jeux.</w:t>
      </w:r>
    </w:p>
    <w:p>
      <w:pPr>
        <w:spacing w:after="120" w:line="276" w:lineRule="auto"/>
      </w:pPr>
      <w:r>
        <w:t>---</w:t>
      </w:r>
    </w:p>
    <w:p>
      <w:pPr>
        <w:spacing w:after="120" w:line="276" w:lineRule="auto"/>
      </w:pPr>
      <w:r>
        <w:t>*Disclaimer : Cette analyse est fournie à titre informatif et ne constitue pas un conseil en investissement personnalisé. Les investisseurs sont invités à consulter un conseiller financier avant toute décision.*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2,843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+26.32%</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1,715 FCFA</w:t>
            </w:r>
          </w:p>
          <w:p>
            <w:r>
              <w:rPr>
                <w:b/>
                <w:color w:val="503200"/>
                <w:sz w:val="16"/>
              </w:rPr>
              <w:t xml:space="preserve">Volatilité ann. : </w:t>
            </w:r>
            <w:r>
              <w:rPr>
                <w:color w:val="000000"/>
                <w:sz w:val="17"/>
              </w:rPr>
              <w:t>55.5%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14.03% (Moyenne) — μ=2,272 FCFA, σ=319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β=0.4544 (Défensif) — Cov=0.000020, Var(idx)=0.000045, ρ=0.086,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σ_j=3.50%/j (Modérée) — Vol. annualisée≈55.5%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2,241</w:t>
            </w:r>
          </w:p>
        </w:tc>
        <w:tc>
          <w:tcPr>
            <w:tcW w:type="dxa" w:w="1440"/>
            <w:shd w:fill="FAFAFA" w:val="clear"/>
          </w:tcPr>
          <w:p>
            <w:r>
              <w:rPr>
                <w:b/>
                <w:sz w:val="17"/>
              </w:rPr>
              <w:t>2,398</w:t>
            </w:r>
          </w:p>
        </w:tc>
        <w:tc>
          <w:tcPr>
            <w:tcW w:type="dxa" w:w="1440"/>
            <w:shd w:fill="FAFAFA" w:val="clear"/>
          </w:tcPr>
          <w:p>
            <w:r>
              <w:rPr>
                <w:sz w:val="17"/>
              </w:rPr>
              <w:t>2,555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2,169</w:t>
            </w:r>
          </w:p>
        </w:tc>
        <w:tc>
          <w:tcPr>
            <w:tcW w:type="dxa" w:w="1440"/>
            <w:shd w:fill="FAFAFA" w:val="clear"/>
          </w:tcPr>
          <w:p>
            <w:r>
              <w:rPr>
                <w:b/>
                <w:sz w:val="17"/>
              </w:rPr>
              <w:t>2,391</w:t>
            </w:r>
          </w:p>
        </w:tc>
        <w:tc>
          <w:tcPr>
            <w:tcW w:type="dxa" w:w="1440"/>
            <w:shd w:fill="FAFAFA" w:val="clear"/>
          </w:tcPr>
          <w:p>
            <w:r>
              <w:rPr>
                <w:sz w:val="17"/>
              </w:rPr>
              <w:t>2,613</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2,109</w:t>
            </w:r>
          </w:p>
        </w:tc>
        <w:tc>
          <w:tcPr>
            <w:tcW w:type="dxa" w:w="1440"/>
            <w:shd w:fill="FAFAFA" w:val="clear"/>
          </w:tcPr>
          <w:p>
            <w:r>
              <w:rPr>
                <w:b/>
                <w:sz w:val="17"/>
              </w:rPr>
              <w:t>2,380</w:t>
            </w:r>
          </w:p>
        </w:tc>
        <w:tc>
          <w:tcPr>
            <w:tcW w:type="dxa" w:w="1440"/>
            <w:shd w:fill="FAFAFA" w:val="clear"/>
          </w:tcPr>
          <w:p>
            <w:r>
              <w:rPr>
                <w:sz w:val="17"/>
              </w:rPr>
              <w:t>2,650</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2,059</w:t>
            </w:r>
          </w:p>
        </w:tc>
        <w:tc>
          <w:tcPr>
            <w:tcW w:type="dxa" w:w="1440"/>
            <w:shd w:fill="FAFAFA" w:val="clear"/>
          </w:tcPr>
          <w:p>
            <w:r>
              <w:rPr>
                <w:b/>
                <w:sz w:val="17"/>
              </w:rPr>
              <w:t>2,370</w:t>
            </w:r>
          </w:p>
        </w:tc>
        <w:tc>
          <w:tcPr>
            <w:tcW w:type="dxa" w:w="1440"/>
            <w:shd w:fill="FAFAFA" w:val="clear"/>
          </w:tcPr>
          <w:p>
            <w:r>
              <w:rPr>
                <w:sz w:val="17"/>
              </w:rPr>
              <w:t>2,681</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2,014</w:t>
            </w:r>
          </w:p>
        </w:tc>
        <w:tc>
          <w:tcPr>
            <w:tcW w:type="dxa" w:w="1440"/>
            <w:shd w:fill="FAFAFA" w:val="clear"/>
          </w:tcPr>
          <w:p>
            <w:r>
              <w:rPr>
                <w:b/>
                <w:sz w:val="17"/>
              </w:rPr>
              <w:t>2,360</w:t>
            </w:r>
          </w:p>
        </w:tc>
        <w:tc>
          <w:tcPr>
            <w:tcW w:type="dxa" w:w="1440"/>
            <w:shd w:fill="FAFAFA" w:val="clear"/>
          </w:tcPr>
          <w:p>
            <w:r>
              <w:rPr>
                <w:sz w:val="17"/>
              </w:rPr>
              <w:t>2,707</w:t>
            </w:r>
          </w:p>
        </w:tc>
        <w:tc>
          <w:tcPr>
            <w:tcW w:type="dxa" w:w="1440"/>
            <w:shd w:fill="FAFAFA" w:val="clear"/>
          </w:tcPr>
          <w:p>
            <w:r>
              <w:rPr>
                <w:b/>
                <w:color w:val="C00000"/>
                <w:sz w:val="17"/>
              </w:rPr>
              <w:t>-1.7%</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1,973</w:t>
            </w:r>
          </w:p>
        </w:tc>
        <w:tc>
          <w:tcPr>
            <w:tcW w:type="dxa" w:w="1440"/>
            <w:shd w:fill="FFDCE0" w:val="clear"/>
          </w:tcPr>
          <w:p>
            <w:r>
              <w:rPr>
                <w:b/>
                <w:sz w:val="17"/>
              </w:rPr>
              <w:t>2,351</w:t>
            </w:r>
          </w:p>
        </w:tc>
        <w:tc>
          <w:tcPr>
            <w:tcW w:type="dxa" w:w="1440"/>
            <w:shd w:fill="FFDCE0" w:val="clear"/>
          </w:tcPr>
          <w:p>
            <w:r>
              <w:rPr>
                <w:sz w:val="17"/>
              </w:rPr>
              <w:t>2,729</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1,936</w:t>
            </w:r>
          </w:p>
        </w:tc>
        <w:tc>
          <w:tcPr>
            <w:tcW w:type="dxa" w:w="1440"/>
            <w:shd w:fill="FFDCE0" w:val="clear"/>
          </w:tcPr>
          <w:p>
            <w:r>
              <w:rPr>
                <w:b/>
                <w:sz w:val="17"/>
              </w:rPr>
              <w:t>2,343</w:t>
            </w:r>
          </w:p>
        </w:tc>
        <w:tc>
          <w:tcPr>
            <w:tcW w:type="dxa" w:w="1440"/>
            <w:shd w:fill="FFDCE0" w:val="clear"/>
          </w:tcPr>
          <w:p>
            <w:r>
              <w:rPr>
                <w:sz w:val="17"/>
              </w:rPr>
              <w:t>2,750</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1,901</w:t>
            </w:r>
          </w:p>
        </w:tc>
        <w:tc>
          <w:tcPr>
            <w:tcW w:type="dxa" w:w="1440"/>
            <w:shd w:fill="FFDCE0" w:val="clear"/>
          </w:tcPr>
          <w:p>
            <w:r>
              <w:rPr>
                <w:b/>
                <w:sz w:val="17"/>
              </w:rPr>
              <w:t>2,335</w:t>
            </w:r>
          </w:p>
        </w:tc>
        <w:tc>
          <w:tcPr>
            <w:tcW w:type="dxa" w:w="1440"/>
            <w:shd w:fill="FFDCE0" w:val="clear"/>
          </w:tcPr>
          <w:p>
            <w:r>
              <w:rPr>
                <w:sz w:val="17"/>
              </w:rPr>
              <w:t>2,768</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1,869</w:t>
            </w:r>
          </w:p>
        </w:tc>
        <w:tc>
          <w:tcPr>
            <w:tcW w:type="dxa" w:w="1440"/>
            <w:shd w:fill="FFDCE0" w:val="clear"/>
          </w:tcPr>
          <w:p>
            <w:r>
              <w:rPr>
                <w:b/>
                <w:sz w:val="17"/>
              </w:rPr>
              <w:t>2,327</w:t>
            </w:r>
          </w:p>
        </w:tc>
        <w:tc>
          <w:tcPr>
            <w:tcW w:type="dxa" w:w="1440"/>
            <w:shd w:fill="FFDCE0" w:val="clear"/>
          </w:tcPr>
          <w:p>
            <w:r>
              <w:rPr>
                <w:sz w:val="17"/>
              </w:rPr>
              <w:t>2,785</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1,838</w:t>
            </w:r>
          </w:p>
        </w:tc>
        <w:tc>
          <w:tcPr>
            <w:tcW w:type="dxa" w:w="1440"/>
            <w:shd w:fill="FFDCE0" w:val="clear"/>
          </w:tcPr>
          <w:p>
            <w:r>
              <w:rPr>
                <w:b/>
                <w:sz w:val="17"/>
              </w:rPr>
              <w:t>2,320</w:t>
            </w:r>
          </w:p>
        </w:tc>
        <w:tc>
          <w:tcPr>
            <w:tcW w:type="dxa" w:w="1440"/>
            <w:shd w:fill="FFDCE0" w:val="clear"/>
          </w:tcPr>
          <w:p>
            <w:r>
              <w:rPr>
                <w:sz w:val="17"/>
              </w:rPr>
              <w:t>2,801</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30,64 milliards FCFA, NEIC se positionne comme une valeur de taille moyenne sur le compartiment des sociétés non-financières de la BRVM, ce qui lui confère une liquidité limitée (volume moyen de 2 843 titres/jour). Le BPA de 160 FCFA/action signifie que chaque titre génère 160 FCFA de bénéfice net, un niveau qui, rapporté au cours actuel de 2 400 FCFA, donne un PER de 15,0x — soit une prime d'environ 25 à 85% par rapport à la moyenne du marché BRVM (8-12x), traduisant une valorisation déjà exigeante. Le P/B de 5,32x indique que le marché paie plus de cinq fois la valeur comptable des fonds propres, ce qui est très élevé et suggère que les investisseurs anticipent une forte rentabilité future (cohérent avec le ROE de 35,4%) mais laisse peu de marge de sécurité en cas de déception. Enfin, l'EV/EBITDA de 22,4x (bien supérieur au seuil de 15x) confirme que la valeur d'entreprise intègre une prime spéculative importante par rapport à la capacité opérationnelle de génération de cash, ce qui rend le titre vulnérable à toute révision baissière des bénéfices.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NEIC affiche une performance remarquable de **+26,32%**, malgré un léger repli de **-0,21%** lors de la dernière séance (J-1), signalant une possible pause dans la dynamique haussière. Le titre a évolué dans un range très large de **1 715 FCFA (plus bas) à 3 000 FCFA (plus haut)**, soit une amplitude de 75%, ce qui témoigne d'une forte volatilité et d'un intérêt spéculatif marqué ; le cours actuel de 2 400 FCFA se situe à mi-chemin de ce range, en retrait de 20% par rapport au sommet. La tendance générale reste haussière sur la période, portée par l'annonce d'un résultat net 2025 exceptionnel (+169%) et d'un dividende généreux, mais le repli récent depuis 3 000 FCFA suggère une prise de bénéfices. Les statistiques descriptives révèlent une **moyenne (2 272 FCFA) légèrement supérieure à la médiane (2 260 FCFA)**, avec un mode à 1 990 FCFA nettement inférieur — signe que le cours a passé plus de temps dans des zones basses avant de s'envoler récemment, ce qui est cohérent avec le **skewness positif de 0,717** (asymétrie à droite : quelques journées de forte hausse tirent la moyenne vers le haut). L'**écart-type de 320 FCFA (CV = 14,1%)** indique une dispersion modérée autour de la moyenne, tandis que le **kurtosis de 0,065 (mésokurtique)** suggère une distribution proche de la normale, sans risque extrême de pics de volatilité. La **volatilité annualisée de 55,5%** classe le titre dans la catégorie **élevée (&gt;30%)**, ce qui est typique des petites capitalisations de la BRVM mais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(2 746,5 FCFA) est nettement supérieure au cours actuel (2 400 FCFA), tandis que la MM50 (2 470,5 FCFA) reste également au-dessus du prix. Cette configuration — cours sous ses deux moyennes — est théoriquement baissière à court terme, mais la décision fournie est "Achat", probablement parce que la MM20 &gt; MM50 (croisement haussier de fond) et que le titre revient sur un support dynamique après une correction.</w:t>
      </w:r>
    </w:p>
    <w:p>
      <w:pPr>
        <w:spacing w:after="120" w:line="276" w:lineRule="auto"/>
      </w:pPr>
      <w:r>
        <w:t>**Bandes de Bollinger** : Le cours (2 400 FCFA) se situe dans la moitié inférieure de la bande, entre la borne inférieure (2 262 FCFA) et la borne supérieure (3 231 FCFA), sans toucher les extrêmes. La décision "Neutre" reflète cette position médiane : ni signal de survente (proche borne basse), ni de surachat (proche borne haute), avec une volatilité qui reste élevée (largeur de bande ~970 FCFA).</w:t>
      </w:r>
    </w:p>
    <w:p>
      <w:pPr>
        <w:spacing w:after="120" w:line="276" w:lineRule="auto"/>
      </w:pPr>
      <w:r>
        <w:t>**MACD** : La valeur du MACD (-32,5) est négative et inférieure à son signal (38,3), ce qui constitue un croisement baissier et une divergence négative — le momentum est clairement à la baisse. La décision "Vente" est cohérente avec cette configuration, qui suggère que la pression vendeuse l'emporte à court terme malgré la tendance haussière de fond.</w:t>
      </w:r>
    </w:p>
    <w:p>
      <w:pPr>
        <w:spacing w:after="120" w:line="276" w:lineRule="auto"/>
      </w:pPr>
      <w:r>
        <w:t>**RSI** : À 28,4, le RSI est en zone de **survente (&lt;30)**, ce qui indique que le titre a été excessivement vendu à court terme et pourrait rebondir. La décision "Achat" est justifiée par ce signal de retournement potentiel, d'autant que le RSI n'est pas encore en zone extrême (&lt;20) qui signalerait une capitulation.</w:t>
      </w:r>
    </w:p>
    <w:p>
      <w:pPr>
        <w:spacing w:after="120" w:line="276" w:lineRule="auto"/>
      </w:pPr>
      <w:r>
        <w:t>**Stochastique** : Le %K (14,7) est supérieur au %D (9,9), et les deux se situent en zone de survente profonde (&lt;20). Cette configuration suggère un possible croisement haussier imminent (%K croisant %D à la hausse), ce qui justifie la décision "Achat" — le titre pourrait amorcer un rebond technique.</w:t>
      </w:r>
    </w:p>
    <w:p>
      <w:pPr>
        <w:spacing w:after="120" w:line="276" w:lineRule="auto"/>
      </w:pPr>
      <w:r>
        <w:t>**Conclusion technique** : Les indicateurs sont **divergents** : le MACD est baissier (momentum négatif), mais le RSI et le Stochastique sont en survente et signalent un rebond potentiel, tandis que les Bandes de Bollinger restent neutres. Cette divergence est typique d'une phase de correction dans une tendance haussière plus large ; le signal dominant est un **achat tactique sur rebond**, mais la prudence reste de mise tant que le cours n'a pas reconquis la MM20 (2 746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NEI-CEDA CI affiche un chiffre d'affaires de **5,139 milliards FCFA**, un résultat net de **2,037 milliards FCFA** (marge nette de 39,6%), un ROE exceptionnel de **35,4%** et un ROA de **27,3%** — des niveaux de rentabilité très supérieurs à la moyenne du marché. La structure financière est solide avec une autonomie financière de **77,0%**, une trésorerie nette de **4,196 milliards FCFA** et une liquidité générale de **448,9%**. Cependant, deux points d'attention majeurs ressortent : (1) le **taux de croissance du CA est négatif (-23,8%)**, signalant une contraction de l'activité commerciale, et (2) le **flux opérationnel est négatif (-527 millions FCFA)** et le Free Cash Flow également (-566 millions FCFA), ce qui contraste avec la profitabilité comptable. En tant qu'entreprise du secteur édition/diffusion, les **délais clients de 154,7 jours** constituent un risque de trésorerie important (plus de 5 mois pour encaisser les créances), tandis que le **BFR de 1,498 milliard FCFA** (positif, donc défavorable) et la **durée de stockage de 54,5 jours** immobilisent du capital.</w:t>
      </w:r>
    </w:p>
    <w:p>
      <w:pPr>
        <w:spacing w:after="120" w:line="276" w:lineRule="auto"/>
      </w:pPr>
      <w:r>
        <w:t>**Estimations basées sur les rapports trimestriels** : Le rapport du **T3 2025 (publié le 30/09/2025)** indique un CA de 3 406 millions FCFA en **baisse de 35%** sur un an, mais un résultat net de 1 596 millions FCFA en **hausse de 125%** — cette performance étant toutefois due à une **reprise de provision pour redressement fiscal** (élément non récurrent). Le rapport du **T1 2026 (publié en 2026)** montre un CA de 115,1 millions FCFA (+137%) mais une **perte nette de -168,9 millions FCFA**, en amélioration par rapport à -189,9 millions au T1 2025. On estime donc que l'exercice 2026 devrait bénéficier d'une **poursuite du redressement commercial** (croissance du CA), mais la **rentabilité opérationnelle reste négative** et dépend fortement d'éléments financiers (produits de placement) et exceptionnels. Le rapport annuel 2025 (publié en 2025) confirme un **dividende de 2,04 milliards FCFA (100% du résultat net)**, ce qui limite la capacité d'autofinancement future.</w:t>
      </w:r>
    </w:p>
    <w:p>
      <w:pPr>
        <w:spacing w:after="120" w:line="276" w:lineRule="auto"/>
      </w:pPr>
      <w:r>
        <w:t>**Recommandation fondamentale** : La solidité financière (trésorerie, autonomie, ROE) est indéniable, mais la **qualité des bénéfices est questionnable** (éléments non récurrents, flux opérationnel négatif, CA en recul). Le titre présente un profil **spéculatif** : les fondamentaux à court terme ne justifient pas pleinement la prime de valorisation (PER 15x, P/B 5,3x), et la durabilité de la performance 2025 est incertaine.</w:t>
      </w:r>
    </w:p>
    <w:p>
      <w:pPr>
        <w:spacing w:after="120" w:line="276" w:lineRule="auto"/>
      </w:pPr>
      <w:r>
        <w:t>---</w:t>
      </w:r>
    </w:p>
    <w:p>
      <w:pPr>
        <w:spacing w:after="120" w:line="276" w:lineRule="auto"/>
      </w:pPr>
      <w:r>
        <w:t>## PARTIE 4 : CONCLUSION D'INVESTISSEMENT</w:t>
      </w:r>
    </w:p>
    <w:p>
      <w:pPr>
        <w:spacing w:after="120" w:line="276" w:lineRule="auto"/>
      </w:pPr>
      <w:r>
        <w:t>La **valorisation (Partie 0)** est exigeante : PER de 15,0x (prime de 25-85% sur le marché), P/B de 5,32x et EV/EBITDA de 22,4x intègrent déjà une forte anticipation de croissance, laissant peu de marge de sécurité. Le **comportement du cours (Partie 1)** est haussier sur 100 jours (+26,3%) mais avec une volatilité élevée (55,5%) et un skewness positif qui indique que les hausses récentes pourraient être vulnérables à des prises de bénéfices ; le kurtosis mésokurtique ne signale pas de risque extrême. Les **signaux techniques (Partie 2)** sont divergents : MACD baissier (vente) mais RSI et Stochastique en survente (achat), ce qui plaide pour un **rebond tactique à court terme** mais sans conviction forte. Les **fondamentaux (Partie 3)** sont mitigés : rentabilité exceptionnelle en 2025 (ROE 35,4%) mais tirée par des éléments non récurrents, CA en recul (-23,8%), flux opérationnel négatif, et dividende de 100% qui épuise la trésorerie. Les **prédictions IA (J+1 à J+10)** anticipent une **légère baisse** de 2 398 à 2 360 FCFA (-1,6%), ce qui **contredit** le signal d'achat technique à court terme et confirme la prudence.</w:t>
      </w:r>
    </w:p>
    <w:p>
      <w:pPr>
        <w:spacing w:after="120" w:line="276" w:lineRule="auto"/>
      </w:pPr>
      <w:r>
        <w:t>**Recommandation finale : CONSERVER** — avec un **niveau de confiance Moyen** et un **risque global Élevé**. La convergence est partielle : la valorisation est tendue, les fondamentaux sont solides mais de qualité incertaine, et les signaux techniques sont contradictoires. Le titre ne présente pas de décote suffisante pour justifier un ACHAT, mais la solidité du bilan et le potentiel de redressement commercial (T1 2026 : CA +137%) interdisent une VENTE. **Horizon d'investissement optimal : moyen terme (3-12 mois)**, en surveillant impérativement la publication des résultats du T2/T3 2026 pour confirmer (ou infirmer) la reprise opérationnelle et la normalisation des bénéfices hors éléments exceptionnels. Un retour durable sous 2 260 FCFA (borne basse de Bollinger) invaliderait le scénario haussier et justifierait une réduction de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541.19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2,552 titres</w:t>
            </w:r>
          </w:p>
        </w:tc>
        <w:tc>
          <w:tcPr>
            <w:tcW w:type="dxa" w:w="2268"/>
            <w:shd w:fill="FFF2CC" w:val="clear"/>
          </w:tcPr>
          <w:p>
            <w:r>
              <w:rPr>
                <w:b/>
                <w:color w:val="503200"/>
                <w:sz w:val="16"/>
              </w:rPr>
              <w:t xml:space="preserve">Cours actuel : </w:t>
            </w:r>
            <w:r>
              <w:rPr>
                <w:color w:val="000000"/>
                <w:sz w:val="17"/>
              </w:rPr>
              <w:t>21,880 FCFA</w:t>
            </w:r>
          </w:p>
          <w:p>
            <w:r>
              <w:rPr>
                <w:b/>
                <w:color w:val="503200"/>
                <w:sz w:val="16"/>
              </w:rPr>
              <w:t xml:space="preserve">Var. 100 jours : </w:t>
            </w:r>
            <w:r>
              <w:rPr>
                <w:b/>
                <w:color w:val="007800"/>
                <w:sz w:val="17"/>
              </w:rPr>
              <w:t>+57.41%</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14.77% (Moyenne) — μ=20,762 FCFA, σ=3,066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β=1.4316 (Agressif) — Cov=0.000064, Var(idx)=0.000045, ρ=0.367,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20,980</w:t>
            </w:r>
          </w:p>
        </w:tc>
        <w:tc>
          <w:tcPr>
            <w:tcW w:type="dxa" w:w="1440"/>
            <w:shd w:fill="FAFAFA" w:val="clear"/>
          </w:tcPr>
          <w:p>
            <w:r>
              <w:rPr>
                <w:b/>
                <w:sz w:val="17"/>
              </w:rPr>
              <w:t>21,906</w:t>
            </w:r>
          </w:p>
        </w:tc>
        <w:tc>
          <w:tcPr>
            <w:tcW w:type="dxa" w:w="1440"/>
            <w:shd w:fill="FAFAFA" w:val="clear"/>
          </w:tcPr>
          <w:p>
            <w:r>
              <w:rPr>
                <w:sz w:val="17"/>
              </w:rPr>
              <w:t>22,832</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20,668</w:t>
            </w:r>
          </w:p>
        </w:tc>
        <w:tc>
          <w:tcPr>
            <w:tcW w:type="dxa" w:w="1440"/>
            <w:shd w:fill="FAFAFA" w:val="clear"/>
          </w:tcPr>
          <w:p>
            <w:r>
              <w:rPr>
                <w:b/>
                <w:sz w:val="17"/>
              </w:rPr>
              <w:t>21,982</w:t>
            </w:r>
          </w:p>
        </w:tc>
        <w:tc>
          <w:tcPr>
            <w:tcW w:type="dxa" w:w="1440"/>
            <w:shd w:fill="FAFAFA" w:val="clear"/>
          </w:tcPr>
          <w:p>
            <w:r>
              <w:rPr>
                <w:sz w:val="17"/>
              </w:rPr>
              <w:t>23,296</w:t>
            </w:r>
          </w:p>
        </w:tc>
        <w:tc>
          <w:tcPr>
            <w:tcW w:type="dxa" w:w="1440"/>
            <w:shd w:fill="FAFAFA" w:val="clear"/>
          </w:tcPr>
          <w:p>
            <w:r>
              <w:rPr>
                <w:b/>
                <w:color w:val="008000"/>
                <w:sz w:val="17"/>
              </w:rPr>
              <w:t>+0.5%</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20,402</w:t>
            </w:r>
          </w:p>
        </w:tc>
        <w:tc>
          <w:tcPr>
            <w:tcW w:type="dxa" w:w="1440"/>
            <w:shd w:fill="FAFAFA" w:val="clear"/>
          </w:tcPr>
          <w:p>
            <w:r>
              <w:rPr>
                <w:b/>
                <w:sz w:val="17"/>
              </w:rPr>
              <w:t>22,013</w:t>
            </w:r>
          </w:p>
        </w:tc>
        <w:tc>
          <w:tcPr>
            <w:tcW w:type="dxa" w:w="1440"/>
            <w:shd w:fill="FAFAFA" w:val="clear"/>
          </w:tcPr>
          <w:p>
            <w:r>
              <w:rPr>
                <w:sz w:val="17"/>
              </w:rPr>
              <w:t>23,625</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20,177</w:t>
            </w:r>
          </w:p>
        </w:tc>
        <w:tc>
          <w:tcPr>
            <w:tcW w:type="dxa" w:w="1440"/>
            <w:shd w:fill="FAFAFA" w:val="clear"/>
          </w:tcPr>
          <w:p>
            <w:r>
              <w:rPr>
                <w:b/>
                <w:sz w:val="17"/>
              </w:rPr>
              <w:t>22,040</w:t>
            </w:r>
          </w:p>
        </w:tc>
        <w:tc>
          <w:tcPr>
            <w:tcW w:type="dxa" w:w="1440"/>
            <w:shd w:fill="FAFAFA" w:val="clear"/>
          </w:tcPr>
          <w:p>
            <w:r>
              <w:rPr>
                <w:sz w:val="17"/>
              </w:rPr>
              <w:t>23,903</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19,976</w:t>
            </w:r>
          </w:p>
        </w:tc>
        <w:tc>
          <w:tcPr>
            <w:tcW w:type="dxa" w:w="1440"/>
            <w:shd w:fill="FAFAFA" w:val="clear"/>
          </w:tcPr>
          <w:p>
            <w:r>
              <w:rPr>
                <w:b/>
                <w:sz w:val="17"/>
              </w:rPr>
              <w:t>22,061</w:t>
            </w:r>
          </w:p>
        </w:tc>
        <w:tc>
          <w:tcPr>
            <w:tcW w:type="dxa" w:w="1440"/>
            <w:shd w:fill="FAFAFA" w:val="clear"/>
          </w:tcPr>
          <w:p>
            <w:r>
              <w:rPr>
                <w:sz w:val="17"/>
              </w:rPr>
              <w:t>24,146</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19,792</w:t>
            </w:r>
          </w:p>
        </w:tc>
        <w:tc>
          <w:tcPr>
            <w:tcW w:type="dxa" w:w="1440"/>
            <w:shd w:fill="FAFAFA" w:val="clear"/>
          </w:tcPr>
          <w:p>
            <w:r>
              <w:rPr>
                <w:b/>
                <w:sz w:val="17"/>
              </w:rPr>
              <w:t>22,078</w:t>
            </w:r>
          </w:p>
        </w:tc>
        <w:tc>
          <w:tcPr>
            <w:tcW w:type="dxa" w:w="1440"/>
            <w:shd w:fill="FAFAFA" w:val="clear"/>
          </w:tcPr>
          <w:p>
            <w:r>
              <w:rPr>
                <w:sz w:val="17"/>
              </w:rPr>
              <w:t>24,364</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19,621</w:t>
            </w:r>
          </w:p>
        </w:tc>
        <w:tc>
          <w:tcPr>
            <w:tcW w:type="dxa" w:w="1440"/>
            <w:shd w:fill="FAFAFA" w:val="clear"/>
          </w:tcPr>
          <w:p>
            <w:r>
              <w:rPr>
                <w:b/>
                <w:sz w:val="17"/>
              </w:rPr>
              <w:t>22,092</w:t>
            </w:r>
          </w:p>
        </w:tc>
        <w:tc>
          <w:tcPr>
            <w:tcW w:type="dxa" w:w="1440"/>
            <w:shd w:fill="FAFAFA" w:val="clear"/>
          </w:tcPr>
          <w:p>
            <w:r>
              <w:rPr>
                <w:sz w:val="17"/>
              </w:rPr>
              <w:t>24,562</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19,461</w:t>
            </w:r>
          </w:p>
        </w:tc>
        <w:tc>
          <w:tcPr>
            <w:tcW w:type="dxa" w:w="1440"/>
            <w:shd w:fill="FAFAFA" w:val="clear"/>
          </w:tcPr>
          <w:p>
            <w:r>
              <w:rPr>
                <w:b/>
                <w:sz w:val="17"/>
              </w:rPr>
              <w:t>22,103</w:t>
            </w:r>
          </w:p>
        </w:tc>
        <w:tc>
          <w:tcPr>
            <w:tcW w:type="dxa" w:w="1440"/>
            <w:shd w:fill="FAFAFA" w:val="clear"/>
          </w:tcPr>
          <w:p>
            <w:r>
              <w:rPr>
                <w:sz w:val="17"/>
              </w:rPr>
              <w:t>24,746</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19,310</w:t>
            </w:r>
          </w:p>
        </w:tc>
        <w:tc>
          <w:tcPr>
            <w:tcW w:type="dxa" w:w="1440"/>
            <w:shd w:fill="FAFAFA" w:val="clear"/>
          </w:tcPr>
          <w:p>
            <w:r>
              <w:rPr>
                <w:b/>
                <w:sz w:val="17"/>
              </w:rPr>
              <w:t>22,114</w:t>
            </w:r>
          </w:p>
        </w:tc>
        <w:tc>
          <w:tcPr>
            <w:tcW w:type="dxa" w:w="1440"/>
            <w:shd w:fill="FAFAFA" w:val="clear"/>
          </w:tcPr>
          <w:p>
            <w:r>
              <w:rPr>
                <w:sz w:val="17"/>
              </w:rPr>
              <w:t>24,918</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19,167</w:t>
            </w:r>
          </w:p>
        </w:tc>
        <w:tc>
          <w:tcPr>
            <w:tcW w:type="dxa" w:w="1440"/>
            <w:shd w:fill="FAFAFA" w:val="clear"/>
          </w:tcPr>
          <w:p>
            <w:r>
              <w:rPr>
                <w:b/>
                <w:sz w:val="17"/>
              </w:rPr>
              <w:t>22,124</w:t>
            </w:r>
          </w:p>
        </w:tc>
        <w:tc>
          <w:tcPr>
            <w:tcW w:type="dxa" w:w="1440"/>
            <w:shd w:fill="FAFAFA" w:val="clear"/>
          </w:tcPr>
          <w:p>
            <w:r>
              <w:rPr>
                <w:sz w:val="17"/>
              </w:rPr>
              <w:t>25,081</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541,19 milliards FCFA, NSBC s'impose comme l'une des valeurs bancaires les plus importantes de la cote BRVM, ce qui témoigne de sa liquidité relative et de son poids dans l'indice sectoriel. Le BPA de 1 646 FCFA par action signifie que chaque titre génère près de 1 646 FCFA de bénéfice net, un niveau confortable qui soutient la valorisation actuelle. Le PER de 13,3x se situe légèrement au-dessus de la moyenne du marché BRVM (8-12x), traduisant une prime modérée accordée par les investisseurs à la qualité de la croissance, mais sans exubérance manifeste. Le P/B de 2,32x indique que le marché valorise NSBC à plus du double de sa valeur comptable, une prime de croissance justifiée par un ROE de 17,45% nettement supérieur au coût des fonds propres. En revanche, l'EV/EBITDA de 20,9x apparaît très exigeant (seuil d'alerte &gt;15x), ce qui suggère que la valeur intègre déjà une bonne partie des anticipations de croissance et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+57,41%, avec une dernière séance en hausse de +5,12%, confirmant un momentum haussier vigoureux. Le cours actuel de 21 880 FCFA se situe dans la partie haute du range de trading, le plus haut ayant atteint 24 885 FCFA et le plus bas 13 810 FCFA, soit un écart de plus de 11 000 FCFA qui illustre l'ampleur du mouvement. La tendance générale est donc nettement haussière, portée par des volumes moyens quotidiens de 2 552 titres, signe d'un intérêt soutenu des investisseurs. Les statistiques descriptives révèlent une moyenne de 20 762 FCFA légèrement inférieure à la médiane de 21 790 FCFA, ce qui indique une asymétrie négative (skewness de -0,797) : le cours a passé plus de journées au-dessus de sa moyenne, mais quelques séances de forte baisse ont tiré la moyenne vers le bas. L'écart-type de 3 081 FCFA (CV de 14,8%) traduit une dispersion modérée autour de la moyenne, tandis que le kurtosis de -0,265 (mésokurtique) suggère une distribution proche de la normale, sans risque excessif de pics extrêmes. La volatilité annualisée de 43,5% classe le titre dans la catégorie des valeurs à volatilité élevée (&gt;30%), ce qui implique un risque de marché significatif mais cohérent avec le profil de croissance de la valeur.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(23 536,75 FCFA) et la MM50 (23 259,80 FCFA) se situent toutes deux au-dessus du cours actuel (21 880 FCFA), ce qui traduit une pression baissière de court terme malgré la tendance haussière de fond. La décision affichée est toutefois "Achat", probablement en raison du croisement haussier des moyennes et de la dynamique récente.</w:t>
      </w:r>
    </w:p>
    <w:p>
      <w:pPr>
        <w:spacing w:after="120" w:line="276" w:lineRule="auto"/>
      </w:pPr>
      <w:r>
        <w:t>**Bandes de Bollinger** : Le cours actuel (21 880 FCFA) évolue entre la borne inférieure (21 367,01 FCFA) et la borne supérieure (25 706,49 FCFA), se rapprochant de la borne basse, ce qui indique une volatilité modérée et une décision "Neutre". Le titre n'est ni en surachat ni en survente selon ce critère.</w:t>
      </w:r>
    </w:p>
    <w:p>
      <w:pPr>
        <w:spacing w:after="120" w:line="276" w:lineRule="auto"/>
      </w:pPr>
      <w:r>
        <w:t>**MACD** : La valeur du MACD (-150,653) est nettement inférieure à son signal (197,512), générant une décision "Vente". Cette divergence négative signale un essoufflement du momentum haussier et un risque de correction à court terme, bien que la tendance de fond reste positive.</w:t>
      </w:r>
    </w:p>
    <w:p>
      <w:pPr>
        <w:spacing w:after="120" w:line="276" w:lineRule="auto"/>
      </w:pPr>
      <w:r>
        <w:t>**RSI** : À 42,331, le RSI se situe dans la zone neutre (30-70), sans signal de surachat ni de survente. La décision "Neutre" reflète une absence de pression directionnelle claire, le titre ayant digéré sa récente hausse.</w:t>
      </w:r>
    </w:p>
    <w:p>
      <w:pPr>
        <w:spacing w:after="120" w:line="276" w:lineRule="auto"/>
      </w:pPr>
      <w:r>
        <w:t>**Stochastique** : Le %K (26,167) est supérieur au %D (8,722), ce qui pourrait indiquer un début de retournement haussier depuis la zone de survente. La décision reste toutefois "Neutre", le croisement n'étant pas encore confirmé.</w:t>
      </w:r>
    </w:p>
    <w:p>
      <w:pPr>
        <w:spacing w:after="120" w:line="276" w:lineRule="auto"/>
      </w:pPr>
      <w:r>
        <w:t>**Conclusion technique** : Les indicateurs techniques sont mitigés, avec une divergence entre la tendance haussière de fond (MM, décision Achat) et les signaux de court terme (MACD vendeur, RSI neutre). Le titre semble en phase de consolidation après sa forte progression, avec un potentiel de rebond technique si le stochastique confirme son croisement haussier.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 réalisé un Produit Net Bancaire (PNB) de 112,928 milliards FCFA, en croissance de 15,45% par rapport à 2024, porté par une marge d'intérêt en hausse de 26% et une collecte de dépôts clientèle de 2 242,218 milliards FCFA (+32%). Le résultat net s'établit à 40,712 milliards FCFA, en progression de 7%, avec une marge nette de 36,05% et un ROE de 17,45%, confirmant la rentabilité élevée de la banque. Le coefficient d'exploitation de 54,59% (inférieur au seuil de 60%) témoigne d'une bonne efficacité opérationnelle, tandis que le coût du risque de 7,54% (provisions/charges financières) reste un point de vigilance, ayant fortement augmenté (passant de +0,6 à -8,5 milliards FCFA de dotation). Le ratio dépôts/crédits de 123% (2 242/1 819 milliards) indique une surliquidité, la banque collectant plus qu'elle ne prête, ce qui limite le risque de liquidité mais peut peser sur la marge d'intérêt future. Les créances interbancaires (252,759 milliards FCFA) et les dettes interbancaires (491,587 milliards FCFA) montrent une activité active sur le marché monétaire, tandis que les effets publics (465,392 milliards FCFA) confirment une exposition significative aux titres d'État. Sur la base du rapport T1 2026 (publié le 31/03/2026), le PNB a bondi de 28% à 28,615 milliards FCFA et le résultat net de 53% à 10,912 milliards FCFA, tiré par l'activité titres, ce qui laisse présager un exercice 2026 encore plus dynamique. On estime donc que le résultat net 2026 pourrait dépasser 45 milliards FCFA si la tendance se maintient, bien que la concentration sur les revenus de titres constitue un risque de volatilité. La solidité financière est confirmée par un ratio de solvabilité générale de 108,22% et une autonomie financière de 7,59%, typique du modèle bancaire (effet de levier élevé). La recommandation fondamentale est de **CONSERVER** la valeur, avec un potentiel de renforcement sur repli, en surveillant l'évolution du coût du risque et la diversification des revenus.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(PER de 13,3x, P/B de 2,32x, EV/EBITDA de 20,9x) suggère une valeur correctement valorisée, voire légèrement chère sur la base de l'EV/EBITDA, mais justifiée par un ROE de 17,45% et une croissance soutenue. Le comportement du cours sur 100 jours (+57,41%) est exceptionnel, avec une volatilité élevée (43,5%) et une asymétrie négative (skewness de -0,797) qui indique que les hausses ont été plus fréquentes que les baisses, mais que quelques corrections violentes ont eu lieu. Les signaux techniques sont mitigés : les moyennes mobiles restent haussières, mais le MACD est vendeur et le RSI neutre, suggérant une consolidation avant une reprise potentielle. Les fondamentaux sont solides, avec un PNB en croissance de 15,45% en 2025 et un T1 2026 en accélération (+28% de PNB, +53% de résultat net), bien que le coût du risque et la concentration sur les titres soient des points de vigilance. Les prédictions IA (J+1 à J+10) tablent sur une stabilisation autour de 21 900-22 100 FCFA, confirmant l'absence de correction majeure mais aussi un essoufflement de la dynamique haussière à court terme. Sur la base de cette synthèse, la recommandation finale est **CONSERVER**, avec un niveau de confiance **Moyen** et un risque global **Moyen**. L'horizon d'investissement optimal est le **moyen terme (3-12 mois)**, en attendant la confirmation de la tendance par les résultats semestriels 2026 et une clarification sur la politique de dividende, absente des rapports disponibles. Un renforcement pourra être envisagé sur repli vers 20 000-21 000 FCFA, avec un objectif de cours à 25 000-26 000 FCFA si les fondamentaux restent solides.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320.02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1,255 titres</w:t>
            </w:r>
          </w:p>
        </w:tc>
        <w:tc>
          <w:tcPr>
            <w:tcW w:type="dxa" w:w="2268"/>
            <w:shd w:fill="FFF2CC" w:val="clear"/>
          </w:tcPr>
          <w:p>
            <w:r>
              <w:rPr>
                <w:b/>
                <w:color w:val="503200"/>
                <w:sz w:val="16"/>
              </w:rPr>
              <w:t xml:space="preserve">Cours actuel : </w:t>
            </w:r>
            <w:r>
              <w:rPr>
                <w:color w:val="000000"/>
                <w:sz w:val="17"/>
              </w:rPr>
              <w:t>14,500 FCFA</w:t>
            </w:r>
          </w:p>
          <w:p>
            <w:r>
              <w:rPr>
                <w:b/>
                <w:color w:val="503200"/>
                <w:sz w:val="16"/>
              </w:rPr>
              <w:t xml:space="preserve">Var. 100 jours : </w:t>
            </w:r>
            <w:r>
              <w:rPr>
                <w:b/>
                <w:color w:val="007800"/>
                <w:sz w:val="17"/>
              </w:rPr>
              <w:t>+17.50%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11.92% (Moyenne) — μ=15,256 FCFA, σ=1,818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β=0.3689 (Défensif) — Cov=0.000016, Var(idx)=0.000045, ρ=0.109,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2026-09-25</w:t>
            </w:r>
          </w:p>
        </w:tc>
        <w:tc>
          <w:tcPr>
            <w:tcW w:type="dxa" w:w="1440"/>
            <w:shd w:fill="C6EFCE" w:val="clear"/>
          </w:tcPr>
          <w:p>
            <w:r>
              <w:rPr>
                <w:sz w:val="17"/>
              </w:rPr>
              <w:t>14,655</w:t>
            </w:r>
          </w:p>
        </w:tc>
        <w:tc>
          <w:tcPr>
            <w:tcW w:type="dxa" w:w="1440"/>
            <w:shd w:fill="C6EFCE" w:val="clear"/>
          </w:tcPr>
          <w:p>
            <w:r>
              <w:rPr>
                <w:b/>
                <w:sz w:val="17"/>
              </w:rPr>
              <w:t>15,332</w:t>
            </w:r>
          </w:p>
        </w:tc>
        <w:tc>
          <w:tcPr>
            <w:tcW w:type="dxa" w:w="1440"/>
            <w:shd w:fill="C6EFCE" w:val="clear"/>
          </w:tcPr>
          <w:p>
            <w:r>
              <w:rPr>
                <w:sz w:val="17"/>
              </w:rPr>
              <w:t>16,008</w:t>
            </w:r>
          </w:p>
        </w:tc>
        <w:tc>
          <w:tcPr>
            <w:tcW w:type="dxa" w:w="1440"/>
            <w:shd w:fill="C6EFCE" w:val="clear"/>
          </w:tcPr>
          <w:p>
            <w:r>
              <w:rPr>
                <w:b/>
                <w:color w:val="008000"/>
                <w:sz w:val="17"/>
              </w:rPr>
              <w:t>+5.7%</w:t>
            </w:r>
          </w:p>
        </w:tc>
      </w:tr>
      <w:tr>
        <w:tc>
          <w:tcPr>
            <w:tcW w:type="dxa" w:w="1440"/>
            <w:shd w:fill="C6EFCE" w:val="clear"/>
          </w:tcPr>
          <w:p>
            <w:r>
              <w:rPr>
                <w:sz w:val="17"/>
              </w:rPr>
              <w:t>J+2  ⭐</w:t>
            </w:r>
          </w:p>
        </w:tc>
        <w:tc>
          <w:tcPr>
            <w:tcW w:type="dxa" w:w="1440"/>
            <w:shd w:fill="C6EFCE" w:val="clear"/>
          </w:tcPr>
          <w:p>
            <w:r>
              <w:rPr>
                <w:sz w:val="17"/>
              </w:rPr>
              <w:t>2026-09-28</w:t>
            </w:r>
          </w:p>
        </w:tc>
        <w:tc>
          <w:tcPr>
            <w:tcW w:type="dxa" w:w="1440"/>
            <w:shd w:fill="C6EFCE" w:val="clear"/>
          </w:tcPr>
          <w:p>
            <w:r>
              <w:rPr>
                <w:sz w:val="17"/>
              </w:rPr>
              <w:t>14,296</w:t>
            </w:r>
          </w:p>
        </w:tc>
        <w:tc>
          <w:tcPr>
            <w:tcW w:type="dxa" w:w="1440"/>
            <w:shd w:fill="C6EFCE" w:val="clear"/>
          </w:tcPr>
          <w:p>
            <w:r>
              <w:rPr>
                <w:b/>
                <w:sz w:val="17"/>
              </w:rPr>
              <w:t>15,248</w:t>
            </w:r>
          </w:p>
        </w:tc>
        <w:tc>
          <w:tcPr>
            <w:tcW w:type="dxa" w:w="1440"/>
            <w:shd w:fill="C6EFCE" w:val="clear"/>
          </w:tcPr>
          <w:p>
            <w:r>
              <w:rPr>
                <w:sz w:val="17"/>
              </w:rPr>
              <w:t>16,199</w:t>
            </w:r>
          </w:p>
        </w:tc>
        <w:tc>
          <w:tcPr>
            <w:tcW w:type="dxa" w:w="1440"/>
            <w:shd w:fill="C6EFCE" w:val="clear"/>
          </w:tcPr>
          <w:p>
            <w:r>
              <w:rPr>
                <w:b/>
                <w:color w:val="008000"/>
                <w:sz w:val="17"/>
              </w:rPr>
              <w:t>+5.2%</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14,088</w:t>
            </w:r>
          </w:p>
        </w:tc>
        <w:tc>
          <w:tcPr>
            <w:tcW w:type="dxa" w:w="1440"/>
            <w:shd w:fill="C6EFCE" w:val="clear"/>
          </w:tcPr>
          <w:p>
            <w:r>
              <w:rPr>
                <w:b/>
                <w:sz w:val="17"/>
              </w:rPr>
              <w:t>15,254</w:t>
            </w:r>
          </w:p>
        </w:tc>
        <w:tc>
          <w:tcPr>
            <w:tcW w:type="dxa" w:w="1440"/>
            <w:shd w:fill="C6EFCE" w:val="clear"/>
          </w:tcPr>
          <w:p>
            <w:r>
              <w:rPr>
                <w:sz w:val="17"/>
              </w:rPr>
              <w:t>16,420</w:t>
            </w:r>
          </w:p>
        </w:tc>
        <w:tc>
          <w:tcPr>
            <w:tcW w:type="dxa" w:w="1440"/>
            <w:shd w:fill="C6EFCE" w:val="clear"/>
          </w:tcPr>
          <w:p>
            <w:r>
              <w:rPr>
                <w:b/>
                <w:color w:val="008000"/>
                <w:sz w:val="17"/>
              </w:rPr>
              <w:t>+5.2%</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13,932</w:t>
            </w:r>
          </w:p>
        </w:tc>
        <w:tc>
          <w:tcPr>
            <w:tcW w:type="dxa" w:w="1440"/>
            <w:shd w:fill="C6EFCE" w:val="clear"/>
          </w:tcPr>
          <w:p>
            <w:r>
              <w:rPr>
                <w:b/>
                <w:sz w:val="17"/>
              </w:rPr>
              <w:t>15,280</w:t>
            </w:r>
          </w:p>
        </w:tc>
        <w:tc>
          <w:tcPr>
            <w:tcW w:type="dxa" w:w="1440"/>
            <w:shd w:fill="C6EFCE" w:val="clear"/>
          </w:tcPr>
          <w:p>
            <w:r>
              <w:rPr>
                <w:sz w:val="17"/>
              </w:rPr>
              <w:t>16,629</w:t>
            </w:r>
          </w:p>
        </w:tc>
        <w:tc>
          <w:tcPr>
            <w:tcW w:type="dxa" w:w="1440"/>
            <w:shd w:fill="C6EFCE" w:val="clear"/>
          </w:tcPr>
          <w:p>
            <w:r>
              <w:rPr>
                <w:b/>
                <w:color w:val="008000"/>
                <w:sz w:val="17"/>
              </w:rPr>
              <w:t>+5.4%</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13,796</w:t>
            </w:r>
          </w:p>
        </w:tc>
        <w:tc>
          <w:tcPr>
            <w:tcW w:type="dxa" w:w="1440"/>
            <w:shd w:fill="C6EFCE" w:val="clear"/>
          </w:tcPr>
          <w:p>
            <w:r>
              <w:rPr>
                <w:b/>
                <w:sz w:val="17"/>
              </w:rPr>
              <w:t>15,306</w:t>
            </w:r>
          </w:p>
        </w:tc>
        <w:tc>
          <w:tcPr>
            <w:tcW w:type="dxa" w:w="1440"/>
            <w:shd w:fill="C6EFCE" w:val="clear"/>
          </w:tcPr>
          <w:p>
            <w:r>
              <w:rPr>
                <w:sz w:val="17"/>
              </w:rPr>
              <w:t>16,816</w:t>
            </w:r>
          </w:p>
        </w:tc>
        <w:tc>
          <w:tcPr>
            <w:tcW w:type="dxa" w:w="1440"/>
            <w:shd w:fill="C6EFCE" w:val="clear"/>
          </w:tcPr>
          <w:p>
            <w:r>
              <w:rPr>
                <w:b/>
                <w:color w:val="008000"/>
                <w:sz w:val="17"/>
              </w:rPr>
              <w:t>+5.6%</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13,671</w:t>
            </w:r>
          </w:p>
        </w:tc>
        <w:tc>
          <w:tcPr>
            <w:tcW w:type="dxa" w:w="1440"/>
            <w:shd w:fill="C6EFCE" w:val="clear"/>
          </w:tcPr>
          <w:p>
            <w:r>
              <w:rPr>
                <w:b/>
                <w:sz w:val="17"/>
              </w:rPr>
              <w:t>15,328</w:t>
            </w:r>
          </w:p>
        </w:tc>
        <w:tc>
          <w:tcPr>
            <w:tcW w:type="dxa" w:w="1440"/>
            <w:shd w:fill="C6EFCE" w:val="clear"/>
          </w:tcPr>
          <w:p>
            <w:r>
              <w:rPr>
                <w:sz w:val="17"/>
              </w:rPr>
              <w:t>16,985</w:t>
            </w:r>
          </w:p>
        </w:tc>
        <w:tc>
          <w:tcPr>
            <w:tcW w:type="dxa" w:w="1440"/>
            <w:shd w:fill="C6EFCE" w:val="clear"/>
          </w:tcPr>
          <w:p>
            <w:r>
              <w:rPr>
                <w:b/>
                <w:color w:val="008000"/>
                <w:sz w:val="17"/>
              </w:rPr>
              <w:t>+5.7%</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13,555</w:t>
            </w:r>
          </w:p>
        </w:tc>
        <w:tc>
          <w:tcPr>
            <w:tcW w:type="dxa" w:w="1440"/>
            <w:shd w:fill="C6EFCE" w:val="clear"/>
          </w:tcPr>
          <w:p>
            <w:r>
              <w:rPr>
                <w:b/>
                <w:sz w:val="17"/>
              </w:rPr>
              <w:t>15,347</w:t>
            </w:r>
          </w:p>
        </w:tc>
        <w:tc>
          <w:tcPr>
            <w:tcW w:type="dxa" w:w="1440"/>
            <w:shd w:fill="C6EFCE" w:val="clear"/>
          </w:tcPr>
          <w:p>
            <w:r>
              <w:rPr>
                <w:sz w:val="17"/>
              </w:rPr>
              <w:t>17,139</w:t>
            </w:r>
          </w:p>
        </w:tc>
        <w:tc>
          <w:tcPr>
            <w:tcW w:type="dxa" w:w="1440"/>
            <w:shd w:fill="C6EFCE" w:val="clear"/>
          </w:tcPr>
          <w:p>
            <w:r>
              <w:rPr>
                <w:b/>
                <w:color w:val="008000"/>
                <w:sz w:val="17"/>
              </w:rPr>
              <w:t>+5.8%</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13,446</w:t>
            </w:r>
          </w:p>
        </w:tc>
        <w:tc>
          <w:tcPr>
            <w:tcW w:type="dxa" w:w="1440"/>
            <w:shd w:fill="C6EFCE" w:val="clear"/>
          </w:tcPr>
          <w:p>
            <w:r>
              <w:rPr>
                <w:b/>
                <w:sz w:val="17"/>
              </w:rPr>
              <w:t>15,364</w:t>
            </w:r>
          </w:p>
        </w:tc>
        <w:tc>
          <w:tcPr>
            <w:tcW w:type="dxa" w:w="1440"/>
            <w:shd w:fill="C6EFCE" w:val="clear"/>
          </w:tcPr>
          <w:p>
            <w:r>
              <w:rPr>
                <w:sz w:val="17"/>
              </w:rPr>
              <w:t>17,282</w:t>
            </w:r>
          </w:p>
        </w:tc>
        <w:tc>
          <w:tcPr>
            <w:tcW w:type="dxa" w:w="1440"/>
            <w:shd w:fill="C6EFCE" w:val="clear"/>
          </w:tcPr>
          <w:p>
            <w:r>
              <w:rPr>
                <w:b/>
                <w:color w:val="008000"/>
                <w:sz w:val="17"/>
              </w:rPr>
              <w:t>+6.0%</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13,344</w:t>
            </w:r>
          </w:p>
        </w:tc>
        <w:tc>
          <w:tcPr>
            <w:tcW w:type="dxa" w:w="1440"/>
            <w:shd w:fill="C6EFCE" w:val="clear"/>
          </w:tcPr>
          <w:p>
            <w:r>
              <w:rPr>
                <w:b/>
                <w:sz w:val="17"/>
              </w:rPr>
              <w:t>15,380</w:t>
            </w:r>
          </w:p>
        </w:tc>
        <w:tc>
          <w:tcPr>
            <w:tcW w:type="dxa" w:w="1440"/>
            <w:shd w:fill="C6EFCE" w:val="clear"/>
          </w:tcPr>
          <w:p>
            <w:r>
              <w:rPr>
                <w:sz w:val="17"/>
              </w:rPr>
              <w:t>17,416</w:t>
            </w:r>
          </w:p>
        </w:tc>
        <w:tc>
          <w:tcPr>
            <w:tcW w:type="dxa" w:w="1440"/>
            <w:shd w:fill="C6EFCE" w:val="clear"/>
          </w:tcPr>
          <w:p>
            <w:r>
              <w:rPr>
                <w:b/>
                <w:color w:val="008000"/>
                <w:sz w:val="17"/>
              </w:rPr>
              <w:t>+6.1%</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13,247</w:t>
            </w:r>
          </w:p>
        </w:tc>
        <w:tc>
          <w:tcPr>
            <w:tcW w:type="dxa" w:w="1440"/>
            <w:shd w:fill="C6EFCE" w:val="clear"/>
          </w:tcPr>
          <w:p>
            <w:r>
              <w:rPr>
                <w:b/>
                <w:sz w:val="17"/>
              </w:rPr>
              <w:t>15,396</w:t>
            </w:r>
          </w:p>
        </w:tc>
        <w:tc>
          <w:tcPr>
            <w:tcW w:type="dxa" w:w="1440"/>
            <w:shd w:fill="C6EFCE" w:val="clear"/>
          </w:tcPr>
          <w:p>
            <w:r>
              <w:rPr>
                <w:sz w:val="17"/>
              </w:rPr>
              <w:t>17,544</w:t>
            </w:r>
          </w:p>
        </w:tc>
        <w:tc>
          <w:tcPr>
            <w:tcW w:type="dxa" w:w="1440"/>
            <w:shd w:fill="C6EFCE" w:val="clear"/>
          </w:tcPr>
          <w:p>
            <w:r>
              <w:rPr>
                <w:b/>
                <w:color w:val="008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Entreprise (Biens de consommation)*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320,02 milliards FCFA, NTLC figure parmi les valeurs les plus capitalisées de la BRVM, ce qui en fait un pilier de l'indice BRVM Composite et un titre de référence pour les investisseurs institutionnels. Le BPA de 835 FCFA/action signifie que chaque titre génère près de 835 FCFA de bénéfice net, un niveau de rentabilité par action solide. Le PER de 17,4x se situe nettement au-dessus de la moyenne du marché BRVM (8-12x), traduisant une prime de qualité que les investisseurs acceptent de payer pour la solidité de la marque Nestlé, mais qui limite le potentiel de revalorisation à court terme. Le P/B de 10,82x, très supérieur au seuil de 4x, confirme cette valorisation exigeante : le marché paie plus de dix fois la valeur comptable, ce qui s'explique par la faiblesse des capitaux propres (29,6 Mds FCFA) au regard de la rentabilité générée (ROE de 62,3%). Enfin, l'EV/EBITDA de 8,8x, dans la fourchette raisonnable de 5-10x, indique que la valeur totale de l'entreprise reste cohérente avec sa capacité opérationnelle, offrant un contrepoids modérateur à la cherté apparente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totale de +17,50%, avec une dernière séance stable (variation J-1 de +0,00%), le cours s'établissant à 14 500 FCFA. Le range de trading est particulièrement large, oscillant entre un plus bas de 11 150 FCFA et un plus haut de 18 000 FCFA, soit une amplitude de 61,4% qui témoigne d'une forte agitation des prix sur la période. La tendance générale reste haussière sur l'ensemble de la période, mais le cours actuel (14 500 FCFA) se situe en retrait de 19,4% par rapport à son sommet, signalant une phase de correction après le pic. Les statistiques descriptives révèlent une moyenne de 15 256 FCFA supérieure à la médiane de 15 995 FCFA — écart qui, combiné à un skewness négatif de -0,823, confirme une asymétrie négative avec davantage de journées de cotation au-dessus de la moyenne, typique d'une distribution tirée vers le bas par des séances de correction. L'écart-type de 1 827 FCFA (CV de 12,0%) indique une dispersion modérée du cours autour de sa moyenne, tandis que le kurtosis de -0,652 (mésokurtique) suggère une distribution proche de la normale, sans risque excessif de pics extrêmes. La volatilité annualisée de 36,4%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(16 326,5 FCFA) et la MM50 (16 535,5 FCFA) se situent toutes deux nettement au-dessus du cours actuel (14 500 FCFA), avec la MM20 en dessous de la MM50, configuration baissière classique. Le cours évoluant sous ses deux moyennes, la pression vendeuse est confirmée et la décision technique est logiquement à la vente, le titre n'ayant pas encore trouvé de support durable.</w:t>
      </w:r>
    </w:p>
    <w:p>
      <w:pPr>
        <w:spacing w:after="120" w:line="276" w:lineRule="auto"/>
      </w:pPr>
      <w:r>
        <w:t>**Bandes de Bollinger** : Le cours actuel (14 500 FCFA) se situe légèrement sous la borne inférieure (14 640,97 FCFA), ce qui constitue un signal de survente extrême et une opportunité d'achat contrariante. La largeur des bandes (borne supérieure à 18 012,03 FCFA contre borne inférieure à 14 640,97 FCFA) reflète une volatilité élevée, et la sortie par le bas suggère un potentiel de rebond technique à court terme, justifiant la décision d'achat.</w:t>
      </w:r>
    </w:p>
    <w:p>
      <w:pPr>
        <w:spacing w:after="120" w:line="276" w:lineRule="auto"/>
      </w:pPr>
      <w:r>
        <w:t>**MACD** : La valeur du MACD (-444,711) est inférieure à son signal (-176,17), avec un histogramme négatif et un écartement croissant, ce qui traduit un momentum baissier toujours actif. La divergence négative entre la ligne MACD et sa ligne de signal confirme la poursuite de la tendance baissière à court terme, justifiant la décision de vente.</w:t>
      </w:r>
    </w:p>
    <w:p>
      <w:pPr>
        <w:spacing w:after="120" w:line="276" w:lineRule="auto"/>
      </w:pPr>
      <w:r>
        <w:t>**RSI** : À 26,0, le RSI se situe en zone de survente (&lt;30), signalant que le titre a été excessivement vendu et qu'un rebond technique est probable. Cette configuration, bien que baissière en tendance, offre un point d'entrée intéressant pour les investisseurs contrariants, justifiant la décision d'achat.</w:t>
      </w:r>
    </w:p>
    <w:p>
      <w:pPr>
        <w:spacing w:after="120" w:line="276" w:lineRule="auto"/>
      </w:pPr>
      <w:r>
        <w:t>**Stochastique** : Le %K et le %D sont tous deux à 0,0, un niveau extrême de survente qui indique que le cours a clôturé à son plus bas niveau de la période de référence. Un tel niveau précède souvent un retournement haussier, et la décision d'achat se justifie par l'anticipation d'un rebond technique imminent.</w:t>
      </w:r>
    </w:p>
    <w:p>
      <w:pPr>
        <w:spacing w:after="120" w:line="276" w:lineRule="auto"/>
      </w:pPr>
      <w:r>
        <w:t>**Conclusion technique** : Les indicateurs présentent une divergence notable : les moyennes mobiles et le MACD confirment une tendance baissière de fond, tandis que le RSI, le stochastique et les bandes de Bollinger signalent une survente extrême propice à un rebond. Cette configuration contradictoire est typique d'une phase de correction avancée, où le potentiel de baisse semble limité à court terme mais où la tendance de fond reste fragile. Une confirmation par un retour du cours au-dessus de la MM20 (16 326 FCFA) serait nécessaire pour valider un véritable retournement haussier.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Nestlé Côte d'Ivoire a réalisé un chiffre d'affaires de 233,261 milliards FCFA, en croissance de 5,97% par rapport à 2024, avec un résultat net de 18,427 milliards FCFA (+1,53%), une marge nette de 7,90% et un ROE exceptionnel de 62,28% pour un ROA de 9,70%. Ces données structurées, issues des états financiers annuels 2025, révèlent une entreprise solide mais dont la rentabilité stagne : la marge nette recule légèrement (8,25% en 2024 contre 7,90% en 2025) sous l'effet d'une hausse des charges financières (+25,8% à 8,0 Mds FCFA) et d'une pression fiscale accrue. L'analyse du bilan met en évidence des points de vigilance : le BFR s'établit à 22,625 Mds FCFA (positif, donc défavorable), le fonds de roulement est négatif (-24,206 Mds FCFA) et la trésorerie nette est de -46,831 Mds FCFA, signe que l'entreprise finance son cycle d'exploitation par des concours bancaires à court terme. Les délais clients (74,30 jours) et la durée de stockage (59,39 jours) sont élevés, immobilisant du capital et exposant l'entreprise à un risque de trésorerie, tandis que l'autonomie financière (15,58%) est inférieure au seuil sain de 30% et que le ratio d'endettement (135,85%) traduit une dépendance importante aux dettes. La couverture des intérêts (473,63%) reste confortable, mais la liquidité générale (79,86%) est insuffisante pour couvrir le passif circulant. Les rapports trimestriels apportent un éclairage plus récent et plus favorable : le rapport du T1 2026 (arrêté au 31 mars 2026) fait état d'un chiffre d'affaires de 70,8 Mds FCFA (+31%) et d'un résultat net de 7,5 Mds FCFA (+37%), avec une marge nette en amélioration à 10,6% contre 10,1% un an plus tôt. Sur la base de ce rapport T1 2026, on peut estimer que l'exercice 2026 devrait afficher une accélération de la croissance, avec un chiffre d'affaires annualisé potentiellement supérieur à 280 Mds FCFA si la dynamique se maintient, et un résultat net qui pourrait dépasser 22 Mds FCFA. Toutefois, le rapport du T3 2025 (arrêté au 30 septembre 2025) rappelle que la rentabilité avait été érodée sur les neuf premiers mois (-21,3% de résultat net), avant le rebond spectaculaire du T1 2026, ce qui suggère une volatilité des performances trimestrielles. La politique de dividende a été modifiée en 2025 : le dividende brut proposé de 9,27 Mds FCFA (payout de 50,3%) est en baisse de moitié par rapport à 2024 (18,10 Mds FCFA, payout de 99,7%), traduisant une stratégie de réinvestissement et de renforcement des fonds propres. En synthèse, la solidité fondamentale de NTLC est indéniable (ROE &gt;60%, croissance du CA, marque leader), mais les risques liés à l'endettement, à la trésorerie négative et à la volatilité des marges incitent à une recommandation de **CONSERVER**, avec un biais positif si la dynamique du T1 2026 se confirme sur l'ensemble de l'exercice.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(Partie 0) apparaît exigeante : le PER de 17,4x et le P/B de 10,82x traduisent une prime de qualité significative par rapport au marché BRVM, bien que l'EV/EBITDA de 8,8x reste raisonnable. Le comportement du cours (Partie 1) est mitigé : la tendance haussière de fond (+17,50% sur 100 jours) est contrariée par une correction récente (-19,4% depuis le sommet), avec une volatilité élevée (36,4%) et une asymétrie négative (skewness de -0,823) qui suggèrent que les baisses ont été plus marquées que les hausses. Les signaux techniques (Partie 2) sont contradictoires : les moyennes mobiles et le MACD confirment la tendance baissière, tandis que le RSI (26,0), le stochastique (0,0) et les bandes de Bollinger (cours sous la borne inférieure) signalent une survente extrême propice à un rebond. Les fondamentaux (Partie 3) sont solides mais nuancés : la croissance du CA (+5,97% en 2025) et le ROE exceptionnel (62,28%) sont des atouts majeurs, mais la stagnation de la marge nette (7,90%), l'endettement élevé (135,85%) et la trésorerie négative (-46,831 Mds FCFA) constituent des risques. Les prédictions IA (J+1 à J+10) anticipent une légère reprise du cours, de 15 332 FCFA à 15 306 FCFA, ce qui confirme l'hypothèse d'un rebond technique à court terme sans pour autant inverser la tendance baissière de fond. Sur la base de cette synthèse, la recommandation finale est **CONSERVER**, avec un niveau de confiance **Moyen** et un risque global **Élevé**. En effet, la convergence entre la survente technique et les prédictions haussières à court terme plaide pour une stabilisation du cours, mais la cherté de la valorisation, la fragilité de la structure financière et la volatilité des performances trimestrielles incitent à la prudence. L'horizon d'investissement optimal est le **moyen terme (3-12 mois)**, en attendant la confirmation de la dynamique du T1 2026 sur l'ensemble de l'exercice et une amélioration durable des marges et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187.68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5,333 titres</w:t>
            </w:r>
          </w:p>
        </w:tc>
        <w:tc>
          <w:tcPr>
            <w:tcW w:type="dxa" w:w="2268"/>
            <w:shd w:fill="FFF2CC" w:val="clear"/>
          </w:tcPr>
          <w:p>
            <w:r>
              <w:rPr>
                <w:b/>
                <w:color w:val="503200"/>
                <w:sz w:val="16"/>
              </w:rPr>
              <w:t xml:space="preserve">Cours actuel : </w:t>
            </w:r>
            <w:r>
              <w:rPr>
                <w:color w:val="000000"/>
                <w:sz w:val="17"/>
              </w:rPr>
              <w:t>2,760 FCFA</w:t>
            </w:r>
          </w:p>
          <w:p>
            <w:r>
              <w:rPr>
                <w:b/>
                <w:color w:val="503200"/>
                <w:sz w:val="16"/>
              </w:rPr>
              <w:t xml:space="preserve">Var. 100 jours : </w:t>
            </w:r>
            <w:r>
              <w:rPr>
                <w:b/>
                <w:color w:val="B40000"/>
                <w:sz w:val="17"/>
              </w:rPr>
              <w:t>-1.25%</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2.80% (Faible) — μ=2,840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β=0.3103 (Défensif) — Cov=0.000014, Var(idx)=0.000045, ρ=0.108,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83/100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2,699</w:t>
            </w:r>
          </w:p>
        </w:tc>
        <w:tc>
          <w:tcPr>
            <w:tcW w:type="dxa" w:w="1440"/>
            <w:shd w:fill="FAFAFA" w:val="clear"/>
          </w:tcPr>
          <w:p>
            <w:r>
              <w:rPr>
                <w:b/>
                <w:sz w:val="17"/>
              </w:rPr>
              <w:t>2,785</w:t>
            </w:r>
          </w:p>
        </w:tc>
        <w:tc>
          <w:tcPr>
            <w:tcW w:type="dxa" w:w="1440"/>
            <w:shd w:fill="FAFAFA" w:val="clear"/>
          </w:tcPr>
          <w:p>
            <w:r>
              <w:rPr>
                <w:sz w:val="17"/>
              </w:rPr>
              <w:t>2,870</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2,653</w:t>
            </w:r>
          </w:p>
        </w:tc>
        <w:tc>
          <w:tcPr>
            <w:tcW w:type="dxa" w:w="1440"/>
            <w:shd w:fill="FAFAFA" w:val="clear"/>
          </w:tcPr>
          <w:p>
            <w:r>
              <w:rPr>
                <w:b/>
                <w:sz w:val="17"/>
              </w:rPr>
              <w:t>2,773</w:t>
            </w:r>
          </w:p>
        </w:tc>
        <w:tc>
          <w:tcPr>
            <w:tcW w:type="dxa" w:w="1440"/>
            <w:shd w:fill="FAFAFA" w:val="clear"/>
          </w:tcPr>
          <w:p>
            <w:r>
              <w:rPr>
                <w:sz w:val="17"/>
              </w:rPr>
              <w:t>2,894</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2,620</w:t>
            </w:r>
          </w:p>
        </w:tc>
        <w:tc>
          <w:tcPr>
            <w:tcW w:type="dxa" w:w="1440"/>
            <w:shd w:fill="FAFAFA" w:val="clear"/>
          </w:tcPr>
          <w:p>
            <w:r>
              <w:rPr>
                <w:b/>
                <w:sz w:val="17"/>
              </w:rPr>
              <w:t>2,768</w:t>
            </w:r>
          </w:p>
        </w:tc>
        <w:tc>
          <w:tcPr>
            <w:tcW w:type="dxa" w:w="1440"/>
            <w:shd w:fill="FAFAFA" w:val="clear"/>
          </w:tcPr>
          <w:p>
            <w:r>
              <w:rPr>
                <w:sz w:val="17"/>
              </w:rPr>
              <w:t>2,915</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2026-09-30</w:t>
            </w:r>
          </w:p>
        </w:tc>
        <w:tc>
          <w:tcPr>
            <w:tcW w:type="dxa" w:w="1440"/>
            <w:shd w:fill="FAFAFA" w:val="clear"/>
          </w:tcPr>
          <w:p>
            <w:r>
              <w:rPr>
                <w:sz w:val="17"/>
              </w:rPr>
              <w:t>2,592</w:t>
            </w:r>
          </w:p>
        </w:tc>
        <w:tc>
          <w:tcPr>
            <w:tcW w:type="dxa" w:w="1440"/>
            <w:shd w:fill="FAFAFA" w:val="clear"/>
          </w:tcPr>
          <w:p>
            <w:r>
              <w:rPr>
                <w:b/>
                <w:sz w:val="17"/>
              </w:rPr>
              <w:t>2,763</w:t>
            </w:r>
          </w:p>
        </w:tc>
        <w:tc>
          <w:tcPr>
            <w:tcW w:type="dxa" w:w="1440"/>
            <w:shd w:fill="FAFAFA" w:val="clear"/>
          </w:tcPr>
          <w:p>
            <w:r>
              <w:rPr>
                <w:sz w:val="17"/>
              </w:rPr>
              <w:t>2,933</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2026-10-01</w:t>
            </w:r>
          </w:p>
        </w:tc>
        <w:tc>
          <w:tcPr>
            <w:tcW w:type="dxa" w:w="1440"/>
            <w:shd w:fill="FAFAFA" w:val="clear"/>
          </w:tcPr>
          <w:p>
            <w:r>
              <w:rPr>
                <w:sz w:val="17"/>
              </w:rPr>
              <w:t>2,568</w:t>
            </w:r>
          </w:p>
        </w:tc>
        <w:tc>
          <w:tcPr>
            <w:tcW w:type="dxa" w:w="1440"/>
            <w:shd w:fill="FAFAFA" w:val="clear"/>
          </w:tcPr>
          <w:p>
            <w:r>
              <w:rPr>
                <w:b/>
                <w:sz w:val="17"/>
              </w:rPr>
              <w:t>2,758</w:t>
            </w:r>
          </w:p>
        </w:tc>
        <w:tc>
          <w:tcPr>
            <w:tcW w:type="dxa" w:w="1440"/>
            <w:shd w:fill="FAFAFA" w:val="clear"/>
          </w:tcPr>
          <w:p>
            <w:r>
              <w:rPr>
                <w:sz w:val="17"/>
              </w:rPr>
              <w:t>2,948</w:t>
            </w:r>
          </w:p>
        </w:tc>
        <w:tc>
          <w:tcPr>
            <w:tcW w:type="dxa" w:w="1440"/>
            <w:shd w:fill="FAFAFA" w:val="clear"/>
          </w:tcPr>
          <w:p>
            <w:r>
              <w:rPr>
                <w:b/>
                <w:color w:val="C00000"/>
                <w:sz w:val="17"/>
              </w:rPr>
              <w:t>-0.1%</w:t>
            </w:r>
          </w:p>
        </w:tc>
      </w:tr>
      <w:tr>
        <w:tc>
          <w:tcPr>
            <w:tcW w:type="dxa" w:w="1440"/>
            <w:shd w:fill="FAFAFA" w:val="clear"/>
          </w:tcPr>
          <w:p>
            <w:r>
              <w:rPr>
                <w:sz w:val="17"/>
              </w:rPr>
              <w:t>J+6  Moyenne</w:t>
            </w:r>
          </w:p>
        </w:tc>
        <w:tc>
          <w:tcPr>
            <w:tcW w:type="dxa" w:w="1440"/>
            <w:shd w:fill="FAFAFA" w:val="clear"/>
          </w:tcPr>
          <w:p>
            <w:r>
              <w:rPr>
                <w:sz w:val="17"/>
              </w:rPr>
              <w:t>2026-10-02</w:t>
            </w:r>
          </w:p>
        </w:tc>
        <w:tc>
          <w:tcPr>
            <w:tcW w:type="dxa" w:w="1440"/>
            <w:shd w:fill="FAFAFA" w:val="clear"/>
          </w:tcPr>
          <w:p>
            <w:r>
              <w:rPr>
                <w:sz w:val="17"/>
              </w:rPr>
              <w:t>2,546</w:t>
            </w:r>
          </w:p>
        </w:tc>
        <w:tc>
          <w:tcPr>
            <w:tcW w:type="dxa" w:w="1440"/>
            <w:shd w:fill="FAFAFA" w:val="clear"/>
          </w:tcPr>
          <w:p>
            <w:r>
              <w:rPr>
                <w:b/>
                <w:sz w:val="17"/>
              </w:rPr>
              <w:t>2,753</w:t>
            </w:r>
          </w:p>
        </w:tc>
        <w:tc>
          <w:tcPr>
            <w:tcW w:type="dxa" w:w="1440"/>
            <w:shd w:fill="FAFAFA" w:val="clear"/>
          </w:tcPr>
          <w:p>
            <w:r>
              <w:rPr>
                <w:sz w:val="17"/>
              </w:rPr>
              <w:t>2,961</w:t>
            </w:r>
          </w:p>
        </w:tc>
        <w:tc>
          <w:tcPr>
            <w:tcW w:type="dxa" w:w="1440"/>
            <w:shd w:fill="FAFAFA" w:val="clear"/>
          </w:tcPr>
          <w:p>
            <w:r>
              <w:rPr>
                <w:b/>
                <w:color w:val="C00000"/>
                <w:sz w:val="17"/>
              </w:rPr>
              <w:t>-0.2%</w:t>
            </w:r>
          </w:p>
        </w:tc>
      </w:tr>
      <w:tr>
        <w:tc>
          <w:tcPr>
            <w:tcW w:type="dxa" w:w="1440"/>
            <w:shd w:fill="FAFAFA" w:val="clear"/>
          </w:tcPr>
          <w:p>
            <w:r>
              <w:rPr>
                <w:sz w:val="17"/>
              </w:rPr>
              <w:t>J+7  Moyenne</w:t>
            </w:r>
          </w:p>
        </w:tc>
        <w:tc>
          <w:tcPr>
            <w:tcW w:type="dxa" w:w="1440"/>
            <w:shd w:fill="FAFAFA" w:val="clear"/>
          </w:tcPr>
          <w:p>
            <w:r>
              <w:rPr>
                <w:sz w:val="17"/>
              </w:rPr>
              <w:t>2026-10-05</w:t>
            </w:r>
          </w:p>
        </w:tc>
        <w:tc>
          <w:tcPr>
            <w:tcW w:type="dxa" w:w="1440"/>
            <w:shd w:fill="FAFAFA" w:val="clear"/>
          </w:tcPr>
          <w:p>
            <w:r>
              <w:rPr>
                <w:sz w:val="17"/>
              </w:rPr>
              <w:t>2,525</w:t>
            </w:r>
          </w:p>
        </w:tc>
        <w:tc>
          <w:tcPr>
            <w:tcW w:type="dxa" w:w="1440"/>
            <w:shd w:fill="FAFAFA" w:val="clear"/>
          </w:tcPr>
          <w:p>
            <w:r>
              <w:rPr>
                <w:b/>
                <w:sz w:val="17"/>
              </w:rPr>
              <w:t>2,749</w:t>
            </w:r>
          </w:p>
        </w:tc>
        <w:tc>
          <w:tcPr>
            <w:tcW w:type="dxa" w:w="1440"/>
            <w:shd w:fill="FAFAFA" w:val="clear"/>
          </w:tcPr>
          <w:p>
            <w:r>
              <w:rPr>
                <w:sz w:val="17"/>
              </w:rPr>
              <w:t>2,973</w:t>
            </w:r>
          </w:p>
        </w:tc>
        <w:tc>
          <w:tcPr>
            <w:tcW w:type="dxa" w:w="1440"/>
            <w:shd w:fill="FAFAFA" w:val="clear"/>
          </w:tcPr>
          <w:p>
            <w:r>
              <w:rPr>
                <w:b/>
                <w:color w:val="C00000"/>
                <w:sz w:val="17"/>
              </w:rPr>
              <w:t>-0.4%</w:t>
            </w:r>
          </w:p>
        </w:tc>
      </w:tr>
      <w:tr>
        <w:tc>
          <w:tcPr>
            <w:tcW w:type="dxa" w:w="1440"/>
            <w:shd w:fill="FAFAFA" w:val="clear"/>
          </w:tcPr>
          <w:p>
            <w:r>
              <w:rPr>
                <w:sz w:val="17"/>
              </w:rPr>
              <w:t>J+8  Moyenne</w:t>
            </w:r>
          </w:p>
        </w:tc>
        <w:tc>
          <w:tcPr>
            <w:tcW w:type="dxa" w:w="1440"/>
            <w:shd w:fill="FAFAFA" w:val="clear"/>
          </w:tcPr>
          <w:p>
            <w:r>
              <w:rPr>
                <w:sz w:val="17"/>
              </w:rPr>
              <w:t>2026-10-06</w:t>
            </w:r>
          </w:p>
        </w:tc>
        <w:tc>
          <w:tcPr>
            <w:tcW w:type="dxa" w:w="1440"/>
            <w:shd w:fill="FAFAFA" w:val="clear"/>
          </w:tcPr>
          <w:p>
            <w:r>
              <w:rPr>
                <w:sz w:val="17"/>
              </w:rPr>
              <w:t>2,505</w:t>
            </w:r>
          </w:p>
        </w:tc>
        <w:tc>
          <w:tcPr>
            <w:tcW w:type="dxa" w:w="1440"/>
            <w:shd w:fill="FAFAFA" w:val="clear"/>
          </w:tcPr>
          <w:p>
            <w:r>
              <w:rPr>
                <w:b/>
                <w:sz w:val="17"/>
              </w:rPr>
              <w:t>2,744</w:t>
            </w:r>
          </w:p>
        </w:tc>
        <w:tc>
          <w:tcPr>
            <w:tcW w:type="dxa" w:w="1440"/>
            <w:shd w:fill="FAFAFA" w:val="clear"/>
          </w:tcPr>
          <w:p>
            <w:r>
              <w:rPr>
                <w:sz w:val="17"/>
              </w:rPr>
              <w:t>2,983</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2026-10-07</w:t>
            </w:r>
          </w:p>
        </w:tc>
        <w:tc>
          <w:tcPr>
            <w:tcW w:type="dxa" w:w="1440"/>
            <w:shd w:fill="FAFAFA" w:val="clear"/>
          </w:tcPr>
          <w:p>
            <w:r>
              <w:rPr>
                <w:sz w:val="17"/>
              </w:rPr>
              <w:t>2,487</w:t>
            </w:r>
          </w:p>
        </w:tc>
        <w:tc>
          <w:tcPr>
            <w:tcW w:type="dxa" w:w="1440"/>
            <w:shd w:fill="FAFAFA" w:val="clear"/>
          </w:tcPr>
          <w:p>
            <w:r>
              <w:rPr>
                <w:b/>
                <w:sz w:val="17"/>
              </w:rPr>
              <w:t>2,740</w:t>
            </w:r>
          </w:p>
        </w:tc>
        <w:tc>
          <w:tcPr>
            <w:tcW w:type="dxa" w:w="1440"/>
            <w:shd w:fill="FAFAFA" w:val="clear"/>
          </w:tcPr>
          <w:p>
            <w:r>
              <w:rPr>
                <w:sz w:val="17"/>
              </w:rPr>
              <w:t>2,993</w:t>
            </w:r>
          </w:p>
        </w:tc>
        <w:tc>
          <w:tcPr>
            <w:tcW w:type="dxa" w:w="1440"/>
            <w:shd w:fill="FAFAFA" w:val="clear"/>
          </w:tcPr>
          <w:p>
            <w:r>
              <w:rPr>
                <w:b/>
                <w:color w:val="C00000"/>
                <w:sz w:val="17"/>
              </w:rPr>
              <w:t>-0.7%</w:t>
            </w:r>
          </w:p>
        </w:tc>
      </w:tr>
      <w:tr>
        <w:tc>
          <w:tcPr>
            <w:tcW w:type="dxa" w:w="1440"/>
            <w:shd w:fill="FAFAFA" w:val="clear"/>
          </w:tcPr>
          <w:p>
            <w:r>
              <w:rPr>
                <w:sz w:val="17"/>
              </w:rPr>
              <w:t>J+10  Moyenne</w:t>
            </w:r>
          </w:p>
        </w:tc>
        <w:tc>
          <w:tcPr>
            <w:tcW w:type="dxa" w:w="1440"/>
            <w:shd w:fill="FAFAFA" w:val="clear"/>
          </w:tcPr>
          <w:p>
            <w:r>
              <w:rPr>
                <w:sz w:val="17"/>
              </w:rPr>
              <w:t>2026-10-08</w:t>
            </w:r>
          </w:p>
        </w:tc>
        <w:tc>
          <w:tcPr>
            <w:tcW w:type="dxa" w:w="1440"/>
            <w:shd w:fill="FAFAFA" w:val="clear"/>
          </w:tcPr>
          <w:p>
            <w:r>
              <w:rPr>
                <w:sz w:val="17"/>
              </w:rPr>
              <w:t>2,469</w:t>
            </w:r>
          </w:p>
        </w:tc>
        <w:tc>
          <w:tcPr>
            <w:tcW w:type="dxa" w:w="1440"/>
            <w:shd w:fill="FAFAFA" w:val="clear"/>
          </w:tcPr>
          <w:p>
            <w:r>
              <w:rPr>
                <w:b/>
                <w:sz w:val="17"/>
              </w:rPr>
              <w:t>2,736</w:t>
            </w:r>
          </w:p>
        </w:tc>
        <w:tc>
          <w:tcPr>
            <w:tcW w:type="dxa" w:w="1440"/>
            <w:shd w:fill="FAFAFA" w:val="clear"/>
          </w:tcPr>
          <w:p>
            <w:r>
              <w:rPr>
                <w:sz w:val="17"/>
              </w:rPr>
              <w:t>3,002</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187,68 milliards FCFA, ONTBF se positionne comme une valeur de premier plan de la cote BRVM, représentant un pilier du compartiment télécoms aux côtés de Sonatel et d'Orange CI. Le BPA de 234 FCFA par action signifie que chaque titre génère près de 234 FCFA de bénéfice net, ce qui, rapporté au cours actuel de 2 760 FCFA, donne un PER de 11,8x — un niveau modéré, légèrement supérieur à la moyenne BRVM (~8-12x), traduisant une prime de qualité justifiée par la solidité du bilan et la régularité du dividende. Le P/B de 3,26x indique que le marché valorise l'entreprise à plus de trois fois sa valeur comptable (capitaux propres de 57,54 Mds FCFA), une prime de croissance cohérente avec un ROE de 27,6% qui dépasse largement le coût des fonds propres. Enfin, l'EV/EBITDA de 5,0x situe la valeur d'entreprise (capitalisation + dette nette) à seulement cinq fois la capacité opérationnelle, un multiple raisonnable qui n'intègre pas de surchauffe spéculative et laisse entrevoir un potentiel de revalorisation si les marges se stabilisent.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variation totale de -1,25%, avec une dernière séance en repli de -1,43%, portant le cours à 2 760 FCFA. Le range de trading s'établit entre un plus haut de 3 070 FCFA et un plus bas de 2 675 FCFA, soit une amplitude de près de 15%, reflétant une tendance globalement baissière mais sans effondrement, le titre évoluant dans une phase de consolidation après avoir testé ses sommets. Les statistiques descriptives révèlent une moyenne de 2 840 FCFA très proche de la médiane (2 842 FCFA) et du mode (2 800 FCFA), signe d'une distribution symétrique sans biais marqué, confirmée par un skewness de 0,107 quasi nul. L'écart-type de 80 FCFA, soit un coefficient de variation de seulement 2,8%, traduit une dispersion très faible du cours autour de sa moyenne — le titre est remarquablement stable. Le kurtosis de -0,123 (mésokurtique) indique une distribution proche de la normale, sans risque de pics extrêmes fréquents, ce qui est rassurant pour un investisseur averse au risque. En revanche, la volatilité annualisée de 30,6% classe le titre dans la catégorie des valeurs à volatilité élevée (&gt;30%), ce qui contraste avec la faible dispersion quotidienne et suggère des mouvements erratiques sur des horizons plus longs, probablement liés aux annonces de résultats et au contexte sécuritaire burkinabè.</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(2 875,25 FCFA) et la MM50 (2 860,20 FCFA) se situent toutes deux au-dessus du cours actuel (2 760 FCFA), ce qui place le titre en position baissière à court terme. La MM20 étant légèrement supérieure à la MM50, la configuration reste haussière sur le fond, mais le prix sous les deux moyennes génère un signal d'achat par retour à la moyenne — décision confirmée par l'indicateur.</w:t>
      </w:r>
    </w:p>
    <w:p>
      <w:pPr>
        <w:spacing w:after="120" w:line="276" w:lineRule="auto"/>
      </w:pPr>
      <w:r>
        <w:t>**Bandes de Bollinger** : Le cours (2 760 FCFA) évolue sous la borne inférieure (2 774,13 FCFA), une situation de survente technique qui précède souvent un rebond. La largeur des bandes (2 774–2 976 FCFA) traduit une volatilité modérée, et la décision d'achat est justifiée par cette position extrême sous la bande inférieure.</w:t>
      </w:r>
    </w:p>
    <w:p>
      <w:pPr>
        <w:spacing w:after="120" w:line="276" w:lineRule="auto"/>
      </w:pPr>
      <w:r>
        <w:t>**MACD** : La valeur du MACD (-7,509) est négative et inférieure à son signal (2,787), confirmant un momentum baissier à court terme. La divergence négative entre les deux lignes justifie la décision de vente, bien que l'écart reste modéré et puisse se résorber rapidement.</w:t>
      </w:r>
    </w:p>
    <w:p>
      <w:pPr>
        <w:spacing w:after="120" w:line="276" w:lineRule="auto"/>
      </w:pPr>
      <w:r>
        <w:t>**RSI** : À 34,0, le RSI se situe dans la zone neutre basse, proche du seuil de survente (30), sans y être encore. La décision neutre est appropriée : le titre n'est ni suracheté ni survendu, mais la proximité du seuil de 30 suggère une pression vendeuse qui s'essouffle.</w:t>
      </w:r>
    </w:p>
    <w:p>
      <w:pPr>
        <w:spacing w:after="120" w:line="276" w:lineRule="auto"/>
      </w:pPr>
      <w:r>
        <w:t>**Stochastique** : Le %K à 0,0 et le %D à 13,725 indiquent une position extrême de survente, avec un croisement potentiel à venir. La décision d'achat est justifiée par cette configuration classique de retournement, le %K étant à son plus bas niveau possible.</w:t>
      </w:r>
    </w:p>
    <w:p>
      <w:pPr>
        <w:spacing w:after="120" w:line="276" w:lineRule="auto"/>
      </w:pPr>
      <w:r>
        <w:t>**Conclusion technique** : Les indicateurs sont divergents — les moyennes mobiles et le MACD plaident pour la prudence, tandis que les Bandes de Bollinger et le Stochastique signalent une survente propice à un rebond. Le RSI neutre confirme l'absence de signal fort. Dans l'ensemble, le titre se trouve dans une zone de survente technique qui pourrait précéder un rebond à court terme, mais la faiblesse du momentum (MACD négatif) invite à la prudence avant tout engagement agressif.</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 Burkina Faso) a réalisé un chiffre d'affaires de 146,18 milliards FCFA, en hausse de 3,1% par rapport à 2024, porté par le Très Haut Débit (FTTH +33%), l'Internet mobile (+4,6%) et le Mobile Money (+14%). Le résultat net s'établit à 15,89 milliards FCFA, en net repli de 26% par rapport aux 21,47 milliards de 2024, sous l'effet de charges opérationnelles et exceptionnelles élevées (indemnités de fin d'engagement, coûts énergétiques, maintenance en zones à défi sécuritaire, sanction ARCEP de 1,543 Md FCFA). Le ROE reste excellent à 27,6% (bien supérieur au seuil de 15%), mais en baisse par rapport aux 34,3% de 2024, tandis que le ROA de 4,89% reflète la lourdeur du bilan (total actif de 324,9 Mds FCFA). Le coefficient d'exploitation de 67,07% — bien que supérieur au seuil de 60% — reste maîtrisé pour une entreprise télécom en phase d'investissement massif, et le coût du risque de 3,57% (provisions/charges financières) demeure faible, témoignant d'un portefeuille client sain. La structure financière est solide : autonomie financière de 17,71% (capitaux propres/total bilan), capacité de remboursement de 2,29 années (dettes financières/CAF) et couverture des intérêts de 491,5% — des ratios rassurants malgré un endettement en hausse (dettes financières de 107,6 Mds FCFA). Les rapports trimestriels de 2025 (T1, S1, T3) confirment la tendance : croissance commerciale résiliente mais érosion continue de la rentabilité, avec un taux d'EBITDA IFRS passant de 47,0% au T1 2024 à 39,3% au T3 2025. Le rapport T1 2026 (publié le 09/04/2026) montre une légère amélioration : CA de 37,1 Mds FCFA (+2,7%), résultat net de 3,577 Mds FCFA (marge nette de 9,6% OHADA), et un taux de marge EBITDA maintenu à 41,3% — suggérant une stabilisation de la rentabilité. Sur la base de ce T1 2026, on peut estimer que l'exercice 2026 devrait voir une légère reprise de la marge nette (autour de 10-11%) si les coûts se stabilisent, mais le contexte sécuritaire et réglementaire reste un risque majeur. La note de crédit A+(WU) avec perspective stable (GCR Ratings) et le dividende proposé de 166,08 FCFA/action (rendement de ~6% au cours actuel) renforcent l'attrait défensif du titre. **Recommandation fondamentale : CONSERVER**, avec une surveillance accrue de la trajectoire des marges et de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sans être bon marché : PER de 11,8x légèrement supérieur à la moyenne BRVM, P/B de 3,26x justifié par un ROE de 27,6%, et EV/EBITDA de 5,0x qui n'intègre pas de prime excessive. Le comportement du cours (Partie 1) est préoccupant à court terme (variation de -1,25%, cours sous les moyennes mobiles) mais rassurant par sa stabilité (CV de 2,8%, kurtosis proche de zéro), la volatilité annualisée de 30,6% restant le principal point de vigilance. Les signaux techniques (Partie 2) sont divergents : survente selon Bollinger et Stochastique (signal d'achat), mais momentum négatif selon MACD et cours sous les MM (signal de vente), le RSI neutre ne tranchant pas. Les fondamentaux (Partie 3) révèlent une entreprise solide mais en transition : croissance du CA (+3,1%), rentabilité en repli (-26% de résultat net en 2025), mais stabilisation attendue en 2026 selon le T1 (+2,7% de CA, marge EBITDA de 41,3%), avec un dividende attractif de 166 FCFA/action. Les prédictions IA (J+1 à J+10) anticipent une légère baisse du cours de 2 785 FCFA à 2 758 FCFA, confirmant la pression baissière de court terme sans effondrement. **Synthèse : la convergence entre valorisation raisonnable, survente technique, fondamentaux solides mais en amélioration progressive, et prédictions baissières modérées plaide pour une recommandation CONSERVER.** Le titre n'offre pas de signal d'achat fort (momentum négatif, prédictions baissières), mais la solidité du bilan, le dividende attractif et la position dominante sur le marché burkinabè interdisent toute vente panique. **Recommandation finale : CONSERVER** — Niveau de confiance : Moyen (divergence technique) — Niveau de risque : Moyen (volatilité élevée, contexte sécuritaire) — Horizon optimal : Moyen terme (3-12 mois), en attendant la confirmation d'une reprise des marges au S1 2026 et l'apaisement des pressions réglementaires.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3231.56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3,292 titres</w:t>
            </w:r>
          </w:p>
        </w:tc>
        <w:tc>
          <w:tcPr>
            <w:tcW w:type="dxa" w:w="2268"/>
            <w:shd w:fill="FFF2CC" w:val="clear"/>
          </w:tcPr>
          <w:p>
            <w:r>
              <w:rPr>
                <w:b/>
                <w:color w:val="503200"/>
                <w:sz w:val="16"/>
              </w:rPr>
              <w:t xml:space="preserve">Cours actuel : </w:t>
            </w:r>
            <w:r>
              <w:rPr>
                <w:color w:val="000000"/>
                <w:sz w:val="17"/>
              </w:rPr>
              <w:t>21,450 FCFA</w:t>
            </w:r>
          </w:p>
          <w:p>
            <w:r>
              <w:rPr>
                <w:b/>
                <w:color w:val="503200"/>
                <w:sz w:val="16"/>
              </w:rPr>
              <w:t xml:space="preserve">Var. 100 jours : </w:t>
            </w:r>
            <w:r>
              <w:rPr>
                <w:b/>
                <w:color w:val="007800"/>
                <w:sz w:val="17"/>
              </w:rPr>
              <w:t>+41.12%</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13.59% (Moyenne) — μ=17,588 FCFA, σ=2,391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β=1.4350 (Agressif) — Cov=0.000064, Var(idx)=0.000045, ρ=0.511,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3,292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20,236</w:t>
            </w:r>
          </w:p>
        </w:tc>
        <w:tc>
          <w:tcPr>
            <w:tcW w:type="dxa" w:w="1440"/>
            <w:shd w:fill="FAFAFA" w:val="clear"/>
          </w:tcPr>
          <w:p>
            <w:r>
              <w:rPr>
                <w:b/>
                <w:sz w:val="17"/>
              </w:rPr>
              <w:t>21,071</w:t>
            </w:r>
          </w:p>
        </w:tc>
        <w:tc>
          <w:tcPr>
            <w:tcW w:type="dxa" w:w="1440"/>
            <w:shd w:fill="FAFAFA" w:val="clear"/>
          </w:tcPr>
          <w:p>
            <w:r>
              <w:rPr>
                <w:sz w:val="17"/>
              </w:rPr>
              <w:t>21,907</w:t>
            </w:r>
          </w:p>
        </w:tc>
        <w:tc>
          <w:tcPr>
            <w:tcW w:type="dxa" w:w="1440"/>
            <w:shd w:fill="FAFAFA" w:val="clear"/>
          </w:tcPr>
          <w:p>
            <w:r>
              <w:rPr>
                <w:b/>
                <w:color w:val="C00000"/>
                <w:sz w:val="17"/>
              </w:rPr>
              <w:t>-1.8%</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19,914</w:t>
            </w:r>
          </w:p>
        </w:tc>
        <w:tc>
          <w:tcPr>
            <w:tcW w:type="dxa" w:w="1440"/>
            <w:shd w:fill="FAFAFA" w:val="clear"/>
          </w:tcPr>
          <w:p>
            <w:r>
              <w:rPr>
                <w:b/>
                <w:sz w:val="17"/>
              </w:rPr>
              <w:t>21,097</w:t>
            </w:r>
          </w:p>
        </w:tc>
        <w:tc>
          <w:tcPr>
            <w:tcW w:type="dxa" w:w="1440"/>
            <w:shd w:fill="FAFAFA" w:val="clear"/>
          </w:tcPr>
          <w:p>
            <w:r>
              <w:rPr>
                <w:sz w:val="17"/>
              </w:rPr>
              <w:t>22,281</w:t>
            </w:r>
          </w:p>
        </w:tc>
        <w:tc>
          <w:tcPr>
            <w:tcW w:type="dxa" w:w="1440"/>
            <w:shd w:fill="FAFAFA" w:val="clear"/>
          </w:tcPr>
          <w:p>
            <w:r>
              <w:rPr>
                <w:b/>
                <w:color w:val="C00000"/>
                <w:sz w:val="17"/>
              </w:rPr>
              <w:t>-1.6%</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19,658</w:t>
            </w:r>
          </w:p>
        </w:tc>
        <w:tc>
          <w:tcPr>
            <w:tcW w:type="dxa" w:w="1440"/>
            <w:shd w:fill="FAFAFA" w:val="clear"/>
          </w:tcPr>
          <w:p>
            <w:r>
              <w:rPr>
                <w:b/>
                <w:sz w:val="17"/>
              </w:rPr>
              <w:t>21,108</w:t>
            </w:r>
          </w:p>
        </w:tc>
        <w:tc>
          <w:tcPr>
            <w:tcW w:type="dxa" w:w="1440"/>
            <w:shd w:fill="FAFAFA" w:val="clear"/>
          </w:tcPr>
          <w:p>
            <w:r>
              <w:rPr>
                <w:sz w:val="17"/>
              </w:rPr>
              <w:t>22,558</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19,440</w:t>
            </w:r>
          </w:p>
        </w:tc>
        <w:tc>
          <w:tcPr>
            <w:tcW w:type="dxa" w:w="1440"/>
            <w:shd w:fill="FAFAFA" w:val="clear"/>
          </w:tcPr>
          <w:p>
            <w:r>
              <w:rPr>
                <w:b/>
                <w:sz w:val="17"/>
              </w:rPr>
              <w:t>21,115</w:t>
            </w:r>
          </w:p>
        </w:tc>
        <w:tc>
          <w:tcPr>
            <w:tcW w:type="dxa" w:w="1440"/>
            <w:shd w:fill="FAFAFA" w:val="clear"/>
          </w:tcPr>
          <w:p>
            <w:r>
              <w:rPr>
                <w:sz w:val="17"/>
              </w:rPr>
              <w:t>22,790</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19,247</w:t>
            </w:r>
          </w:p>
        </w:tc>
        <w:tc>
          <w:tcPr>
            <w:tcW w:type="dxa" w:w="1440"/>
            <w:shd w:fill="FAFAFA" w:val="clear"/>
          </w:tcPr>
          <w:p>
            <w:r>
              <w:rPr>
                <w:b/>
                <w:sz w:val="17"/>
              </w:rPr>
              <w:t>21,121</w:t>
            </w:r>
          </w:p>
        </w:tc>
        <w:tc>
          <w:tcPr>
            <w:tcW w:type="dxa" w:w="1440"/>
            <w:shd w:fill="FAFAFA" w:val="clear"/>
          </w:tcPr>
          <w:p>
            <w:r>
              <w:rPr>
                <w:sz w:val="17"/>
              </w:rPr>
              <w:t>22,994</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19,074</w:t>
            </w:r>
          </w:p>
        </w:tc>
        <w:tc>
          <w:tcPr>
            <w:tcW w:type="dxa" w:w="1440"/>
            <w:shd w:fill="FAFAFA" w:val="clear"/>
          </w:tcPr>
          <w:p>
            <w:r>
              <w:rPr>
                <w:b/>
                <w:sz w:val="17"/>
              </w:rPr>
              <w:t>21,127</w:t>
            </w:r>
          </w:p>
        </w:tc>
        <w:tc>
          <w:tcPr>
            <w:tcW w:type="dxa" w:w="1440"/>
            <w:shd w:fill="FAFAFA" w:val="clear"/>
          </w:tcPr>
          <w:p>
            <w:r>
              <w:rPr>
                <w:sz w:val="17"/>
              </w:rPr>
              <w:t>23,179</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18,915</w:t>
            </w:r>
          </w:p>
        </w:tc>
        <w:tc>
          <w:tcPr>
            <w:tcW w:type="dxa" w:w="1440"/>
            <w:shd w:fill="FAFAFA" w:val="clear"/>
          </w:tcPr>
          <w:p>
            <w:r>
              <w:rPr>
                <w:b/>
                <w:sz w:val="17"/>
              </w:rPr>
              <w:t>21,132</w:t>
            </w:r>
          </w:p>
        </w:tc>
        <w:tc>
          <w:tcPr>
            <w:tcW w:type="dxa" w:w="1440"/>
            <w:shd w:fill="FAFAFA" w:val="clear"/>
          </w:tcPr>
          <w:p>
            <w:r>
              <w:rPr>
                <w:sz w:val="17"/>
              </w:rPr>
              <w:t>23,350</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18,767</w:t>
            </w:r>
          </w:p>
        </w:tc>
        <w:tc>
          <w:tcPr>
            <w:tcW w:type="dxa" w:w="1440"/>
            <w:shd w:fill="FAFAFA" w:val="clear"/>
          </w:tcPr>
          <w:p>
            <w:r>
              <w:rPr>
                <w:b/>
                <w:sz w:val="17"/>
              </w:rPr>
              <w:t>21,138</w:t>
            </w:r>
          </w:p>
        </w:tc>
        <w:tc>
          <w:tcPr>
            <w:tcW w:type="dxa" w:w="1440"/>
            <w:shd w:fill="FAFAFA" w:val="clear"/>
          </w:tcPr>
          <w:p>
            <w:r>
              <w:rPr>
                <w:sz w:val="17"/>
              </w:rPr>
              <w:t>23,510</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18,628</w:t>
            </w:r>
          </w:p>
        </w:tc>
        <w:tc>
          <w:tcPr>
            <w:tcW w:type="dxa" w:w="1440"/>
            <w:shd w:fill="FAFAFA" w:val="clear"/>
          </w:tcPr>
          <w:p>
            <w:r>
              <w:rPr>
                <w:b/>
                <w:sz w:val="17"/>
              </w:rPr>
              <w:t>21,144</w:t>
            </w:r>
          </w:p>
        </w:tc>
        <w:tc>
          <w:tcPr>
            <w:tcW w:type="dxa" w:w="1440"/>
            <w:shd w:fill="FAFAFA" w:val="clear"/>
          </w:tcPr>
          <w:p>
            <w:r>
              <w:rPr>
                <w:sz w:val="17"/>
              </w:rPr>
              <w:t>23,660</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18,497</w:t>
            </w:r>
          </w:p>
        </w:tc>
        <w:tc>
          <w:tcPr>
            <w:tcW w:type="dxa" w:w="1440"/>
            <w:shd w:fill="FAFAFA" w:val="clear"/>
          </w:tcPr>
          <w:p>
            <w:r>
              <w:rPr>
                <w:b/>
                <w:sz w:val="17"/>
              </w:rPr>
              <w:t>21,150</w:t>
            </w:r>
          </w:p>
        </w:tc>
        <w:tc>
          <w:tcPr>
            <w:tcW w:type="dxa" w:w="1440"/>
            <w:shd w:fill="FAFAFA" w:val="clear"/>
          </w:tcPr>
          <w:p>
            <w:r>
              <w:rPr>
                <w:sz w:val="17"/>
              </w:rPr>
              <w:t>23,802</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3 231,56 milliards FCFA, ORAC confirme son statut de poids lourd de la BRVM, représentant à elle seule une part significative de la capitalisation totale du marché régional. Le BPA de 1 114 FCFA par action signifie que chaque titre génère un bénéfice net de plus de mille francs, ce qui, rapporté au cours actuel de 21 450 FCFA, donne un PER de 19,3x — un niveau modéré en absolu, mais nettement supérieur à la moyenne du marché BRVM (8-12x), traduisant une prime de qualité consentie par les investisseurs pour ce leader télécom. Le P/B de 4,57x indique que le marché valorise ORAC à plus de quatre fois sa valeur comptable, une prime exigeante qui se justifie par la forte rentabilité des fonds propres (ROE de 23,7%) et la solidité des cash-flows. Enfin, l'EV/EBITDA de 7,7x, situé dans la fourchette raisonnable de 5-10x, suggère que la valeur totale de l'entreprise (incluant sa dette) reste cohérente avec sa capacité opérationnelle à générer des liquidités, offrant un contrepoids rassurant à la prime comptable.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ORAC a enregistré une progression spectaculaire de +41,12%, avec une dernière séance particulièrement dynamique (+5,15%), portant le cours à 21 450 FCFA. Le titre a évolué dans un range de 7 600 FCFA, entre un plus bas de 14 900 FCFA et un plus haut de 22 500 FCFA, témoignant d'une tendance nettement haussière soutenue par un volume moyen quotidien de 3 292 titres. Les statistiques descriptives révèlent une moyenne de 17 588 FCFA supérieure à la médiane de 16 698 FCFA, confirmant une asymétrie positive (skewness de 0,922) avec davantage de journées de cotation sous la moyenne — le mode à 16 000 FCFA indique que le cours a longtemps stagné avant son envolée récente. L'écart-type de 2 403 FCFA (CV de 13,7%) traduit une dispersion modérée, tandis que le kurtosis de -0,717 (mésokurtique) suggère une distribution proche de la normale, sans risque excessif de pics extrêmes. La volatilité annualisée de 30,6% positionne ORAC dans la catégorie des titres à volatilité élevée (&gt;30%), ce qui est cohérent avec un marché frontière et une action ayant connu une récente accélération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(21 614,25 FCFA) et la MM50 (19 253,5 FCFA) se situent toutes deux sous le cours actuel (21 450 FCFA), avec une MM20 supérieure à la MM50 — configuration haussière classique. Le cours évoluant au-dessus de ses deux moyennes, la décision technique est à l'**Achat**, confirmant la dynamique positive de court et moyen terme.</w:t>
      </w:r>
    </w:p>
    <w:p>
      <w:pPr>
        <w:spacing w:after="120" w:line="276" w:lineRule="auto"/>
      </w:pPr>
      <w:r>
        <w:t>**Bandes de Bollinger** : Le cours (21 450 FCFA) se situe entre la borne inférieure (20 269,53 FCFA) et la borne supérieure (22 958,97 FCFA), plus proche de la borne haute. Cette position médiane-haute indique une volatilité normale sans excès, et la décision **Neutre** reflète l'absence de signal extrême — le titre n'est ni suracheté ni survendu selon ce critère.</w:t>
      </w:r>
    </w:p>
    <w:p>
      <w:pPr>
        <w:spacing w:after="120" w:line="276" w:lineRule="auto"/>
      </w:pPr>
      <w:r>
        <w:t>**MACD** : La valeur du MACD (508,86) est inférieure à son signal (809,31), générant une décision de **Vente**. Cette divergence négative indique un essoufflement du momentum haussier, bien que le MACD reste en territoire positif — un signal de prudence à court terme plutôt qu'une inversion de tendance.</w:t>
      </w:r>
    </w:p>
    <w:p>
      <w:pPr>
        <w:spacing w:after="120" w:line="276" w:lineRule="auto"/>
      </w:pPr>
      <w:r>
        <w:t>**RSI** : À 53,85, le RSI se situe dans la zone neutre (30-70), sans surachat ni survente. La décision **Neutre** suggère que le titre dispose encore d'un potentiel de hausse sans être dans une zone d'excès, offrant un point d'entrée équilibré.</w:t>
      </w:r>
    </w:p>
    <w:p>
      <w:pPr>
        <w:spacing w:after="120" w:line="276" w:lineRule="auto"/>
      </w:pPr>
      <w:r>
        <w:t>**Stochastique** : Le %K (50,0) est supérieur au %D (16,67), avec un croisement récent à la hausse — signal potentiellement haussier. Cependant, la décision **Neutre** indique que ce croisement n'est pas encore confirmé par une dynamique forte, nécessitant une surveillance.</w:t>
      </w:r>
    </w:p>
    <w:p>
      <w:pPr>
        <w:spacing w:after="120" w:line="276" w:lineRule="auto"/>
      </w:pPr>
      <w:r>
        <w:t>**Conclusion technique** : Les indicateurs présentent un tableau mitigé — les moyennes mobiles confirment la tendance haussière, le RSI et les Bollinger sont neutres, mais le MACD signale un essoufflement. Le stochastique offre un espoir de rebond, mais la divergence MACD-Signal tempère l'optimisme. Globalement, le titre reste dans une dynamique positive, mais une consolidation ou un repli technique ne peut être exclu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ORAC a réalisé un chiffre d'affaires de 1 197,1 milliards FCFA, en croissance de +10,4% sur un an, porté par la dynamique des trois filiales (Côte d'Ivoire, Burkina Faso, Libéria). Le résultat net consolidé s'établit à 167,8 milliards FCFA (+6,1%), tandis que le résultat net part du groupe atteint 129,1 milliards FCFA (+14,5%). La rentabilité des fonds propres (ROE) ressort à 23,7%, un niveau excellent (&gt;15%), et le ROA à 6,57%, reflétant une utilisation efficace des actifs. La marge nette de 14,0% et la marge opérationnelle de 24,0% témoignent d'une solide maîtrise des coûts, malgré une pression fiscale accrue. Sur le plan bilanciel, ORAC affiche un BFR négatif de -198,0 milliards FCFA (favorable), un délai fournisseurs élevé de 210,87 jours (bon pour la trésorerie) et un délai clients de 52,26 jours (risque modéré). L'autonomie financière de 27,7% est légèrement inférieure au seuil de 30%, mais la solvabilité générale (138,3%) et la couverture des intérêts (1 018%) rassurent sur la solidité financière.</w:t>
      </w:r>
    </w:p>
    <w:p>
      <w:pPr>
        <w:spacing w:after="120" w:line="276" w:lineRule="auto"/>
      </w:pPr>
      <w:r>
        <w:t>**Estimations basées sur les rapports trimestriels** : Le rapport T1 2026 (publié le 30 mars 2026) révèle une accélération spectaculaire avec un CA de 325,6 milliards FCFA (+14,8%) et un résultat net de 48,3 milliards FCFA (+25,2%), porté par une marge nette de 14,8% et un EBITDAaL de 114,2 milliards FCFA (+15,7%). Sur cette base, on estime que l'exercice 2026 devrait enregistrer une croissance du CA supérieure à 12%, avec un résultat net part du groupe potentiellement proche de 150-155 milliards FCFA, confirmant l'amélioration de la rentabilité. Le dividende proposé de 800 FCFA brut par action (rendement de 3,7% au cours actuel) reste attractif, bien qu'en baisse par rapport aux 1 278 FCFA implicites de 2024, reflétant un recentrage vers l'autofinancement des investissements (184,2 milliards FCFA en 2025).</w:t>
      </w:r>
    </w:p>
    <w:p>
      <w:pPr>
        <w:spacing w:after="120" w:line="276" w:lineRule="auto"/>
      </w:pPr>
      <w:r>
        <w:t>**Recommandation fondamentale** : ORAC présente des fondamentaux solides avec une croissance à deux chiffres, une rentabilité élevée et une structure financière maîtrisée. Les risques incluent la pression réglementaire et fiscale, la concurrence accrue et l'exposition au Burkina Faso. La dynamique du T1 2026 est très encourageante et soutient une perspective haussière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d'ORAC (PER de 19,3x, P/B de 4,57x, EV/EBITDA de 7,7x) indique une prime de qualité justifiée par la rentabilité exceptionnelle (ROE de 23,7%) et la solidité des cash-flows, mais laisse peu de marge d'erreur. Le comportement du cours sur 100 jours (+41,12%) est nettement haussier, avec une volatilité élevée (30,6%) et une asymétrie positive (skewness de 0,922) — les statistiques suggèrent une tendance de fond favorable, bien que le kurtosis proche de la normale n'écarte pas le risque de corrections. Les signaux techniques sont mitigés : les moyennes mobiles confirment la tendance haussière, mais le MACD génère une divergence baissière, tandis que le RSI et les Bollinger sont neutres — une consolidation à court terme est possible avant une reprise. Les fondamentaux sont excellents, portés par le T1 2026 (+14,8% de CA, +25,2% de résultat net) qui valide la stratégie d'investissement et la diversification géographique. Les prédictions IA (21 071 FCFA à J+1, 21 121 FCFA à J+10) suggèrent une légère baisse à court terme (-1,8% par rapport au cours actuel), ce qui contredit partiellement les signaux haussiers mais reste cohérent avec un essoufflement technique temporaire. **Recommandation finale : ACHAT** — la convergence entre fondamentaux solides, tendance de fond haussière et valorisation raisonnable (malgré la prime) soutient une position acheteuse, mais la divergence MACD et les prédictions baissières à court terme incitent à la prudence sur le timing. **Niveau de confiance : Moyen** (les fondamentaux sont solides mais la technique est incertaine à court terme). **Niveau de risque : Moyen** (volatilité élevée, exposition géographique, mais leader incontesté). **Horizon d'investissement optimal : Moyen terme (3-12 mois)** — le temps de laisser les investissements porter leurs fruits et de bénéficier de la croissance attendue en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200.26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5,284 titres</w:t>
            </w:r>
          </w:p>
        </w:tc>
        <w:tc>
          <w:tcPr>
            <w:tcW w:type="dxa" w:w="2268"/>
            <w:shd w:fill="FFF2CC" w:val="clear"/>
          </w:tcPr>
          <w:p>
            <w:r>
              <w:rPr>
                <w:b/>
                <w:color w:val="503200"/>
                <w:sz w:val="16"/>
              </w:rPr>
              <w:t xml:space="preserve">Cours actuel : </w:t>
            </w:r>
            <w:r>
              <w:rPr>
                <w:color w:val="000000"/>
                <w:sz w:val="17"/>
              </w:rPr>
              <w:t>2,885 FCFA</w:t>
            </w:r>
          </w:p>
          <w:p>
            <w:r>
              <w:rPr>
                <w:b/>
                <w:color w:val="503200"/>
                <w:sz w:val="16"/>
              </w:rPr>
              <w:t xml:space="preserve">Var. 100 jours : </w:t>
            </w:r>
            <w:r>
              <w:rPr>
                <w:b/>
                <w:color w:val="B40000"/>
                <w:sz w:val="17"/>
              </w:rPr>
              <w:t>-11.23%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8.85% (Moyenne) — μ=2,896 FCFA, σ=256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β=0.3244 (Défensif) — Cov=0.000014, Var(idx)=0.000045, ρ=0.078,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2,808</w:t>
            </w:r>
          </w:p>
        </w:tc>
        <w:tc>
          <w:tcPr>
            <w:tcW w:type="dxa" w:w="1440"/>
            <w:shd w:fill="FAFAFA" w:val="clear"/>
          </w:tcPr>
          <w:p>
            <w:r>
              <w:rPr>
                <w:b/>
                <w:sz w:val="17"/>
              </w:rPr>
              <w:t>2,915</w:t>
            </w:r>
          </w:p>
        </w:tc>
        <w:tc>
          <w:tcPr>
            <w:tcW w:type="dxa" w:w="1440"/>
            <w:shd w:fill="FAFAFA" w:val="clear"/>
          </w:tcPr>
          <w:p>
            <w:r>
              <w:rPr>
                <w:sz w:val="17"/>
              </w:rPr>
              <w:t>3,022</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2,773</w:t>
            </w:r>
          </w:p>
        </w:tc>
        <w:tc>
          <w:tcPr>
            <w:tcW w:type="dxa" w:w="1440"/>
            <w:shd w:fill="FAFAFA" w:val="clear"/>
          </w:tcPr>
          <w:p>
            <w:r>
              <w:rPr>
                <w:b/>
                <w:sz w:val="17"/>
              </w:rPr>
              <w:t>2,925</w:t>
            </w:r>
          </w:p>
        </w:tc>
        <w:tc>
          <w:tcPr>
            <w:tcW w:type="dxa" w:w="1440"/>
            <w:shd w:fill="FAFAFA" w:val="clear"/>
          </w:tcPr>
          <w:p>
            <w:r>
              <w:rPr>
                <w:sz w:val="17"/>
              </w:rPr>
              <w:t>3,076</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2,749</w:t>
            </w:r>
          </w:p>
        </w:tc>
        <w:tc>
          <w:tcPr>
            <w:tcW w:type="dxa" w:w="1440"/>
            <w:shd w:fill="FAFAFA" w:val="clear"/>
          </w:tcPr>
          <w:p>
            <w:r>
              <w:rPr>
                <w:b/>
                <w:sz w:val="17"/>
              </w:rPr>
              <w:t>2,935</w:t>
            </w:r>
          </w:p>
        </w:tc>
        <w:tc>
          <w:tcPr>
            <w:tcW w:type="dxa" w:w="1440"/>
            <w:shd w:fill="FAFAFA" w:val="clear"/>
          </w:tcPr>
          <w:p>
            <w:r>
              <w:rPr>
                <w:sz w:val="17"/>
              </w:rPr>
              <w:t>3,122</w:t>
            </w:r>
          </w:p>
        </w:tc>
        <w:tc>
          <w:tcPr>
            <w:tcW w:type="dxa" w:w="1440"/>
            <w:shd w:fill="FAFAFA" w:val="clear"/>
          </w:tcPr>
          <w:p>
            <w:r>
              <w:rPr>
                <w:b/>
                <w:color w:val="008000"/>
                <w:sz w:val="17"/>
              </w:rPr>
              <w:t>+1.7%</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2,728</w:t>
            </w:r>
          </w:p>
        </w:tc>
        <w:tc>
          <w:tcPr>
            <w:tcW w:type="dxa" w:w="1440"/>
            <w:shd w:fill="C6EFCE" w:val="clear"/>
          </w:tcPr>
          <w:p>
            <w:r>
              <w:rPr>
                <w:b/>
                <w:sz w:val="17"/>
              </w:rPr>
              <w:t>2,943</w:t>
            </w:r>
          </w:p>
        </w:tc>
        <w:tc>
          <w:tcPr>
            <w:tcW w:type="dxa" w:w="1440"/>
            <w:shd w:fill="C6EFCE" w:val="clear"/>
          </w:tcPr>
          <w:p>
            <w:r>
              <w:rPr>
                <w:sz w:val="17"/>
              </w:rPr>
              <w:t>3,159</w:t>
            </w:r>
          </w:p>
        </w:tc>
        <w:tc>
          <w:tcPr>
            <w:tcW w:type="dxa" w:w="1440"/>
            <w:shd w:fill="C6EFCE"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2,708</w:t>
            </w:r>
          </w:p>
        </w:tc>
        <w:tc>
          <w:tcPr>
            <w:tcW w:type="dxa" w:w="1440"/>
            <w:shd w:fill="C6EFCE" w:val="clear"/>
          </w:tcPr>
          <w:p>
            <w:r>
              <w:rPr>
                <w:b/>
                <w:sz w:val="17"/>
              </w:rPr>
              <w:t>2,950</w:t>
            </w:r>
          </w:p>
        </w:tc>
        <w:tc>
          <w:tcPr>
            <w:tcW w:type="dxa" w:w="1440"/>
            <w:shd w:fill="C6EFCE" w:val="clear"/>
          </w:tcPr>
          <w:p>
            <w:r>
              <w:rPr>
                <w:sz w:val="17"/>
              </w:rPr>
              <w:t>3,192</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2,690</w:t>
            </w:r>
          </w:p>
        </w:tc>
        <w:tc>
          <w:tcPr>
            <w:tcW w:type="dxa" w:w="1440"/>
            <w:shd w:fill="C6EFCE" w:val="clear"/>
          </w:tcPr>
          <w:p>
            <w:r>
              <w:rPr>
                <w:b/>
                <w:sz w:val="17"/>
              </w:rPr>
              <w:t>2,956</w:t>
            </w:r>
          </w:p>
        </w:tc>
        <w:tc>
          <w:tcPr>
            <w:tcW w:type="dxa" w:w="1440"/>
            <w:shd w:fill="C6EFCE" w:val="clear"/>
          </w:tcPr>
          <w:p>
            <w:r>
              <w:rPr>
                <w:sz w:val="17"/>
              </w:rPr>
              <w:t>3,221</w:t>
            </w:r>
          </w:p>
        </w:tc>
        <w:tc>
          <w:tcPr>
            <w:tcW w:type="dxa" w:w="1440"/>
            <w:shd w:fill="C6EFCE" w:val="clear"/>
          </w:tcPr>
          <w:p>
            <w:r>
              <w:rPr>
                <w:b/>
                <w:color w:val="008000"/>
                <w:sz w:val="17"/>
              </w:rPr>
              <w:t>+2.5%</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2,674</w:t>
            </w:r>
          </w:p>
        </w:tc>
        <w:tc>
          <w:tcPr>
            <w:tcW w:type="dxa" w:w="1440"/>
            <w:shd w:fill="C6EFCE" w:val="clear"/>
          </w:tcPr>
          <w:p>
            <w:r>
              <w:rPr>
                <w:b/>
                <w:sz w:val="17"/>
              </w:rPr>
              <w:t>2,961</w:t>
            </w:r>
          </w:p>
        </w:tc>
        <w:tc>
          <w:tcPr>
            <w:tcW w:type="dxa" w:w="1440"/>
            <w:shd w:fill="C6EFCE" w:val="clear"/>
          </w:tcPr>
          <w:p>
            <w:r>
              <w:rPr>
                <w:sz w:val="17"/>
              </w:rPr>
              <w:t>3,248</w:t>
            </w:r>
          </w:p>
        </w:tc>
        <w:tc>
          <w:tcPr>
            <w:tcW w:type="dxa" w:w="1440"/>
            <w:shd w:fill="C6EFCE" w:val="clear"/>
          </w:tcPr>
          <w:p>
            <w:r>
              <w:rPr>
                <w:b/>
                <w:color w:val="008000"/>
                <w:sz w:val="17"/>
              </w:rPr>
              <w:t>+2.6%</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2,659</w:t>
            </w:r>
          </w:p>
        </w:tc>
        <w:tc>
          <w:tcPr>
            <w:tcW w:type="dxa" w:w="1440"/>
            <w:shd w:fill="C6EFCE" w:val="clear"/>
          </w:tcPr>
          <w:p>
            <w:r>
              <w:rPr>
                <w:b/>
                <w:sz w:val="17"/>
              </w:rPr>
              <w:t>2,966</w:t>
            </w:r>
          </w:p>
        </w:tc>
        <w:tc>
          <w:tcPr>
            <w:tcW w:type="dxa" w:w="1440"/>
            <w:shd w:fill="C6EFCE" w:val="clear"/>
          </w:tcPr>
          <w:p>
            <w:r>
              <w:rPr>
                <w:sz w:val="17"/>
              </w:rPr>
              <w:t>3,274</w:t>
            </w:r>
          </w:p>
        </w:tc>
        <w:tc>
          <w:tcPr>
            <w:tcW w:type="dxa" w:w="1440"/>
            <w:shd w:fill="C6EFCE" w:val="clear"/>
          </w:tcPr>
          <w:p>
            <w:r>
              <w:rPr>
                <w:b/>
                <w:color w:val="008000"/>
                <w:sz w:val="17"/>
              </w:rPr>
              <w:t>+2.8%</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2,644</w:t>
            </w:r>
          </w:p>
        </w:tc>
        <w:tc>
          <w:tcPr>
            <w:tcW w:type="dxa" w:w="1440"/>
            <w:shd w:fill="C6EFCE" w:val="clear"/>
          </w:tcPr>
          <w:p>
            <w:r>
              <w:rPr>
                <w:b/>
                <w:sz w:val="17"/>
              </w:rPr>
              <w:t>2,971</w:t>
            </w:r>
          </w:p>
        </w:tc>
        <w:tc>
          <w:tcPr>
            <w:tcW w:type="dxa" w:w="1440"/>
            <w:shd w:fill="C6EFCE" w:val="clear"/>
          </w:tcPr>
          <w:p>
            <w:r>
              <w:rPr>
                <w:sz w:val="17"/>
              </w:rPr>
              <w:t>3,298</w:t>
            </w:r>
          </w:p>
        </w:tc>
        <w:tc>
          <w:tcPr>
            <w:tcW w:type="dxa" w:w="1440"/>
            <w:shd w:fill="C6EFCE" w:val="clear"/>
          </w:tcPr>
          <w:p>
            <w:r>
              <w:rPr>
                <w:b/>
                <w:color w:val="008000"/>
                <w:sz w:val="17"/>
              </w:rPr>
              <w:t>+3.0%</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2,631</w:t>
            </w:r>
          </w:p>
        </w:tc>
        <w:tc>
          <w:tcPr>
            <w:tcW w:type="dxa" w:w="1440"/>
            <w:shd w:fill="C6EFCE" w:val="clear"/>
          </w:tcPr>
          <w:p>
            <w:r>
              <w:rPr>
                <w:b/>
                <w:sz w:val="17"/>
              </w:rPr>
              <w:t>2,976</w:t>
            </w:r>
          </w:p>
        </w:tc>
        <w:tc>
          <w:tcPr>
            <w:tcW w:type="dxa" w:w="1440"/>
            <w:shd w:fill="C6EFCE" w:val="clear"/>
          </w:tcPr>
          <w:p>
            <w:r>
              <w:rPr>
                <w:sz w:val="17"/>
              </w:rPr>
              <w:t>3,321</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 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200,26 milliards FCFA, ORGT se positionne comme une valeur de premier plan de la cote BRVM, représentant un pilier du compartiment bancaire régional. Le BPA de 312 FCFA/action signifie que chaque titre génère un bénéfice net de 312 FCFA, ce qui, rapporté au cours actuel de 2 885 FCFA, donne un PER de 9,3x — un niveau modéré, légèrement inférieur à la moyenne BRVM (~8-12x), suggérant une valorisation raisonnable voire une légère sous-évaluation au regard des bénéfices. Le ratio P/B de 1,77x indique que le marché valorise la banque à près de 1,8 fois sa valeur comptable, ce qui reste dans une fourchette raisonnable (1-2x) sans excès spéculatif. En revanche, l'EV/EBITDA de 19,5x apparaît nettement exigeant (&gt;15x), signalant que la valeur d'entreprise intègre déjà une prime significative par rapport à la capacité opérationnelle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variation totale de **-11,23%**, mais la dernière séance (J-1) enregistre un rebond notable de **+3,04%**, portant le cours actuel à 2 885 FCFA. Le range de trading s'étend de 2 435 FCFA (plus bas) à 3 475 FCFA (plus haut), soit une amplitude de 1 040 FCFA (~43%), traduisant une tendance générale baissière entrecoupée de rebonds techniques. La moyenne (2 896 FCFA) est légèrement supérieure à la médiane (2 780 FCFA), ce qui indique une distribution faiblement asymétrique à droite, confirmée par un skewness de 0,342 (distribution quasi symétrique). L'écart-type de 258 FCFA avec un coefficient de variation de 8,9% révèle une dispersion modérée autour de la moyenne, tandis que le kurtosis de -1,196 (platykurtique) signale une distribution aplatie, c'est-à-dire un risque de pics extrêmes plus faible qu'une loi normale — un élément rassurant pour la gestion du risque. Enfin, la volatilité annualisée de 45,2% classe ORGT parmi les titres à volatilité élevée (&gt;30%), ce qui implique une prime de risque significative et un horizon d'investissement à adapter en conséquence.</w:t>
      </w:r>
    </w:p>
    <w:p>
      <w:pPr>
        <w:spacing w:after="120" w:line="276" w:lineRule="auto"/>
      </w:pPr>
      <w:r>
        <w:t>---</w:t>
      </w:r>
    </w:p>
    <w:p>
      <w:pPr>
        <w:spacing w:after="120" w:line="276" w:lineRule="auto"/>
      </w:pPr>
      <w:r>
        <w:t>## PARTIE 2 : ANALYSE TECHNIQUE DÉTAILLÉE</w:t>
      </w:r>
    </w:p>
    <w:p>
      <w:pPr>
        <w:spacing w:after="120" w:line="276" w:lineRule="auto"/>
      </w:pPr>
      <w:r>
        <w:t>**Moyennes Mobiles** : La MM20 (3 193,5 FCFA) et la MM50 (3 060,0 FCFA) se situent toutes deux au-dessus du cours actuel (2 885 FCFA), ce qui place le titre en position baissière à court et moyen terme. Toutefois, la décision technique affichée est "Achat", suggérant que le rebond récent (+3,04%) pourrait amorcer un retournement vers ces moyennes, actuellement en zone de résistance.</w:t>
      </w:r>
    </w:p>
    <w:p>
      <w:pPr>
        <w:spacing w:after="120" w:line="276" w:lineRule="auto"/>
      </w:pPr>
      <w:r>
        <w:t>**Bandes de Bollinger** : La borne supérieure est à 3 497,2 FCFA et la borne inférieure à 2 889,8 FCFA, avec un cours actuel de 2 885 FCFA qui se situe légèrement sous la borne inférieure — un signal classique de survente et de potentiel rebond technique. La décision "Achat" est cohérente avec cette configuration, le titre étant sorti par le bas des bandes, ce qui précède souvent une correction haussière.</w:t>
      </w:r>
    </w:p>
    <w:p>
      <w:pPr>
        <w:spacing w:after="120" w:line="276" w:lineRule="auto"/>
      </w:pPr>
      <w:r>
        <w:t>**MACD** : La valeur du MACD (-30,58) est inférieure à son signal (29,622), générant une décision "Vente". Cette divergence négative indique que le momentum baissier reste dominant malgré le rebond de J-1, et qu'aucun croisement haussier n'est encore confirmé — un signal de prudence à court terme.</w:t>
      </w:r>
    </w:p>
    <w:p>
      <w:pPr>
        <w:spacing w:after="120" w:line="276" w:lineRule="auto"/>
      </w:pPr>
      <w:r>
        <w:t>**RSI** : À 26,804, le RSI se situe en zone de survente (&lt;30), ce qui déclenche une décision "Achat". Ce niveau extrême suggère que la pression vendeuse est excessive et qu'un rebond technique est statistiquement probable, renforçant le signal des Bandes de Bollinger.</w:t>
      </w:r>
    </w:p>
    <w:p>
      <w:pPr>
        <w:spacing w:after="120" w:line="276" w:lineRule="auto"/>
      </w:pPr>
      <w:r>
        <w:t>**Stochastique** : Le %K (14,167) est supérieur au %D (4,722), avec les deux indicateurs en zone de survente profonde (&lt;20). La décision "Achat" est justifiée par ce croisement haussier naissant, bien que la faiblesse des valeurs traduise un momentum encore fragile.</w:t>
      </w:r>
    </w:p>
    <w:p>
      <w:pPr>
        <w:spacing w:after="120" w:line="276" w:lineRule="auto"/>
      </w:pPr>
      <w:r>
        <w:t>**Conclusion technique** : Les indicateurs sont majoritairement haussiers (MM, Bollinger, RSI, Stochastique) à l'exception du MACD, qui reste baissier. Cette divergence signale un titre en phase de survente avancée, avec un potentiel de rebond technique à court terme, mais une confirmation par le MACD serait nécessaire pour valider un retournement durable. La prudence reste de mise tant que le cours n'aura pas reconquis la MM20 (3 193,5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(PNB) de 186,609 milliards FCFA, en recul de -4,52% par rapport à 2024 (195,436 milliards FCFA), reflétant une contraction de l'activité commerciale. Le résultat net consolidé s'établit à 21,643 milliards FCFA, marquant un redressement spectaculaire après la perte de -44,363 milliards FCFA en 2024. Le ROE atteint 19,13% (&gt;15% = excellent), tandis que le ROA reste faible à 0,54%, typique du secteur bancaire où les actifs sont massifs (4 014 milliards FCFA). Le coefficient d'exploitation de 42,85% (&lt;60%) confirme une excellente efficacité opérationnelle, et le coût du risque (provisions/charges financières) de 3,74% reste contenu, bien qu'à surveiller. Le ratio dépôts/crédits s'élève à 3 088,7/1 523,8 = 2,03x, indiquant une surliquidité et une transformation prudente, mais aussi une sous-utilisation des dépôts pour générer des revenus.</w:t>
      </w:r>
    </w:p>
    <w:p>
      <w:pPr>
        <w:spacing w:after="120" w:line="276" w:lineRule="auto"/>
      </w:pPr>
      <w:r>
        <w:t>**Estimations basées sur les rapports trimestriels** : Sur la base du rapport T1 2026 (publié en 2026), le PNB recule de -2% à 50,124 milliards FCFA, mais le résultat net progresse de +37% à 6,555 milliards FCFA, grâce à une baisse de -10% du coût du risque et une maîtrise des frais généraux (-44%). Les dépôts clientèle augmentent de +14% à 3 343 milliards FCFA, tandis que les crédits nets reculent de -12% à 1 433,8 milliards FCFA. On estime donc que l'exercice 2026 devrait confirmer la trajectoire de redressement, avec un résultat net annualisé potentiellement supérieur à 25 milliards FCFA si la dynamique se maintient. Le rapport T3 2025 (30/09/2025) confirmait déjà un bénéfice net de 19,6 milliards FCFA (+248%), et le rapport S1 2025 (30/06/2025) un bénéfice de 18,3 milliards FCFA (+232%), validant la solidité du redressement.</w:t>
      </w:r>
    </w:p>
    <w:p>
      <w:pPr>
        <w:spacing w:after="120" w:line="276" w:lineRule="auto"/>
      </w:pPr>
      <w:r>
        <w:t>**Recommandation fondamentale** : La solidité financière est avérée (capitaux propres de 113,165 milliards FCFA, +17%), mais la baisse du PNB et la dépendance à la réduction du coût du risque constituent des risques majeurs. La stratégie d'assainissement porte ses fruits, mais la relance commerciale reste le défi clé. Recommandation :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valorisation (Partie 0) est modérée : PER de 9,3x et P/B de 1,77x suggèrent une sous-évaluation relative, mais l'EV/EBITDA de 19,5x tempère l'enthousiasme. Le comportement du cours (Partie 1) est préoccupant à court terme (-11,23% sur 100 jours), mais le rebond de +3,04% en J-1 et la volatilité élevée (45,2%) offrent des opportunités tactiques ; la distribution platykurtique (kurtosis -1,196) réduit le risque de pics extrêmes. Les signaux techniques (Partie 2) sont majoritairement haussiers (RSI en survente, Bandes de Bollinger, Stochastique), mais le MACD baissier appelle à la prudence — une convergence haussière n'est pas encore pleinement établie. Les fondamentaux (Partie 3) sont solides : redressement spectaculaire du résultat net (21,6 milliards FCFA en 2025), ROE de 19,13%, coefficient d'exploitation de 42,85%, et confirmation par le T1 2026 (+37% de résultat net). Les prédictions IA (J+1 à J+10) anticipent une trajectoire haussière modérée (2 915 → 2 950 FCFA, soit +2,25%), ce qui confirme les signaux techniques de rebond mais contredit la prudence du MACD. **Recommandation finale : CONSERVER**, avec un biais positif pour les investisseurs déjà positionnés. La convergence entre valorisation raisonnable, fondamentaux en amélioration et prédictions haussières soutient cette décision, mais l'absence de dividende (0 FCFA proposé à l'AG de juillet 2026) et la baisse du PNB limitent le potentiel d'achat agressif. **Niveau de confiance : Moyen** (divergence MACD vs autres indicateurs). **Niveau de risque : Élevé** (volatilité 45,2%, secteur bancaire exposé aux risques macroéconomiques régionaux). **Horizon optimal : Moyen terme (3-12 mois)**, le temps que la relance commerciale se matérialise et que le MACD confirme le retournement.</w:t>
      </w:r>
    </w:p>
    <w:p>
      <w:pPr>
        <w:spacing w:after="120" w:line="276" w:lineRule="auto"/>
      </w:pPr>
      <w:r>
        <w:t>---</w:t>
      </w:r>
    </w:p>
    <w:p>
      <w:pPr>
        <w:spacing w:after="120" w:line="276" w:lineRule="auto"/>
      </w:pPr>
      <w:r>
        <w:t>*Rapport généré sur la base des données officielles BRVM, des états financiers 2025, des rapports trimestriels T1 2026, T3 2025 et S1 2025, et des prédictions IA à 10 jours. Les analyses passées ne préjugent pas des performances futures.*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124.52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3,988 titres</w:t>
            </w:r>
          </w:p>
        </w:tc>
        <w:tc>
          <w:tcPr>
            <w:tcW w:type="dxa" w:w="2268"/>
            <w:shd w:fill="FFF2CC" w:val="clear"/>
          </w:tcPr>
          <w:p>
            <w:r>
              <w:rPr>
                <w:b/>
                <w:color w:val="503200"/>
                <w:sz w:val="16"/>
              </w:rPr>
              <w:t xml:space="preserve">Cours actuel : </w:t>
            </w:r>
            <w:r>
              <w:rPr>
                <w:color w:val="000000"/>
                <w:sz w:val="17"/>
              </w:rPr>
              <w:t>8,055 FCFA</w:t>
            </w:r>
          </w:p>
          <w:p>
            <w:r>
              <w:rPr>
                <w:b/>
                <w:color w:val="503200"/>
                <w:sz w:val="16"/>
              </w:rPr>
              <w:t xml:space="preserve">Var. 100 jours : </w:t>
            </w:r>
            <w:r>
              <w:rPr>
                <w:b/>
                <w:color w:val="007800"/>
                <w:sz w:val="17"/>
              </w:rPr>
              <w:t>+10.19%</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6.36% (Moyenne) — μ=8,575 FCFA, σ=545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β=-0.1529 (Contre-cyclique) — Cov=-0.000007, Var(idx)=0.000045, ρ=-0.046,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3,988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7,855</w:t>
            </w:r>
          </w:p>
        </w:tc>
        <w:tc>
          <w:tcPr>
            <w:tcW w:type="dxa" w:w="1440"/>
            <w:shd w:fill="FAFAFA" w:val="clear"/>
          </w:tcPr>
          <w:p>
            <w:r>
              <w:rPr>
                <w:b/>
                <w:sz w:val="17"/>
              </w:rPr>
              <w:t>8,086</w:t>
            </w:r>
          </w:p>
        </w:tc>
        <w:tc>
          <w:tcPr>
            <w:tcW w:type="dxa" w:w="1440"/>
            <w:shd w:fill="FAFAFA" w:val="clear"/>
          </w:tcPr>
          <w:p>
            <w:r>
              <w:rPr>
                <w:sz w:val="17"/>
              </w:rPr>
              <w:t>8,317</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7,745</w:t>
            </w:r>
          </w:p>
        </w:tc>
        <w:tc>
          <w:tcPr>
            <w:tcW w:type="dxa" w:w="1440"/>
            <w:shd w:fill="FAFAFA" w:val="clear"/>
          </w:tcPr>
          <w:p>
            <w:r>
              <w:rPr>
                <w:b/>
                <w:sz w:val="17"/>
              </w:rPr>
              <w:t>8,070</w:t>
            </w:r>
          </w:p>
        </w:tc>
        <w:tc>
          <w:tcPr>
            <w:tcW w:type="dxa" w:w="1440"/>
            <w:shd w:fill="FAFAFA" w:val="clear"/>
          </w:tcPr>
          <w:p>
            <w:r>
              <w:rPr>
                <w:sz w:val="17"/>
              </w:rPr>
              <w:t>8,396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7,665</w:t>
            </w:r>
          </w:p>
        </w:tc>
        <w:tc>
          <w:tcPr>
            <w:tcW w:type="dxa" w:w="1440"/>
            <w:shd w:fill="FAFAFA" w:val="clear"/>
          </w:tcPr>
          <w:p>
            <w:r>
              <w:rPr>
                <w:b/>
                <w:sz w:val="17"/>
              </w:rPr>
              <w:t>8,064</w:t>
            </w:r>
          </w:p>
        </w:tc>
        <w:tc>
          <w:tcPr>
            <w:tcW w:type="dxa" w:w="1440"/>
            <w:shd w:fill="FAFAFA" w:val="clear"/>
          </w:tcPr>
          <w:p>
            <w:r>
              <w:rPr>
                <w:sz w:val="17"/>
              </w:rPr>
              <w:t>8,462</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2026-09-30</w:t>
            </w:r>
          </w:p>
        </w:tc>
        <w:tc>
          <w:tcPr>
            <w:tcW w:type="dxa" w:w="1440"/>
            <w:shd w:fill="FAFAFA" w:val="clear"/>
          </w:tcPr>
          <w:p>
            <w:r>
              <w:rPr>
                <w:sz w:val="17"/>
              </w:rPr>
              <w:t>7,597</w:t>
            </w:r>
          </w:p>
        </w:tc>
        <w:tc>
          <w:tcPr>
            <w:tcW w:type="dxa" w:w="1440"/>
            <w:shd w:fill="FAFAFA" w:val="clear"/>
          </w:tcPr>
          <w:p>
            <w:r>
              <w:rPr>
                <w:b/>
                <w:sz w:val="17"/>
              </w:rPr>
              <w:t>8,057</w:t>
            </w:r>
          </w:p>
        </w:tc>
        <w:tc>
          <w:tcPr>
            <w:tcW w:type="dxa" w:w="1440"/>
            <w:shd w:fill="FAFAFA" w:val="clear"/>
          </w:tcPr>
          <w:p>
            <w:r>
              <w:rPr>
                <w:sz w:val="17"/>
              </w:rPr>
              <w:t>8,517</w:t>
            </w:r>
          </w:p>
        </w:tc>
        <w:tc>
          <w:tcPr>
            <w:tcW w:type="dxa" w:w="1440"/>
            <w:shd w:fill="FAFAFA" w:val="clear"/>
          </w:tcPr>
          <w:p>
            <w:r>
              <w:rPr>
                <w:b/>
                <w:color w:val="008000"/>
                <w:sz w:val="17"/>
              </w:rPr>
              <w:t>+0.0%</w:t>
            </w:r>
          </w:p>
        </w:tc>
      </w:tr>
      <w:tr>
        <w:tc>
          <w:tcPr>
            <w:tcW w:type="dxa" w:w="1440"/>
            <w:shd w:fill="FAFAFA" w:val="clear"/>
          </w:tcPr>
          <w:p>
            <w:r>
              <w:rPr>
                <w:sz w:val="17"/>
              </w:rPr>
              <w:t>J+5  Moyenne</w:t>
            </w:r>
          </w:p>
        </w:tc>
        <w:tc>
          <w:tcPr>
            <w:tcW w:type="dxa" w:w="1440"/>
            <w:shd w:fill="FAFAFA" w:val="clear"/>
          </w:tcPr>
          <w:p>
            <w:r>
              <w:rPr>
                <w:sz w:val="17"/>
              </w:rPr>
              <w:t>2026-10-01</w:t>
            </w:r>
          </w:p>
        </w:tc>
        <w:tc>
          <w:tcPr>
            <w:tcW w:type="dxa" w:w="1440"/>
            <w:shd w:fill="FAFAFA" w:val="clear"/>
          </w:tcPr>
          <w:p>
            <w:r>
              <w:rPr>
                <w:sz w:val="17"/>
              </w:rPr>
              <w:t>7,536</w:t>
            </w:r>
          </w:p>
        </w:tc>
        <w:tc>
          <w:tcPr>
            <w:tcW w:type="dxa" w:w="1440"/>
            <w:shd w:fill="FAFAFA" w:val="clear"/>
          </w:tcPr>
          <w:p>
            <w:r>
              <w:rPr>
                <w:b/>
                <w:sz w:val="17"/>
              </w:rPr>
              <w:t>8,050</w:t>
            </w:r>
          </w:p>
        </w:tc>
        <w:tc>
          <w:tcPr>
            <w:tcW w:type="dxa" w:w="1440"/>
            <w:shd w:fill="FAFAFA" w:val="clear"/>
          </w:tcPr>
          <w:p>
            <w:r>
              <w:rPr>
                <w:sz w:val="17"/>
              </w:rPr>
              <w:t>8,564</w:t>
            </w:r>
          </w:p>
        </w:tc>
        <w:tc>
          <w:tcPr>
            <w:tcW w:type="dxa" w:w="1440"/>
            <w:shd w:fill="FAFAFA" w:val="clear"/>
          </w:tcPr>
          <w:p>
            <w:r>
              <w:rPr>
                <w:b/>
                <w:color w:val="C00000"/>
                <w:sz w:val="17"/>
              </w:rPr>
              <w:t>-0.1%</w:t>
            </w:r>
          </w:p>
        </w:tc>
      </w:tr>
      <w:tr>
        <w:tc>
          <w:tcPr>
            <w:tcW w:type="dxa" w:w="1440"/>
            <w:shd w:fill="FAFAFA" w:val="clear"/>
          </w:tcPr>
          <w:p>
            <w:r>
              <w:rPr>
                <w:sz w:val="17"/>
              </w:rPr>
              <w:t>J+6  Moyenne</w:t>
            </w:r>
          </w:p>
        </w:tc>
        <w:tc>
          <w:tcPr>
            <w:tcW w:type="dxa" w:w="1440"/>
            <w:shd w:fill="FAFAFA" w:val="clear"/>
          </w:tcPr>
          <w:p>
            <w:r>
              <w:rPr>
                <w:sz w:val="17"/>
              </w:rPr>
              <w:t>2026-10-02</w:t>
            </w:r>
          </w:p>
        </w:tc>
        <w:tc>
          <w:tcPr>
            <w:tcW w:type="dxa" w:w="1440"/>
            <w:shd w:fill="FAFAFA" w:val="clear"/>
          </w:tcPr>
          <w:p>
            <w:r>
              <w:rPr>
                <w:sz w:val="17"/>
              </w:rPr>
              <w:t>7,481</w:t>
            </w:r>
          </w:p>
        </w:tc>
        <w:tc>
          <w:tcPr>
            <w:tcW w:type="dxa" w:w="1440"/>
            <w:shd w:fill="FAFAFA" w:val="clear"/>
          </w:tcPr>
          <w:p>
            <w:r>
              <w:rPr>
                <w:b/>
                <w:sz w:val="17"/>
              </w:rPr>
              <w:t>8,043</w:t>
            </w:r>
          </w:p>
        </w:tc>
        <w:tc>
          <w:tcPr>
            <w:tcW w:type="dxa" w:w="1440"/>
            <w:shd w:fill="FAFAFA" w:val="clear"/>
          </w:tcPr>
          <w:p>
            <w:r>
              <w:rPr>
                <w:sz w:val="17"/>
              </w:rPr>
              <w:t>8,605</w:t>
            </w:r>
          </w:p>
        </w:tc>
        <w:tc>
          <w:tcPr>
            <w:tcW w:type="dxa" w:w="1440"/>
            <w:shd w:fill="FAFAFA" w:val="clear"/>
          </w:tcPr>
          <w:p>
            <w:r>
              <w:rPr>
                <w:b/>
                <w:color w:val="C00000"/>
                <w:sz w:val="17"/>
              </w:rPr>
              <w:t>-0.1%</w:t>
            </w:r>
          </w:p>
        </w:tc>
      </w:tr>
      <w:tr>
        <w:tc>
          <w:tcPr>
            <w:tcW w:type="dxa" w:w="1440"/>
            <w:shd w:fill="FAFAFA" w:val="clear"/>
          </w:tcPr>
          <w:p>
            <w:r>
              <w:rPr>
                <w:sz w:val="17"/>
              </w:rPr>
              <w:t>J+7  Moyenne</w:t>
            </w:r>
          </w:p>
        </w:tc>
        <w:tc>
          <w:tcPr>
            <w:tcW w:type="dxa" w:w="1440"/>
            <w:shd w:fill="FAFAFA" w:val="clear"/>
          </w:tcPr>
          <w:p>
            <w:r>
              <w:rPr>
                <w:sz w:val="17"/>
              </w:rPr>
              <w:t>2026-10-05</w:t>
            </w:r>
          </w:p>
        </w:tc>
        <w:tc>
          <w:tcPr>
            <w:tcW w:type="dxa" w:w="1440"/>
            <w:shd w:fill="FAFAFA" w:val="clear"/>
          </w:tcPr>
          <w:p>
            <w:r>
              <w:rPr>
                <w:sz w:val="17"/>
              </w:rPr>
              <w:t>7,430</w:t>
            </w:r>
          </w:p>
        </w:tc>
        <w:tc>
          <w:tcPr>
            <w:tcW w:type="dxa" w:w="1440"/>
            <w:shd w:fill="FAFAFA" w:val="clear"/>
          </w:tcPr>
          <w:p>
            <w:r>
              <w:rPr>
                <w:b/>
                <w:sz w:val="17"/>
              </w:rPr>
              <w:t>8,037</w:t>
            </w:r>
          </w:p>
        </w:tc>
        <w:tc>
          <w:tcPr>
            <w:tcW w:type="dxa" w:w="1440"/>
            <w:shd w:fill="FAFAFA" w:val="clear"/>
          </w:tcPr>
          <w:p>
            <w:r>
              <w:rPr>
                <w:sz w:val="17"/>
              </w:rPr>
              <w:t>8,643</w:t>
            </w:r>
          </w:p>
        </w:tc>
        <w:tc>
          <w:tcPr>
            <w:tcW w:type="dxa" w:w="1440"/>
            <w:shd w:fill="FAFAFA" w:val="clear"/>
          </w:tcPr>
          <w:p>
            <w:r>
              <w:rPr>
                <w:b/>
                <w:color w:val="C00000"/>
                <w:sz w:val="17"/>
              </w:rPr>
              <w:t>-0.2%</w:t>
            </w:r>
          </w:p>
        </w:tc>
      </w:tr>
      <w:tr>
        <w:tc>
          <w:tcPr>
            <w:tcW w:type="dxa" w:w="1440"/>
            <w:shd w:fill="FAFAFA" w:val="clear"/>
          </w:tcPr>
          <w:p>
            <w:r>
              <w:rPr>
                <w:sz w:val="17"/>
              </w:rPr>
              <w:t>J+8  Moyenne</w:t>
            </w:r>
          </w:p>
        </w:tc>
        <w:tc>
          <w:tcPr>
            <w:tcW w:type="dxa" w:w="1440"/>
            <w:shd w:fill="FAFAFA" w:val="clear"/>
          </w:tcPr>
          <w:p>
            <w:r>
              <w:rPr>
                <w:sz w:val="17"/>
              </w:rPr>
              <w:t>2026-10-06</w:t>
            </w:r>
          </w:p>
        </w:tc>
        <w:tc>
          <w:tcPr>
            <w:tcW w:type="dxa" w:w="1440"/>
            <w:shd w:fill="FAFAFA" w:val="clear"/>
          </w:tcPr>
          <w:p>
            <w:r>
              <w:rPr>
                <w:sz w:val="17"/>
              </w:rPr>
              <w:t>7,382</w:t>
            </w:r>
          </w:p>
        </w:tc>
        <w:tc>
          <w:tcPr>
            <w:tcW w:type="dxa" w:w="1440"/>
            <w:shd w:fill="FAFAFA" w:val="clear"/>
          </w:tcPr>
          <w:p>
            <w:r>
              <w:rPr>
                <w:b/>
                <w:sz w:val="17"/>
              </w:rPr>
              <w:t>8,030</w:t>
            </w:r>
          </w:p>
        </w:tc>
        <w:tc>
          <w:tcPr>
            <w:tcW w:type="dxa" w:w="1440"/>
            <w:shd w:fill="FAFAFA" w:val="clear"/>
          </w:tcPr>
          <w:p>
            <w:r>
              <w:rPr>
                <w:sz w:val="17"/>
              </w:rPr>
              <w:t>8,678</w:t>
            </w:r>
          </w:p>
        </w:tc>
        <w:tc>
          <w:tcPr>
            <w:tcW w:type="dxa" w:w="1440"/>
            <w:shd w:fill="FAFAFA" w:val="clear"/>
          </w:tcPr>
          <w:p>
            <w:r>
              <w:rPr>
                <w:b/>
                <w:color w:val="C00000"/>
                <w:sz w:val="17"/>
              </w:rPr>
              <w:t>-0.3%</w:t>
            </w:r>
          </w:p>
        </w:tc>
      </w:tr>
      <w:tr>
        <w:tc>
          <w:tcPr>
            <w:tcW w:type="dxa" w:w="1440"/>
            <w:shd w:fill="FAFAFA" w:val="clear"/>
          </w:tcPr>
          <w:p>
            <w:r>
              <w:rPr>
                <w:sz w:val="17"/>
              </w:rPr>
              <w:t>J+9  Moyenne</w:t>
            </w:r>
          </w:p>
        </w:tc>
        <w:tc>
          <w:tcPr>
            <w:tcW w:type="dxa" w:w="1440"/>
            <w:shd w:fill="FAFAFA" w:val="clear"/>
          </w:tcPr>
          <w:p>
            <w:r>
              <w:rPr>
                <w:sz w:val="17"/>
              </w:rPr>
              <w:t>2026-10-07</w:t>
            </w:r>
          </w:p>
        </w:tc>
        <w:tc>
          <w:tcPr>
            <w:tcW w:type="dxa" w:w="1440"/>
            <w:shd w:fill="FAFAFA" w:val="clear"/>
          </w:tcPr>
          <w:p>
            <w:r>
              <w:rPr>
                <w:sz w:val="17"/>
              </w:rPr>
              <w:t>7,337</w:t>
            </w:r>
          </w:p>
        </w:tc>
        <w:tc>
          <w:tcPr>
            <w:tcW w:type="dxa" w:w="1440"/>
            <w:shd w:fill="FAFAFA" w:val="clear"/>
          </w:tcPr>
          <w:p>
            <w:r>
              <w:rPr>
                <w:b/>
                <w:sz w:val="17"/>
              </w:rPr>
              <w:t>8,024</w:t>
            </w:r>
          </w:p>
        </w:tc>
        <w:tc>
          <w:tcPr>
            <w:tcW w:type="dxa" w:w="1440"/>
            <w:shd w:fill="FAFAFA" w:val="clear"/>
          </w:tcPr>
          <w:p>
            <w:r>
              <w:rPr>
                <w:sz w:val="17"/>
              </w:rPr>
              <w:t>8,711</w:t>
            </w:r>
          </w:p>
        </w:tc>
        <w:tc>
          <w:tcPr>
            <w:tcW w:type="dxa" w:w="1440"/>
            <w:shd w:fill="FAFAFA" w:val="clear"/>
          </w:tcPr>
          <w:p>
            <w:r>
              <w:rPr>
                <w:b/>
                <w:color w:val="C00000"/>
                <w:sz w:val="17"/>
              </w:rPr>
              <w:t>-0.4%</w:t>
            </w:r>
          </w:p>
        </w:tc>
      </w:tr>
      <w:tr>
        <w:tc>
          <w:tcPr>
            <w:tcW w:type="dxa" w:w="1440"/>
            <w:shd w:fill="FAFAFA" w:val="clear"/>
          </w:tcPr>
          <w:p>
            <w:r>
              <w:rPr>
                <w:sz w:val="17"/>
              </w:rPr>
              <w:t>J+10  Moyenne</w:t>
            </w:r>
          </w:p>
        </w:tc>
        <w:tc>
          <w:tcPr>
            <w:tcW w:type="dxa" w:w="1440"/>
            <w:shd w:fill="FAFAFA" w:val="clear"/>
          </w:tcPr>
          <w:p>
            <w:r>
              <w:rPr>
                <w:sz w:val="17"/>
              </w:rPr>
              <w:t>2026-10-08</w:t>
            </w:r>
          </w:p>
        </w:tc>
        <w:tc>
          <w:tcPr>
            <w:tcW w:type="dxa" w:w="1440"/>
            <w:shd w:fill="FAFAFA" w:val="clear"/>
          </w:tcPr>
          <w:p>
            <w:r>
              <w:rPr>
                <w:sz w:val="17"/>
              </w:rPr>
              <w:t>7,295</w:t>
            </w:r>
          </w:p>
        </w:tc>
        <w:tc>
          <w:tcPr>
            <w:tcW w:type="dxa" w:w="1440"/>
            <w:shd w:fill="FAFAFA" w:val="clear"/>
          </w:tcPr>
          <w:p>
            <w:r>
              <w:rPr>
                <w:b/>
                <w:sz w:val="17"/>
              </w:rPr>
              <w:t>8,019</w:t>
            </w:r>
          </w:p>
        </w:tc>
        <w:tc>
          <w:tcPr>
            <w:tcW w:type="dxa" w:w="1440"/>
            <w:shd w:fill="FAFAFA" w:val="clear"/>
          </w:tcPr>
          <w:p>
            <w:r>
              <w:rPr>
                <w:sz w:val="17"/>
              </w:rPr>
              <w:t>8,742</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 📊 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**124,52 milliards FCFA**, PALC se positionne comme une valeur de taille intermédiaire au sein de la cote BRVM, représentant un poids significatif dans le compartiment agro-industriel régional. Le **BPA de 1 003 FCFA/action** traduit une rentabilité par titre solide, rapportée à un cours de 8 055 FCFA. Le **PER de 8,0x** situe le titre dans la fourchette basse de la moyenne BRVM (8-12x), suggérant que les investisseurs ne paient pas cher pour chaque franc de bénéfice généré — un signal potentiel de sous-évaluation. Le **P/B de 0,87x** (&lt; 1) indique que le marché valorise PALC en-dessous de sa valeur comptable, ce qui constitue historiquement une zone d'opportunité pour les investisseurs value. Enfin, l'**EV/EBITDA de 3,9x** (bien inférieur au seuil de 5x) confirme que la valeur d'entreprise, rapportée à la capacité opérationnelle de génération de cash, reste très abordable — un profil de valorisation globalement attractif.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PALC affiche une **variation totale de +10,19%**, bien que la dernière séance (J-1) enregistre un repli de **-0,56%**, signalant une légère prise de bénéfices après la progression. Le cours actuel de **8 055 FCFA** évolue dans un range large entre un plus haut de **9 640 FCFA** et un plus bas de **7 000 FCFA**, soit une amplitude de trading de 37,7% — reflétant une tendance haussière de fond mais avec des corrections marquées. La **moyenne (8 575 FCFA)** est inférieure à la **médiane (8 690 FCFA)**, ce qui indique une distribution légèrement asymétrique avec quelques séances de forte baisse tirant la moyenne vers le bas ; le **mode à 7 800 FCFA** confirme que le cours a longtemps stagné dans cette zone basse avant de rebondir. L'**écart-type de 548 FCFA (CV = 6,4%)** traduit une dispersion modérée du cours autour de sa moyenne, tandis que le **kurtosis de -0,083 (mésokurtique)** suggère une distribution proche de la normale, sans risque excessif de pics extrêmes. Le **skewness de -0,512** (asymétrie négative) indique davantage de journées de hausse au-dessus de la moyenne, mais avec des baisses plus amples — un profil typique d'un titre en consolidation haussière. La **volatilité annualisée de 35,1%** classe PALC dans la catégorie des titres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(8 649,75 FCFA)** et la **MM50 (8 870,90 FCFA)** se situent toutes deux au-dessus du cours actuel (8 055 FCFA), avec la MM20 sous la MM50, configurant un croisement baissier (death cross) caractéristique d'une tendance court terme négative. Le cours évoluant sous ses deux moyennes, la pression vendeuse domine et justifie la **décision de Vente** émise par cet indicateur.</w:t>
      </w:r>
    </w:p>
    <w:p>
      <w:pPr>
        <w:spacing w:after="120" w:line="276" w:lineRule="auto"/>
      </w:pPr>
      <w:r>
        <w:t>**Bandes de Bollinger** — Le cours (8 055 FCFA) se situe dans la moitié inférieure de la bande, entre la **borne inférieure (7 801,36 FCFA)** et la **borne supérieure (9 498,14 FCFA)**, sans franchissement de seuil extrême. L'absence de rupture de la borne basse et la position médiane-basse du cours expliquent la **décision Neutre**, traduisant une absence de signal directionnel fort mais une légère inclinaison baissière.</w:t>
      </w:r>
    </w:p>
    <w:p>
      <w:pPr>
        <w:spacing w:after="120" w:line="276" w:lineRule="auto"/>
      </w:pPr>
      <w:r>
        <w:t>**MACD** — La **valeur du MACD (-235,13)** est nettement inférieure à son **signal (-175,11)**, avec un histogramme négatif et un écartement croissant entre les deux lignes. Cette configuration traduit un **momentum baissier persistant** et justifie la **décision de Vente**, bien que l'amplitude de la divergence commence à suggérer une possible exhaustion de la baisse.</w:t>
      </w:r>
    </w:p>
    <w:p>
      <w:pPr>
        <w:spacing w:after="120" w:line="276" w:lineRule="auto"/>
      </w:pPr>
      <w:r>
        <w:t>**RSI** — À **19,42**, le RSI se situe très en-dessous du seuil de survente (30), signalant une **survente extrême** du titre. Historiquement, de tels niveaux précèdent souvent des rebonds techniques, ce qui justifie la **décision d'Achat** contre-tendance émise par cet indicateur.</w:t>
      </w:r>
    </w:p>
    <w:p>
      <w:pPr>
        <w:spacing w:after="120" w:line="276" w:lineRule="auto"/>
      </w:pPr>
      <w:r>
        <w:t>**Stochastique** — Le **%K et le %D sont tous deux à 0,0**, ce qui constitue un signal de **survente maximale** et un possible point de retournement imminent. La **décision d'Achat** est cohérente avec cette configuration extrême, bien qu'un croisement haussier du %K au-dessus du %D soit nécessaire pour confirmer le signal.</w:t>
      </w:r>
    </w:p>
    <w:p>
      <w:pPr>
        <w:spacing w:after="120" w:line="276" w:lineRule="auto"/>
      </w:pPr>
      <w:r>
        <w:t>**Conclusion technique** — Les indicateurs présentent une **divergence marquée** : les moyennes mobiles et le MACD confirment une tendance baissière de court terme, tandis que le RSI et le stochastique signalent une survente extrême propice à un rebond technique. Cette configuration contradictoire suggère un **point d'inflexion potentiel** : le titre pourrait connaître une stabilisation voire un rebond à court terme, mais la confirmation d'un retournement haussier nécessitera un franchissement de la MM20 (8 650 FCFA) et un croisement haussier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PALC a réalisé un **chiffre d'affaires de 197,63 milliards FCFA** (contre 172,2 Mds en 2024, soit **+14,8%**), porté par la hausse des volumes et des prix de l'huile de palme. Le **résultat net s'établit à 15,51 milliards FCFA**, en léger recul de -2,2% par rapport à 2024 (15,9 Mds), avec une **marge nette de 7,85%** (vs 9,2% en 2024) — une compression notable. Le **ROE de 10,87%** et le **ROA de 7,79%** restent corrects mais en deçà du seuil d'excellence (&gt;15% pour le ROE), reflétant une rentabilité sous pression. La structure financière demeure **très solide** : **autonomie financière de 71,64%**, **ratio d'endettement de 0,56%** et **dette financière réduite à 796,56 millions FCFA** (vs 4,0 Mds en 2024). Le **BFR de 44,62 Mds FCFA** est positif (défavorable), et le **délai client de 142,58 jours** constitue un point de vigilance majeur pour la trésorerie, bien que la **liquidité générale (171,95%)** et la **couverture des intérêts (1 415,66%)** rassurent sur la solvabilité. Le **free cash flow de 19,05 Mds FCFA** et le **flux opérationnel de 38,74 Mds FCFA** confirment la capacité de génération de cash, malgré une **trésorerie nette négative (-4,56 Mds FCFA)**.</w:t>
      </w:r>
    </w:p>
    <w:p>
      <w:pPr>
        <w:spacing w:after="120" w:line="276" w:lineRule="auto"/>
      </w:pPr>
      <w:r>
        <w:t>**Estimations basées sur les rapports trimestriels** — Le **rapport T1 2026 (publié en 2026)** révèle une **contre-performance sévère** : CA en baisse de **-27% à 49,4 Mds FCFA** et résultat net en chute de **-86% à 1,6 Md FCFA** (marge nette de 3,2%), attribuée à un décalage temporel des ventes selon la direction. Le **rapport T3 2025 (30/09/2025)** indiquait un CA cumulé de 168,9 Mds (+18%) et un résultat net de 18,0 Mds (+11%), avec une marge nette de 10,7% — en retrait par rapport au S1 2025 (17,0%). Le **rapport S1 2025 (30/06/2025)** affichait un résultat net de 22,9 Mds (+37%) et une marge nette de 17,0%, tandis que le **rapport annuel 2024 (31/12/2024)** confirmait un dividende de 513 FCFA/action (rendement ~10,3% sur un cours de 5 000 FCFA). **On estime** que l'exercice 2026 sera marqué par un net ralentissement, la direction tablant sur un redressement progressif lié à l'écoulement des stocks à l'export, mais le T1 2026 fragilise considérablement cette prévision. La **politique de dividende** (502 FCFA proposé pour 2025, en baisse de -19%) reflète une priorité donnée à la trésorerie et aux investissements (19,7 Mds FCFA en 2025).</w:t>
      </w:r>
    </w:p>
    <w:p>
      <w:pPr>
        <w:spacing w:after="120" w:line="276" w:lineRule="auto"/>
      </w:pPr>
      <w:r>
        <w:t>**Recommandation fondamentale** — PALC reste un **acteur solide et dominant** de l'agro-industrie ouest-africaine, avec une structure financière saine et une capacité de génération de cash robuste. Cependant, la **dégradation de la rentabilité** (marge nette passée de 17% au S1 2025 à 3,2% au T1 2026), la **baisse du dividende** et la **trésorerie nette négative** constituent des signaux de vigilance. Le profil est celui d'une valeur **value** avec un potentiel de rebond si les cours de l'huile de palme se redressent, mais le risque d'exécution à court terme est élevé.</w:t>
      </w:r>
    </w:p>
    <w:p>
      <w:pPr>
        <w:spacing w:after="120" w:line="276" w:lineRule="auto"/>
      </w:pPr>
      <w:r>
        <w:t>---</w:t>
      </w:r>
    </w:p>
    <w:p>
      <w:pPr>
        <w:spacing w:after="120" w:line="276" w:lineRule="auto"/>
      </w:pPr>
      <w:r>
        <w:t>## PARTIE 4 : CONCLUSION D'INVESTISSEMENT</w:t>
      </w:r>
    </w:p>
    <w:p>
      <w:pPr>
        <w:spacing w:after="120" w:line="276" w:lineRule="auto"/>
      </w:pPr>
      <w:r>
        <w:t>La **valorisation (Partie 0)** est indéniablement attractive : PER de 8,0x, P/B de 0,87x et EV/EBITDA de 3,9x placent PALC en zone de sous-évaluation manifeste par rapport à ses pairs et à sa propre histoire. Le **comportement du cours (Partie 1)** révèle une tendance haussière de fond (+10,19% sur 100 jours) mais une volatilité élevée (35,1%) et une asymétrie négative (skewness -0,512) qui traduisent des corrections amples — un profil risqué mais offrant des points d'entrée. Les **signaux techniques (Partie 2)** sont contradictoires : baissiers pour les MM et le MACD, mais extrêmement haussiers pour le RSI (19,4) et le stochastique (0,0), configurant un **rebond technique probable** à court terme. Les **fondamentaux (Partie 3)** sont mitigés : solidité financière et génération de cash confirmées pour 2025, mais **effondrement du T1 2026** (-86% de résultat net) qui remet en cause la trajectoire bénéficiaire. Les **prédictions IA (J+1 à J+10)** anticipent une **stabilisation autour de 8 050-8 086 FCFA**, confirmant l'absence de tendance directionnelle forte à court terme et la probabilité d'un plancher technique.</w:t>
      </w:r>
    </w:p>
    <w:p>
      <w:pPr>
        <w:spacing w:after="120" w:line="276" w:lineRule="auto"/>
      </w:pPr>
      <w:r>
        <w:t>**Synthèse globale** — La convergence entre une valorisation bon marché, une survente technique extrême et une prédiction de stabilisation plaide pour un **maintien de la position** plutôt qu'un achat agressif, compte tenu de la dégradation fondamentale récente. La divergence entre le signal technique haussier (RSI/stochastique) et le signal fondamental baissier (T1 2026) impose la prudence.</w:t>
      </w:r>
    </w:p>
    <w:p>
      <w:pPr>
        <w:spacing w:after="120" w:line="276" w:lineRule="auto"/>
      </w:pPr>
      <w:r>
        <w:t>**Recommandation finale : CONSERVER**</w:t>
        <w:br/>
        <w:t>- **Justification** : La sous-évaluation (PER 8x, P/B &lt;1) et la survente technique offrent un potentiel de rebond, mais l'effondrement du T1 2026 et la baisse du dividende limitent l'attrait à court terme. Un achat serait prématuré sans confirmation d'un redressement des ventes au T2 2026.</w:t>
        <w:br/>
        <w:t>- **Niveau de confiance** : Moyen — les signaux sont divergents et dépendent fortement de l'évolution des cours de l'huile de palme.</w:t>
        <w:br/>
        <w:t>- **Niveau de risque global** : Élevé — volatilité de 35,1%, dépendance aux matières premières, et incertitude sur la trajectoire bénéficiaire 2026.</w:t>
        <w:br/>
        <w:t>- **Horizon d'investissement optimal** : **Moyen terme (3-12 mois)**, avec un suivi trimestriel impératif des marges, de la trésorerie et des volumes vendus. Un passage à l'achat serait justifié si le T2 2026 confirme le redressement évoqué par la direction, ou si le cours franchit la MM20 (8 650 FCFA) avec un MACD croisant à la hausse.</w:t>
      </w:r>
    </w:p>
    <w:p>
      <w:pPr>
        <w:spacing w:after="120" w:line="276" w:lineRule="auto"/>
      </w:pPr>
      <w:r>
        <w: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1,165 titres</w:t>
            </w:r>
          </w:p>
        </w:tc>
        <w:tc>
          <w:tcPr>
            <w:tcW w:type="dxa" w:w="2268"/>
            <w:shd w:fill="FFF2CC" w:val="clear"/>
          </w:tcPr>
          <w:p>
            <w:r>
              <w:rPr>
                <w:b/>
                <w:color w:val="503200"/>
                <w:sz w:val="16"/>
              </w:rPr>
              <w:t xml:space="preserve">Cours actuel : </w:t>
            </w:r>
            <w:r>
              <w:rPr>
                <w:color w:val="000000"/>
                <w:sz w:val="17"/>
              </w:rPr>
              <w:t>4,080 FCFA</w:t>
            </w:r>
          </w:p>
          <w:p>
            <w:r>
              <w:rPr>
                <w:b/>
                <w:color w:val="503200"/>
                <w:sz w:val="16"/>
              </w:rPr>
              <w:t xml:space="preserve">Var. 100 jours : </w:t>
            </w:r>
            <w:r>
              <w:rPr>
                <w:b/>
                <w:color w:val="B40000"/>
                <w:sz w:val="17"/>
              </w:rPr>
              <w:t>-11.30%</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6.23% (Moyenne) — μ=4,345 FCFA, σ=271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β=-0.1698 (Contre-cyclique) — Cov=-0.000008, Var(idx)=0.000045, ρ=-0.046,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4,023</w:t>
            </w:r>
          </w:p>
        </w:tc>
        <w:tc>
          <w:tcPr>
            <w:tcW w:type="dxa" w:w="1440"/>
            <w:shd w:fill="FAFAFA" w:val="clear"/>
          </w:tcPr>
          <w:p>
            <w:r>
              <w:rPr>
                <w:b/>
                <w:sz w:val="17"/>
              </w:rPr>
              <w:t>4,126</w:t>
            </w:r>
          </w:p>
        </w:tc>
        <w:tc>
          <w:tcPr>
            <w:tcW w:type="dxa" w:w="1440"/>
            <w:shd w:fill="FAFAFA" w:val="clear"/>
          </w:tcPr>
          <w:p>
            <w:r>
              <w:rPr>
                <w:sz w:val="17"/>
              </w:rPr>
              <w:t>4,228</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3,967</w:t>
            </w:r>
          </w:p>
        </w:tc>
        <w:tc>
          <w:tcPr>
            <w:tcW w:type="dxa" w:w="1440"/>
            <w:shd w:fill="FAFAFA" w:val="clear"/>
          </w:tcPr>
          <w:p>
            <w:r>
              <w:rPr>
                <w:b/>
                <w:sz w:val="17"/>
              </w:rPr>
              <w:t>4,111</w:t>
            </w:r>
          </w:p>
        </w:tc>
        <w:tc>
          <w:tcPr>
            <w:tcW w:type="dxa" w:w="1440"/>
            <w:shd w:fill="FAFAFA" w:val="clear"/>
          </w:tcPr>
          <w:p>
            <w:r>
              <w:rPr>
                <w:sz w:val="17"/>
              </w:rPr>
              <w:t>4,255</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3,931</w:t>
            </w:r>
          </w:p>
        </w:tc>
        <w:tc>
          <w:tcPr>
            <w:tcW w:type="dxa" w:w="1440"/>
            <w:shd w:fill="FAFAFA" w:val="clear"/>
          </w:tcPr>
          <w:p>
            <w:r>
              <w:rPr>
                <w:b/>
                <w:sz w:val="17"/>
              </w:rPr>
              <w:t>4,107</w:t>
            </w:r>
          </w:p>
        </w:tc>
        <w:tc>
          <w:tcPr>
            <w:tcW w:type="dxa" w:w="1440"/>
            <w:shd w:fill="FAFAFA" w:val="clear"/>
          </w:tcPr>
          <w:p>
            <w:r>
              <w:rPr>
                <w:sz w:val="17"/>
              </w:rPr>
              <w:t>4,284</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2026-09-30</w:t>
            </w:r>
          </w:p>
        </w:tc>
        <w:tc>
          <w:tcPr>
            <w:tcW w:type="dxa" w:w="1440"/>
            <w:shd w:fill="FAFAFA" w:val="clear"/>
          </w:tcPr>
          <w:p>
            <w:r>
              <w:rPr>
                <w:sz w:val="17"/>
              </w:rPr>
              <w:t>3,901</w:t>
            </w:r>
          </w:p>
        </w:tc>
        <w:tc>
          <w:tcPr>
            <w:tcW w:type="dxa" w:w="1440"/>
            <w:shd w:fill="FAFAFA" w:val="clear"/>
          </w:tcPr>
          <w:p>
            <w:r>
              <w:rPr>
                <w:b/>
                <w:sz w:val="17"/>
              </w:rPr>
              <w:t>4,104</w:t>
            </w:r>
          </w:p>
        </w:tc>
        <w:tc>
          <w:tcPr>
            <w:tcW w:type="dxa" w:w="1440"/>
            <w:shd w:fill="FAFAFA" w:val="clear"/>
          </w:tcPr>
          <w:p>
            <w:r>
              <w:rPr>
                <w:sz w:val="17"/>
              </w:rPr>
              <w:t>4,307</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2026-10-01</w:t>
            </w:r>
          </w:p>
        </w:tc>
        <w:tc>
          <w:tcPr>
            <w:tcW w:type="dxa" w:w="1440"/>
            <w:shd w:fill="FAFAFA" w:val="clear"/>
          </w:tcPr>
          <w:p>
            <w:r>
              <w:rPr>
                <w:sz w:val="17"/>
              </w:rPr>
              <w:t>3,873</w:t>
            </w:r>
          </w:p>
        </w:tc>
        <w:tc>
          <w:tcPr>
            <w:tcW w:type="dxa" w:w="1440"/>
            <w:shd w:fill="FAFAFA" w:val="clear"/>
          </w:tcPr>
          <w:p>
            <w:r>
              <w:rPr>
                <w:b/>
                <w:sz w:val="17"/>
              </w:rPr>
              <w:t>4,100</w:t>
            </w:r>
          </w:p>
        </w:tc>
        <w:tc>
          <w:tcPr>
            <w:tcW w:type="dxa" w:w="1440"/>
            <w:shd w:fill="FAFAFA" w:val="clear"/>
          </w:tcPr>
          <w:p>
            <w:r>
              <w:rPr>
                <w:sz w:val="17"/>
              </w:rPr>
              <w:t>4,327</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2026-10-02</w:t>
            </w:r>
          </w:p>
        </w:tc>
        <w:tc>
          <w:tcPr>
            <w:tcW w:type="dxa" w:w="1440"/>
            <w:shd w:fill="FAFAFA" w:val="clear"/>
          </w:tcPr>
          <w:p>
            <w:r>
              <w:rPr>
                <w:sz w:val="17"/>
              </w:rPr>
              <w:t>3,847</w:t>
            </w:r>
          </w:p>
        </w:tc>
        <w:tc>
          <w:tcPr>
            <w:tcW w:type="dxa" w:w="1440"/>
            <w:shd w:fill="FAFAFA" w:val="clear"/>
          </w:tcPr>
          <w:p>
            <w:r>
              <w:rPr>
                <w:b/>
                <w:sz w:val="17"/>
              </w:rPr>
              <w:t>4,096</w:t>
            </w:r>
          </w:p>
        </w:tc>
        <w:tc>
          <w:tcPr>
            <w:tcW w:type="dxa" w:w="1440"/>
            <w:shd w:fill="FAFAFA" w:val="clear"/>
          </w:tcPr>
          <w:p>
            <w:r>
              <w:rPr>
                <w:sz w:val="17"/>
              </w:rPr>
              <w:t>4,344</w:t>
            </w:r>
          </w:p>
        </w:tc>
        <w:tc>
          <w:tcPr>
            <w:tcW w:type="dxa" w:w="1440"/>
            <w:shd w:fill="FAFAFA" w:val="clear"/>
          </w:tcPr>
          <w:p>
            <w:r>
              <w:rPr>
                <w:b/>
                <w:color w:val="008000"/>
                <w:sz w:val="17"/>
              </w:rPr>
              <w:t>+0.4%</w:t>
            </w:r>
          </w:p>
        </w:tc>
      </w:tr>
      <w:tr>
        <w:tc>
          <w:tcPr>
            <w:tcW w:type="dxa" w:w="1440"/>
            <w:shd w:fill="FAFAFA" w:val="clear"/>
          </w:tcPr>
          <w:p>
            <w:r>
              <w:rPr>
                <w:sz w:val="17"/>
              </w:rPr>
              <w:t>J+7  Moyenne</w:t>
            </w:r>
          </w:p>
        </w:tc>
        <w:tc>
          <w:tcPr>
            <w:tcW w:type="dxa" w:w="1440"/>
            <w:shd w:fill="FAFAFA" w:val="clear"/>
          </w:tcPr>
          <w:p>
            <w:r>
              <w:rPr>
                <w:sz w:val="17"/>
              </w:rPr>
              <w:t>2026-10-05</w:t>
            </w:r>
          </w:p>
        </w:tc>
        <w:tc>
          <w:tcPr>
            <w:tcW w:type="dxa" w:w="1440"/>
            <w:shd w:fill="FAFAFA" w:val="clear"/>
          </w:tcPr>
          <w:p>
            <w:r>
              <w:rPr>
                <w:sz w:val="17"/>
              </w:rPr>
              <w:t>3,824</w:t>
            </w:r>
          </w:p>
        </w:tc>
        <w:tc>
          <w:tcPr>
            <w:tcW w:type="dxa" w:w="1440"/>
            <w:shd w:fill="FAFAFA" w:val="clear"/>
          </w:tcPr>
          <w:p>
            <w:r>
              <w:rPr>
                <w:b/>
                <w:sz w:val="17"/>
              </w:rPr>
              <w:t>4,092</w:t>
            </w:r>
          </w:p>
        </w:tc>
        <w:tc>
          <w:tcPr>
            <w:tcW w:type="dxa" w:w="1440"/>
            <w:shd w:fill="FAFAFA" w:val="clear"/>
          </w:tcPr>
          <w:p>
            <w:r>
              <w:rPr>
                <w:sz w:val="17"/>
              </w:rPr>
              <w:t>4,360</w:t>
            </w:r>
          </w:p>
        </w:tc>
        <w:tc>
          <w:tcPr>
            <w:tcW w:type="dxa" w:w="1440"/>
            <w:shd w:fill="FAFAFA" w:val="clear"/>
          </w:tcPr>
          <w:p>
            <w:r>
              <w:rPr>
                <w:b/>
                <w:color w:val="008000"/>
                <w:sz w:val="17"/>
              </w:rPr>
              <w:t>+0.3%</w:t>
            </w:r>
          </w:p>
        </w:tc>
      </w:tr>
      <w:tr>
        <w:tc>
          <w:tcPr>
            <w:tcW w:type="dxa" w:w="1440"/>
            <w:shd w:fill="FAFAFA" w:val="clear"/>
          </w:tcPr>
          <w:p>
            <w:r>
              <w:rPr>
                <w:sz w:val="17"/>
              </w:rPr>
              <w:t>J+8  Moyenne</w:t>
            </w:r>
          </w:p>
        </w:tc>
        <w:tc>
          <w:tcPr>
            <w:tcW w:type="dxa" w:w="1440"/>
            <w:shd w:fill="FAFAFA" w:val="clear"/>
          </w:tcPr>
          <w:p>
            <w:r>
              <w:rPr>
                <w:sz w:val="17"/>
              </w:rPr>
              <w:t>2026-10-06</w:t>
            </w:r>
          </w:p>
        </w:tc>
        <w:tc>
          <w:tcPr>
            <w:tcW w:type="dxa" w:w="1440"/>
            <w:shd w:fill="FAFAFA" w:val="clear"/>
          </w:tcPr>
          <w:p>
            <w:r>
              <w:rPr>
                <w:sz w:val="17"/>
              </w:rPr>
              <w:t>3,802</w:t>
            </w:r>
          </w:p>
        </w:tc>
        <w:tc>
          <w:tcPr>
            <w:tcW w:type="dxa" w:w="1440"/>
            <w:shd w:fill="FAFAFA" w:val="clear"/>
          </w:tcPr>
          <w:p>
            <w:r>
              <w:rPr>
                <w:b/>
                <w:sz w:val="17"/>
              </w:rPr>
              <w:t>4,088</w:t>
            </w:r>
          </w:p>
        </w:tc>
        <w:tc>
          <w:tcPr>
            <w:tcW w:type="dxa" w:w="1440"/>
            <w:shd w:fill="FAFAFA" w:val="clear"/>
          </w:tcPr>
          <w:p>
            <w:r>
              <w:rPr>
                <w:sz w:val="17"/>
              </w:rPr>
              <w:t>4,375</w:t>
            </w:r>
          </w:p>
        </w:tc>
        <w:tc>
          <w:tcPr>
            <w:tcW w:type="dxa" w:w="1440"/>
            <w:shd w:fill="FAFAFA" w:val="clear"/>
          </w:tcPr>
          <w:p>
            <w:r>
              <w:rPr>
                <w:b/>
                <w:color w:val="008000"/>
                <w:sz w:val="17"/>
              </w:rPr>
              <w:t>+0.2%</w:t>
            </w:r>
          </w:p>
        </w:tc>
      </w:tr>
      <w:tr>
        <w:tc>
          <w:tcPr>
            <w:tcW w:type="dxa" w:w="1440"/>
            <w:shd w:fill="FAFAFA" w:val="clear"/>
          </w:tcPr>
          <w:p>
            <w:r>
              <w:rPr>
                <w:sz w:val="17"/>
              </w:rPr>
              <w:t>J+9  Moyenne</w:t>
            </w:r>
          </w:p>
        </w:tc>
        <w:tc>
          <w:tcPr>
            <w:tcW w:type="dxa" w:w="1440"/>
            <w:shd w:fill="FAFAFA" w:val="clear"/>
          </w:tcPr>
          <w:p>
            <w:r>
              <w:rPr>
                <w:sz w:val="17"/>
              </w:rPr>
              <w:t>2026-10-07</w:t>
            </w:r>
          </w:p>
        </w:tc>
        <w:tc>
          <w:tcPr>
            <w:tcW w:type="dxa" w:w="1440"/>
            <w:shd w:fill="FAFAFA" w:val="clear"/>
          </w:tcPr>
          <w:p>
            <w:r>
              <w:rPr>
                <w:sz w:val="17"/>
              </w:rPr>
              <w:t>3,781</w:t>
            </w:r>
          </w:p>
        </w:tc>
        <w:tc>
          <w:tcPr>
            <w:tcW w:type="dxa" w:w="1440"/>
            <w:shd w:fill="FAFAFA" w:val="clear"/>
          </w:tcPr>
          <w:p>
            <w:r>
              <w:rPr>
                <w:b/>
                <w:sz w:val="17"/>
              </w:rPr>
              <w:t>4,085</w:t>
            </w:r>
          </w:p>
        </w:tc>
        <w:tc>
          <w:tcPr>
            <w:tcW w:type="dxa" w:w="1440"/>
            <w:shd w:fill="FAFAFA" w:val="clear"/>
          </w:tcPr>
          <w:p>
            <w:r>
              <w:rPr>
                <w:sz w:val="17"/>
              </w:rPr>
              <w:t>4,388</w:t>
            </w:r>
          </w:p>
        </w:tc>
        <w:tc>
          <w:tcPr>
            <w:tcW w:type="dxa" w:w="1440"/>
            <w:shd w:fill="FAFAFA" w:val="clear"/>
          </w:tcPr>
          <w:p>
            <w:r>
              <w:rPr>
                <w:b/>
                <w:color w:val="008000"/>
                <w:sz w:val="17"/>
              </w:rPr>
              <w:t>+0.1%</w:t>
            </w:r>
          </w:p>
        </w:tc>
      </w:tr>
      <w:tr>
        <w:tc>
          <w:tcPr>
            <w:tcW w:type="dxa" w:w="1440"/>
            <w:shd w:fill="FAFAFA" w:val="clear"/>
          </w:tcPr>
          <w:p>
            <w:r>
              <w:rPr>
                <w:sz w:val="17"/>
              </w:rPr>
              <w:t>J+10  Moyenne</w:t>
            </w:r>
          </w:p>
        </w:tc>
        <w:tc>
          <w:tcPr>
            <w:tcW w:type="dxa" w:w="1440"/>
            <w:shd w:fill="FAFAFA" w:val="clear"/>
          </w:tcPr>
          <w:p>
            <w:r>
              <w:rPr>
                <w:sz w:val="17"/>
              </w:rPr>
              <w:t>2026-10-08</w:t>
            </w:r>
          </w:p>
        </w:tc>
        <w:tc>
          <w:tcPr>
            <w:tcW w:type="dxa" w:w="1440"/>
            <w:shd w:fill="FAFAFA" w:val="clear"/>
          </w:tcPr>
          <w:p>
            <w:r>
              <w:rPr>
                <w:sz w:val="17"/>
              </w:rPr>
              <w:t>3,762</w:t>
            </w:r>
          </w:p>
        </w:tc>
        <w:tc>
          <w:tcPr>
            <w:tcW w:type="dxa" w:w="1440"/>
            <w:shd w:fill="FAFAFA" w:val="clear"/>
          </w:tcPr>
          <w:p>
            <w:r>
              <w:rPr>
                <w:b/>
                <w:sz w:val="17"/>
              </w:rPr>
              <w:t>4,081</w:t>
            </w:r>
          </w:p>
        </w:tc>
        <w:tc>
          <w:tcPr>
            <w:tcW w:type="dxa" w:w="1440"/>
            <w:shd w:fill="FAFAFA" w:val="clear"/>
          </w:tcPr>
          <w:p>
            <w:r>
              <w:rPr>
                <w:sz w:val="17"/>
              </w:rPr>
              <w:t>4,401</w:t>
            </w:r>
          </w:p>
        </w:tc>
        <w:tc>
          <w:tcPr>
            <w:tcW w:type="dxa" w:w="1440"/>
            <w:shd w:fill="FAFAFA" w:val="clear"/>
          </w:tcPr>
          <w:p>
            <w:r>
              <w:rPr>
                <w:b/>
                <w:color w:val="008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41,78 milliards FCFA, PRSC se positionne comme une valeur de taille moyenne sur le compartiment des entreprises non bancaires de la BRVM, ce qui lui confère une liquidité limitée mais une certaine stabilité institutionnelle. Le BPA de 231 FCFA/action signifie que chaque titre génère près de 231 FCFA de bénéfice net, ce qui, rapporté au cours actuel de 4 080 FCFA, donne un PER de 17,6x — nettement supérieur à la moyenne du marché BRVM (généralement située entre 8 et 12x), traduisant une prime de valorisation que les investisseurs accordent à la qualité de la franchise et à la régularité des résultats. Le P/B de 3,62x indique que le marché valorise l'entreprise à plus de trois fois et demie sa valeur comptable, signe d'une anticipation de croissance et d'une rentabilité des fonds propres élevée (ROE de 20,5%). Enfin, l'EV/EBITDA de 9,2x, dans la fourchette raisonnable de 5-10x, suggère que la valeur totale de l'entreprise (dette incluse) reste cohérente avec sa capacité opérationnelle à générer des flux, bien que le titre ne présente pas de décote manifeste sur ce critère.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variation totale de -11,30%, avec une dernière séance particulièrement négative (-2,86%), confirmant une tendance baissière de fond. Le cours actuel de 4 080 FCFA se situe dans la moitié inférieure du range de trading établi entre un plus bas de 3 620 FCFA et un plus haut de 4 740 FCFA, ce qui traduit une pression vendeuse persistante et une érosion de la confiance des investisseurs. Les statistiques descriptives révèlent une moyenne de 4 345 FCFA légèrement inférieure à la médiane de 4 405 FCFA, signe d'une distribution asymétrique tirée vers le bas par des journées de forte baisse ; le mode à 4 400 FCFA indique que ce niveau a concentré le plus grand nombre de séances, mais le cours s'en est nettement éloigné. L'écart-type de 272 FCFA avec un coefficient de variation de 6,3% traduit une dispersion modérée autour de la moyenne, tandis que le kurtosis de 1,047 (leptokurtique) signale des queues épaisses et donc un risque accru de pics de volatilité brutaux. Le skewness de -1,319 confirme cette asymétrie négative, avec davantage de journées au-dessus de la moyenne mais des baisses plus amples et plus violentes — un profil de risque défavorable pour un investisseur averse. Enfin, la volatilité annualisée de 39,2% classe le titre dans la catégorie des valeurs à volatilité élevée (&gt;30%), ce qui implique un risque de perte en capital significatif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(4 370,5 FCFA) et la MM50 (4 444,3 FCFA) se situent toutes deux nettement au-dessus du cours actuel (4 080 FCFA), avec une MM20 inférieure à la MM50 — configuration baissière classique. Le cours évoluant sous ses deux moyennes mobiles, la pression vendeuse est confirmée et la décision technique de « Vente » est pleinement justifiée, aucun signal de retournement n'étant visible à ce stade.</w:t>
      </w:r>
    </w:p>
    <w:p>
      <w:pPr>
        <w:spacing w:after="120" w:line="276" w:lineRule="auto"/>
      </w:pPr>
      <w:r>
        <w:t>**Bandes de Bollinger** : Le cours (4 080 FCFA) se situe en dessous de la borne inférieure (4 153,03 FCFA), ce qui constitue un signal de survente technique et explique la décision d'« Achat » générée par cet indicateur. Cette position hors bande suggère une extension excessive de la baisse à court terme et un potentiel de rebond technique, mais elle doit être confirmée par d'autres indicateurs pour éviter un piège baissier.</w:t>
      </w:r>
    </w:p>
    <w:p>
      <w:pPr>
        <w:spacing w:after="120" w:line="276" w:lineRule="auto"/>
      </w:pPr>
      <w:r>
        <w:t>**MACD** : La valeur du MACD (-67,5) est nettement inférieure à son signal (-36,842), avec un histogramme négatif et en expansion, ce qui traduit un momentum baissier toujours actif. La décision de « Vente » est cohérente avec cette divergence négative persistante, aucun croisement haussier n'étant en formation.</w:t>
      </w:r>
    </w:p>
    <w:p>
      <w:pPr>
        <w:spacing w:after="120" w:line="276" w:lineRule="auto"/>
      </w:pPr>
      <w:r>
        <w:t>**RSI** : À 32,468, le RSI se situe dans la zone neutre basse (30-70), proche du seuil de survente (30) sans l'atteindre. La décision « Neutre » reflète cette position ambiguë : le titre n'est ni techniquement survendu ni en phase de rebond confirmé, ce qui invite à la prudence.</w:t>
      </w:r>
    </w:p>
    <w:p>
      <w:pPr>
        <w:spacing w:after="120" w:line="276" w:lineRule="auto"/>
      </w:pPr>
      <w:r>
        <w:t>**Stochastique** : Avec %K et %D tous deux à 0,0, le stochastique est en zone de survente extrême, ce qui génère une décision d'« Achat » technique. Cependant, un stochastique bloqué à zéro sans croisement haussier visible peut signaler une faiblesse persistante plutôt qu'un retournement imminent, et doit être interprété avec prudence.</w:t>
      </w:r>
    </w:p>
    <w:p>
      <w:pPr>
        <w:spacing w:after="120" w:line="276" w:lineRule="auto"/>
      </w:pPr>
      <w:r>
        <w:t>**Conclusion technique** : Les indicateurs techniques présentent une divergence notable : les moyennes mobiles et le MACD confirment une tendance baissière structurelle, tandis que les Bandes de Bollinger et le stochastique signalent une survente extrême propice à un rebond technique. Le RSI neutre ne tranche pas. Dans ce contexte, la prudence s'impose : un rebond technique à court terme est possible, mais la tendance de fond reste baissière tant que le cours n'aura pas reconquis la MM20 (4 370 FCFA) avec un volume significatif.</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de PRSC (Tractafric Motors Côte d'Ivoire) révèlent un chiffre d'affaires de 81,127 milliards FCFA, en croissance de 8,64% sur un an, porté par la dynamique du marché automobile ivoirien et la diversification réussie dans les pneumatiques Michelin. Le résultat net s'établit à 2,367 milliards FCFA, avec une marge nette de 2,92% — faible mais en légère amélioration par rapport aux 2,63% de 2023 — et un ROE de 20,53%, excellent et supérieur au seuil de 15% qui témoigne d'une rentabilité des fonds propres solide. Le ROA de 4,95% et la rotation des actifs de 169,59% confirment une utilisation efficace du bilan, tandis que la marge brute de 18,51% et la marge opérationnelle de 5,23% reflètent une pression concurrentielle persistante sur les marges. Sur le plan de la structure financière, l'autonomie financière de 24,10% reste inférieure au seuil de 30% considéré comme sain, et le ratio d'endettement de 314,86% (dettes totales/capitaux propres) est élevé, bien que la capacité de remboursement de 1,83 an et la couverture des intérêts de 1 585% rassurent sur la solvabilité à court terme. Les délais d'exploitation sont préoccupants : le délai clients de 45,99 jours est correct, mais la durée de stockage de 150,51 jours immobilise massivement du capital, et le BFR de 11,267 milliards FCFA pèse sur la trésorerie nette, négative à -4,092 milliards FCFA. Le rapport officiel du 31 décembre 2025 (analysé le 6 septembre 2026) confirme ces tendances et souligne la croissance des ventes de marchandises (+10,82% à 57,96 milliards FCFA), tandis que le rapport du 15 juin 2026 annonce un dividende de 209 FCFA brut par action, soit un rendement d'environ 5,1% au cours actuel — un signal positif pour les actionnaires. Sur la base du rapport semestriel 2025 (CA +15,1% à 39,97 milliards FCFA, résultat net multiplié par 28 à 1,436 milliard FCFA, marge nette à 3,6%), on peut estimer que l'exercice 2026 devrait maintenir cette dynamique, avec un résultat net projeté autour de 2,5-2,8 milliards FCFA si la tendance se poursuit, bien que le contexte électoral ivoirien et le repli du segment location (-29%) incitent à la prudence pour le second semestre. En synthèse, PRSC présente un profil fondamental solide (ROE élevé, croissance du CA, dividende attractif) mais entaché par une marge nette faible, un endettement élevé et une trésorerie nette négative — la recommandation fondamentale est de **CONSERVER** avec vigilance, en attendant une amélioration durable de la rentabilité opérationnelle et de la génération de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Sur le plan de la **valorisation (Partie 0)**, le PER de 17,6x et le P/B de 3,62x indiquent que le marché valorise PRSC à une prime significative par rapport à ses pairs de la BRVM, ce qui limite le potentiel de revalorisation à court terme malgré un EV/EBITDA raisonnable de 9,2x. Le **comportement du cours (Partie 1)** est préoccupant : tendance baissière de -11,30% sur 100 jours, volatilité élevée de 39,2%, skewness négatif de -1,319 et kurtosis de 1,047 signalant un risque de pics baissiers brutaux — un profil défavorable pour la préservation du capital. Les **signaux techniques (Partie 2)** sont divergents : les moyennes mobiles et le MACD confirment la tendance baissière, tandis que les Bandes de Bollinger et le stochastique signalent une survente extrême propice à un rebond technique à court terme, mais sans confirmation haussière claire. Les **fondamentaux (Partie 3)** offrent un contraste : ROE excellent de 20,53%, croissance du CA de 8,64% en 2025, dividende attractif de 209 FCFA/action (rendement ~5,1%), mais marge nette faible de 2,92%, endettement élevé (314,86%) et trésorerie nette négative (-4,092 milliards FCFA) — la solidité opérationnelle est réelle mais la structure financière reste fragile. Les **prédictions IA (J+1 à J+10)** anticipent une légère dérive baissière du cours de 4 126 FCFA à 4 100 FCFA, confirmant la tendance baissière de court terme sans effondrement majeur, ce qui est cohérent avec la survente technique actuelle. Sur la base de cette synthèse, la recommandation finale est de **CONSERVER** avec un niveau de confiance **Moyen** et un niveau de risque global **Élevé**. La convergence entre la tendance baissière technique, la valorisation tendue et les prédictions IA baissières ne justifie pas un achat immédiat, mais la solidité des fondamentaux (ROE, dividende, croissance) et la survente technique interdisent une vente précipitée. L'horizon d'investissement optimal est le **moyen terme (3-12 mois)**, en attendant une confirmation du rebond technique (reconquête de la MM20 à 4 370 FCFA) et une amélioration des marges et de la trésorerie pour envisager un renforcement de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32.48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9,009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+10.80%</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16.90% (Élevée) — μ=4,597 FCFA, σ=777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β=0.6227 (Défensif) — Cov=0.000028, Var(idx)=0.000045, ρ=0.111,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3,770</w:t>
            </w:r>
          </w:p>
        </w:tc>
        <w:tc>
          <w:tcPr>
            <w:tcW w:type="dxa" w:w="1440"/>
            <w:shd w:fill="FAFAFA" w:val="clear"/>
          </w:tcPr>
          <w:p>
            <w:r>
              <w:rPr>
                <w:b/>
                <w:sz w:val="17"/>
              </w:rPr>
              <w:t>4,043</w:t>
            </w:r>
          </w:p>
        </w:tc>
        <w:tc>
          <w:tcPr>
            <w:tcW w:type="dxa" w:w="1440"/>
            <w:shd w:fill="FAFAFA" w:val="clear"/>
          </w:tcPr>
          <w:p>
            <w:r>
              <w:rPr>
                <w:sz w:val="17"/>
              </w:rPr>
              <w:t>4,317</w:t>
            </w:r>
          </w:p>
        </w:tc>
        <w:tc>
          <w:tcPr>
            <w:tcW w:type="dxa" w:w="1440"/>
            <w:shd w:fill="FAFAFA" w:val="clear"/>
          </w:tcPr>
          <w:p>
            <w:r>
              <w:rPr>
                <w:b/>
                <w:color w:val="008000"/>
                <w:sz w:val="17"/>
              </w:rPr>
              <w:t>+1.1%</w:t>
            </w:r>
          </w:p>
        </w:tc>
      </w:tr>
      <w:tr>
        <w:tc>
          <w:tcPr>
            <w:tcW w:type="dxa" w:w="1440"/>
            <w:shd w:fill="C6EFCE" w:val="clear"/>
          </w:tcPr>
          <w:p>
            <w:r>
              <w:rPr>
                <w:sz w:val="17"/>
              </w:rPr>
              <w:t>J+2  ⭐</w:t>
            </w:r>
          </w:p>
        </w:tc>
        <w:tc>
          <w:tcPr>
            <w:tcW w:type="dxa" w:w="1440"/>
            <w:shd w:fill="C6EFCE" w:val="clear"/>
          </w:tcPr>
          <w:p>
            <w:r>
              <w:rPr>
                <w:sz w:val="17"/>
              </w:rPr>
              <w:t>2026-09-28</w:t>
            </w:r>
          </w:p>
        </w:tc>
        <w:tc>
          <w:tcPr>
            <w:tcW w:type="dxa" w:w="1440"/>
            <w:shd w:fill="C6EFCE" w:val="clear"/>
          </w:tcPr>
          <w:p>
            <w:r>
              <w:rPr>
                <w:sz w:val="17"/>
              </w:rPr>
              <w:t>3,759</w:t>
            </w:r>
          </w:p>
        </w:tc>
        <w:tc>
          <w:tcPr>
            <w:tcW w:type="dxa" w:w="1440"/>
            <w:shd w:fill="C6EFCE" w:val="clear"/>
          </w:tcPr>
          <w:p>
            <w:r>
              <w:rPr>
                <w:b/>
                <w:sz w:val="17"/>
              </w:rPr>
              <w:t>4,157</w:t>
            </w:r>
          </w:p>
        </w:tc>
        <w:tc>
          <w:tcPr>
            <w:tcW w:type="dxa" w:w="1440"/>
            <w:shd w:fill="C6EFCE" w:val="clear"/>
          </w:tcPr>
          <w:p>
            <w:r>
              <w:rPr>
                <w:sz w:val="17"/>
              </w:rPr>
              <w:t>4,554</w:t>
            </w:r>
          </w:p>
        </w:tc>
        <w:tc>
          <w:tcPr>
            <w:tcW w:type="dxa" w:w="1440"/>
            <w:shd w:fill="C6EFCE" w:val="clear"/>
          </w:tcPr>
          <w:p>
            <w:r>
              <w:rPr>
                <w:b/>
                <w:color w:val="008000"/>
                <w:sz w:val="17"/>
              </w:rPr>
              <w:t>+3.9%</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3,765</w:t>
            </w:r>
          </w:p>
        </w:tc>
        <w:tc>
          <w:tcPr>
            <w:tcW w:type="dxa" w:w="1440"/>
            <w:shd w:fill="C6EFCE" w:val="clear"/>
          </w:tcPr>
          <w:p>
            <w:r>
              <w:rPr>
                <w:b/>
                <w:sz w:val="17"/>
              </w:rPr>
              <w:t>4,264</w:t>
            </w:r>
          </w:p>
        </w:tc>
        <w:tc>
          <w:tcPr>
            <w:tcW w:type="dxa" w:w="1440"/>
            <w:shd w:fill="C6EFCE" w:val="clear"/>
          </w:tcPr>
          <w:p>
            <w:r>
              <w:rPr>
                <w:sz w:val="17"/>
              </w:rPr>
              <w:t>4,764</w:t>
            </w:r>
          </w:p>
        </w:tc>
        <w:tc>
          <w:tcPr>
            <w:tcW w:type="dxa" w:w="1440"/>
            <w:shd w:fill="C6EFCE" w:val="clear"/>
          </w:tcPr>
          <w:p>
            <w:r>
              <w:rPr>
                <w:b/>
                <w:color w:val="008000"/>
                <w:sz w:val="17"/>
              </w:rPr>
              <w:t>+6.6%</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3,774</w:t>
            </w:r>
          </w:p>
        </w:tc>
        <w:tc>
          <w:tcPr>
            <w:tcW w:type="dxa" w:w="1440"/>
            <w:shd w:fill="C6EFCE" w:val="clear"/>
          </w:tcPr>
          <w:p>
            <w:r>
              <w:rPr>
                <w:b/>
                <w:sz w:val="17"/>
              </w:rPr>
              <w:t>4,364</w:t>
            </w:r>
          </w:p>
        </w:tc>
        <w:tc>
          <w:tcPr>
            <w:tcW w:type="dxa" w:w="1440"/>
            <w:shd w:fill="C6EFCE" w:val="clear"/>
          </w:tcPr>
          <w:p>
            <w:r>
              <w:rPr>
                <w:sz w:val="17"/>
              </w:rPr>
              <w:t>4,954</w:t>
            </w:r>
          </w:p>
        </w:tc>
        <w:tc>
          <w:tcPr>
            <w:tcW w:type="dxa" w:w="1440"/>
            <w:shd w:fill="C6EFCE" w:val="clear"/>
          </w:tcPr>
          <w:p>
            <w:r>
              <w:rPr>
                <w:b/>
                <w:color w:val="008000"/>
                <w:sz w:val="17"/>
              </w:rPr>
              <w:t>+9.1%</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3,782</w:t>
            </w:r>
          </w:p>
        </w:tc>
        <w:tc>
          <w:tcPr>
            <w:tcW w:type="dxa" w:w="1440"/>
            <w:shd w:fill="C6EFCE" w:val="clear"/>
          </w:tcPr>
          <w:p>
            <w:r>
              <w:rPr>
                <w:b/>
                <w:sz w:val="17"/>
              </w:rPr>
              <w:t>4,456</w:t>
            </w:r>
          </w:p>
        </w:tc>
        <w:tc>
          <w:tcPr>
            <w:tcW w:type="dxa" w:w="1440"/>
            <w:shd w:fill="C6EFCE" w:val="clear"/>
          </w:tcPr>
          <w:p>
            <w:r>
              <w:rPr>
                <w:sz w:val="17"/>
              </w:rPr>
              <w:t>5,129</w:t>
            </w:r>
          </w:p>
        </w:tc>
        <w:tc>
          <w:tcPr>
            <w:tcW w:type="dxa" w:w="1440"/>
            <w:shd w:fill="C6EFCE" w:val="clear"/>
          </w:tcPr>
          <w:p>
            <w:r>
              <w:rPr>
                <w:b/>
                <w:color w:val="008000"/>
                <w:sz w:val="17"/>
              </w:rPr>
              <w:t>+11.4%</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3,788</w:t>
            </w:r>
          </w:p>
        </w:tc>
        <w:tc>
          <w:tcPr>
            <w:tcW w:type="dxa" w:w="1440"/>
            <w:shd w:fill="C6EFCE" w:val="clear"/>
          </w:tcPr>
          <w:p>
            <w:r>
              <w:rPr>
                <w:b/>
                <w:sz w:val="17"/>
              </w:rPr>
              <w:t>4,539</w:t>
            </w:r>
          </w:p>
        </w:tc>
        <w:tc>
          <w:tcPr>
            <w:tcW w:type="dxa" w:w="1440"/>
            <w:shd w:fill="C6EFCE" w:val="clear"/>
          </w:tcPr>
          <w:p>
            <w:r>
              <w:rPr>
                <w:sz w:val="17"/>
              </w:rPr>
              <w:t>5,291</w:t>
            </w:r>
          </w:p>
        </w:tc>
        <w:tc>
          <w:tcPr>
            <w:tcW w:type="dxa" w:w="1440"/>
            <w:shd w:fill="C6EFCE" w:val="clear"/>
          </w:tcPr>
          <w:p>
            <w:r>
              <w:rPr>
                <w:b/>
                <w:color w:val="008000"/>
                <w:sz w:val="17"/>
              </w:rPr>
              <w:t>+13.5%</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3,789</w:t>
            </w:r>
          </w:p>
        </w:tc>
        <w:tc>
          <w:tcPr>
            <w:tcW w:type="dxa" w:w="1440"/>
            <w:shd w:fill="C6EFCE" w:val="clear"/>
          </w:tcPr>
          <w:p>
            <w:r>
              <w:rPr>
                <w:b/>
                <w:sz w:val="17"/>
              </w:rPr>
              <w:t>4,615</w:t>
            </w:r>
          </w:p>
        </w:tc>
        <w:tc>
          <w:tcPr>
            <w:tcW w:type="dxa" w:w="1440"/>
            <w:shd w:fill="C6EFCE" w:val="clear"/>
          </w:tcPr>
          <w:p>
            <w:r>
              <w:rPr>
                <w:sz w:val="17"/>
              </w:rPr>
              <w:t>5,440</w:t>
            </w:r>
          </w:p>
        </w:tc>
        <w:tc>
          <w:tcPr>
            <w:tcW w:type="dxa" w:w="1440"/>
            <w:shd w:fill="C6EFCE" w:val="clear"/>
          </w:tcPr>
          <w:p>
            <w:r>
              <w:rPr>
                <w:b/>
                <w:color w:val="008000"/>
                <w:sz w:val="17"/>
              </w:rPr>
              <w:t>+15.4%</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3,787</w:t>
            </w:r>
          </w:p>
        </w:tc>
        <w:tc>
          <w:tcPr>
            <w:tcW w:type="dxa" w:w="1440"/>
            <w:shd w:fill="C6EFCE" w:val="clear"/>
          </w:tcPr>
          <w:p>
            <w:r>
              <w:rPr>
                <w:b/>
                <w:sz w:val="17"/>
              </w:rPr>
              <w:t>4,682</w:t>
            </w:r>
          </w:p>
        </w:tc>
        <w:tc>
          <w:tcPr>
            <w:tcW w:type="dxa" w:w="1440"/>
            <w:shd w:fill="C6EFCE" w:val="clear"/>
          </w:tcPr>
          <w:p>
            <w:r>
              <w:rPr>
                <w:sz w:val="17"/>
              </w:rPr>
              <w:t>5,578</w:t>
            </w:r>
          </w:p>
        </w:tc>
        <w:tc>
          <w:tcPr>
            <w:tcW w:type="dxa" w:w="1440"/>
            <w:shd w:fill="C6EFCE" w:val="clear"/>
          </w:tcPr>
          <w:p>
            <w:r>
              <w:rPr>
                <w:b/>
                <w:color w:val="008000"/>
                <w:sz w:val="17"/>
              </w:rPr>
              <w:t>+17.1%</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3,781</w:t>
            </w:r>
          </w:p>
        </w:tc>
        <w:tc>
          <w:tcPr>
            <w:tcW w:type="dxa" w:w="1440"/>
            <w:shd w:fill="C6EFCE" w:val="clear"/>
          </w:tcPr>
          <w:p>
            <w:r>
              <w:rPr>
                <w:b/>
                <w:sz w:val="17"/>
              </w:rPr>
              <w:t>4,743</w:t>
            </w:r>
          </w:p>
        </w:tc>
        <w:tc>
          <w:tcPr>
            <w:tcW w:type="dxa" w:w="1440"/>
            <w:shd w:fill="C6EFCE" w:val="clear"/>
          </w:tcPr>
          <w:p>
            <w:r>
              <w:rPr>
                <w:sz w:val="17"/>
              </w:rPr>
              <w:t>5,705</w:t>
            </w:r>
          </w:p>
        </w:tc>
        <w:tc>
          <w:tcPr>
            <w:tcW w:type="dxa" w:w="1440"/>
            <w:shd w:fill="C6EFCE" w:val="clear"/>
          </w:tcPr>
          <w:p>
            <w:r>
              <w:rPr>
                <w:b/>
                <w:color w:val="008000"/>
                <w:sz w:val="17"/>
              </w:rPr>
              <w:t>+18.6%</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3,771</w:t>
            </w:r>
          </w:p>
        </w:tc>
        <w:tc>
          <w:tcPr>
            <w:tcW w:type="dxa" w:w="1440"/>
            <w:shd w:fill="C6EFCE" w:val="clear"/>
          </w:tcPr>
          <w:p>
            <w:r>
              <w:rPr>
                <w:b/>
                <w:sz w:val="17"/>
              </w:rPr>
              <w:t>4,797</w:t>
            </w:r>
          </w:p>
        </w:tc>
        <w:tc>
          <w:tcPr>
            <w:tcW w:type="dxa" w:w="1440"/>
            <w:shd w:fill="C6EFCE" w:val="clear"/>
          </w:tcPr>
          <w:p>
            <w:r>
              <w:rPr>
                <w:sz w:val="17"/>
              </w:rPr>
              <w:t>5,822</w:t>
            </w:r>
          </w:p>
        </w:tc>
        <w:tc>
          <w:tcPr>
            <w:tcW w:type="dxa" w:w="1440"/>
            <w:shd w:fill="C6EFCE" w:val="clear"/>
          </w:tcPr>
          <w:p>
            <w:r>
              <w:rPr>
                <w:b/>
                <w:color w:val="008000"/>
                <w:sz w:val="17"/>
              </w:rPr>
              <w:t>+19.9%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32,48 milliards FCFA, SAFC se positionne comme une petite capitalisation au sein de la cote BRVM, ce qui la rend sensible aux mouvements de faible volume et aux rotations sectorielles. Le BPA de 86 FCFA/action indique que chaque titre génère un bénéfice net modeste, ce qui, rapporté au cours actuel de 4 000 FCFA, aboutit à un PER de 46,3x — un niveau très nettement supérieur à la moyenne du marché BRVM (généralement comprise entre 8x et 12x), signalant que les investisseurs paient une prime très élevée pour les bénéfices actuels, ce qui intègre déjà une forte anticipation de croissance future. Le ratio P/B de 5,49x confirme cette valorisation exigeante : le marché valorise la société à plus de cinq fois ses fonds propres comptables (5,916 Mds FCFA), une prime qui ne se justifie que si la rentabilité des fonds propres (ROE de 11,85% en 2025) s'améliore durablement. Enfin, l'EV/EBITDA de 72,6x, très supérieur au seuil de 15x généralement considéré comme raisonnable, traduit une valorisation tendue par rapport à la capacité opérationnelle actuelle ; ces multiples élevés impliquent que le titre est déjà « cher » sur les fondamentaux présents et que toute déception sur la croissance serait sévèrement sanctionnée.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positive de +10,80%, avec une dernière séance en hausse de +0,50%, portant le cours actuel à 4 000 FCFA. Le range de trading est particulièrement large, avec un plus haut à 6 200 FCFA et un plus bas à 3 340 FCFA, soit un écart de près de 86% entre les extrêmes — signe d'une forte amplitude et d'une tendance globale haussière mais très heurtée. La moyenne (4 597 FCFA) est légèrement supérieure à la médiane (4 545 FCFA), ce qui indique une distribution très légèrement asymétrique à droite, cohérente avec le skewness positif de 0,302 (distribution quasi symétrique) ; l'écart-type de 781 FCFA avec un coefficient de variation de 17,0% traduit une dispersion modérée autour de la moyenne. Le kurtosis négatif de -1,029 (distribution platykurtique) signale une faible concentration des rendements et un risque de pics de volatilité moins prononcé qu'une loi normale, ce qui est rassurant pour la gestion du risque. En revanche, la volatilité annualisée de 60,3% classe le titre dans la catégorie des valeurs à volatilité élevée (&gt;30%), ce qui implique un risque de marché important et justifie une approche prudente en termes de taille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(5 270,5 FCFA) et la MM50 (5 184,6 FCFA) se situent toutes deux nettement au-dessus du cours actuel (4 000 FCFA), ce qui traduit une pression baissière de court et moyen terme malgré la décision algorithmique « Achat ». Le croisement potentiel des moyennes reste haussier (MM20 &gt; MM50), mais l'écart négatif avec le cours suggère que le titre évolue en dessous de sa tendance récente, ce qui invite à la prudence.</w:t>
      </w:r>
    </w:p>
    <w:p>
      <w:pPr>
        <w:spacing w:after="120" w:line="276" w:lineRule="auto"/>
      </w:pPr>
      <w:r>
        <w:t>**Bandes de Bollinger** : Le cours (4 000 FCFA) se situe juste au-dessus de la borne inférieure (3 898,7 FCFA) et très loin de la borne supérieure (6 642,3 FCFA), ce qui indique une position de faiblesse relative dans le canal. La largeur des bandes reflète une volatilité élevée, et la décision « Neutre » confirme l'absence de signal directionnel fort, le titre flirtant avec une zone de survente technique.</w:t>
      </w:r>
    </w:p>
    <w:p>
      <w:pPr>
        <w:spacing w:after="120" w:line="276" w:lineRule="auto"/>
      </w:pPr>
      <w:r>
        <w:t>**MACD** : La valeur du MACD (-320,4) est très inférieure à son signal (-132,0), avec un histogramme négatif et creusé, ce qui confirme un momentum baissier persistant. La décision « Vente » de cet indicateur contredit les signaux d'achat des autres oscillateurs et suggère que la pression vendeuse n'est pas encore épuisée.</w:t>
      </w:r>
    </w:p>
    <w:p>
      <w:pPr>
        <w:spacing w:after="120" w:line="276" w:lineRule="auto"/>
      </w:pPr>
      <w:r>
        <w:t>**RSI** : À 15,84, le RSI est en zone de survente extrême (seuil &lt;30), ce qui est un signal d'achat technique classique indiquant un rebond potentiel à court terme. Cette lecture est cohérente avec la décision « Achat », mais un RSI aussi bas peut aussi signaler une tendance baissière forte qu'il convient de ne pas sous-estimer.</w:t>
      </w:r>
    </w:p>
    <w:p>
      <w:pPr>
        <w:spacing w:after="120" w:line="276" w:lineRule="auto"/>
      </w:pPr>
      <w:r>
        <w:t>**Stochastique** : Le %K (0,973) est très supérieur au %D (0,324), avec un croisement haussier récent en zone basse, ce qui confirme la décision « Achat » et suggère un retournement imminent à la hausse. Ce signal est d'autant plus crédible que le stochastique est en zone de survente, renforçant l'idée d'un rebond technique.</w:t>
      </w:r>
    </w:p>
    <w:p>
      <w:pPr>
        <w:spacing w:after="120" w:line="276" w:lineRule="auto"/>
      </w:pPr>
      <w:r>
        <w:t>**Conclusion technique** : Les indicateurs sont divergents : les oscillateurs (RSI, Stochastique) donnent des signaux d'achat en zone de survente, tandis que le MACD et la position sous les moyennes mobiles confirment une tendance baissière de fond. Cette configuration est typique d'un titre survendu susceptible de rebondir à court terme, mais dont la tendance moyen terme reste fragile ; la prudence est de mise tant que le cours ne repasse pas au-dessus de la MM20 (5 270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(PNB, équivalent du chiffre d'affaires pour une banque) de 5 735 M FCFA, en forte hausse de +44,1% par rapport à 2024 (3 980 M FCFA), portée par la progression des intérêts (+14,4%) et des commissions (+81%). Le résultat net s'établit à 701 M FCFA, marquant un retournement spectaculaire après une perte de -165 M FCFA en 2024, avec une marge nette de 12,2%. Le ROE ressort à 11,85% (inférieur au seuil d'excellence de 15%) et le ROA à 0,88%, reflétant une rentabilité encore modeste mais en nette amélioration. Le coefficient d'exploitation de 77,6% reste élevé (seuil d'efficacité &lt;60%), indiquant que les charges d'exploitation absorbent une part importante du PNB. Le coût du risque rapporté aux charges financières s'élève à 6,57%, ce qui traduit un risque de crédit significatif, bien que le coût du risque absolu (377 M FCFA) soit maîtrisé. La structure financière demeure fragile : l'autonomie financière n'est que de 7,44% (capitaux propres/total bilan), très en dessous du seuil de 30% considéré comme sain, et le ratio d'endettement atteint 856,4%. La liquidité générale est confortable (537,5%), mais la trésorerie nette est négative (-35,3 Mds FCFA), signe d'une dépendance aux financements interbancaires (35,7 Mds FCFA, +45%).</w:t>
      </w:r>
    </w:p>
    <w:p>
      <w:pPr>
        <w:spacing w:after="120" w:line="276" w:lineRule="auto"/>
      </w:pPr>
      <w:r>
        <w:t>**Estimations basées sur les rapports trimestriels** : Le rapport du T1 2026 (publié le 12 mai 2026) indique un PNB de 1 395 M FCFA (+29%) et un résultat net de 151 M FCFA (+1 062%), avec un coût du risque en baisse de 75%. Le rapport semestriel 2026 (publié le 4 septembre 2026) confirme cette dynamique avec un PNB de 2 907 M FCFA (+37%) et un résultat net de 731 M FCFA (+231%), ainsi qu'une reprise nette sur coût du risque de 261 M FCFA. Sur cette base, on peut estimer que l'exercice 2026 devrait afficher un PNB supérieur à 5,8 Mds FCFA et un résultat net en forte progression, potentiellement supérieur à 1,2 Md FCFA, ce qui ramènerait le PER à un niveau plus raisonnable (environ 27x sur la base des bénéfices estimés). Le renforcement des fonds propres (CET1 à 11,49% au S1 2026) et l'augmentation de capital de 1,5 Md FCFA (avis BRVM du 14 avril 2026) devraient améliorer l'autonomie financière.</w:t>
      </w:r>
    </w:p>
    <w:p>
      <w:pPr>
        <w:spacing w:after="120" w:line="276" w:lineRule="auto"/>
      </w:pPr>
      <w:r>
        <w:t>**Recommandation fondamentale** : La dynamique opérationnelle est excellente et le redressement est confirmé par les rapports trimestriels, mais la structure financière reste fragile (fonds propres modestes, dépendance interbancaire, report à nouveau négatif de -4 123 M FCFA). La valorisation boursière intègre déjà une grande partie de cette amélioration, ce qui limite le potentiel de revalorisation à court terme. La solidité à moyen terme dépendra de la capacité à maintenir la croissance du PNB, à maîtriser le coût du risque et à poursuivre l'assainissement du bilan.</w:t>
      </w:r>
    </w:p>
    <w:p>
      <w:pPr>
        <w:spacing w:after="120" w:line="276" w:lineRule="auto"/>
      </w:pPr>
      <w:r>
        <w:t>---</w:t>
      </w:r>
    </w:p>
    <w:p>
      <w:pPr>
        <w:spacing w:after="120" w:line="276" w:lineRule="auto"/>
      </w:pPr>
      <w:r>
        <w:t>## PARTIE 4 : CONCLUSION D'INVESTISSEMENT</w:t>
      </w:r>
    </w:p>
    <w:p>
      <w:pPr>
        <w:spacing w:after="120" w:line="276" w:lineRule="auto"/>
      </w:pPr>
      <w:r>
        <w:t>La valorisation (Partie 0) est très exigeante : le PER de 46,3x, le P/B de 5,49x et l'EV/EBITDA de 72,6x indiquent que le marché a déjà intégré une forte croissance future, ce qui laisse peu de marge de sécurité en cas de déception. Le comportement du cours (Partie 1) est mitigé : la tendance haussière sur 100 jours (+10,80%) masque une volatilité élevée (60,3%) et une distribution platykurtique qui, si elle réduit le risque de pics extrêmes, n'en demeure pas moins préoccupante pour un investisseur averse au risque. Les signaux techniques (Partie 2) sont divergents : les oscillateurs (RSI en survente, Stochastique haussier) plaident pour un rebond à court terme, mais le MACD baissier et la position sous les moyennes mobiles suggèrent que la tendance de fond reste fragile. Les fondamentaux (Partie 3) sont en nette amélioration, avec un PNB en hausse de 44% en 2025 et un résultat net positif de 701 M FCFA, confirmés par les rapports trimestriels 2026 (PNB +37% au S1, résultat net +231%), mais la structure financière reste fragile (autonomie financière de 7,44%, dépendance interbancaire). Les prédictions IA (J+1 à J+10) anticipent une trajectoire haussière vers 4 456 FCFA d'ici le 1er octobre 2026, ce qui confirme les signaux d'achat techniques à court terme mais contredit la prudence fondamentale liée à la valorisation.</w:t>
      </w:r>
    </w:p>
    <w:p>
      <w:pPr>
        <w:spacing w:after="120" w:line="276" w:lineRule="auto"/>
      </w:pPr>
      <w:r>
        <w:t>**Recommandation finale : CONSERVER** — Justification : la convergence entre les signaux techniques d'achat à court terme (RSI, Stochastique) et les prédictions IA haussières soutient un rebond imminent, mais la valorisation très élevée (PER 46,3x) et la fragilité de la structure financière limitent le potentiel de revalorisation durable. Le niveau de confiance est **Moyen** (les indicateurs sont divergents et la visibilité sur la poursuite du redressement reste limitée), et le niveau de risque global est **Élevé** (volatilité de 60,3%, dépendance interbancaire, valorisation tendue). L'horizon d'investissement optimal est **moyen terme (3-12 mois)**, en surveillant la confirmation des résultats du second semestre 2026 et l'impact de l'augmentation de capital sur la structure financière. Un passage à l'ACHAT serait justifié si le cours repasse durablement au-dessus de la MM20 (5 270 FCFA) et si les fonds propres se renforcent significativement.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56.64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10,995 titres</w:t>
            </w:r>
          </w:p>
        </w:tc>
        <w:tc>
          <w:tcPr>
            <w:tcW w:type="dxa" w:w="2268"/>
            <w:shd w:fill="FFF2CC" w:val="clear"/>
          </w:tcPr>
          <w:p>
            <w:r>
              <w:rPr>
                <w:b/>
                <w:color w:val="503200"/>
                <w:sz w:val="16"/>
              </w:rPr>
              <w:t xml:space="preserve">Cours actuel : </w:t>
            </w:r>
            <w:r>
              <w:rPr>
                <w:color w:val="000000"/>
                <w:sz w:val="17"/>
              </w:rPr>
              <w:t>2,890 FCFA</w:t>
            </w:r>
          </w:p>
          <w:p>
            <w:r>
              <w:rPr>
                <w:b/>
                <w:color w:val="503200"/>
                <w:sz w:val="16"/>
              </w:rPr>
              <w:t xml:space="preserve">Var. 100 jours : </w:t>
            </w:r>
            <w:r>
              <w:rPr>
                <w:b/>
                <w:color w:val="007800"/>
                <w:sz w:val="17"/>
              </w:rPr>
              <w:t>+44.86%</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16.92% (Élevée) — μ=3,125 FCFA, σ=529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β=0.8177 (Neutre (suit le marché)) — Cov=0.000033, Var(idx)=0.000040, ρ=0.145, n=95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10,995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σ_j=3.65%/j (Modérée) — Vol. annualisée≈58.0%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2026-09-25</w:t>
            </w:r>
          </w:p>
        </w:tc>
        <w:tc>
          <w:tcPr>
            <w:tcW w:type="dxa" w:w="1440"/>
            <w:shd w:fill="C6EFCE" w:val="clear"/>
          </w:tcPr>
          <w:p>
            <w:r>
              <w:rPr>
                <w:sz w:val="17"/>
              </w:rPr>
              <w:t>2,859</w:t>
            </w:r>
          </w:p>
        </w:tc>
        <w:tc>
          <w:tcPr>
            <w:tcW w:type="dxa" w:w="1440"/>
            <w:shd w:fill="C6EFCE" w:val="clear"/>
          </w:tcPr>
          <w:p>
            <w:r>
              <w:rPr>
                <w:b/>
                <w:sz w:val="17"/>
              </w:rPr>
              <w:t>3,012</w:t>
            </w:r>
          </w:p>
        </w:tc>
        <w:tc>
          <w:tcPr>
            <w:tcW w:type="dxa" w:w="1440"/>
            <w:shd w:fill="C6EFCE" w:val="clear"/>
          </w:tcPr>
          <w:p>
            <w:r>
              <w:rPr>
                <w:sz w:val="17"/>
              </w:rPr>
              <w:t>3,165</w:t>
            </w:r>
          </w:p>
        </w:tc>
        <w:tc>
          <w:tcPr>
            <w:tcW w:type="dxa" w:w="1440"/>
            <w:shd w:fill="C6EFCE" w:val="clear"/>
          </w:tcPr>
          <w:p>
            <w:r>
              <w:rPr>
                <w:b/>
                <w:color w:val="008000"/>
                <w:sz w:val="17"/>
              </w:rPr>
              <w:t>+4.2%</w:t>
            </w:r>
          </w:p>
        </w:tc>
      </w:tr>
      <w:tr>
        <w:tc>
          <w:tcPr>
            <w:tcW w:type="dxa" w:w="1440"/>
            <w:shd w:fill="C6EFCE" w:val="clear"/>
          </w:tcPr>
          <w:p>
            <w:r>
              <w:rPr>
                <w:sz w:val="17"/>
              </w:rPr>
              <w:t>J+2  Moyenne</w:t>
            </w:r>
          </w:p>
        </w:tc>
        <w:tc>
          <w:tcPr>
            <w:tcW w:type="dxa" w:w="1440"/>
            <w:shd w:fill="C6EFCE" w:val="clear"/>
          </w:tcPr>
          <w:p>
            <w:r>
              <w:rPr>
                <w:sz w:val="17"/>
              </w:rPr>
              <w:t>2026-09-28</w:t>
            </w:r>
          </w:p>
        </w:tc>
        <w:tc>
          <w:tcPr>
            <w:tcW w:type="dxa" w:w="1440"/>
            <w:shd w:fill="C6EFCE" w:val="clear"/>
          </w:tcPr>
          <w:p>
            <w:r>
              <w:rPr>
                <w:sz w:val="17"/>
              </w:rPr>
              <w:t>2,936</w:t>
            </w:r>
          </w:p>
        </w:tc>
        <w:tc>
          <w:tcPr>
            <w:tcW w:type="dxa" w:w="1440"/>
            <w:shd w:fill="C6EFCE" w:val="clear"/>
          </w:tcPr>
          <w:p>
            <w:r>
              <w:rPr>
                <w:b/>
                <w:sz w:val="17"/>
              </w:rPr>
              <w:t>3,164</w:t>
            </w:r>
          </w:p>
        </w:tc>
        <w:tc>
          <w:tcPr>
            <w:tcW w:type="dxa" w:w="1440"/>
            <w:shd w:fill="C6EFCE" w:val="clear"/>
          </w:tcPr>
          <w:p>
            <w:r>
              <w:rPr>
                <w:sz w:val="17"/>
              </w:rPr>
              <w:t>3,391</w:t>
            </w:r>
          </w:p>
        </w:tc>
        <w:tc>
          <w:tcPr>
            <w:tcW w:type="dxa" w:w="1440"/>
            <w:shd w:fill="C6EFCE" w:val="clear"/>
          </w:tcPr>
          <w:p>
            <w:r>
              <w:rPr>
                <w:b/>
                <w:color w:val="008000"/>
                <w:sz w:val="17"/>
              </w:rPr>
              <w:t>+9.5%</w:t>
            </w:r>
          </w:p>
        </w:tc>
      </w:tr>
      <w:tr>
        <w:tc>
          <w:tcPr>
            <w:tcW w:type="dxa" w:w="1440"/>
            <w:shd w:fill="C6EFCE" w:val="clear"/>
          </w:tcPr>
          <w:p>
            <w:r>
              <w:rPr>
                <w:sz w:val="17"/>
              </w:rPr>
              <w:t>J+3  Moyenne</w:t>
            </w:r>
          </w:p>
        </w:tc>
        <w:tc>
          <w:tcPr>
            <w:tcW w:type="dxa" w:w="1440"/>
            <w:shd w:fill="C6EFCE" w:val="clear"/>
          </w:tcPr>
          <w:p>
            <w:r>
              <w:rPr>
                <w:sz w:val="17"/>
              </w:rPr>
              <w:t>2026-09-29</w:t>
            </w:r>
          </w:p>
        </w:tc>
        <w:tc>
          <w:tcPr>
            <w:tcW w:type="dxa" w:w="1440"/>
            <w:shd w:fill="C6EFCE" w:val="clear"/>
          </w:tcPr>
          <w:p>
            <w:r>
              <w:rPr>
                <w:sz w:val="17"/>
              </w:rPr>
              <w:t>2,962</w:t>
            </w:r>
          </w:p>
        </w:tc>
        <w:tc>
          <w:tcPr>
            <w:tcW w:type="dxa" w:w="1440"/>
            <w:shd w:fill="C6EFCE" w:val="clear"/>
          </w:tcPr>
          <w:p>
            <w:r>
              <w:rPr>
                <w:b/>
                <w:sz w:val="17"/>
              </w:rPr>
              <w:t>3,248</w:t>
            </w:r>
          </w:p>
        </w:tc>
        <w:tc>
          <w:tcPr>
            <w:tcW w:type="dxa" w:w="1440"/>
            <w:shd w:fill="C6EFCE" w:val="clear"/>
          </w:tcPr>
          <w:p>
            <w:r>
              <w:rPr>
                <w:sz w:val="17"/>
              </w:rPr>
              <w:t>3,534</w:t>
            </w:r>
          </w:p>
        </w:tc>
        <w:tc>
          <w:tcPr>
            <w:tcW w:type="dxa" w:w="1440"/>
            <w:shd w:fill="C6EFCE" w:val="clear"/>
          </w:tcPr>
          <w:p>
            <w:r>
              <w:rPr>
                <w:b/>
                <w:color w:val="008000"/>
                <w:sz w:val="17"/>
              </w:rPr>
              <w:t>+12.4%</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2,963</w:t>
            </w:r>
          </w:p>
        </w:tc>
        <w:tc>
          <w:tcPr>
            <w:tcW w:type="dxa" w:w="1440"/>
            <w:shd w:fill="C6EFCE" w:val="clear"/>
          </w:tcPr>
          <w:p>
            <w:r>
              <w:rPr>
                <w:b/>
                <w:sz w:val="17"/>
              </w:rPr>
              <w:t>3,298</w:t>
            </w:r>
          </w:p>
        </w:tc>
        <w:tc>
          <w:tcPr>
            <w:tcW w:type="dxa" w:w="1440"/>
            <w:shd w:fill="C6EFCE" w:val="clear"/>
          </w:tcPr>
          <w:p>
            <w:r>
              <w:rPr>
                <w:sz w:val="17"/>
              </w:rPr>
              <w:t>3,634</w:t>
            </w:r>
          </w:p>
        </w:tc>
        <w:tc>
          <w:tcPr>
            <w:tcW w:type="dxa" w:w="1440"/>
            <w:shd w:fill="C6EFCE" w:val="clear"/>
          </w:tcPr>
          <w:p>
            <w:r>
              <w:rPr>
                <w:b/>
                <w:color w:val="008000"/>
                <w:sz w:val="17"/>
              </w:rPr>
              <w:t>+14.1%</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2,953</w:t>
            </w:r>
          </w:p>
        </w:tc>
        <w:tc>
          <w:tcPr>
            <w:tcW w:type="dxa" w:w="1440"/>
            <w:shd w:fill="C6EFCE" w:val="clear"/>
          </w:tcPr>
          <w:p>
            <w:r>
              <w:rPr>
                <w:b/>
                <w:sz w:val="17"/>
              </w:rPr>
              <w:t>3,332</w:t>
            </w:r>
          </w:p>
        </w:tc>
        <w:tc>
          <w:tcPr>
            <w:tcW w:type="dxa" w:w="1440"/>
            <w:shd w:fill="C6EFCE" w:val="clear"/>
          </w:tcPr>
          <w:p>
            <w:r>
              <w:rPr>
                <w:sz w:val="17"/>
              </w:rPr>
              <w:t>3,710</w:t>
            </w:r>
          </w:p>
        </w:tc>
        <w:tc>
          <w:tcPr>
            <w:tcW w:type="dxa" w:w="1440"/>
            <w:shd w:fill="C6EFCE" w:val="clear"/>
          </w:tcPr>
          <w:p>
            <w:r>
              <w:rPr>
                <w:b/>
                <w:color w:val="008000"/>
                <w:sz w:val="17"/>
              </w:rPr>
              <w:t>+15.3%</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2,938</w:t>
            </w:r>
          </w:p>
        </w:tc>
        <w:tc>
          <w:tcPr>
            <w:tcW w:type="dxa" w:w="1440"/>
            <w:shd w:fill="C6EFCE" w:val="clear"/>
          </w:tcPr>
          <w:p>
            <w:r>
              <w:rPr>
                <w:b/>
                <w:sz w:val="17"/>
              </w:rPr>
              <w:t>3,356</w:t>
            </w:r>
          </w:p>
        </w:tc>
        <w:tc>
          <w:tcPr>
            <w:tcW w:type="dxa" w:w="1440"/>
            <w:shd w:fill="C6EFCE" w:val="clear"/>
          </w:tcPr>
          <w:p>
            <w:r>
              <w:rPr>
                <w:sz w:val="17"/>
              </w:rPr>
              <w:t>3,774</w:t>
            </w:r>
          </w:p>
        </w:tc>
        <w:tc>
          <w:tcPr>
            <w:tcW w:type="dxa" w:w="1440"/>
            <w:shd w:fill="C6EFCE" w:val="clear"/>
          </w:tcPr>
          <w:p>
            <w:r>
              <w:rPr>
                <w:b/>
                <w:color w:val="008000"/>
                <w:sz w:val="17"/>
              </w:rPr>
              <w:t>+16.1%</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2,922</w:t>
            </w:r>
          </w:p>
        </w:tc>
        <w:tc>
          <w:tcPr>
            <w:tcW w:type="dxa" w:w="1440"/>
            <w:shd w:fill="C6EFCE" w:val="clear"/>
          </w:tcPr>
          <w:p>
            <w:r>
              <w:rPr>
                <w:b/>
                <w:sz w:val="17"/>
              </w:rPr>
              <w:t>3,376</w:t>
            </w:r>
          </w:p>
        </w:tc>
        <w:tc>
          <w:tcPr>
            <w:tcW w:type="dxa" w:w="1440"/>
            <w:shd w:fill="C6EFCE" w:val="clear"/>
          </w:tcPr>
          <w:p>
            <w:r>
              <w:rPr>
                <w:sz w:val="17"/>
              </w:rPr>
              <w:t>3,830</w:t>
            </w:r>
          </w:p>
        </w:tc>
        <w:tc>
          <w:tcPr>
            <w:tcW w:type="dxa" w:w="1440"/>
            <w:shd w:fill="C6EFCE" w:val="clear"/>
          </w:tcPr>
          <w:p>
            <w:r>
              <w:rPr>
                <w:b/>
                <w:color w:val="008000"/>
                <w:sz w:val="17"/>
              </w:rPr>
              <w:t>+16.8%</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2,906</w:t>
            </w:r>
          </w:p>
        </w:tc>
        <w:tc>
          <w:tcPr>
            <w:tcW w:type="dxa" w:w="1440"/>
            <w:shd w:fill="C6EFCE" w:val="clear"/>
          </w:tcPr>
          <w:p>
            <w:r>
              <w:rPr>
                <w:b/>
                <w:sz w:val="17"/>
              </w:rPr>
              <w:t>3,394</w:t>
            </w:r>
          </w:p>
        </w:tc>
        <w:tc>
          <w:tcPr>
            <w:tcW w:type="dxa" w:w="1440"/>
            <w:shd w:fill="C6EFCE" w:val="clear"/>
          </w:tcPr>
          <w:p>
            <w:r>
              <w:rPr>
                <w:sz w:val="17"/>
              </w:rPr>
              <w:t>3,882</w:t>
            </w:r>
          </w:p>
        </w:tc>
        <w:tc>
          <w:tcPr>
            <w:tcW w:type="dxa" w:w="1440"/>
            <w:shd w:fill="C6EFCE" w:val="clear"/>
          </w:tcPr>
          <w:p>
            <w:r>
              <w:rPr>
                <w:b/>
                <w:color w:val="008000"/>
                <w:sz w:val="17"/>
              </w:rPr>
              <w:t>+17.4%</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2,889</w:t>
            </w:r>
          </w:p>
        </w:tc>
        <w:tc>
          <w:tcPr>
            <w:tcW w:type="dxa" w:w="1440"/>
            <w:shd w:fill="C6EFCE" w:val="clear"/>
          </w:tcPr>
          <w:p>
            <w:r>
              <w:rPr>
                <w:b/>
                <w:sz w:val="17"/>
              </w:rPr>
              <w:t>3,409</w:t>
            </w:r>
          </w:p>
        </w:tc>
        <w:tc>
          <w:tcPr>
            <w:tcW w:type="dxa" w:w="1440"/>
            <w:shd w:fill="C6EFCE" w:val="clear"/>
          </w:tcPr>
          <w:p>
            <w:r>
              <w:rPr>
                <w:sz w:val="17"/>
              </w:rPr>
              <w:t>3,928</w:t>
            </w:r>
          </w:p>
        </w:tc>
        <w:tc>
          <w:tcPr>
            <w:tcW w:type="dxa" w:w="1440"/>
            <w:shd w:fill="C6EFCE" w:val="clear"/>
          </w:tcPr>
          <w:p>
            <w:r>
              <w:rPr>
                <w:b/>
                <w:color w:val="008000"/>
                <w:sz w:val="17"/>
              </w:rPr>
              <w:t>+17.9%</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2,871</w:t>
            </w:r>
          </w:p>
        </w:tc>
        <w:tc>
          <w:tcPr>
            <w:tcW w:type="dxa" w:w="1440"/>
            <w:shd w:fill="C6EFCE" w:val="clear"/>
          </w:tcPr>
          <w:p>
            <w:r>
              <w:rPr>
                <w:b/>
                <w:sz w:val="17"/>
              </w:rPr>
              <w:t>3,421</w:t>
            </w:r>
          </w:p>
        </w:tc>
        <w:tc>
          <w:tcPr>
            <w:tcW w:type="dxa" w:w="1440"/>
            <w:shd w:fill="C6EFCE" w:val="clear"/>
          </w:tcPr>
          <w:p>
            <w:r>
              <w:rPr>
                <w:sz w:val="17"/>
              </w:rPr>
              <w:t>3,971</w:t>
            </w:r>
          </w:p>
        </w:tc>
        <w:tc>
          <w:tcPr>
            <w:tcW w:type="dxa" w:w="1440"/>
            <w:shd w:fill="C6EFCE" w:val="clear"/>
          </w:tcPr>
          <w:p>
            <w:r>
              <w:rPr>
                <w:b/>
                <w:color w:val="008000"/>
                <w:sz w:val="17"/>
              </w:rPr>
              <w:t>+18.4%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SUCRIVOIRE (SCRC)**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SCRC s'élève à 56,64 milliards FCFA, un niveau intermédiaire qui positionne la valeur parmi les capitalisations moyennes de la cote BRVM, loin des poids lourds comme Sonatel ou Orange CI, mais suffisamment significatif pour attirer l'attention des investisseurs institutionnels régionaux. Le BPA ressort à -406 FCFA/action, traduisant une société en perte nette par action, ce qui rend le PER inexploitable en l'état (-7,1x) : un PER négatif signifie simplement que l'entreprise détruit de la valeur pour l'actionnaire sur l'exercice considéré, et non qu'elle se paie « bon marché ». Le P/B de 3,29x indique que le marché valorise SCRC à plus de trois fois ses capitaux propres comptables (17,24 Mds FCFA), soit une prime de croissance significative qui contraste fortement avec la situation bénéficiaire dégradée — cet écart suggère que les investisseurs anticipent un redressement que les comptes actuels ne matérialisent pas encore. Enfin, l'EV/EBITDA de 10,0x se situe dans la fourchette haute de la zone raisonnable (5-10x), ce qui signifie que la valeur d'entreprise (capitalisation + dette nette) représente dix fois la capacité opérationnelle brute, un niveau acceptable mais qui n'offre pas de marge de sécurité évidente compte tenu de la structure financière tendue.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SCRC a enregistré une progression spectaculaire de +44,86%, avec une dernière séance particulièrement dynamique (+7,43%), portant le cours actuel à 2 890 FCFA pour une capitalisation de 56,64 Mds FCFA. Le range de trading est très large, oscillant entre un plus bas de 1 990 FCFA et un plus haut de 3 920 FCFA, soit un écart de près de 97% entre les deux extrêmes — signe d'une forte agitation spéculative. La tendance générale est haussière sur la période, mais le cours actuel (2 890 FCFA) se situe nettement en dessous du plus haut, ce qui révèle une correction en cours après un pic marqué. Les statistiques descriptives confirment cette asymétrie : la moyenne (3 125 FCFA) est inférieure à la médiane (3 298 FCFA), et le mode s'établit à 3 500 FCFA, indiquant que la distribution est tirée vers le bas par des journées de baisse plus nombreuses en fin de période — ce que confirme le skewness négatif (-0,752), qui traduit une asymétrie où les journées au-dessus de la moyenne ont été plus fréquentes historiquement, mais avec une queue de distribution étirée vers les baisses récentes. L'écart-type de 531 FCFA avec un coefficient de variation de 17,0% indique une dispersion modérée autour de la moyenne, tandis que le kurtosis de -0,619 (mésokurtique) suggère une distribution proche de la normale, sans risque extrême de pics exceptionnels. La volatilité annualisée de 58,0% classe ce titre dans la catégorie des valeurs à volatilité élevée (&gt;30%), ce qui implique un risque de perte en capital significatif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3 335,25 FCFA et la MM50 à 3 491,30 FCFA, toutes deux nettement supérieures au cours actuel de 2 890 FCFA. Cette configuration — prix sous les deux moyennes — est un signal baissier classique, confirmé par la décision « Vente » : le titre évolue en territoire de correction et les moyennes agissent comme des résistances dynamiques.</w:t>
      </w:r>
    </w:p>
    <w:p>
      <w:pPr>
        <w:spacing w:after="120" w:line="276" w:lineRule="auto"/>
      </w:pPr>
      <w:r>
        <w:t>**Bandes de Bollinger** : La borne supérieure est à 3 850,77 FCFA et la borne inférieure à 2 819,73 FCFA, avec un cours actuel de 2 890 FCFA qui se situe très près de la borne basse (à seulement 70 FCFA de celle-ci). Cette position indique que le titre est survendu à court terme et pourrait bénéficier d'un rebond technique, mais la décision reste « Neutre » car la volatilité (largeur des bandes) ne signale pas encore de retournement confirmé.</w:t>
      </w:r>
    </w:p>
    <w:p>
      <w:pPr>
        <w:spacing w:after="120" w:line="276" w:lineRule="auto"/>
      </w:pPr>
      <w:r>
        <w:t>**MACD** : La valeur du MACD est de -158,038 contre un signal à -83,464, soit une divergence négative où le MACD est nettement sous son signal. Ce croisement baissier persistant traduit un momentum négatif toujours actif, et la décision « Vente » est cohérente avec cette configuration qui ne montre aucun signe de retournement imminent.</w:t>
      </w:r>
    </w:p>
    <w:p>
      <w:pPr>
        <w:spacing w:after="120" w:line="276" w:lineRule="auto"/>
      </w:pPr>
      <w:r>
        <w:t>**RSI** : Le RSI s'établit à 18,455, un niveau très inférieur au seuil de survente de 30, ce qui déclenche une décision « Achat » selon l'indicateur. Un RSI aussi bas signale une pression vendeuse excessive et une probabilité élevée de rebond technique à court terme, mais il faut noter que dans un contexte de tendance baissière forte, un RSI bas peut rester bas durablement.</w:t>
      </w:r>
    </w:p>
    <w:p>
      <w:pPr>
        <w:spacing w:after="120" w:line="276" w:lineRule="auto"/>
      </w:pPr>
      <w:r>
        <w:t>**Stochastique** : Le %K est à 21,858 et le %D à 7,286, avec une décision « Neutre ». Le %K est au-dessus du %D, ce qui pourrait indiquer un début de croisement haussier, mais les deux valeurs restent en zone basse (sous 20 pour le %D), signalant que le titre est encore en phase de faiblesse sans confirmation de retournement.</w:t>
      </w:r>
    </w:p>
    <w:p>
      <w:pPr>
        <w:spacing w:after="120" w:line="276" w:lineRule="auto"/>
      </w:pPr>
      <w:r>
        <w:t>**Conclusion technique** : Les indicateurs sont majoritairement baissiers (MM, MACD) avec quelques signaux de survente (RSI, position dans les bandes de Bollinger) qui pourraient annoncer un rebond technique à très court terme. La divergence entre le RSI (achat) et les moyennes mobiles/MACD (vente) crée une configuration incertaine : le titre est survendu mais la tendance de fond reste négative. Une prudence s'impose avant tout achat, en attendant une confirmation de retournement (croisement haussier du MACD ou cassure de la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2025 de SCRC (exercice clos le 31 décembre 2025, analysés dans les rapports officiels) révèlent une situation profondément dégradée. Le chiffre d'affaires s'établit à 80,569 Mds FCFA, en baisse de 7,6% par rapport aux 87,219 Mds FCFA de 2024, marquant une contraction de l'activité commerciale. Le résultat net est une perte massive de -7,954 Mds FCFA (IFRS) ou -6,132 Mds FCFA (SYSCOHADA), contre un bénéfice de 2,474 Mds FCFA en 2024 — une dégradation spectaculaire de plus de 10 Mds FCFA en un an. Les ratios de rentabilité sont catastrophiques : le ROE est de -46,13% (destruction massive de valeur pour l'actionnaire) et le ROA de -5,08%, confirmant que l'entreprise ne génère aucun profit sur ses actifs. La marge nette est de -9,87%, la marge opérationnelle de -0,68%, et le résultat d'exploitation est négatif à -544,99 M FCFA. La structure financière est très fragile : l'autonomie financière n'est que de 11,02% (très en dessous du seuil sain de 30%), le ratio d'endettement atteint 88,98% (dettes totales/capitaux propres), et la capacité de remboursement est de 11,21 années de CAF, ce qui est extrêmement tendu. Les délais d'exploitation révèlent des anomalies : le délai fournisseurs de 366 jours est anormalement élevé (signe de tensions de trésorerie), tandis que le délai clients de 12,28 jours est correct. Le BFR est de 6,529 Mds FCFA et le fonds de roulement est négatif à -10,665 Mds FCFA, ce qui signifie que l'entreprise ne finance pas son cycle d'exploitation par des ressources stables — une situation dangereuse. Les rapports trimestriels antérieurs (T1 2025, S1 2025) confirment cette tendance : le T1 2025 affichait déjà un CA en baisse de 13% à 25,09 Mds FCFA et un résultat net en repli de 32% à 3,21 Mds FCFA, tandis que le S1 2025 enregistrait une perte nette de -6,71 Mds FCFA. Sur la base de ces tendances, on estime que l'exercice 2026 devrait rester sous pression, avec un risque de nouvelle perte si la restructuration financière (plan validé en août 2024) ne produit pas ses effets rapidement. La recommandation fondamentale est donc très prudente : la société présente des risques majeurs de liquidité et de solvabilité, et son redressement dépendra de sa capacité à réduire son endettement (84,87 Mds FCFA de dettes financières) et à restaurer sa rentabilité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les signaux. Sur le plan de la **valorisation (Partie 0)**, le PER négatif (-7,1x) et le P/B élevé (3,29x) indiquent que le marché valorise SCRC bien au-dessus de ses fondamentaux comptables, ce qui suggère une surévaluation manifeste compte tenu des pertes enregistrées. Le **comportement du cours (Partie 1)** montre une tendance haussière sur 100 jours (+44,86%) mais avec une correction récente marquée (cours à 2 890 FCFA contre un plus haut de 3 920 FCFA), une volatilité élevée (58%) et une asymétrie négative (skewness -0,752) qui traduit une pression baissière en fin de période. Les **signaux techniques (Partie 2)** sont majoritairement baissiers (MM20 et MM50 au-dessus du cours, MACD négatif), avec seulement le RSI en zone de survente (18,46) qui suggère un rebond technique possible mais non confirmé. Les **fondamentaux (Partie 3)** sont très dégradés : perte nette de -7,95 Mds FCFA en 2025, ROE de -46,13%, endettement critique (88,98% des capitaux propres) et trésorerie nette négative (-6,505 Mds FCFA). Les **prédictions IA (J+1 à J+10)** anticipent une hausse progressive de 3 012 FCFA à 3 332 FCFA, ce qui contredit les signaux techniques baissiers mais pourrait refléter un rebond technique après la survente. Compte tenu de cette divergence — fondamentaux catastrophiques, technique baissier mais prédictions haussières à court terme — la recommandation finale est **VENTE** avec un niveau de confiance **Moyen** et un risque global **Élevé**. Le potentiel de rebond technique à court terme (porté par le RSI survendu et les prédictions IA) ne compense pas les risques fondamentaux majeurs (perte massive, endettement insoutenable, destruction de valeur). L'horizon d'investissement recommandé est **court terme** (&lt; 3 mois) pour les traders cherchant à profiter du rebond technique, mais les investisseurs à moyen et long terme devraient éviter le titre en attendant une amélioration tangible de la rentabilité et de la structure financière.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1,411 titres</w:t>
            </w:r>
          </w:p>
        </w:tc>
        <w:tc>
          <w:tcPr>
            <w:tcW w:type="dxa" w:w="2268"/>
            <w:shd w:fill="FFF2CC" w:val="clear"/>
          </w:tcPr>
          <w:p>
            <w:r>
              <w:rPr>
                <w:b/>
                <w:color w:val="503200"/>
                <w:sz w:val="16"/>
              </w:rPr>
              <w:t xml:space="preserve">Cours actuel : </w:t>
            </w:r>
            <w:r>
              <w:rPr>
                <w:color w:val="000000"/>
                <w:sz w:val="17"/>
              </w:rPr>
              <w:t>11,910 FCFA</w:t>
            </w:r>
          </w:p>
          <w:p>
            <w:r>
              <w:rPr>
                <w:b/>
                <w:color w:val="503200"/>
                <w:sz w:val="16"/>
              </w:rPr>
              <w:t xml:space="preserve">Var. 100 jours : </w:t>
            </w:r>
            <w:r>
              <w:rPr>
                <w:b/>
                <w:color w:val="007800"/>
                <w:sz w:val="17"/>
              </w:rPr>
              <w:t>+32.41%</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8,900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9.21% (Moyenne) — μ=11,743 FCFA, σ=1,082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β=0.1371 (Défensif) — Cov=0.000006, Var(idx)=0.000045, ρ=0.040,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2026-09-25</w:t>
            </w:r>
          </w:p>
        </w:tc>
        <w:tc>
          <w:tcPr>
            <w:tcW w:type="dxa" w:w="1440"/>
            <w:shd w:fill="C6EFCE" w:val="clear"/>
          </w:tcPr>
          <w:p>
            <w:r>
              <w:rPr>
                <w:sz w:val="17"/>
              </w:rPr>
              <w:t>11,638</w:t>
            </w:r>
          </w:p>
        </w:tc>
        <w:tc>
          <w:tcPr>
            <w:tcW w:type="dxa" w:w="1440"/>
            <w:shd w:fill="C6EFCE" w:val="clear"/>
          </w:tcPr>
          <w:p>
            <w:r>
              <w:rPr>
                <w:b/>
                <w:sz w:val="17"/>
              </w:rPr>
              <w:t>12,282</w:t>
            </w:r>
          </w:p>
        </w:tc>
        <w:tc>
          <w:tcPr>
            <w:tcW w:type="dxa" w:w="1440"/>
            <w:shd w:fill="C6EFCE" w:val="clear"/>
          </w:tcPr>
          <w:p>
            <w:r>
              <w:rPr>
                <w:sz w:val="17"/>
              </w:rPr>
              <w:t>12,927</w:t>
            </w:r>
          </w:p>
        </w:tc>
        <w:tc>
          <w:tcPr>
            <w:tcW w:type="dxa" w:w="1440"/>
            <w:shd w:fill="C6EFCE" w:val="clear"/>
          </w:tcPr>
          <w:p>
            <w:r>
              <w:rPr>
                <w:b/>
                <w:color w:val="008000"/>
                <w:sz w:val="17"/>
              </w:rPr>
              <w:t>+3.1%</w:t>
            </w:r>
          </w:p>
        </w:tc>
      </w:tr>
      <w:tr>
        <w:tc>
          <w:tcPr>
            <w:tcW w:type="dxa" w:w="1440"/>
            <w:shd w:fill="C6EFCE" w:val="clear"/>
          </w:tcPr>
          <w:p>
            <w:r>
              <w:rPr>
                <w:sz w:val="17"/>
              </w:rPr>
              <w:t>J+2  ⭐</w:t>
            </w:r>
          </w:p>
        </w:tc>
        <w:tc>
          <w:tcPr>
            <w:tcW w:type="dxa" w:w="1440"/>
            <w:shd w:fill="C6EFCE" w:val="clear"/>
          </w:tcPr>
          <w:p>
            <w:r>
              <w:rPr>
                <w:sz w:val="17"/>
              </w:rPr>
              <w:t>2026-09-28</w:t>
            </w:r>
          </w:p>
        </w:tc>
        <w:tc>
          <w:tcPr>
            <w:tcW w:type="dxa" w:w="1440"/>
            <w:shd w:fill="C6EFCE" w:val="clear"/>
          </w:tcPr>
          <w:p>
            <w:r>
              <w:rPr>
                <w:sz w:val="17"/>
              </w:rPr>
              <w:t>11,547</w:t>
            </w:r>
          </w:p>
        </w:tc>
        <w:tc>
          <w:tcPr>
            <w:tcW w:type="dxa" w:w="1440"/>
            <w:shd w:fill="C6EFCE" w:val="clear"/>
          </w:tcPr>
          <w:p>
            <w:r>
              <w:rPr>
                <w:b/>
                <w:sz w:val="17"/>
              </w:rPr>
              <w:t>12,473</w:t>
            </w:r>
          </w:p>
        </w:tc>
        <w:tc>
          <w:tcPr>
            <w:tcW w:type="dxa" w:w="1440"/>
            <w:shd w:fill="C6EFCE" w:val="clear"/>
          </w:tcPr>
          <w:p>
            <w:r>
              <w:rPr>
                <w:sz w:val="17"/>
              </w:rPr>
              <w:t>13,398</w:t>
            </w:r>
          </w:p>
        </w:tc>
        <w:tc>
          <w:tcPr>
            <w:tcW w:type="dxa" w:w="1440"/>
            <w:shd w:fill="C6EFCE" w:val="clear"/>
          </w:tcPr>
          <w:p>
            <w:r>
              <w:rPr>
                <w:b/>
                <w:color w:val="008000"/>
                <w:sz w:val="17"/>
              </w:rPr>
              <w:t>+4.7%</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11,501</w:t>
            </w:r>
          </w:p>
        </w:tc>
        <w:tc>
          <w:tcPr>
            <w:tcW w:type="dxa" w:w="1440"/>
            <w:shd w:fill="C6EFCE" w:val="clear"/>
          </w:tcPr>
          <w:p>
            <w:r>
              <w:rPr>
                <w:b/>
                <w:sz w:val="17"/>
              </w:rPr>
              <w:t>12,650</w:t>
            </w:r>
          </w:p>
        </w:tc>
        <w:tc>
          <w:tcPr>
            <w:tcW w:type="dxa" w:w="1440"/>
            <w:shd w:fill="C6EFCE" w:val="clear"/>
          </w:tcPr>
          <w:p>
            <w:r>
              <w:rPr>
                <w:sz w:val="17"/>
              </w:rPr>
              <w:t>13,800</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11,464</w:t>
            </w:r>
          </w:p>
        </w:tc>
        <w:tc>
          <w:tcPr>
            <w:tcW w:type="dxa" w:w="1440"/>
            <w:shd w:fill="C6EFCE" w:val="clear"/>
          </w:tcPr>
          <w:p>
            <w:r>
              <w:rPr>
                <w:b/>
                <w:sz w:val="17"/>
              </w:rPr>
              <w:t>12,807</w:t>
            </w:r>
          </w:p>
        </w:tc>
        <w:tc>
          <w:tcPr>
            <w:tcW w:type="dxa" w:w="1440"/>
            <w:shd w:fill="C6EFCE" w:val="clear"/>
          </w:tcPr>
          <w:p>
            <w:r>
              <w:rPr>
                <w:sz w:val="17"/>
              </w:rPr>
              <w:t>14,151</w:t>
            </w:r>
          </w:p>
        </w:tc>
        <w:tc>
          <w:tcPr>
            <w:tcW w:type="dxa" w:w="1440"/>
            <w:shd w:fill="C6EFCE" w:val="clear"/>
          </w:tcPr>
          <w:p>
            <w:r>
              <w:rPr>
                <w:b/>
                <w:color w:val="008000"/>
                <w:sz w:val="17"/>
              </w:rPr>
              <w:t>+7.5%</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11,425</w:t>
            </w:r>
          </w:p>
        </w:tc>
        <w:tc>
          <w:tcPr>
            <w:tcW w:type="dxa" w:w="1440"/>
            <w:shd w:fill="C6EFCE" w:val="clear"/>
          </w:tcPr>
          <w:p>
            <w:r>
              <w:rPr>
                <w:b/>
                <w:sz w:val="17"/>
              </w:rPr>
              <w:t>12,944</w:t>
            </w:r>
          </w:p>
        </w:tc>
        <w:tc>
          <w:tcPr>
            <w:tcW w:type="dxa" w:w="1440"/>
            <w:shd w:fill="C6EFCE" w:val="clear"/>
          </w:tcPr>
          <w:p>
            <w:r>
              <w:rPr>
                <w:sz w:val="17"/>
              </w:rPr>
              <w:t>14,462</w:t>
            </w:r>
          </w:p>
        </w:tc>
        <w:tc>
          <w:tcPr>
            <w:tcW w:type="dxa" w:w="1440"/>
            <w:shd w:fill="C6EFCE" w:val="clear"/>
          </w:tcPr>
          <w:p>
            <w:r>
              <w:rPr>
                <w:b/>
                <w:color w:val="008000"/>
                <w:sz w:val="17"/>
              </w:rPr>
              <w:t>+8.7%</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11,381</w:t>
            </w:r>
          </w:p>
        </w:tc>
        <w:tc>
          <w:tcPr>
            <w:tcW w:type="dxa" w:w="1440"/>
            <w:shd w:fill="C6EFCE" w:val="clear"/>
          </w:tcPr>
          <w:p>
            <w:r>
              <w:rPr>
                <w:b/>
                <w:sz w:val="17"/>
              </w:rPr>
              <w:t>13,060</w:t>
            </w:r>
          </w:p>
        </w:tc>
        <w:tc>
          <w:tcPr>
            <w:tcW w:type="dxa" w:w="1440"/>
            <w:shd w:fill="C6EFCE" w:val="clear"/>
          </w:tcPr>
          <w:p>
            <w:r>
              <w:rPr>
                <w:sz w:val="17"/>
              </w:rPr>
              <w:t>14,738</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11,331</w:t>
            </w:r>
          </w:p>
        </w:tc>
        <w:tc>
          <w:tcPr>
            <w:tcW w:type="dxa" w:w="1440"/>
            <w:shd w:fill="C6EFCE" w:val="clear"/>
          </w:tcPr>
          <w:p>
            <w:r>
              <w:rPr>
                <w:b/>
                <w:sz w:val="17"/>
              </w:rPr>
              <w:t>13,157</w:t>
            </w:r>
          </w:p>
        </w:tc>
        <w:tc>
          <w:tcPr>
            <w:tcW w:type="dxa" w:w="1440"/>
            <w:shd w:fill="C6EFCE" w:val="clear"/>
          </w:tcPr>
          <w:p>
            <w:r>
              <w:rPr>
                <w:sz w:val="17"/>
              </w:rPr>
              <w:t>14,983</w:t>
            </w:r>
          </w:p>
        </w:tc>
        <w:tc>
          <w:tcPr>
            <w:tcW w:type="dxa" w:w="1440"/>
            <w:shd w:fill="C6EFCE" w:val="clear"/>
          </w:tcPr>
          <w:p>
            <w:r>
              <w:rPr>
                <w:b/>
                <w:color w:val="008000"/>
                <w:sz w:val="17"/>
              </w:rPr>
              <w:t>+10.5%</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11,273</w:t>
            </w:r>
          </w:p>
        </w:tc>
        <w:tc>
          <w:tcPr>
            <w:tcW w:type="dxa" w:w="1440"/>
            <w:shd w:fill="C6EFCE" w:val="clear"/>
          </w:tcPr>
          <w:p>
            <w:r>
              <w:rPr>
                <w:b/>
                <w:sz w:val="17"/>
              </w:rPr>
              <w:t>13,238</w:t>
            </w:r>
          </w:p>
        </w:tc>
        <w:tc>
          <w:tcPr>
            <w:tcW w:type="dxa" w:w="1440"/>
            <w:shd w:fill="C6EFCE" w:val="clear"/>
          </w:tcPr>
          <w:p>
            <w:r>
              <w:rPr>
                <w:sz w:val="17"/>
              </w:rPr>
              <w:t>15,202</w:t>
            </w:r>
          </w:p>
        </w:tc>
        <w:tc>
          <w:tcPr>
            <w:tcW w:type="dxa" w:w="1440"/>
            <w:shd w:fill="C6EFCE" w:val="clear"/>
          </w:tcPr>
          <w:p>
            <w:r>
              <w:rPr>
                <w:b/>
                <w:color w:val="008000"/>
                <w:sz w:val="17"/>
              </w:rPr>
              <w:t>+11.1%</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11,203</w:t>
            </w:r>
          </w:p>
        </w:tc>
        <w:tc>
          <w:tcPr>
            <w:tcW w:type="dxa" w:w="1440"/>
            <w:shd w:fill="C6EFCE" w:val="clear"/>
          </w:tcPr>
          <w:p>
            <w:r>
              <w:rPr>
                <w:b/>
                <w:sz w:val="17"/>
              </w:rPr>
              <w:t>13,296</w:t>
            </w:r>
          </w:p>
        </w:tc>
        <w:tc>
          <w:tcPr>
            <w:tcW w:type="dxa" w:w="1440"/>
            <w:shd w:fill="C6EFCE" w:val="clear"/>
          </w:tcPr>
          <w:p>
            <w:r>
              <w:rPr>
                <w:sz w:val="17"/>
              </w:rPr>
              <w:t>15,388</w:t>
            </w:r>
          </w:p>
        </w:tc>
        <w:tc>
          <w:tcPr>
            <w:tcW w:type="dxa" w:w="1440"/>
            <w:shd w:fill="C6EFCE" w:val="clear"/>
          </w:tcPr>
          <w:p>
            <w:r>
              <w:rPr>
                <w:b/>
                <w:color w:val="008000"/>
                <w:sz w:val="17"/>
              </w:rPr>
              <w:t>+11.6%</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11,145</w:t>
            </w:r>
          </w:p>
        </w:tc>
        <w:tc>
          <w:tcPr>
            <w:tcW w:type="dxa" w:w="1440"/>
            <w:shd w:fill="C6EFCE" w:val="clear"/>
          </w:tcPr>
          <w:p>
            <w:r>
              <w:rPr>
                <w:b/>
                <w:sz w:val="17"/>
              </w:rPr>
              <w:t>13,361</w:t>
            </w:r>
          </w:p>
        </w:tc>
        <w:tc>
          <w:tcPr>
            <w:tcW w:type="dxa" w:w="1440"/>
            <w:shd w:fill="C6EFCE" w:val="clear"/>
          </w:tcPr>
          <w:p>
            <w:r>
              <w:rPr>
                <w:sz w:val="17"/>
              </w:rPr>
              <w:t>15,578</w:t>
            </w:r>
          </w:p>
        </w:tc>
        <w:tc>
          <w:tcPr>
            <w:tcW w:type="dxa" w:w="1440"/>
            <w:shd w:fill="C6EFCE" w:val="clear"/>
          </w:tcPr>
          <w:p>
            <w:r>
              <w:rPr>
                <w:b/>
                <w:color w:val="008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107,19 milliards FCFA, SDCC figure parmi les valeurs de taille intermédiaire à supérieure de la cote BRVM, ce qui traduit une certaine maturité et une liquidité relative sur le marché régional. Le BPA de 518 FCFA/action indique que chaque titre génère un bénéfice net de 518 FCFA, un niveau appréciable qui reflète la rentabilité effective de l'exploitant d'eau ivoirien. Le PER de 23,0x constitue toutefois une prime très nette par rapport à la moyenne du marché BRVM (généralement située entre 8x et 12x), ce qui signifie que les investisseurs paient environ 23 fois les bénéfices annuels pour acquérir le titre — une valorisation qui intègre déjà des anticipations de croissance soutenue et qui expose à un risque de correction en cas de déception. Le P/B de 5,44x confirme cette exigence : le marché valorise SDCC à plus de cinq fois sa valeur comptable, un multiple élevé qui n'est justifiable que par la qualité des actifs (infrastructures hydrauliques) et la visibilité des cash-flows. Enfin, l'EV/EBITDA de 14,5x, dans la fourchette haute (10-15x), signale que la valeur d'entreprise rapportée à la capacité opérationnelle est tendue, laissant peu de marge d'erreur sur les prévisions d'exploitation.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remarquable de +32,41%, avec une dernière séance (J-1) en hausse de +6,67%, portant le cours actuel à 11 910 FCFA. Le titre a évolué dans un range de trading large, entre un plus bas de 8 900 FCFA et un plus haut de 13 885 FCFA, soit un écart de près de 5 000 FCFA qui témoigne d'une forte amplitude de négociation. La tendance générale est donc nettement haussière sur la période, mais le repli depuis le sommet (environ -14% par rapport au plus haut) suggère une phase de consolidation ou de prise de bénéfices. Les statistiques descriptives révèlent une distribution légèrement asymétrique : la moyenne (11 743 FCFA) est inférieure à la médiane (11 920 FCFA), ce qui indique que le cours a passé plus de temps au-dessus de sa moyenne qu'en dessous, avec quelques journées de forte baisse tirant la moyenne vers le bas. L'écart-type de 1 087 FCFA et le coefficient de variation de 9,3% traduisent une dispersion modérée du cours autour de sa tendance. Le kurtosis de 1,011 (leptokurtique) signale des queues épaisses, c'est-à-dire un risque de pics de volatilité plus fréquents qu'une distribution normale — un point de vigilance pour les investisseurs. Le skewness de -0,779 (asymétrie négative) confirme que les journées de baisse sont plus violentes que les journées de hausse, ce qui est cohérent avec la correction observée depuis le plus haut. Enfin, la volatilité annualisée de 39,3% place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13 003,25 FCFA et la MM50 à 12 310,3 FCFA, toutes deux supérieures au cours actuel de 11 910 FCFA. Cette configuration — cours sous ses moyennes — traduit une pression baissière de court terme, mais la décision technique affichée est « Achat », probablement en anticipation d'un rebond technique après la correction. La position relative du cours sous la MM20 et la MM50 suggère que la dynamique haussière de moyen terme est fragilisée, et un retour au-dessus de la MM20 serait nécessaire pour confirmer une reprise durable.</w:t>
      </w:r>
    </w:p>
    <w:p>
      <w:pPr>
        <w:spacing w:after="120" w:line="276" w:lineRule="auto"/>
      </w:pPr>
      <w:r>
        <w:t>**Bandes de Bollinger** : La borne supérieure se situe à 14 395,07 FCFA et la borne inférieure à 11 611,44 FCFA, avec un cours actuel de 11 910 FCFA. Le titre évolue donc dans la partie basse de la bande, proche de la borne inférieure, ce qui indique une pression vendeuse récente mais aussi un potentiel de rebond technique si le support tient. La largeur de la bande (environ 2 784 FCFA) reflète une volatilité élevée, cohérente avec la volatilité annualisée de 39,3%. La décision « Neutre » suggère que le titre n'est ni en zone de survente extrême ni en zone de surachat, et qu'une confirmation directionnelle est attendue.</w:t>
      </w:r>
    </w:p>
    <w:p>
      <w:pPr>
        <w:spacing w:after="120" w:line="276" w:lineRule="auto"/>
      </w:pPr>
      <w:r>
        <w:t>**MACD** : La valeur du MACD est de -93,644 contre un signal à 160,24, soit une divergence baissière marquée (MACD sous son signal). Cet écart négatif important indique un momentum baissier en cours, et la décision « Vente » confirme que la pression vendeuse domine à court terme. Un croisement du MACD au-dessus de sa ligne de signal serait nécessaire pour envisager un retournement haussier.</w:t>
      </w:r>
    </w:p>
    <w:p>
      <w:pPr>
        <w:spacing w:after="120" w:line="276" w:lineRule="auto"/>
      </w:pPr>
      <w:r>
        <w:t>**RSI** : Le RSI s'établit à 36,077, dans la zone neutre basse (30-70), sans atteindre le seuil de survente (&lt;30). La décision « Neutre » reflète cette position ambiguë : le titre n'est pas encore survendu, mais la faiblesse relative du RSI suggère que la pression baissière pourrait s'atténuer prochainement. Une remontée au-dessus de 50 confirmerait un regain de momentum haussier.</w:t>
      </w:r>
    </w:p>
    <w:p>
      <w:pPr>
        <w:spacing w:after="120" w:line="276" w:lineRule="auto"/>
      </w:pPr>
      <w:r>
        <w:t>**Stochastique** : Le %K est à 27,39 et le %D à 9,13, avec un %K supérieur au %D, ce qui constitue un signal haussier potentiel (croisement positif en zone basse). La décision « Neutre » indique toutefois que ce signal n'est pas encore confirmé par une dynamique de prix soutenue. La position basse des deux lignes suggère que le titre est proche d'une zone de survente, ce qui pourrait favoriser un rebond technique à court terme.</w:t>
      </w:r>
    </w:p>
    <w:p>
      <w:pPr>
        <w:spacing w:after="120" w:line="276" w:lineRule="auto"/>
      </w:pPr>
      <w:r>
        <w:t>**Conclusion technique** : Les indicateurs techniques présentent un tableau mitigé. Les moyennes mobiles et le MACD sont baissiers (cours sous les MM, MACD sous son signal), tandis que le RSI et le stochastique suggèrent une possible exhaustion de la baisse et un potentiel de rebond. La divergence entre ces signaux — vente pour le MACD, achat pour les MM (décision affichée), neutre pour les autres — plaide pour une prudence accrue et une attente de confirmation avant toute décision d'investissement. Le titre se trouve dans une phase de consolidation baissière, avec un support critique à surveiller autour de 11 611 FCFA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SDCC a réalisé un chiffre d'affaires de 189,430 milliards FCFA, en croissance de 9,98% par rapport à 2024, confirmant la dynamique commerciale de l'opérateur. Le résultat net s'établit à 4,663 milliards FCFA, avec une marge nette de 2,46% — un niveau faible qui reflète la structure de coûts élevée du secteur (énergie, produits chimiques, personnel). Le ROE de 23,65% est excellent (&gt;15%), témoignant d'une rentabilité des fonds propres très satisfaisante, tandis que le ROA de 0,99% reste modeste en raison de l'intensité capitalistique de l'activité (total actif de 472,672 milliards FCFA). La marge brute de 81,86% est élevée, mais la marge opérationnelle de 4,81% et la marge nette de 2,46% montrent que les charges d'exploitation et les dotations aux amortissements (15,996 milliards FCFA) absorbent une part importante de la valeur ajoutée (49,715 milliards FCFA). L'EBE de 21,783 milliards FCFA et le résultat d'exploitation de 9,105 milliards FCFA confirment une capacité bénéficiaire opérationnelle positive, mais la pression fiscale (3,243 milliards FCFA d'impôt) et les charges financières (575 millions FCFA) réduisent le résultat net.</w:t>
      </w:r>
    </w:p>
    <w:p>
      <w:pPr>
        <w:spacing w:after="120" w:line="276" w:lineRule="auto"/>
      </w:pPr>
      <w:r>
        <w:t>**Adaptation au secteur ENTREPRISE** : Le BFR de 104,748 milliards FCFA est positif et élevé, ce qui est défavorable pour la trésorerie — contrairement à un BFR négatif qui serait un signe de bonne gestion. Le délai clients de 749,25 jours est extrêmement élevé (plus de deux ans), ce qui constitue un risque majeur de trésorerie et explique en partie la trésorerie nette négative de -61,710 milliards FCFA. La durée de stockage de 59,86 jours est modérée. Le ratio d'endettement de 95,83% (dettes totales/capitaux propres) est très élevé, et l'autonomie financière de seulement 4,17% (capitaux propres/total bilan) est préoccupante — bien en dessous du seuil de 30% considéré comme sain. La capacité de remboursement de 8,18 années (dettes financières/CAF) est acceptable mais tendue. La couverture des intérêts de 1 583,51% est excellente, et la liquidité générale de 111,32% (&gt;1) est correcte.</w:t>
      </w:r>
    </w:p>
    <w:p>
      <w:pPr>
        <w:spacing w:after="120" w:line="276" w:lineRule="auto"/>
      </w:pPr>
      <w:r>
        <w:t>**Estimations basées sur les rapports trimestriels** : Le rapport du T1 2026 (publié en 2026) indique un chiffre d'affaires en léger repli de 2% à 40 916 millions FCFA, mais un résultat d'exploitation multiplié par 2,5 à 2 730 millions FCFA et un résultat net bondissant de 118% à 1 318 millions FCFA. Cette amélioration spectaculaire de la rentabilité, portée par une meilleure maîtrise des charges opérationnelles, suggère que l'exercice 2026 pourrait afficher une nouvelle progression du résultat net, potentiellement au-delà des 5 milliards FCFA. Le rapport annuel 2025 (publié en 2025) confirme la croissance du CA de 10% à 189,4 milliards FCFA, du résultat net de 31% à 4,663 milliards FCFA, et un dividende de 525 FCFA par action — un rendement attractif de 4,4% au cours actuel de 11 910 FCFA. Le nombre de clients a progressé de 6,14% à 2 272 032, et le taux de recouvrement de 95,85% est satisfaisant, bien que le délai clients reste un point noir. Les rapports plus anciens (S1 2025, T1 2025, exercice 2024) montrent une dégradation de la rentabilité en 2024 (RN -27% à 3,6 milliards FCFA) suivie d'un net redressement en 2025, ce qui témoigne de la capacité de l'entreprise à surmonter les difficultés.</w:t>
      </w:r>
    </w:p>
    <w:p>
      <w:pPr>
        <w:spacing w:after="120" w:line="276" w:lineRule="auto"/>
      </w:pPr>
      <w:r>
        <w:t>**Recommandation fondamentale** : SDCC présente une solidité opérationnelle indéniable (ROE excellent, croissance du CA et du RN, dividende attractif) mais des fragilités financières structurelles (autonomie financière faible, endettement élevé, BFR et délais clients très importants, trésorerie nette négative). La valorisation boursière exigeante (PER 23x, P/B 5,44x) intègre déjà les bonnes perspectives, ce qui limite le potentiel de revalorisation à court terme. La recommandation fondamentale est **CONSERVER**, avec une préférence pour un renforcement sur repli vers les 11 000-11 500 FCFA, en surveillant l'amélioration de la trésorerie et la réduction des délais clients.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appréciation nuancée du dossier SDCC. **Valorisation (Partie 0)** : les ratios PER (23,0x), P/B (5,44x) et EV/EBITDA (14,5x) indiquent une surévaluation relative par rapport aux standards du marché BRVM, ce qui limite la marge de sécurité et expose à un risque de correction en cas de déception sur les résultats. **Comportement du cours (Partie 1)** : la tendance haussière de +32,41% sur 100 jours est impressionnante, mais la volatilité élevée (39,3%), le kurtosis leptokurtique (1,011) et le skewness négatif (-0,779) signalent un risque de pics baissiers violents, ce qui est préoccupant pour un investisseur averse au risque. **Signaux techniques (Partie 2)** : les indicateurs divergent — le MACD est baissier (vente), les moyennes mobiles affichent un « achat » mais le cours est sous ses MM, le RSI et le stochastique sont neutres — ce qui plaide pour une phase de consolidation et une attente de confirmation directionnelle. **Fondamentaux (Partie 3)** : la solidité opérationnelle (ROE 23,65%, croissance du CA de 10% en 2025, RN en hausse de 31%) et les perspectives positives du T1 2026 (RN +118%) sont des atouts majeurs, mais les fragilités financières (autonomie financière de 4,17%, endettement de 95,83%, BFR de 104,748 milliards FCFA, trésorerie nette de -61,710 milliards FCFA) constituent des risques significatifs. **Prédictions IA (J+1 à J+10)** : la trajectoire prédite est haussière, passant de 12 282 FCFA (J+1) à 12 944 FCFA (J+5), ce qui suggère un rebond technique de court terme, en ligne avec le potentiel de rebond identifié par le stochastique et le RSI.</w:t>
      </w:r>
    </w:p>
    <w:p>
      <w:pPr>
        <w:spacing w:after="120" w:line="276" w:lineRule="auto"/>
      </w:pPr>
      <w:r>
        <w:t>**Recommandation finale** : **CONSERVER** (avec un biais haussier à court terme). La convergence entre les prédictions IA haussières, le potentiel de rebond technique (stochastique en zone basse) et les fondamentaux solides (ROE élevé, croissance du RN) soutient une position d'attente, mais la valorisation exigeante et les fragilités financières empêchent de recommander un achat fort. Le niveau de confiance est **Moyen**, car les signaux techniques sont divergents et la volatilité élevée accroît l'incertitude. Le niveau de risque global est **Élevé** (volatilité de 39,3%, endettement important, délais clients très longs). L'horizon d'investissement optimal est le **moyen terme (3-12 mois)**, en surveillant les prochains résultats trimestriels (T2 2026) pour confirmer l'amélioration de la rentabilité et la réduction des tensions de trésorerie. Un renforcement sur repli vers 11 000-11 500 FCFA serait opportun pour les investisseurs prêts à assumer le risque.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152.42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18,646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+57.75%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18.24% (Élevée) — μ=2,429 FCFA, σ=443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β=0.6235 (Défensif) — Cov=0.000028, Var(idx)=0.000045, ρ=0.126,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18,646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2,687</w:t>
            </w:r>
          </w:p>
        </w:tc>
        <w:tc>
          <w:tcPr>
            <w:tcW w:type="dxa" w:w="1440"/>
            <w:shd w:fill="FAFAFA" w:val="clear"/>
          </w:tcPr>
          <w:p>
            <w:r>
              <w:rPr>
                <w:b/>
                <w:sz w:val="17"/>
              </w:rPr>
              <w:t>2,820</w:t>
            </w:r>
          </w:p>
        </w:tc>
        <w:tc>
          <w:tcPr>
            <w:tcW w:type="dxa" w:w="1440"/>
            <w:shd w:fill="FAFAFA" w:val="clear"/>
          </w:tcPr>
          <w:p>
            <w:r>
              <w:rPr>
                <w:sz w:val="17"/>
              </w:rPr>
              <w:t>2,953</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2,647</w:t>
            </w:r>
          </w:p>
        </w:tc>
        <w:tc>
          <w:tcPr>
            <w:tcW w:type="dxa" w:w="1440"/>
            <w:shd w:fill="FAFAFA" w:val="clear"/>
          </w:tcPr>
          <w:p>
            <w:r>
              <w:rPr>
                <w:b/>
                <w:sz w:val="17"/>
              </w:rPr>
              <w:t>2,836</w:t>
            </w:r>
          </w:p>
        </w:tc>
        <w:tc>
          <w:tcPr>
            <w:tcW w:type="dxa" w:w="1440"/>
            <w:shd w:fill="FAFAFA" w:val="clear"/>
          </w:tcPr>
          <w:p>
            <w:r>
              <w:rPr>
                <w:sz w:val="17"/>
              </w:rPr>
              <w:t>3,025</w:t>
            </w:r>
          </w:p>
        </w:tc>
        <w:tc>
          <w:tcPr>
            <w:tcW w:type="dxa" w:w="1440"/>
            <w:shd w:fill="FAFAFA" w:val="clear"/>
          </w:tcPr>
          <w:p>
            <w:r>
              <w:rPr>
                <w:b/>
                <w:color w:val="008000"/>
                <w:sz w:val="17"/>
              </w:rPr>
              <w:t>+1.3%</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2,614</w:t>
            </w:r>
          </w:p>
        </w:tc>
        <w:tc>
          <w:tcPr>
            <w:tcW w:type="dxa" w:w="1440"/>
            <w:shd w:fill="FAFAFA" w:val="clear"/>
          </w:tcPr>
          <w:p>
            <w:r>
              <w:rPr>
                <w:b/>
                <w:sz w:val="17"/>
              </w:rPr>
              <w:t>2,846</w:t>
            </w:r>
          </w:p>
        </w:tc>
        <w:tc>
          <w:tcPr>
            <w:tcW w:type="dxa" w:w="1440"/>
            <w:shd w:fill="FAFAFA" w:val="clear"/>
          </w:tcPr>
          <w:p>
            <w:r>
              <w:rPr>
                <w:sz w:val="17"/>
              </w:rPr>
              <w:t>3,078</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2,584</w:t>
            </w:r>
          </w:p>
        </w:tc>
        <w:tc>
          <w:tcPr>
            <w:tcW w:type="dxa" w:w="1440"/>
            <w:shd w:fill="FAFAFA" w:val="clear"/>
          </w:tcPr>
          <w:p>
            <w:r>
              <w:rPr>
                <w:b/>
                <w:sz w:val="17"/>
              </w:rPr>
              <w:t>2,853</w:t>
            </w:r>
          </w:p>
        </w:tc>
        <w:tc>
          <w:tcPr>
            <w:tcW w:type="dxa" w:w="1440"/>
            <w:shd w:fill="FAFAFA" w:val="clear"/>
          </w:tcPr>
          <w:p>
            <w:r>
              <w:rPr>
                <w:sz w:val="17"/>
              </w:rPr>
              <w:t>3,122</w:t>
            </w:r>
          </w:p>
        </w:tc>
        <w:tc>
          <w:tcPr>
            <w:tcW w:type="dxa" w:w="1440"/>
            <w:shd w:fill="FAFAFA" w:val="clear"/>
          </w:tcPr>
          <w:p>
            <w:r>
              <w:rPr>
                <w:b/>
                <w:color w:val="008000"/>
                <w:sz w:val="17"/>
              </w:rPr>
              <w:t>+1.9%</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2,557</w:t>
            </w:r>
          </w:p>
        </w:tc>
        <w:tc>
          <w:tcPr>
            <w:tcW w:type="dxa" w:w="1440"/>
            <w:shd w:fill="C6EFCE" w:val="clear"/>
          </w:tcPr>
          <w:p>
            <w:r>
              <w:rPr>
                <w:b/>
                <w:sz w:val="17"/>
              </w:rPr>
              <w:t>2,858</w:t>
            </w:r>
          </w:p>
        </w:tc>
        <w:tc>
          <w:tcPr>
            <w:tcW w:type="dxa" w:w="1440"/>
            <w:shd w:fill="C6EFCE" w:val="clear"/>
          </w:tcPr>
          <w:p>
            <w:r>
              <w:rPr>
                <w:sz w:val="17"/>
              </w:rPr>
              <w:t>3,159</w:t>
            </w:r>
          </w:p>
        </w:tc>
        <w:tc>
          <w:tcPr>
            <w:tcW w:type="dxa" w:w="1440"/>
            <w:shd w:fill="C6EFCE" w:val="clear"/>
          </w:tcPr>
          <w:p>
            <w:r>
              <w:rPr>
                <w:b/>
                <w:color w:val="008000"/>
                <w:sz w:val="17"/>
              </w:rPr>
              <w:t>+2.1%</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2,532</w:t>
            </w:r>
          </w:p>
        </w:tc>
        <w:tc>
          <w:tcPr>
            <w:tcW w:type="dxa" w:w="1440"/>
            <w:shd w:fill="C6EFCE" w:val="clear"/>
          </w:tcPr>
          <w:p>
            <w:r>
              <w:rPr>
                <w:b/>
                <w:sz w:val="17"/>
              </w:rPr>
              <w:t>2,863</w:t>
            </w:r>
          </w:p>
        </w:tc>
        <w:tc>
          <w:tcPr>
            <w:tcW w:type="dxa" w:w="1440"/>
            <w:shd w:fill="C6EFCE" w:val="clear"/>
          </w:tcPr>
          <w:p>
            <w:r>
              <w:rPr>
                <w:sz w:val="17"/>
              </w:rPr>
              <w:t>3,193</w:t>
            </w:r>
          </w:p>
        </w:tc>
        <w:tc>
          <w:tcPr>
            <w:tcW w:type="dxa" w:w="1440"/>
            <w:shd w:fill="C6EFCE" w:val="clear"/>
          </w:tcPr>
          <w:p>
            <w:r>
              <w:rPr>
                <w:b/>
                <w:color w:val="008000"/>
                <w:sz w:val="17"/>
              </w:rPr>
              <w:t>+2.2%</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2,509</w:t>
            </w:r>
          </w:p>
        </w:tc>
        <w:tc>
          <w:tcPr>
            <w:tcW w:type="dxa" w:w="1440"/>
            <w:shd w:fill="C6EFCE" w:val="clear"/>
          </w:tcPr>
          <w:p>
            <w:r>
              <w:rPr>
                <w:b/>
                <w:sz w:val="17"/>
              </w:rPr>
              <w:t>2,866</w:t>
            </w:r>
          </w:p>
        </w:tc>
        <w:tc>
          <w:tcPr>
            <w:tcW w:type="dxa" w:w="1440"/>
            <w:shd w:fill="C6EFCE" w:val="clear"/>
          </w:tcPr>
          <w:p>
            <w:r>
              <w:rPr>
                <w:sz w:val="17"/>
              </w:rPr>
              <w:t>3,224</w:t>
            </w:r>
          </w:p>
        </w:tc>
        <w:tc>
          <w:tcPr>
            <w:tcW w:type="dxa" w:w="1440"/>
            <w:shd w:fill="C6EFCE" w:val="clear"/>
          </w:tcPr>
          <w:p>
            <w:r>
              <w:rPr>
                <w:b/>
                <w:color w:val="008000"/>
                <w:sz w:val="17"/>
              </w:rPr>
              <w:t>+2.4%</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2,488</w:t>
            </w:r>
          </w:p>
        </w:tc>
        <w:tc>
          <w:tcPr>
            <w:tcW w:type="dxa" w:w="1440"/>
            <w:shd w:fill="C6EFCE" w:val="clear"/>
          </w:tcPr>
          <w:p>
            <w:r>
              <w:rPr>
                <w:b/>
                <w:sz w:val="17"/>
              </w:rPr>
              <w:t>2,870</w:t>
            </w:r>
          </w:p>
        </w:tc>
        <w:tc>
          <w:tcPr>
            <w:tcW w:type="dxa" w:w="1440"/>
            <w:shd w:fill="C6EFCE" w:val="clear"/>
          </w:tcPr>
          <w:p>
            <w:r>
              <w:rPr>
                <w:sz w:val="17"/>
              </w:rPr>
              <w:t>3,252</w:t>
            </w:r>
          </w:p>
        </w:tc>
        <w:tc>
          <w:tcPr>
            <w:tcW w:type="dxa" w:w="1440"/>
            <w:shd w:fill="C6EFCE" w:val="clear"/>
          </w:tcPr>
          <w:p>
            <w:r>
              <w:rPr>
                <w:b/>
                <w:color w:val="008000"/>
                <w:sz w:val="17"/>
              </w:rPr>
              <w:t>+2.5%</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2,467</w:t>
            </w:r>
          </w:p>
        </w:tc>
        <w:tc>
          <w:tcPr>
            <w:tcW w:type="dxa" w:w="1440"/>
            <w:shd w:fill="C6EFCE" w:val="clear"/>
          </w:tcPr>
          <w:p>
            <w:r>
              <w:rPr>
                <w:b/>
                <w:sz w:val="17"/>
              </w:rPr>
              <w:t>2,873</w:t>
            </w:r>
          </w:p>
        </w:tc>
        <w:tc>
          <w:tcPr>
            <w:tcW w:type="dxa" w:w="1440"/>
            <w:shd w:fill="C6EFCE" w:val="clear"/>
          </w:tcPr>
          <w:p>
            <w:r>
              <w:rPr>
                <w:sz w:val="17"/>
              </w:rPr>
              <w:t>3,279</w:t>
            </w:r>
          </w:p>
        </w:tc>
        <w:tc>
          <w:tcPr>
            <w:tcW w:type="dxa" w:w="1440"/>
            <w:shd w:fill="C6EFCE" w:val="clear"/>
          </w:tcPr>
          <w:p>
            <w:r>
              <w:rPr>
                <w:b/>
                <w:color w:val="008000"/>
                <w:sz w:val="17"/>
              </w:rPr>
              <w:t>+2.6%</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2,448</w:t>
            </w:r>
          </w:p>
        </w:tc>
        <w:tc>
          <w:tcPr>
            <w:tcW w:type="dxa" w:w="1440"/>
            <w:shd w:fill="C6EFCE" w:val="clear"/>
          </w:tcPr>
          <w:p>
            <w:r>
              <w:rPr>
                <w:b/>
                <w:sz w:val="17"/>
              </w:rPr>
              <w:t>2,877</w:t>
            </w:r>
          </w:p>
        </w:tc>
        <w:tc>
          <w:tcPr>
            <w:tcW w:type="dxa" w:w="1440"/>
            <w:shd w:fill="C6EFCE" w:val="clear"/>
          </w:tcPr>
          <w:p>
            <w:r>
              <w:rPr>
                <w:sz w:val="17"/>
              </w:rPr>
              <w:t>3,305</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(AFRICA GLOBAL LOGISTICS CÔTE D'IVOIRE)**</w:t>
        <w:br/>
        <w:t>*Bourse Régionale des Valeurs Mobilières (BRVM) — Secteur : Transport &amp; Logistique*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152,42 Mds FCFA, SDSC s'impose comme une valeur de taille intermédiaire à supérieure au sein de la cote BRVM, ce qui témoigne d'une certaine liquidité et d'un intérêt institutionnel notable. Le BPA de 387 FCFA/action signifie que chaque titre génère près de 387 FCFA de bénéfice net, un niveau confortable qui, rapporté au cours actuel de 2 800 FCFA, donne un PER de 7,2x — nettement inférieur à la moyenne du marché BRVM (8-12x), ce qui suggère une potentielle sous-évaluation si les bénéfices se maintiennent. Le ratio P/B de 1,96x indique que le marché valorise l'action à près du double de sa valeur comptable, ce qui reste raisonnable pour une entreprise à forte intensité capitalistique et bénéficiant d'un ROE de 27,08%. En revanche, l'EV/EBITDA de 32,9x apparaît très exigeant (seuil d'alerte &gt;15x), signalant que la valeur d'entreprise intègre une prime spéculative ou que l'EBITDA est temporairement déprimé — un point de vigilance majeur qui contraste avec la lecture favorable du PER.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+57,75%, clôturant à 2 800 FCFA avec une variation J-1 nulle (+0,00%), signe d'une stabilisation après un mouvement haussier soutenu. Le range de trading est particulièrement large, oscillant entre un plus bas de 1 650 FCFA et un plus haut de 3 205 FCFA, soit une amplitude de près de 94%, ce qui traduit une forte volatilité et un intérêt marqué des investisseurs. La tendance générale est donc nettement haussière, portée par un volume moyen quotidien de 18 646 titres, indiquant une liquidité correcte pour le marché BRVM. Les statistiques descriptives révèlent une moyenne de 2 429 FCFA légèrement inférieure à la médiane de 2 520 FCFA, suggérant une asymétrie négative confirmée par le skewness de -0,329 (distribution symétrique avec une légère queue à gauche), tandis que le mode à 2 800 FCFA coïncide avec le cours actuel, ce qui pourrait indiquer un palier de résistance. L'écart-type de 445 FCFA (CV=18,3%) traduit une dispersion modérée du cours autour de sa moyenne, et le kurtosis de -1,066 (distribution platykurtique) indique une faible concentration des rendements avec un risque de pics extrêmes limité — un profil rassurant pour la gestion du risque. La volatilité annualisée de 52,1% classe le titre dans la catégorie des valeurs à volatilité élevée (&gt;30%), ce qui implique un potentiel de gain attractif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2 970,5 FCFA et la MM50 à 2 795,3 FCFA, toutes deux supérieures au cours actuel de 2 800 FCFA pour la MM20, mais la MM50 est pratiquement au niveau du cours. Le croisement haussier (MM20 &gt; MM50) confirme la dynamique positive de moyen terme, justifiant la décision d'**Achat** malgré la légère pression baissière à court terme.</w:t>
      </w:r>
    </w:p>
    <w:p>
      <w:pPr>
        <w:spacing w:after="120" w:line="276" w:lineRule="auto"/>
      </w:pPr>
      <w:r>
        <w:t>**Bandes de Bollinger** : La borne supérieure est à 3 241,52 FCFA et la borne inférieure à 2 699,48 FCFA, avec un cours actuel de 2 800 FCFA positionné dans la partie basse de la bande (environ 30% de la largeur). Cette position suggère une pression vendeuse récente mais un potentiel de rebond vers la borne supérieure, justifiant la décision **Neutre** dans l'attente d'un signal directionnel plus clair.</w:t>
      </w:r>
    </w:p>
    <w:p>
      <w:pPr>
        <w:spacing w:after="120" w:line="276" w:lineRule="auto"/>
      </w:pPr>
      <w:r>
        <w:t>**MACD** : La valeur du MACD (21,397) est nettement inférieure à son signal (65,101), générant une divergence baissière qui indique un essoufflement du momentum haussier. Cette configuration justifie la décision de **Vente** à court terme, bien que la ligne MACD reste en territoire positif, ce qui tempère la portée du signal.</w:t>
      </w:r>
    </w:p>
    <w:p>
      <w:pPr>
        <w:spacing w:after="120" w:line="276" w:lineRule="auto"/>
      </w:pPr>
      <w:r>
        <w:t>**RSI** : À 25,749, le RSI se situe en zone de survente (&lt;30), ce qui est techniquement un signal d'**Achat** fort, suggérant que le titre a été excessivement vendu et qu'un rebond technique est probable à court terme.</w:t>
      </w:r>
    </w:p>
    <w:p>
      <w:pPr>
        <w:spacing w:after="120" w:line="276" w:lineRule="auto"/>
      </w:pPr>
      <w:r>
        <w:t>**Stochastique** : Le %K est à 0,0 et le %D à 3,292, avec un croisement en zone extrême de survente. Cette configuration est un signal d'**Achat** classique, indiquant que la pression baissière est à son paroxysme et qu'un retournement haussier est imminent.</w:t>
      </w:r>
    </w:p>
    <w:p>
      <w:pPr>
        <w:spacing w:after="120" w:line="276" w:lineRule="auto"/>
      </w:pPr>
      <w:r>
        <w:t>**Conclusion technique** : Les indicateurs présentent une divergence notable : les oscillateurs (RSI, Stochastique) signalent une survente extrême propice à un rebond, tandis que le MACD confirme un momentum baissier et que les Bandes de Bollinger positionnent le cours en zone basse. Les moyennes mobiles restent haussières à moyen terme. Cette configuration suggère une fenêtre d'achat tactique à court terme, mais la prudence reste de mise tant que le MACD ne s'inverse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une entreprise solide mais dont la rentabilité s'est effondrée en 2025. En 2024, le chiffre d'affaires s'établissait à 85,643 Mds FCFA, le résultat net à 21,069 Mds FCFA (marge nette de 24,6%), le ROE à 27,08% et le ROA à 11,20% — des niveaux excellents qui expliquent la confiance du marché. Cependant, les rapports narratifs de 2025 (états financiers provisoires au 31/12/2025, analysés par DeepSeek le 05/08/2026 et confirmés par le rapport des commissaires aux comptes Deloitte/ECR du 19/09/2026) montrent une dégradation spectaculaire : le CA 2025 progresse à 92,004 Mds FCFA (+7,43%), mais le résultat net chute à 784,97 M FCFA (-96%), avec une marge nette de seulement 0,85% et un résultat d'exploitation négatif de -2,271 Mds FCFA. Cette contre-performance s'explique par une hausse des dotations aux amortissements (+41%) et des charges de personnel, compensée partiellement par un résultat financier de 7,080 Mds FCFA (dividendes de filiales) en baisse de 66%. Le rapport T3 2025 (30/09/2025) confirme cette tendance avec un résultat net trimestriel de 4,341 Mds FCFA en chute de 77%, tandis que le S1 2025 (30/06/2025) affichait une perte de -427 M FCFA. Sur le plan bilanciel, la trésorerie nette a bondi à 74,78 Mds FCFA en 2025 (vs 15,62 Mds en 2024), mais le BFR a explosé de +75,7 Mds FCFA, absorbant cette liquidité. Les délais clients restent élevés (466,94 jours en 2024), signalant un risque de trésorerie structurel, tandis que le ratio d'endettement de 17,88% et l'autonomie financière de 41,36% demeurent sains. La politique de dividende a été drastiquement réduite : 544,35 M FCFA proposés au titre de 2025 (vs 5 008 M FCFA en 2024), soit une baisse de 89%, avec un taux de distribution de 69,3%. **Recommandation fondamentale** : la solidité du bilan et la croissance du CA sont rassurantes, mais l'effondrement de la rentabilité opérationnelle et la dépendance aux dividendes de filiales constituent des risques majeurs. Le titre reste fondamentalement **à conserver** avec une vigilance accrue sur la capacité de la direction à restaurer les marges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 PER de 7,2x suggère une sous-évaluation sur la base des bénéfices 2024, mais l'EV/EBITDA de 32,9x et la chute du BPA en 2025 (estimé à ~14 FCFA/action) relativisent cet attrait — le titre est bon marché sur des bénéfices passés, mais cher sur les perspectives. **Comportement du cours (Partie 1)** : la tendance haussière (+57,75%) et la volatilité élevée (52,1%) offrent un potentiel de gain, mais le kurtosis négatif et le skewness symétrique indiquent un risque de correction modéré sans pics extrêmes. **Signaux techniques (Partie 2)** : divergence entre les oscillateurs (RSI et Stochastique en survente, signal d'achat) et le MACD (vente), avec des moyennes mobiles haussières — configuration mitigée mais légèrement favorable à un rebond tactique. **Fondamentaux (Partie 3)** : la dégradation de la rentabilité en 2025 (marge nette de 0,85%) et la réduction drastique du dividende (-89%) pèsent lourdement, malgré un bilan solide et une trésorerie abondante. **Prédictions IA (J+1 à J+10)** : la trajectoire projetée (2 820 → 2 858 FCFA, soit +2,1% sur 10 jours) confirme la thèse d'un rebond technique modéré, cohérent avec les signaux de survente. **Recommandation finale : CONSERVER** — la convergence entre la sous-évaluation relative (PER), les signaux techniques de survente et la prédiction haussière à court terme soutient un maintien du titre, mais l'effondrement des fondamentaux 2025 et l'incertitude sur la restauration des marges empêchent toute recommandation d'achat agressif. Le niveau de confiance est **Moyen** (données 2025 provisoires, volatilité élevée) et le risque global **Élevé** (volatilité 52,1%, dépendance aux filiales, gouvernance perfectible). L'horizon d'investissement optimal est **court terme (&lt;3 mois)** pour profiter du rebond technique, avec une surveillance étroite des prochains rapports trimestriels 2026 pour confirmer ou infirmer la reprise opérationnelle.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β=1.1226 (Neutre (suit le marché)) — Cov=0.000041, Var(idx)=0.000036, ρ=0.232, n=94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2026-09-25</w:t>
            </w:r>
          </w:p>
        </w:tc>
        <w:tc>
          <w:tcPr>
            <w:tcW w:type="dxa" w:w="1440"/>
            <w:shd w:fill="FFDCE0" w:val="clear"/>
          </w:tcPr>
          <w:p>
            <w:r>
              <w:rPr>
                <w:sz w:val="17"/>
              </w:rPr>
              <w:t>1,272</w:t>
            </w:r>
          </w:p>
        </w:tc>
        <w:tc>
          <w:tcPr>
            <w:tcW w:type="dxa" w:w="1440"/>
            <w:shd w:fill="FFDCE0" w:val="clear"/>
          </w:tcPr>
          <w:p>
            <w:r>
              <w:rPr>
                <w:b/>
                <w:sz w:val="17"/>
              </w:rPr>
              <w:t>1,454</w:t>
            </w:r>
          </w:p>
        </w:tc>
        <w:tc>
          <w:tcPr>
            <w:tcW w:type="dxa" w:w="1440"/>
            <w:shd w:fill="FFDCE0" w:val="clear"/>
          </w:tcPr>
          <w:p>
            <w:r>
              <w:rPr>
                <w:sz w:val="17"/>
              </w:rPr>
              <w:t>1,636</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de petite à moyenne capitalisation du compartiment industriel. Les ratios de valorisation classiques (BPA, PER, P/B, EV/EBITDA) ne sont pas calculables en l'état, faute de données financières structurées exploitables dans la base (les états financiers disponibles étant datés et non consolidés dans le module de ratios). Toutefois, en croisant les rapports narratifs, on peut estimer un BPA 2023 de l'ordre de 512 FCFA (résultat net de 12,8 Mds FCFA selon le rapport du 31/12/2023), ce qui impliquerait un PER implicite d'environ 2,9x au cours actuel de 1 495 FCFA — un niveau très inférieur à la moyenne BRVM (8-12x), suggérant une sous-évaluation apparente. Cette lecture doit néanmoins être tempérée par l'ancienneté des données et l'absence de visibilité sur les exercices 2024-2025.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 repli de -1,64%, confirmant une dynamique baissière persistante. Le cours actuel de 1 495 FCFA se situe dans la partie basse du range de trading établi entre 1 350 FCFA (plus bas) et 1 800 FCFA (plus haut), soit une amplitude de 33% qui traduit une forte nervosité. La moyenne (1 527 FCFA) est légèrement supérieure à la médiane (1 520 FCFA), et le mode à 1 500 FCFA indique une concentration des échanges autour de ce palier psychologique. L'écart-type de 69 FCFA avec un coefficient de variation de 4,5% révèle une dispersion modérée en valeur absolue, mais la volatilité annualisée de 47,2% classe le titre dans la catégorie des valeurs à risque élevé (&gt;30%). Le kurtosis de 1,652 (leptokurtique) signale des queues épaisses, donc un risque de pics brutaux, tandis que le skewness positif de 0,558 indique une asymétrie avec davantage de journées sous la moyenne — un profil défavorable pour les acheteurs. Le volume moyen de 6 046 titres/jour reste faible, exposant le titre à des mouvements erratiques sur peu de transactions.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évolue sous ces deux références. Cette configuration traduit une pression baissière de court terme, bien que la décision affichée soit "Achat" — signal probablement lié au croisement haussier MM20/MM50 encore actif, mais fragilisé par la position du cours.</w:t>
      </w:r>
    </w:p>
    <w:p>
      <w:pPr>
        <w:spacing w:after="120" w:line="276" w:lineRule="auto"/>
      </w:pPr>
      <w:r>
        <w:t>**Bandes de Bollinger** : Le cours (1 495 FCFA) se situe entre la borne inférieure (1 459,69 FCFA) et la borne supérieure (1 621,81 FCFA), plus proche du bas que du haut. La décision "Neutre" reflète l'absence de signal extrême, mais la proximité de la borne basse suggère une pression vendeuse latente et un risque de cassure baissière si le support cède.</w:t>
      </w:r>
    </w:p>
    <w:p>
      <w:pPr>
        <w:spacing w:after="120" w:line="276" w:lineRule="auto"/>
      </w:pPr>
      <w:r>
        <w:t>**MACD** : La valeur du MACD (6,738) est inférieure à son signal (10,85), générant une divergence baissière et une décision "Vente". Le momentum s'affaiblit, confirmant la perte de vitesse du titre et l'absence de catalyseur haussier à court terme.</w:t>
      </w:r>
    </w:p>
    <w:p>
      <w:pPr>
        <w:spacing w:after="120" w:line="276" w:lineRule="auto"/>
      </w:pPr>
      <w:r>
        <w:t>**RSI** : À 49,533, le RSI se situe en zone parfaitement neutre (30-70), sans signal de surachat ni de survente. La décision "Neutre" indique un équilibre entre acheteurs et vendeurs, mais dans un contexte de tendance baissière, cette neutralité penche plutôt en faveur d'une poursuite du repli.</w:t>
      </w:r>
    </w:p>
    <w:p>
      <w:pPr>
        <w:spacing w:after="120" w:line="276" w:lineRule="auto"/>
      </w:pPr>
      <w:r>
        <w:t>**Stochastique** : Le %K (34,615) est nettement inférieur au %D (57,692), avec un croisement baissier en cours. La décision "Neutre" masque une dynamique négative, le %K en zone basse signalant que la pression vendeuse domine sans encore atteindre la survente.</w:t>
      </w:r>
    </w:p>
    <w:p>
      <w:pPr>
        <w:spacing w:after="120" w:line="276" w:lineRule="auto"/>
      </w:pPr>
      <w:r>
        <w:t>**Conclusion technique** : Les indicateurs sont majoritairement baissiers ou neutres — MACD en vente, cours sous les moyennes mobiles, stochastique en croisement baissier — avec un RSI et des Bollinger neutres qui n'offrent aucun support. Seule la décision "Achat" des MM20/MM50 apporte une lueur haussière, mais elle est contredite par la position du cours. La convergence des signaux pointe vers une poursuite de la consolidation baissière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ne sont pas disponibles dans la base, mais les rapports narratifs officiels fournissent des éléments exploitables. Selon le rapport du 31/12/2023 (exercice 2023), SEMC affiche un chiffre d'affaires de 27,88 milliards FCFA, en baisse de 6% par rapport aux 29,60 milliards FCFA de 2022, et un résultat net de 1,01 milliard FCFA, en chute de 74% vs 3,86 milliards FCFA en 2022. La marge nette s'effondre à 3,6% (contre 13,0% en 2022), et le ROE se dégrade fortement. Un second rapport du 31/12/2023 (analyse MISTRAL) présente des chiffres divergents — CA de 125,4 Mds FCFA et résultat net de 12,8 Mds FCFA — probablement issus d'une confusion avec une autre entité ou d'une consolidation erronée ; il convient de retenir les données du rapport détaillé (27,88 Mds FCFA de CA, 1,01 Md FCFA de résultat net) comme les plus fiables car cohérentes avec l'historique. Le rapport du 31/12/2022 (exercice 2022) indiquait un CA de 29,60 Mds FCFA et un résultat net de 3,86 Mds FCFA, confirmant la dégradation en 2023. Le rapport T1 2023 (daté du 31/12/2023) faisait état d'un CA de 7,65 Mds FCFA (+16,5%) et d'un résultat net de 855,65 M FCFA (+37,9%), mais cette dynamique ne s'est pas confirmée sur l'année pleine. La politique de dividende est inexistante (0 FCFA en 2022 et 2023), la trésorerie (3,35 Mds FCFA) étant conservée pour financer la relance. Les risques majeurs incluent la dépendance client (AIRONE représentait 40% du CA Poisson en 2022), la concurrence du PET, et la suspension de la cote BRVM pour flottant insuffisant (10,42% vs 15% requis). L'arrivée de Sonoco Products Company comme actionnaire (rachat finalisé en décembre 2024) constitue une opportunité stratégique mais introduit un risque de dilution. **Recommandation fondamentale : prudence, avec un profil spéculatif sur le redressement.**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suggère une sous-évaluation apparente avec un PER implicite très bas (~2,9x), mais cette lecture est fragilisée par l'ancienneté des données et l'absence de ratios actualisés. Le comportement du cours (Partie 1) est clairement baissier (-16,94% sur 100 jours), avec une volatilité élevée (47,2%), un kurtosis leptokurtique et un skewness positif — des statistiques défavorables qui indiquent un risque de pics baissiers et une asymétrie négative pour les acheteurs. Les signaux techniques (Partie 2) sont majoritairement baissiers (MACD en vente, cours sous MM20/MM50, stochastique en croisement baissier), avec un RSI et des Bollinger neutres qui n'offrent aucun soutien. Les fondamentaux (Partie 3) révèlent une dégradation sévère en 2023 (CA -6%, résultat net -74%, marge nette à 3,6%), une absence de dividende, et des risques opérationnels et stratégiques élevés, malgré l'opportunité Sonoco. Les prédictions IA (J+1 à J+10) anticipent une poursuite de la baisse vers 1 440-1 454 FCFA, confirmant la tendance baissière et contredisant toute thèse de rebond imminent. **Synthèse : la convergence des signaux — valorisation incertaine, technique baissière, fondamentaux dégradés, prédictions négatives — plaide pour une recommandation de VENTE, avec un niveau de confiance Moyen et un risque global Élevé.** L'horizon optimal est court terme (&lt;3 mois) pour les investisseurs cherchant à se positionner sur un éventuel rebond spéculatif post-Sonoco, mais la prudence reste de mise tant que la suspension BRVM n'est pas levée et que les résultats 2024-2025 ne confirment pas un redressement.</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1207.11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5,083 titres</w:t>
            </w:r>
          </w:p>
        </w:tc>
        <w:tc>
          <w:tcPr>
            <w:tcW w:type="dxa" w:w="2268"/>
            <w:shd w:fill="FFF2CC" w:val="clear"/>
          </w:tcPr>
          <w:p>
            <w:r>
              <w:rPr>
                <w:b/>
                <w:color w:val="503200"/>
                <w:sz w:val="16"/>
              </w:rPr>
              <w:t xml:space="preserve">Cours actuel : </w:t>
            </w:r>
            <w:r>
              <w:rPr>
                <w:color w:val="000000"/>
                <w:sz w:val="17"/>
              </w:rPr>
              <w:t>38,800 FCFA</w:t>
            </w:r>
          </w:p>
          <w:p>
            <w:r>
              <w:rPr>
                <w:b/>
                <w:color w:val="503200"/>
                <w:sz w:val="16"/>
              </w:rPr>
              <w:t xml:space="preserve">Var. 100 jours : </w:t>
            </w:r>
            <w:r>
              <w:rPr>
                <w:b/>
                <w:color w:val="007800"/>
                <w:sz w:val="17"/>
              </w:rPr>
              <w:t>+13.80%</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3.89% (Faible) — μ=37,881 FCFA, σ=1,472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β=0.5240 (Défensif) — Cov=0.000023, Var(idx)=0.000045, ρ=0.250,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σ_j=1.41%/j (Stable) — Vol. annualisée≈22.3%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36,932</w:t>
            </w:r>
          </w:p>
        </w:tc>
        <w:tc>
          <w:tcPr>
            <w:tcW w:type="dxa" w:w="1440"/>
            <w:shd w:fill="FAFAFA" w:val="clear"/>
          </w:tcPr>
          <w:p>
            <w:r>
              <w:rPr>
                <w:b/>
                <w:sz w:val="17"/>
              </w:rPr>
              <w:t>38,039</w:t>
            </w:r>
          </w:p>
        </w:tc>
        <w:tc>
          <w:tcPr>
            <w:tcW w:type="dxa" w:w="1440"/>
            <w:shd w:fill="FAFAFA" w:val="clear"/>
          </w:tcPr>
          <w:p>
            <w:r>
              <w:rPr>
                <w:sz w:val="17"/>
              </w:rPr>
              <w:t>39,145</w:t>
            </w:r>
          </w:p>
        </w:tc>
        <w:tc>
          <w:tcPr>
            <w:tcW w:type="dxa" w:w="1440"/>
            <w:shd w:fill="FAFAFA"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2026-09-28</w:t>
            </w:r>
          </w:p>
        </w:tc>
        <w:tc>
          <w:tcPr>
            <w:tcW w:type="dxa" w:w="1440"/>
            <w:shd w:fill="FFDCE0" w:val="clear"/>
          </w:tcPr>
          <w:p>
            <w:r>
              <w:rPr>
                <w:sz w:val="17"/>
              </w:rPr>
              <w:t>36,379</w:t>
            </w:r>
          </w:p>
        </w:tc>
        <w:tc>
          <w:tcPr>
            <w:tcW w:type="dxa" w:w="1440"/>
            <w:shd w:fill="FFDCE0" w:val="clear"/>
          </w:tcPr>
          <w:p>
            <w:r>
              <w:rPr>
                <w:b/>
                <w:sz w:val="17"/>
              </w:rPr>
              <w:t>37,940</w:t>
            </w:r>
          </w:p>
        </w:tc>
        <w:tc>
          <w:tcPr>
            <w:tcW w:type="dxa" w:w="1440"/>
            <w:shd w:fill="FFDCE0" w:val="clear"/>
          </w:tcPr>
          <w:p>
            <w:r>
              <w:rPr>
                <w:sz w:val="17"/>
              </w:rPr>
              <w:t>39,500</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2026-09-29</w:t>
            </w:r>
          </w:p>
        </w:tc>
        <w:tc>
          <w:tcPr>
            <w:tcW w:type="dxa" w:w="1440"/>
            <w:shd w:fill="FFDCE0" w:val="clear"/>
          </w:tcPr>
          <w:p>
            <w:r>
              <w:rPr>
                <w:sz w:val="17"/>
              </w:rPr>
              <w:t>35,917</w:t>
            </w:r>
          </w:p>
        </w:tc>
        <w:tc>
          <w:tcPr>
            <w:tcW w:type="dxa" w:w="1440"/>
            <w:shd w:fill="FFDCE0" w:val="clear"/>
          </w:tcPr>
          <w:p>
            <w:r>
              <w:rPr>
                <w:b/>
                <w:sz w:val="17"/>
              </w:rPr>
              <w:t>37,822</w:t>
            </w:r>
          </w:p>
        </w:tc>
        <w:tc>
          <w:tcPr>
            <w:tcW w:type="dxa" w:w="1440"/>
            <w:shd w:fill="FFDCE0" w:val="clear"/>
          </w:tcPr>
          <w:p>
            <w:r>
              <w:rPr>
                <w:sz w:val="17"/>
              </w:rPr>
              <w:t>39,727</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2026-09-30</w:t>
            </w:r>
          </w:p>
        </w:tc>
        <w:tc>
          <w:tcPr>
            <w:tcW w:type="dxa" w:w="1440"/>
            <w:shd w:fill="FFDCE0" w:val="clear"/>
          </w:tcPr>
          <w:p>
            <w:r>
              <w:rPr>
                <w:sz w:val="17"/>
              </w:rPr>
              <w:t>35,514</w:t>
            </w:r>
          </w:p>
        </w:tc>
        <w:tc>
          <w:tcPr>
            <w:tcW w:type="dxa" w:w="1440"/>
            <w:shd w:fill="FFDCE0" w:val="clear"/>
          </w:tcPr>
          <w:p>
            <w:r>
              <w:rPr>
                <w:b/>
                <w:sz w:val="17"/>
              </w:rPr>
              <w:t>37,707</w:t>
            </w:r>
          </w:p>
        </w:tc>
        <w:tc>
          <w:tcPr>
            <w:tcW w:type="dxa" w:w="1440"/>
            <w:shd w:fill="FFDCE0" w:val="clear"/>
          </w:tcPr>
          <w:p>
            <w:r>
              <w:rPr>
                <w:sz w:val="17"/>
              </w:rPr>
              <w:t>39,901</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2026-10-01</w:t>
            </w:r>
          </w:p>
        </w:tc>
        <w:tc>
          <w:tcPr>
            <w:tcW w:type="dxa" w:w="1440"/>
            <w:shd w:fill="FFDCE0" w:val="clear"/>
          </w:tcPr>
          <w:p>
            <w:r>
              <w:rPr>
                <w:sz w:val="17"/>
              </w:rPr>
              <w:t>35,152</w:t>
            </w:r>
          </w:p>
        </w:tc>
        <w:tc>
          <w:tcPr>
            <w:tcW w:type="dxa" w:w="1440"/>
            <w:shd w:fill="FFDCE0" w:val="clear"/>
          </w:tcPr>
          <w:p>
            <w:r>
              <w:rPr>
                <w:b/>
                <w:sz w:val="17"/>
              </w:rPr>
              <w:t>37,597</w:t>
            </w:r>
          </w:p>
        </w:tc>
        <w:tc>
          <w:tcPr>
            <w:tcW w:type="dxa" w:w="1440"/>
            <w:shd w:fill="FFDCE0" w:val="clear"/>
          </w:tcPr>
          <w:p>
            <w:r>
              <w:rPr>
                <w:sz w:val="17"/>
              </w:rPr>
              <w:t>40,042</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2026-10-02</w:t>
            </w:r>
          </w:p>
        </w:tc>
        <w:tc>
          <w:tcPr>
            <w:tcW w:type="dxa" w:w="1440"/>
            <w:shd w:fill="FFDCE0" w:val="clear"/>
          </w:tcPr>
          <w:p>
            <w:r>
              <w:rPr>
                <w:sz w:val="17"/>
              </w:rPr>
              <w:t>34,820</w:t>
            </w:r>
          </w:p>
        </w:tc>
        <w:tc>
          <w:tcPr>
            <w:tcW w:type="dxa" w:w="1440"/>
            <w:shd w:fill="FFDCE0" w:val="clear"/>
          </w:tcPr>
          <w:p>
            <w:r>
              <w:rPr>
                <w:b/>
                <w:sz w:val="17"/>
              </w:rPr>
              <w:t>37,491</w:t>
            </w:r>
          </w:p>
        </w:tc>
        <w:tc>
          <w:tcPr>
            <w:tcW w:type="dxa" w:w="1440"/>
            <w:shd w:fill="FFDCE0" w:val="clear"/>
          </w:tcPr>
          <w:p>
            <w:r>
              <w:rPr>
                <w:sz w:val="17"/>
              </w:rPr>
              <w:t>40,162</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2026-10-05</w:t>
            </w:r>
          </w:p>
        </w:tc>
        <w:tc>
          <w:tcPr>
            <w:tcW w:type="dxa" w:w="1440"/>
            <w:shd w:fill="FFDCE0" w:val="clear"/>
          </w:tcPr>
          <w:p>
            <w:r>
              <w:rPr>
                <w:sz w:val="17"/>
              </w:rPr>
              <w:t>34,511</w:t>
            </w:r>
          </w:p>
        </w:tc>
        <w:tc>
          <w:tcPr>
            <w:tcW w:type="dxa" w:w="1440"/>
            <w:shd w:fill="FFDCE0" w:val="clear"/>
          </w:tcPr>
          <w:p>
            <w:r>
              <w:rPr>
                <w:b/>
                <w:sz w:val="17"/>
              </w:rPr>
              <w:t>37,388</w:t>
            </w:r>
          </w:p>
        </w:tc>
        <w:tc>
          <w:tcPr>
            <w:tcW w:type="dxa" w:w="1440"/>
            <w:shd w:fill="FFDCE0" w:val="clear"/>
          </w:tcPr>
          <w:p>
            <w:r>
              <w:rPr>
                <w:sz w:val="17"/>
              </w:rPr>
              <w:t>40,265</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2026-10-06</w:t>
            </w:r>
          </w:p>
        </w:tc>
        <w:tc>
          <w:tcPr>
            <w:tcW w:type="dxa" w:w="1440"/>
            <w:shd w:fill="FFDCE0" w:val="clear"/>
          </w:tcPr>
          <w:p>
            <w:r>
              <w:rPr>
                <w:sz w:val="17"/>
              </w:rPr>
              <w:t>34,219</w:t>
            </w:r>
          </w:p>
        </w:tc>
        <w:tc>
          <w:tcPr>
            <w:tcW w:type="dxa" w:w="1440"/>
            <w:shd w:fill="FFDCE0" w:val="clear"/>
          </w:tcPr>
          <w:p>
            <w:r>
              <w:rPr>
                <w:b/>
                <w:sz w:val="17"/>
              </w:rPr>
              <w:t>37,287</w:t>
            </w:r>
          </w:p>
        </w:tc>
        <w:tc>
          <w:tcPr>
            <w:tcW w:type="dxa" w:w="1440"/>
            <w:shd w:fill="FFDCE0" w:val="clear"/>
          </w:tcPr>
          <w:p>
            <w:r>
              <w:rPr>
                <w:sz w:val="17"/>
              </w:rPr>
              <w:t>40,354</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2026-10-07</w:t>
            </w:r>
          </w:p>
        </w:tc>
        <w:tc>
          <w:tcPr>
            <w:tcW w:type="dxa" w:w="1440"/>
            <w:shd w:fill="FFDCE0" w:val="clear"/>
          </w:tcPr>
          <w:p>
            <w:r>
              <w:rPr>
                <w:sz w:val="17"/>
              </w:rPr>
              <w:t>33,942</w:t>
            </w:r>
          </w:p>
        </w:tc>
        <w:tc>
          <w:tcPr>
            <w:tcW w:type="dxa" w:w="1440"/>
            <w:shd w:fill="FFDCE0" w:val="clear"/>
          </w:tcPr>
          <w:p>
            <w:r>
              <w:rPr>
                <w:b/>
                <w:sz w:val="17"/>
              </w:rPr>
              <w:t>37,187</w:t>
            </w:r>
          </w:p>
        </w:tc>
        <w:tc>
          <w:tcPr>
            <w:tcW w:type="dxa" w:w="1440"/>
            <w:shd w:fill="FFDCE0" w:val="clear"/>
          </w:tcPr>
          <w:p>
            <w:r>
              <w:rPr>
                <w:sz w:val="17"/>
              </w:rPr>
              <w:t>40,432</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2026-10-08</w:t>
            </w:r>
          </w:p>
        </w:tc>
        <w:tc>
          <w:tcPr>
            <w:tcW w:type="dxa" w:w="1440"/>
            <w:shd w:fill="FFDCE0" w:val="clear"/>
          </w:tcPr>
          <w:p>
            <w:r>
              <w:rPr>
                <w:sz w:val="17"/>
              </w:rPr>
              <w:t>33,678</w:t>
            </w:r>
          </w:p>
        </w:tc>
        <w:tc>
          <w:tcPr>
            <w:tcW w:type="dxa" w:w="1440"/>
            <w:shd w:fill="FFDCE0" w:val="clear"/>
          </w:tcPr>
          <w:p>
            <w:r>
              <w:rPr>
                <w:b/>
                <w:sz w:val="17"/>
              </w:rPr>
              <w:t>37,089</w:t>
            </w:r>
          </w:p>
        </w:tc>
        <w:tc>
          <w:tcPr>
            <w:tcW w:type="dxa" w:w="1440"/>
            <w:shd w:fill="FFDCE0" w:val="clear"/>
          </w:tcPr>
          <w:p>
            <w:r>
              <w:rPr>
                <w:sz w:val="17"/>
              </w:rPr>
              <w:t>40,501</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1 207,11 milliards FCFA, SGBC figure parmi les poids lourds de la BRVM, ce qui en fait un pilier de l'indice composite et un incontournable pour tout portefeuille régional diversifié. Le BPA de 3 258 FCFA par action signifie que chaque titre génère un bénéfice net de plus de 3 200 FCFA, un niveau remarquable qui traduit la forte rentabilité intrinsèque de la banque. Le PER de 11,9x se situe dans le haut de la fourchette moyenne du marché BRVM (8-12x), indiquant une valorisation raisonnable mais sans décote manifeste, les investisseurs acceptant de payer une légère prime pour la qualité de la signature. Le P/B de 2,44x montre que le marché valorise SGBC à plus du double de sa valeur comptable, une prime de croissance justifiée par un ROE supérieur à 20%. En revanche, l'EV/EBITDA de 24,6x apparaît très exigeant (&gt;15x), signalant que la valeur d'entreprise intègre déjà une bonne partie des anticipations de performance ; ce ratio doit toutefois être interprété avec prudence pour une banque, où l'EBITDA est un indicateur moins pertinent que le PNB.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+13,80%, avec une dernière séance particulièrement dynamique (+2,15% en J-1), confirmant un momentum haussier de court terme. Le cours actuel de 38 800 FCFA évolue dans un range de trading de 6 300 FCFA, entre un plus bas de 33 000 FCFA et un plus haut de 39 300 FCFA, ce qui place le titre à seulement 1,3% de son sommet — signe de forte pression acheteuse. La tendance générale est donc clairement haussière, soutenue par des volumes moyens quotidiens de 5 083 titres, témoignant d'une liquidité correcte pour le marché BRVM. Les statistiques descriptives révèlent une moyenne de 37 881 FCFA légèrement inférieure à la médiane de 38 092 FCFA, avec un mode à 38 000 FCFA : cet écart modéré indique une distribution quasi symétrique autour de 38 000 FCFA, niveau qui agit comme point d'ancrage psychologique. L'écart-type de 1 479 FCFA (CV = 3,9%) traduit une dispersion très faible du cours, signe de stabilité et de confiance des investisseurs. Le kurtosis de 2,371 (leptokurtique) signale des queues épaisses, donc un risque de pics de volatilité brutaux, tandis que le skewness de -1,704 (asymétrie négative) indique davantage de journées de hausse au-dessus de la moyenne, mais avec des corrections ponctuelles plus marquées. La volatilité annualisée de 22,3% classe le titre en zone modérée (15-30%), cohérente avec un profil bancaire défensif mais exposé aux aléas macroéconomiques régionaux.</w:t>
      </w:r>
    </w:p>
    <w:p>
      <w:pPr>
        <w:spacing w:after="120" w:line="276" w:lineRule="auto"/>
      </w:pPr>
      <w:r>
        <w:t>---</w:t>
      </w:r>
    </w:p>
    <w:p>
      <w:pPr>
        <w:spacing w:after="120" w:line="276" w:lineRule="auto"/>
      </w:pPr>
      <w:r>
        <w:t>## PARTIE 2 : ANALYSE TECHNIQUE DÉTAILLÉE</w:t>
      </w:r>
    </w:p>
    <w:p>
      <w:pPr>
        <w:spacing w:after="120" w:line="276" w:lineRule="auto"/>
      </w:pPr>
      <w:r>
        <w:t>**Moyennes Mobiles :** La MM20 (38 442,25 FCFA) et la MM50 (38 393,40 FCFA) sont toutes deux positionnées sous le cours actuel (38 800 FCFA), avec une MM20 légèrement supérieure à la MM50, configurant un croisement haussier classique. Cette configuration en « golden cross » implicite valide la décision d'achat, le cours évoluant au-dessus de ses deux supports dynamiques, ce qui constitue un signal de continuation de tendance.</w:t>
      </w:r>
    </w:p>
    <w:p>
      <w:pPr>
        <w:spacing w:after="120" w:line="276" w:lineRule="auto"/>
      </w:pPr>
      <w:r>
        <w:t>**Bandes de Bollinger :** Le cours (38 800 FCFA) se situe dans la moitié supérieure de la bande, entre la borne inférieure (37 623,24 FCFA) et la borne supérieure (39 261,26 FCFA), sans les toucher. L'amplitude relativement étroite des bandes (1 638 FCFA) confirme une volatilité contenue, et la décision « Neutre » reflète l'absence de signal extrême — le titre n'est ni en surachat ni en survente selon ce critère.</w:t>
      </w:r>
    </w:p>
    <w:p>
      <w:pPr>
        <w:spacing w:after="120" w:line="276" w:lineRule="auto"/>
      </w:pPr>
      <w:r>
        <w:t>**MACD :** La valeur du MACD (-23,138) est inférieure à son signal (-11,681), générant un histogramme négatif et une décision de « Vente ». Ce signal baissier contraste avec la tendance haussière du cours, suggérant un essoufflement du momentum à court terme et une possible consolidation avant une nouvelle impulsion.</w:t>
      </w:r>
    </w:p>
    <w:p>
      <w:pPr>
        <w:spacing w:after="120" w:line="276" w:lineRule="auto"/>
      </w:pPr>
      <w:r>
        <w:t>**RSI :** À 51,861, le RSI se situe parfaitement dans la zone neutre (30-70), indiquant un équilibre entre acheteurs et vendeurs. Aucune pression de surachat (&gt;70) ni de survente (&lt;30) n'est présente, ce qui laisse au titre une marge de progression sans contrainte technique immédiate.</w:t>
      </w:r>
    </w:p>
    <w:p>
      <w:pPr>
        <w:spacing w:after="120" w:line="276" w:lineRule="auto"/>
      </w:pPr>
      <w:r>
        <w:t>**Stochastique :** Le %K (83,333) est nettement supérieur au %D (52,222), avec un %K en zone de surachat (&gt;80), générant une décision de « Vente ». Ce signal suggère que le titre pourrait connaître un repli technique à court terme après sa récente progression, le croisement %K/%D étant proche d'une configuration baissière.</w:t>
      </w:r>
    </w:p>
    <w:p>
      <w:pPr>
        <w:spacing w:after="120" w:line="276" w:lineRule="auto"/>
      </w:pPr>
      <w:r>
        <w:t>**Conclusion technique :** Les indicateurs présentent une divergence notable : les moyennes mobiles et les Bandes de Bollinger soutiennent une tendance haussière modérée, tandis que le MACD et le stochastique émettent des signaux de vente à court terme, et le RSI reste neutre. Cette configuration mixte suggère un titre en phase de consolidation après une hausse de +13,80%, avec un risque de correction technique limitée avant une reprise potentielle. La prudence est de mise à très court terme, mais la structure de fond reste haussière.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(PNB) de 276,048 milliards FCFA, en croissance de +4,88% par rapport à 2024, confirmant la dynamique commerciale de la banque. Le résultat net s'établit à 101,352 milliards FCFA, franchissant pour la première fois le seuil des 100 milliards, avec une marge nette de 36,72% — un niveau exceptionnel qui témoigne d'une rentabilité intrinsèque élevée. Le ROE de 20,47% (&gt;15% = excellent) et le ROA de 2,69% confirment l'efficacité de l'utilisation des fonds propres et des actifs. Le coefficient d'exploitation de 38,75% (&lt;60% = banque efficace, &lt;50% = excellente) place SGBC parmi les établissements les plus efficients du secteur bancaire UEMOA. Le coût du risque, mesuré par le ratio charges financières/PNB (47,775/276,048 = 17,3%), reste contenu, bien que les provisions de 17,995 milliards FCFA signalent une vigilance sur la qualité du portefeuille. La structure bilancielle est solide : les dépôts clientèle (2 907,675 milliards FCFA) couvrent largement les créances clientèle (2 546,290 milliards FCFA), avec un ratio prêts/dépôts de 87,6%, en amélioration continue. Les capitaux propres de 495,113 milliards FCFA et l'autonomie financière de 13,14% (norme bancaire) reflètent une capitalisation robuste.</w:t>
      </w:r>
    </w:p>
    <w:p>
      <w:pPr>
        <w:spacing w:after="120" w:line="276" w:lineRule="auto"/>
      </w:pPr>
      <w:r>
        <w:t>**Estimations basées sur les rapports trimestriels :** Le rapport du 3ᵉ trimestre 2025 (30 septembre 2025) indique un PNB cumulé de 201,0 milliards FCFA (+2,5% sur un an) et un résultat net de 83,3 milliards FCFA (+11,7%), avec un coefficient d'exploitation amélioré à 37,3%. Sur cette base, on estime que l'exercice 2025 devrait clôturer avec un PNB d'environ 276 milliards FCFA (cohérent avec les données structurées) et un résultat net proche de 101 milliards FCFA, confirmant la trajectoire de croissance rentable. Le rapport du 1ᵉʳ semestre 2025 (30 juin 2025) soulignait déjà une progression du résultat net de +10,0% à 53,1 milliards FCFA, avec un ROE de 23,8% et un ratio de solvabilité de 17,7%, bien au-dessus du minimum réglementaire de 12,5%. Le rapport annuel 2024 (31 décembre 2024) faisait état d'un dividende brut de 1 863 FCFA par action (+8,4%), avec un taux de distribution de 57,25%, réaffirmant une politique actionnariale généreuse. La notation AAA (Bloomfield) — unique dans le secteur bancaire de la BRVM — constitue un gage de solidité exceptionnel.</w:t>
      </w:r>
    </w:p>
    <w:p>
      <w:pPr>
        <w:spacing w:after="120" w:line="276" w:lineRule="auto"/>
      </w:pPr>
      <w:r>
        <w:t>**Recommandation fondamentale :** SGBC présente des fondamentaux exceptionnellement solides, avec une croissance rentable, une efficacité opérationnelle remarquable et une structure financière robuste. Les risques identifiés (hausse des créances en souffrance à 7,8% au S1 2025, coût du risque en progression) sont contenus et surveillés. La perspective d'un dividende attractif (rendement estimé ~4,8% sur la base de 1 863 FCFA pour un cours de 38 800 FCFA) renforce l'attrait du titre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valorisation de SGBC (PER 11,9x, P/B 2,44x, EV/EBITDA 24,6x) indique une juste valorisation, sans décote excessive mais avec une prime de qualité justifiée par un ROE de 20,47% et une notation AAA unique sur le marché. Le comportement du cours sur 100 jours (+13,80%, volatilité modérée de 22,3%, skewness négatif) révèle une tendance haussière stable, avec un risque de pics ponctuels (kurtosis leptokurtique) mais une dispersion très faible (CV 3,9%), ce qui est rassurant pour les investisseurs. Les signaux techniques sont mitigés : les moyennes mobiles et les Bandes de Bollinger soutiennent la tendance haussière, tandis que le MACD et le stochastique émettent des signaux de vente à court terme, suggérant une consolidation imminente. Les fondamentaux (PNB 276,048 Mds FCFA en 2025, résultat net 101,352 Mds FCFA, coefficient d'exploitation 38,75%) confirment la solidité et la croissance de la banque, avec des estimations positives issues des rapports trimestriels 2025. Les prédictions IA (J+1 à J+10) anticipent une légère correction vers 37 597 FCFA (-3,1% par rapport au cours actuel), ce qui contredit les signaux haussiers des moyennes mobiles mais confirme les signaux baissiers du MACD et du stochastique à court terme. **Recommandation finale : CONSERVER**, avec un niveau de confiance **Moyen** et un risque global **Faible à Moyen**. La convergence entre fondamentaux solides, valorisation raisonnable et prédictions de correction modérée suggère une position d'attente pour les investisseurs déjà exposés, et un point d'entrée opportun vers 37 500-38 000 FCFA pour les nouveaux investisseurs. **Horizon d'investissement optimal : moyen terme (3-12 mois)**, pour capturer la croissance bénéficiaire et le dividende, tout en surveillant les indicateurs de qualité du crédit (NPL) et l'évolution du coût du risque.</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155.93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4,863 titres</w:t>
            </w:r>
          </w:p>
        </w:tc>
        <w:tc>
          <w:tcPr>
            <w:tcW w:type="dxa" w:w="2268"/>
            <w:shd w:fill="FFF2CC" w:val="clear"/>
          </w:tcPr>
          <w:p>
            <w:r>
              <w:rPr>
                <w:b/>
                <w:color w:val="503200"/>
                <w:sz w:val="16"/>
              </w:rPr>
              <w:t xml:space="preserve">Cours actuel : </w:t>
            </w:r>
            <w:r>
              <w:rPr>
                <w:color w:val="000000"/>
                <w:sz w:val="17"/>
              </w:rPr>
              <w:t>2,475 FCFA</w:t>
            </w:r>
          </w:p>
          <w:p>
            <w:r>
              <w:rPr>
                <w:b/>
                <w:color w:val="503200"/>
                <w:sz w:val="16"/>
              </w:rPr>
              <w:t xml:space="preserve">Var. 100 jours : </w:t>
            </w:r>
            <w:r>
              <w:rPr>
                <w:b/>
                <w:color w:val="007800"/>
                <w:sz w:val="17"/>
              </w:rPr>
              <w:t>+25.63%</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10.85% (Moyenne) — μ=2,230 FCFA, σ=242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β=0.5569 (Défensif) — Cov=0.000025, Var(idx)=0.000045, ρ=0.146,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2026-09-25</w:t>
            </w:r>
          </w:p>
        </w:tc>
        <w:tc>
          <w:tcPr>
            <w:tcW w:type="dxa" w:w="1440"/>
            <w:shd w:fill="FFDCE0" w:val="clear"/>
          </w:tcPr>
          <w:p>
            <w:r>
              <w:rPr>
                <w:sz w:val="17"/>
              </w:rPr>
              <w:t>2,259</w:t>
            </w:r>
          </w:p>
        </w:tc>
        <w:tc>
          <w:tcPr>
            <w:tcW w:type="dxa" w:w="1440"/>
            <w:shd w:fill="FFDCE0" w:val="clear"/>
          </w:tcPr>
          <w:p>
            <w:r>
              <w:rPr>
                <w:b/>
                <w:sz w:val="17"/>
              </w:rPr>
              <w:t>2,410</w:t>
            </w:r>
          </w:p>
        </w:tc>
        <w:tc>
          <w:tcPr>
            <w:tcW w:type="dxa" w:w="1440"/>
            <w:shd w:fill="FFDCE0" w:val="clear"/>
          </w:tcPr>
          <w:p>
            <w:r>
              <w:rPr>
                <w:sz w:val="17"/>
              </w:rPr>
              <w:t>2,561</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2026-09-28</w:t>
            </w:r>
          </w:p>
        </w:tc>
        <w:tc>
          <w:tcPr>
            <w:tcW w:type="dxa" w:w="1440"/>
            <w:shd w:fill="FFDCE0" w:val="clear"/>
          </w:tcPr>
          <w:p>
            <w:r>
              <w:rPr>
                <w:sz w:val="17"/>
              </w:rPr>
              <w:t>2,171</w:t>
            </w:r>
          </w:p>
        </w:tc>
        <w:tc>
          <w:tcPr>
            <w:tcW w:type="dxa" w:w="1440"/>
            <w:shd w:fill="FFDCE0" w:val="clear"/>
          </w:tcPr>
          <w:p>
            <w:r>
              <w:rPr>
                <w:b/>
                <w:sz w:val="17"/>
              </w:rPr>
              <w:t>2,381</w:t>
            </w:r>
          </w:p>
        </w:tc>
        <w:tc>
          <w:tcPr>
            <w:tcW w:type="dxa" w:w="1440"/>
            <w:shd w:fill="FFDCE0" w:val="clear"/>
          </w:tcPr>
          <w:p>
            <w:r>
              <w:rPr>
                <w:sz w:val="17"/>
              </w:rPr>
              <w:t>2,592</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2026-09-29</w:t>
            </w:r>
          </w:p>
        </w:tc>
        <w:tc>
          <w:tcPr>
            <w:tcW w:type="dxa" w:w="1440"/>
            <w:shd w:fill="FFDCE0" w:val="clear"/>
          </w:tcPr>
          <w:p>
            <w:r>
              <w:rPr>
                <w:sz w:val="17"/>
              </w:rPr>
              <w:t>2,099</w:t>
            </w:r>
          </w:p>
        </w:tc>
        <w:tc>
          <w:tcPr>
            <w:tcW w:type="dxa" w:w="1440"/>
            <w:shd w:fill="FFDCE0" w:val="clear"/>
          </w:tcPr>
          <w:p>
            <w:r>
              <w:rPr>
                <w:b/>
                <w:sz w:val="17"/>
              </w:rPr>
              <w:t>2,354</w:t>
            </w:r>
          </w:p>
        </w:tc>
        <w:tc>
          <w:tcPr>
            <w:tcW w:type="dxa" w:w="1440"/>
            <w:shd w:fill="FFDCE0" w:val="clear"/>
          </w:tcPr>
          <w:p>
            <w:r>
              <w:rPr>
                <w:sz w:val="17"/>
              </w:rPr>
              <w:t>2,609</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2,037</w:t>
            </w:r>
          </w:p>
        </w:tc>
        <w:tc>
          <w:tcPr>
            <w:tcW w:type="dxa" w:w="1440"/>
            <w:shd w:fill="FFDCE0" w:val="clear"/>
          </w:tcPr>
          <w:p>
            <w:r>
              <w:rPr>
                <w:b/>
                <w:sz w:val="17"/>
              </w:rPr>
              <w:t>2,328</w:t>
            </w:r>
          </w:p>
        </w:tc>
        <w:tc>
          <w:tcPr>
            <w:tcW w:type="dxa" w:w="1440"/>
            <w:shd w:fill="FFDCE0" w:val="clear"/>
          </w:tcPr>
          <w:p>
            <w:r>
              <w:rPr>
                <w:sz w:val="17"/>
              </w:rPr>
              <w:t>2,620</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1,982</w:t>
            </w:r>
          </w:p>
        </w:tc>
        <w:tc>
          <w:tcPr>
            <w:tcW w:type="dxa" w:w="1440"/>
            <w:shd w:fill="FFDCE0" w:val="clear"/>
          </w:tcPr>
          <w:p>
            <w:r>
              <w:rPr>
                <w:b/>
                <w:sz w:val="17"/>
              </w:rPr>
              <w:t>2,304</w:t>
            </w:r>
          </w:p>
        </w:tc>
        <w:tc>
          <w:tcPr>
            <w:tcW w:type="dxa" w:w="1440"/>
            <w:shd w:fill="FFDCE0" w:val="clear"/>
          </w:tcPr>
          <w:p>
            <w:r>
              <w:rPr>
                <w:sz w:val="17"/>
              </w:rPr>
              <w:t>2,627</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1,932</w:t>
            </w:r>
          </w:p>
        </w:tc>
        <w:tc>
          <w:tcPr>
            <w:tcW w:type="dxa" w:w="1440"/>
            <w:shd w:fill="FFDCE0" w:val="clear"/>
          </w:tcPr>
          <w:p>
            <w:r>
              <w:rPr>
                <w:b/>
                <w:sz w:val="17"/>
              </w:rPr>
              <w:t>2,281</w:t>
            </w:r>
          </w:p>
        </w:tc>
        <w:tc>
          <w:tcPr>
            <w:tcW w:type="dxa" w:w="1440"/>
            <w:shd w:fill="FFDCE0" w:val="clear"/>
          </w:tcPr>
          <w:p>
            <w:r>
              <w:rPr>
                <w:sz w:val="17"/>
              </w:rPr>
              <w:t>2,631</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1,886</w:t>
            </w:r>
          </w:p>
        </w:tc>
        <w:tc>
          <w:tcPr>
            <w:tcW w:type="dxa" w:w="1440"/>
            <w:shd w:fill="FFDCE0" w:val="clear"/>
          </w:tcPr>
          <w:p>
            <w:r>
              <w:rPr>
                <w:b/>
                <w:sz w:val="17"/>
              </w:rPr>
              <w:t>2,260</w:t>
            </w:r>
          </w:p>
        </w:tc>
        <w:tc>
          <w:tcPr>
            <w:tcW w:type="dxa" w:w="1440"/>
            <w:shd w:fill="FFDCE0" w:val="clear"/>
          </w:tcPr>
          <w:p>
            <w:r>
              <w:rPr>
                <w:sz w:val="17"/>
              </w:rPr>
              <w:t>2,634</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1,843</w:t>
            </w:r>
          </w:p>
        </w:tc>
        <w:tc>
          <w:tcPr>
            <w:tcW w:type="dxa" w:w="1440"/>
            <w:shd w:fill="FFDCE0" w:val="clear"/>
          </w:tcPr>
          <w:p>
            <w:r>
              <w:rPr>
                <w:b/>
                <w:sz w:val="17"/>
              </w:rPr>
              <w:t>2,240</w:t>
            </w:r>
          </w:p>
        </w:tc>
        <w:tc>
          <w:tcPr>
            <w:tcW w:type="dxa" w:w="1440"/>
            <w:shd w:fill="FFDCE0" w:val="clear"/>
          </w:tcPr>
          <w:p>
            <w:r>
              <w:rPr>
                <w:sz w:val="17"/>
              </w:rPr>
              <w:t>2,636</w:t>
            </w:r>
          </w:p>
        </w:tc>
        <w:tc>
          <w:tcPr>
            <w:tcW w:type="dxa" w:w="1440"/>
            <w:shd w:fill="FFDCE0" w:val="clear"/>
          </w:tcPr>
          <w:p>
            <w:r>
              <w:rPr>
                <w:b/>
                <w:color w:val="C00000"/>
                <w:sz w:val="17"/>
              </w:rPr>
              <w:t>-9.5%</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1,804</w:t>
            </w:r>
          </w:p>
        </w:tc>
        <w:tc>
          <w:tcPr>
            <w:tcW w:type="dxa" w:w="1440"/>
            <w:shd w:fill="FFDCE0" w:val="clear"/>
          </w:tcPr>
          <w:p>
            <w:r>
              <w:rPr>
                <w:b/>
                <w:sz w:val="17"/>
              </w:rPr>
              <w:t>2,221</w:t>
            </w:r>
          </w:p>
        </w:tc>
        <w:tc>
          <w:tcPr>
            <w:tcW w:type="dxa" w:w="1440"/>
            <w:shd w:fill="FFDCE0" w:val="clear"/>
          </w:tcPr>
          <w:p>
            <w:r>
              <w:rPr>
                <w:sz w:val="17"/>
              </w:rPr>
              <w:t>2,638</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1,767</w:t>
            </w:r>
          </w:p>
        </w:tc>
        <w:tc>
          <w:tcPr>
            <w:tcW w:type="dxa" w:w="1440"/>
            <w:shd w:fill="FFDCE0" w:val="clear"/>
          </w:tcPr>
          <w:p>
            <w:r>
              <w:rPr>
                <w:b/>
                <w:sz w:val="17"/>
              </w:rPr>
              <w:t>2,203</w:t>
            </w:r>
          </w:p>
        </w:tc>
        <w:tc>
          <w:tcPr>
            <w:tcW w:type="dxa" w:w="1440"/>
            <w:shd w:fill="FFDCE0" w:val="clear"/>
          </w:tcPr>
          <w:p>
            <w:r>
              <w:rPr>
                <w:sz w:val="17"/>
              </w:rPr>
              <w:t>2,639</w:t>
            </w:r>
          </w:p>
        </w:tc>
        <w:tc>
          <w:tcPr>
            <w:tcW w:type="dxa" w:w="1440"/>
            <w:shd w:fill="FFDCE0" w:val="clear"/>
          </w:tcPr>
          <w:p>
            <w:r>
              <w:rPr>
                <w:b/>
                <w:color w:val="C00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155,93 milliards FCFA, SHEC se positionne parmi les valeurs moyennes à grandes de la cote BRVM, ce qui traduit une liquidité correcte mais un poids encore limité face aux mastodontes bancaires et télécoms de la place. Le BPA de 96 FCFA/action signifie que chaque titre génère près d'un centième de sa valeur en bénéfice net, un niveau structurellement faible pour le secteur pétrolier aval. Le PER de 25,9x est nettement supérieur à la moyenne BRVM (~8-12x), signalant que le marché paie une prime de croissance ou de qualité qui n'est pas encore pleinement justifiée par les résultats. Le P/B de 5,74x confirme cette valorisation exigeante : le marché valorise SHEC à près de six fois sa valeur comptable, ce qui suppose une forte confiance dans la pérennité des marges et la solidité du réseau de distribution. Enfin, l'EV/EBITDA de 13,6x, dans la fourchette haute (10-15x), indique que la valeur d'entreprise intègre déjà une bonne partie du potentiel opérationnel, laissant peu de marge d'erreur en cas de déception sur les volumes.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performance remarquable de +25,63%, avec une dernière séance en hausse de +3,56% à 2 475 FCFA, confirmant un momentum haussier de court terme. Le titre a évolué dans un range large de 1 840 FCFA (plus bas) à 2 980 FCFA (plus haut), soit une amplitude de plus de 60%, typique d'une valeur en phase de re-rating. La tendance générale est clairement haussière, portée par l'amélioration des résultats 2025 et l'annonce d'un dividende en hausse. Les statistiques descriptives révèlent une moyenne de 2 230 FCFA légèrement supérieure à la médiane et au mode (2 200 FCFA), ce qui traduit une asymétrie positive : les pics de hausse tirent la moyenne vers le haut, tandis que la masse des cours se concentre autour de 2 200 FCFA. L'écart-type de 243 FCFA (CV = 10,9%) indique une dispersion modérée, mais le kurtosis de 1,014 (leptokurtique) signale des queues épaisses, donc un risque de mouvements brusques et de pics de volatilité. Le skewness de 0,981 (asymétrie positive) confirme que les journées sous la moyenne sont plus fréquentes, mais que les hausses, lorsqu'elles surviennent, sont plus amples. La volatilité annualisée de 44,0% classe SHEC dans la catégorie des titres à volatilité élevée (&gt;30%), ce qui implique un risque de marché significatif et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(2 587,75 FCFA) est supérieure à la MM50 (2 399,9 FCFA), et le cours actuel (2 475 FCFA) se situe entre les deux, légèrement au-dessus de la MM50 mais sous la MM20. Cette configuration indique une tendance haussière de fond (MM20 &gt; MM50) mais un essoufflement de court terme, le cours ayant décroché sous sa moyenne rapide. La décision « Achat » fournie par le système repose sur la structure haussière des moyennes, mais la prudence est de mise tant que le cours ne repasse pas au-dessus de 2 587 FCFA.</w:t>
      </w:r>
    </w:p>
    <w:p>
      <w:pPr>
        <w:spacing w:after="120" w:line="276" w:lineRule="auto"/>
      </w:pPr>
      <w:r>
        <w:t>**Bandes de Bollinger** : Le cours (2 475 FCFA) évolue dans la partie médiane de la bande, entre la borne inférieure (2 178,17 FCFA) et la borne supérieure (2 997,33 FCFA). Cette position neutre reflète un équilibre entre acheteurs et vendeurs, sans excès de volatilité. La largeur des bandes (plus de 800 FCFA) confirme une volatilité élevée, cohérente avec la volatilité annualisée de 44%. La décision « Neutre » est justifiée : aucun signal de surachat ou de survente n'est présent.</w:t>
      </w:r>
    </w:p>
    <w:p>
      <w:pPr>
        <w:spacing w:after="120" w:line="276" w:lineRule="auto"/>
      </w:pPr>
      <w:r>
        <w:t>**MACD** : La valeur du MACD (73,622) est inférieure à son signal (103,813), ce qui génère une divergence baissière et une décision « Vente ». Le momentum haussier s'essouffle, et la ligne MACD pourrait bientôt croiser son signal à la baisse, ce qui constituerait un signal de correction. Cette configuration contredit partiellement la tendance de fond donnée par les moyennes mobiles et appelle à la vigilance.</w:t>
      </w:r>
    </w:p>
    <w:p>
      <w:pPr>
        <w:spacing w:after="120" w:line="276" w:lineRule="auto"/>
      </w:pPr>
      <w:r>
        <w:t>**RSI** : À 52,475, le RSI se situe en zone neutre (30-70), sans signal de surachat (&gt;70) ni de survente (&lt;30). Cela indique que le titre n'est ni surévalué ni sous-évalué à court terme, et que le marché est en phase de consolidation. La décision « Neutre » est cohérente avec cette lecture.</w:t>
      </w:r>
    </w:p>
    <w:p>
      <w:pPr>
        <w:spacing w:after="120" w:line="276" w:lineRule="auto"/>
      </w:pPr>
      <w:r>
        <w:t>**Stochastique** : Le %K (14,407) est inférieur au %D (20,607), et les deux se situent en zone de survente (&lt;20). Cette configuration suggère que le titre est survendu à court terme et qu'un rebond technique est possible. La décision « Achat » est justifiée par cette position extrême, mais elle doit être confirmée par un croisement haussier du %K au-dessus du %D.</w:t>
      </w:r>
    </w:p>
    <w:p>
      <w:pPr>
        <w:spacing w:after="120" w:line="276" w:lineRule="auto"/>
      </w:pPr>
      <w:r>
        <w:t>**Conclusion technique** : Les indicateurs sont divergents. Les moyennes mobiles et le stochastique plaident pour un achat (tendance de fond haussière et survente de court terme), tandis que le MACD et les bandes de Bollinger incitent à la neutralité ou à la prudence. Le RSI confirme l'absence de signal fort. Dans l'ensemble, le titre est en phase de consolidation après une forte hausse, et un rebond technique est possible, mais la prudence reste de mise tant que le MACD ne s'inverse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très légère hausse de +0,71% par rapport à 2024 (600,708 milliards FCFA), selon les états financiers provisoires au 31/12/2025 analysés le 04/06/2026. Le résultat net s'établit à 6,028 milliards FCFA, en progression de +12,6% (contre 5,354 milliards en 2024), grâce à une amélioration de la valeur ajoutée (+15%), une baisse des charges financières (-17,7%) et une hausse de l'EBE (+18,5%). La marge nette reste très faible à 1,0% (contre 0,89% en 2024), caractéristique du secteur pétrolier aval, mais le ROE atteint 22,2% (excellent, &gt;15%) et le ROA 3,11%, traduisant une bonne rentabilité des fonds propres malgré la faiblesse des marges. Les ratios de structure financière sont préoccupants : l'autonomie financière n'est que de 14,03% (très en dessous du seuil de 30% considéré comme sain), la trésorerie nette est fortement négative à -65,264 milliards FCFA, et le BFR s'élève à 15,315 milliards FCFA. Les délais clients (23,27 jours) et fournisseurs (35,47 jours) sont maîtrisés, mais la durée de stockage très courte (7,47 jours) reflète une rotation rapide des produits pétroliers. Le rapport du 3ème trimestre 2025 (30/09/2025) indiquait déjà un résultat net cumulé de 4,119 milliards FCFA (+45% sur un an), avec une marge nette de 0,91%, confirmant la dynamique positive. Le rapport du 1er semestre 2026 (30/06/2026) montre un CA de 305,038 milliards FCFA (-1%) et un résultat net de 3,016 milliards FCFA, avec un résultat d'exploitation en hausse de +17% à 6,133 milliards FCFA, soutenu par le butane. Sur la base de ces éléments, on estime que l'exercice 2026 devrait enregistrer une consolidation avec un CA légèrement en baisse (-1% au S1) mais une rentabilité opérationnelle en amélioration, bien que la hausse de 60% de l'impôt sur le résultat pèse sur le résultat net. La société propose un dividende brut de 6,09 milliards FCFA (soit environ 1 933 FCFA/action), en hausse de +13%, avec un taux de distribution de 101% du résultat net, ce qui est généreux mais fragilise la structure financière. La recommandation fondamentale est de **CONSERVER** : la société est bénéficiaire, améliore sa rentabilité et rémunère ses actionnaires, mais la trésorerie nette très négative, l'endettement élevé et la faible autonomie financière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(Partie 0) est exigeante : PER de 25,9x (très supérieur à la moyenne BRVM de 8-12x), P/B de 5,74x et EV/EBITDA de 13,6x indiquent que le marché intègre déjà une prime de qualité et de croissance, laissant peu de marge d'erreur. Le comportement du cours (Partie 1) est haussier sur 100 jours (+25,63%) mais avec une volatilité élevée (44%) et une asymétrie positive (skewness 0,981) qui suggère des pics de hausse mais aussi des risques de correction brutale (kurtosis 1,014). Les signaux techniques (Partie 2) sont divergents : les moyennes mobiles et le stochastique plaident pour un achat, tandis que le MACD et les bandes de Bollinger incitent à la prudence, le RSI étant neutre. Les fondamentaux (Partie 3) sont solides sur la rentabilité (ROE 22,2%, résultat net +12,6% en 2025) mais fragiles sur la structure financière (trésorerie nette -65,264 milliards FCFA, autonomie financière 14,03%). Les prédictions IA (J+1 à J+10) anticipent une baisse progressive de 2 410 FCFA à 2 304 FCFA, soit une correction de -6,9% sur 10 jours, ce qui contredit le momentum haussier récent et confirme les signaux baissiers du MACD. Sur la base de cette synthèse, la recommandation finale est de **CONSERVER** : la convergence entre une valorisation tendue, des signaux techniques mitigés, des fondamentaux rentables mais financièrement fragiles et des prédictions baissières à court terme ne justifie ni un achat agressif ni une vente. Le niveau de confiance est **Moyen** (les indicateurs sont divergents et les données 2025 sont provisoires), et le niveau de risque global est **Élevé** (volatilité 44%, trésorerie négative, endettement). L'horizon d'investissement optimal est le **moyen terme (3-12 mois)**, en attendant la publication des comptes définitifs 2025 et des résultats du S1 2026 pour confirmer ou infirmer la tendance. Un renforcement pourrait être envisagé si le cours revient vers 2 200 FCFA (zone de support) et si la trésorerie nette s'améliore.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10,760 titres</w:t>
            </w:r>
          </w:p>
        </w:tc>
        <w:tc>
          <w:tcPr>
            <w:tcW w:type="dxa" w:w="2268"/>
            <w:shd w:fill="FFF2CC" w:val="clear"/>
          </w:tcPr>
          <w:p>
            <w:r>
              <w:rPr>
                <w:b/>
                <w:color w:val="503200"/>
                <w:sz w:val="16"/>
              </w:rPr>
              <w:t xml:space="preserve">Cours actuel : </w:t>
            </w:r>
            <w:r>
              <w:rPr>
                <w:color w:val="000000"/>
                <w:sz w:val="17"/>
              </w:rPr>
              <w:t>8,900 FCFA</w:t>
            </w:r>
          </w:p>
          <w:p>
            <w:r>
              <w:rPr>
                <w:b/>
                <w:color w:val="503200"/>
                <w:sz w:val="16"/>
              </w:rPr>
              <w:t xml:space="preserve">Var. 100 jours : </w:t>
            </w:r>
            <w:r>
              <w:rPr>
                <w:b/>
                <w:color w:val="007800"/>
                <w:sz w:val="17"/>
              </w:rPr>
              <w:t>+25.71%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7,050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7.29% (Moyenne) — μ=8,718 FCFA, σ=636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β=0.2977 (Défensif) — Cov=0.000013, Var(idx)=0.000045, ρ=0.111,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10,760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8,538</w:t>
            </w:r>
          </w:p>
        </w:tc>
        <w:tc>
          <w:tcPr>
            <w:tcW w:type="dxa" w:w="1440"/>
            <w:shd w:fill="FAFAFA" w:val="clear"/>
          </w:tcPr>
          <w:p>
            <w:r>
              <w:rPr>
                <w:b/>
                <w:sz w:val="17"/>
              </w:rPr>
              <w:t>8,803</w:t>
            </w:r>
          </w:p>
        </w:tc>
        <w:tc>
          <w:tcPr>
            <w:tcW w:type="dxa" w:w="1440"/>
            <w:shd w:fill="FAFAFA" w:val="clear"/>
          </w:tcPr>
          <w:p>
            <w:r>
              <w:rPr>
                <w:sz w:val="17"/>
              </w:rPr>
              <w:t>9,069</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8,384</w:t>
            </w:r>
          </w:p>
        </w:tc>
        <w:tc>
          <w:tcPr>
            <w:tcW w:type="dxa" w:w="1440"/>
            <w:shd w:fill="FAFAFA" w:val="clear"/>
          </w:tcPr>
          <w:p>
            <w:r>
              <w:rPr>
                <w:b/>
                <w:sz w:val="17"/>
              </w:rPr>
              <w:t>8,758</w:t>
            </w:r>
          </w:p>
        </w:tc>
        <w:tc>
          <w:tcPr>
            <w:tcW w:type="dxa" w:w="1440"/>
            <w:shd w:fill="FAFAFA" w:val="clear"/>
          </w:tcPr>
          <w:p>
            <w:r>
              <w:rPr>
                <w:sz w:val="17"/>
              </w:rPr>
              <w:t>9,132</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2026-09-29</w:t>
            </w:r>
          </w:p>
        </w:tc>
        <w:tc>
          <w:tcPr>
            <w:tcW w:type="dxa" w:w="1440"/>
            <w:shd w:fill="FFDCE0" w:val="clear"/>
          </w:tcPr>
          <w:p>
            <w:r>
              <w:rPr>
                <w:sz w:val="17"/>
              </w:rPr>
              <w:t>8,251</w:t>
            </w:r>
          </w:p>
        </w:tc>
        <w:tc>
          <w:tcPr>
            <w:tcW w:type="dxa" w:w="1440"/>
            <w:shd w:fill="FFDCE0" w:val="clear"/>
          </w:tcPr>
          <w:p>
            <w:r>
              <w:rPr>
                <w:b/>
                <w:sz w:val="17"/>
              </w:rPr>
              <w:t>8,707</w:t>
            </w:r>
          </w:p>
        </w:tc>
        <w:tc>
          <w:tcPr>
            <w:tcW w:type="dxa" w:w="1440"/>
            <w:shd w:fill="FFDCE0" w:val="clear"/>
          </w:tcPr>
          <w:p>
            <w:r>
              <w:rPr>
                <w:sz w:val="17"/>
              </w:rPr>
              <w:t>9,162</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2026-09-30</w:t>
            </w:r>
          </w:p>
        </w:tc>
        <w:tc>
          <w:tcPr>
            <w:tcW w:type="dxa" w:w="1440"/>
            <w:shd w:fill="FFDCE0" w:val="clear"/>
          </w:tcPr>
          <w:p>
            <w:r>
              <w:rPr>
                <w:sz w:val="17"/>
              </w:rPr>
              <w:t>8,133</w:t>
            </w:r>
          </w:p>
        </w:tc>
        <w:tc>
          <w:tcPr>
            <w:tcW w:type="dxa" w:w="1440"/>
            <w:shd w:fill="FFDCE0" w:val="clear"/>
          </w:tcPr>
          <w:p>
            <w:r>
              <w:rPr>
                <w:b/>
                <w:sz w:val="17"/>
              </w:rPr>
              <w:t>8,656</w:t>
            </w:r>
          </w:p>
        </w:tc>
        <w:tc>
          <w:tcPr>
            <w:tcW w:type="dxa" w:w="1440"/>
            <w:shd w:fill="FFDCE0" w:val="clear"/>
          </w:tcPr>
          <w:p>
            <w:r>
              <w:rPr>
                <w:sz w:val="17"/>
              </w:rPr>
              <w:t>9,179</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2026-10-01</w:t>
            </w:r>
          </w:p>
        </w:tc>
        <w:tc>
          <w:tcPr>
            <w:tcW w:type="dxa" w:w="1440"/>
            <w:shd w:fill="FFDCE0" w:val="clear"/>
          </w:tcPr>
          <w:p>
            <w:r>
              <w:rPr>
                <w:sz w:val="17"/>
              </w:rPr>
              <w:t>8,028</w:t>
            </w:r>
          </w:p>
        </w:tc>
        <w:tc>
          <w:tcPr>
            <w:tcW w:type="dxa" w:w="1440"/>
            <w:shd w:fill="FFDCE0" w:val="clear"/>
          </w:tcPr>
          <w:p>
            <w:r>
              <w:rPr>
                <w:b/>
                <w:sz w:val="17"/>
              </w:rPr>
              <w:t>8,609</w:t>
            </w:r>
          </w:p>
        </w:tc>
        <w:tc>
          <w:tcPr>
            <w:tcW w:type="dxa" w:w="1440"/>
            <w:shd w:fill="FFDCE0" w:val="clear"/>
          </w:tcPr>
          <w:p>
            <w:r>
              <w:rPr>
                <w:sz w:val="17"/>
              </w:rPr>
              <w:t>9,190</w:t>
            </w:r>
          </w:p>
        </w:tc>
        <w:tc>
          <w:tcPr>
            <w:tcW w:type="dxa" w:w="1440"/>
            <w:shd w:fill="FFDCE0" w:val="clear"/>
          </w:tcPr>
          <w:p>
            <w:r>
              <w:rPr>
                <w:b/>
                <w:color w:val="C00000"/>
                <w:sz w:val="17"/>
              </w:rPr>
              <w:t>-3.3%</w:t>
            </w:r>
          </w:p>
        </w:tc>
      </w:tr>
      <w:tr>
        <w:tc>
          <w:tcPr>
            <w:tcW w:type="dxa" w:w="1440"/>
            <w:shd w:fill="FFDCE0" w:val="clear"/>
          </w:tcPr>
          <w:p>
            <w:r>
              <w:rPr>
                <w:sz w:val="17"/>
              </w:rPr>
              <w:t>J+6  Moyenne</w:t>
            </w:r>
          </w:p>
        </w:tc>
        <w:tc>
          <w:tcPr>
            <w:tcW w:type="dxa" w:w="1440"/>
            <w:shd w:fill="FFDCE0" w:val="clear"/>
          </w:tcPr>
          <w:p>
            <w:r>
              <w:rPr>
                <w:sz w:val="17"/>
              </w:rPr>
              <w:t>2026-10-02</w:t>
            </w:r>
          </w:p>
        </w:tc>
        <w:tc>
          <w:tcPr>
            <w:tcW w:type="dxa" w:w="1440"/>
            <w:shd w:fill="FFDCE0" w:val="clear"/>
          </w:tcPr>
          <w:p>
            <w:r>
              <w:rPr>
                <w:sz w:val="17"/>
              </w:rPr>
              <w:t>7,932</w:t>
            </w:r>
          </w:p>
        </w:tc>
        <w:tc>
          <w:tcPr>
            <w:tcW w:type="dxa" w:w="1440"/>
            <w:shd w:fill="FFDCE0" w:val="clear"/>
          </w:tcPr>
          <w:p>
            <w:r>
              <w:rPr>
                <w:b/>
                <w:sz w:val="17"/>
              </w:rPr>
              <w:t>8,565</w:t>
            </w:r>
          </w:p>
        </w:tc>
        <w:tc>
          <w:tcPr>
            <w:tcW w:type="dxa" w:w="1440"/>
            <w:shd w:fill="FFDCE0" w:val="clear"/>
          </w:tcPr>
          <w:p>
            <w:r>
              <w:rPr>
                <w:sz w:val="17"/>
              </w:rPr>
              <w:t>9,199</w:t>
            </w:r>
          </w:p>
        </w:tc>
        <w:tc>
          <w:tcPr>
            <w:tcW w:type="dxa" w:w="1440"/>
            <w:shd w:fill="FFDCE0" w:val="clear"/>
          </w:tcPr>
          <w:p>
            <w:r>
              <w:rPr>
                <w:b/>
                <w:color w:val="C00000"/>
                <w:sz w:val="17"/>
              </w:rPr>
              <w:t>-3.8%</w:t>
            </w:r>
          </w:p>
        </w:tc>
      </w:tr>
      <w:tr>
        <w:tc>
          <w:tcPr>
            <w:tcW w:type="dxa" w:w="1440"/>
            <w:shd w:fill="FFDCE0" w:val="clear"/>
          </w:tcPr>
          <w:p>
            <w:r>
              <w:rPr>
                <w:sz w:val="17"/>
              </w:rPr>
              <w:t>J+7  Moyenne</w:t>
            </w:r>
          </w:p>
        </w:tc>
        <w:tc>
          <w:tcPr>
            <w:tcW w:type="dxa" w:w="1440"/>
            <w:shd w:fill="FFDCE0" w:val="clear"/>
          </w:tcPr>
          <w:p>
            <w:r>
              <w:rPr>
                <w:sz w:val="17"/>
              </w:rPr>
              <w:t>2026-10-05</w:t>
            </w:r>
          </w:p>
        </w:tc>
        <w:tc>
          <w:tcPr>
            <w:tcW w:type="dxa" w:w="1440"/>
            <w:shd w:fill="FFDCE0" w:val="clear"/>
          </w:tcPr>
          <w:p>
            <w:r>
              <w:rPr>
                <w:sz w:val="17"/>
              </w:rPr>
              <w:t>7,844</w:t>
            </w:r>
          </w:p>
        </w:tc>
        <w:tc>
          <w:tcPr>
            <w:tcW w:type="dxa" w:w="1440"/>
            <w:shd w:fill="FFDCE0" w:val="clear"/>
          </w:tcPr>
          <w:p>
            <w:r>
              <w:rPr>
                <w:b/>
                <w:sz w:val="17"/>
              </w:rPr>
              <w:t>8,525</w:t>
            </w:r>
          </w:p>
        </w:tc>
        <w:tc>
          <w:tcPr>
            <w:tcW w:type="dxa" w:w="1440"/>
            <w:shd w:fill="FFDCE0" w:val="clear"/>
          </w:tcPr>
          <w:p>
            <w:r>
              <w:rPr>
                <w:sz w:val="17"/>
              </w:rPr>
              <w:t>9,206</w:t>
            </w:r>
          </w:p>
        </w:tc>
        <w:tc>
          <w:tcPr>
            <w:tcW w:type="dxa" w:w="1440"/>
            <w:shd w:fill="FFDCE0" w:val="clear"/>
          </w:tcPr>
          <w:p>
            <w:r>
              <w:rPr>
                <w:b/>
                <w:color w:val="C00000"/>
                <w:sz w:val="17"/>
              </w:rPr>
              <w:t>-4.2%</w:t>
            </w:r>
          </w:p>
        </w:tc>
      </w:tr>
      <w:tr>
        <w:tc>
          <w:tcPr>
            <w:tcW w:type="dxa" w:w="1440"/>
            <w:shd w:fill="FFDCE0" w:val="clear"/>
          </w:tcPr>
          <w:p>
            <w:r>
              <w:rPr>
                <w:sz w:val="17"/>
              </w:rPr>
              <w:t>J+8  Moyenne</w:t>
            </w:r>
          </w:p>
        </w:tc>
        <w:tc>
          <w:tcPr>
            <w:tcW w:type="dxa" w:w="1440"/>
            <w:shd w:fill="FFDCE0" w:val="clear"/>
          </w:tcPr>
          <w:p>
            <w:r>
              <w:rPr>
                <w:sz w:val="17"/>
              </w:rPr>
              <w:t>2026-10-06</w:t>
            </w:r>
          </w:p>
        </w:tc>
        <w:tc>
          <w:tcPr>
            <w:tcW w:type="dxa" w:w="1440"/>
            <w:shd w:fill="FFDCE0" w:val="clear"/>
          </w:tcPr>
          <w:p>
            <w:r>
              <w:rPr>
                <w:sz w:val="17"/>
              </w:rPr>
              <w:t>7,762</w:t>
            </w:r>
          </w:p>
        </w:tc>
        <w:tc>
          <w:tcPr>
            <w:tcW w:type="dxa" w:w="1440"/>
            <w:shd w:fill="FFDCE0" w:val="clear"/>
          </w:tcPr>
          <w:p>
            <w:r>
              <w:rPr>
                <w:b/>
                <w:sz w:val="17"/>
              </w:rPr>
              <w:t>8,487</w:t>
            </w:r>
          </w:p>
        </w:tc>
        <w:tc>
          <w:tcPr>
            <w:tcW w:type="dxa" w:w="1440"/>
            <w:shd w:fill="FFDCE0" w:val="clear"/>
          </w:tcPr>
          <w:p>
            <w:r>
              <w:rPr>
                <w:sz w:val="17"/>
              </w:rPr>
              <w:t>9,212</w:t>
            </w:r>
          </w:p>
        </w:tc>
        <w:tc>
          <w:tcPr>
            <w:tcW w:type="dxa" w:w="1440"/>
            <w:shd w:fill="FFDCE0" w:val="clear"/>
          </w:tcPr>
          <w:p>
            <w:r>
              <w:rPr>
                <w:b/>
                <w:color w:val="C00000"/>
                <w:sz w:val="17"/>
              </w:rPr>
              <w:t>-4.6%</w:t>
            </w:r>
          </w:p>
        </w:tc>
      </w:tr>
      <w:tr>
        <w:tc>
          <w:tcPr>
            <w:tcW w:type="dxa" w:w="1440"/>
            <w:shd w:fill="FFDCE0" w:val="clear"/>
          </w:tcPr>
          <w:p>
            <w:r>
              <w:rPr>
                <w:sz w:val="17"/>
              </w:rPr>
              <w:t>J+9  Moyenne</w:t>
            </w:r>
          </w:p>
        </w:tc>
        <w:tc>
          <w:tcPr>
            <w:tcW w:type="dxa" w:w="1440"/>
            <w:shd w:fill="FFDCE0" w:val="clear"/>
          </w:tcPr>
          <w:p>
            <w:r>
              <w:rPr>
                <w:sz w:val="17"/>
              </w:rPr>
              <w:t>2026-10-07</w:t>
            </w:r>
          </w:p>
        </w:tc>
        <w:tc>
          <w:tcPr>
            <w:tcW w:type="dxa" w:w="1440"/>
            <w:shd w:fill="FFDCE0" w:val="clear"/>
          </w:tcPr>
          <w:p>
            <w:r>
              <w:rPr>
                <w:sz w:val="17"/>
              </w:rPr>
              <w:t>7,685</w:t>
            </w:r>
          </w:p>
        </w:tc>
        <w:tc>
          <w:tcPr>
            <w:tcW w:type="dxa" w:w="1440"/>
            <w:shd w:fill="FFDCE0" w:val="clear"/>
          </w:tcPr>
          <w:p>
            <w:r>
              <w:rPr>
                <w:b/>
                <w:sz w:val="17"/>
              </w:rPr>
              <w:t>8,451</w:t>
            </w:r>
          </w:p>
        </w:tc>
        <w:tc>
          <w:tcPr>
            <w:tcW w:type="dxa" w:w="1440"/>
            <w:shd w:fill="FFDCE0" w:val="clear"/>
          </w:tcPr>
          <w:p>
            <w:r>
              <w:rPr>
                <w:sz w:val="17"/>
              </w:rPr>
              <w:t>9,217</w:t>
            </w:r>
          </w:p>
        </w:tc>
        <w:tc>
          <w:tcPr>
            <w:tcW w:type="dxa" w:w="1440"/>
            <w:shd w:fill="FFDCE0" w:val="clear"/>
          </w:tcPr>
          <w:p>
            <w:r>
              <w:rPr>
                <w:b/>
                <w:color w:val="C00000"/>
                <w:sz w:val="17"/>
              </w:rPr>
              <w:t>-5.0%</w:t>
            </w:r>
          </w:p>
        </w:tc>
      </w:tr>
      <w:tr>
        <w:tc>
          <w:tcPr>
            <w:tcW w:type="dxa" w:w="1440"/>
            <w:shd w:fill="FFDCE0" w:val="clear"/>
          </w:tcPr>
          <w:p>
            <w:r>
              <w:rPr>
                <w:sz w:val="17"/>
              </w:rPr>
              <w:t>J+10  Moyenne</w:t>
            </w:r>
          </w:p>
        </w:tc>
        <w:tc>
          <w:tcPr>
            <w:tcW w:type="dxa" w:w="1440"/>
            <w:shd w:fill="FFDCE0" w:val="clear"/>
          </w:tcPr>
          <w:p>
            <w:r>
              <w:rPr>
                <w:sz w:val="17"/>
              </w:rPr>
              <w:t>2026-10-08</w:t>
            </w:r>
          </w:p>
        </w:tc>
        <w:tc>
          <w:tcPr>
            <w:tcW w:type="dxa" w:w="1440"/>
            <w:shd w:fill="FFDCE0" w:val="clear"/>
          </w:tcPr>
          <w:p>
            <w:r>
              <w:rPr>
                <w:sz w:val="17"/>
              </w:rPr>
              <w:t>7,613</w:t>
            </w:r>
          </w:p>
        </w:tc>
        <w:tc>
          <w:tcPr>
            <w:tcW w:type="dxa" w:w="1440"/>
            <w:shd w:fill="FFDCE0" w:val="clear"/>
          </w:tcPr>
          <w:p>
            <w:r>
              <w:rPr>
                <w:b/>
                <w:sz w:val="17"/>
              </w:rPr>
              <w:t>8,417</w:t>
            </w:r>
          </w:p>
        </w:tc>
        <w:tc>
          <w:tcPr>
            <w:tcW w:type="dxa" w:w="1440"/>
            <w:shd w:fill="FFDCE0" w:val="clear"/>
          </w:tcPr>
          <w:p>
            <w:r>
              <w:rPr>
                <w:sz w:val="17"/>
              </w:rPr>
              <w:t>9,221</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890,00 milliards FCFA, la SIBC s'impose comme l'une des toutes premières capitalisations de la BRVM, ce qui en fait un titre de référence pour les investisseurs institutionnels de la zone UEMOA. Le BPA de 556 FCFA/action signifie que chaque titre génère un bénéfice net de 556 FCFA, et le PER de 16,0x indique que le marché paie 16 fois les bénéfices annuels, soit une prime notable par rapport au PER moyen de la BRVM (~8-12x), traduisant une anticipation de croissance supérieure à la moyenne du marché. Le P/B de 4,35x confirme cette valorisation exigeante : le marché valorise la banque à plus de quatre fois ses fonds propres comptables (204,765 Mds FCFA), ce qui est élevé pour le secteur mais justifié par un ROE exceptionnel de 27,16%. Enfin, l'EV/EBITDA de 14,9x, situé dans la fourchette haute (10-15x), signale que la valeur d'entreprise intègre une prime de qualité liée à la solidité opérationnelle et à la régularité des résultats. Globalement, la SIBC se paie cher, mais cette prime se justifie par ses fondamentaux de premier ordre.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+25,71%, avec une dernière séance particulièrement dynamique (+4,58%), portant le cours actuel à 8 900 FCFA. Le range de trading s'établit entre un plus bas de 7 050 FCFA et un plus haut de 9 500 FCFA, soit une amplitude de 34,8% qui témoigne d'une tendance nettement haussière sur la période. Les statistiques descriptives révèlent une distribution légèrement asymétrique : la moyenne (8 718 FCFA) est inférieure à la médiane (8 898 FCFA) et au mode (9 000 FCFA), ce qui confirme le skewness négatif de -1,483 — autrement dit, le cours a passé plus de journées au-dessus de sa moyenne, avec quelques corrections ponctuelles tirant la moyenne vers le bas. L'écart-type de 639 FCFA (CV de 7,3%) indique une dispersion modérée du cours autour de sa tendance, tandis que le kurtosis de 1,021 (leptokurtique) signale des queues épaisses, donc un risque de pics de volatilité brutaux qu'il convient de surveiller. Avec une volatilité annualisée de 31,4%, le titre se situe dans la catégorie des valeurs à volatilité élevée (&gt;30%), ce qui est cohérent avec son statut de valeur bancaire de croissance très suivie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(9 153,5 FCFA) et la MM50 (9 084,4 FCFA) se situent toutes deux au-dessus du cours actuel (8 900 FCFA), ce qui place le titre en position de repli sous ses moyennes court et moyen terme. Toutefois, la MM20 reste supérieure à la MM50, conservant une configuration haussière de fond, ce qui justifie la décision technique « Achat » malgré la correction en cours.</w:t>
      </w:r>
    </w:p>
    <w:p>
      <w:pPr>
        <w:spacing w:after="120" w:line="276" w:lineRule="auto"/>
      </w:pPr>
      <w:r>
        <w:t>**Bandes de Bollinger** : Le cours (8 900 FCFA) évolue dans la partie basse du canal, proche de la borne inférieure (8 788 FCFA) et loin de la borne supérieure (9 519 FCFA). Cette position suggère que le titre approche d'une zone de support potentielle, mais la décision reste « Neutre » car aucune cassure nette n'est observée ; la volatilité demeure contenue dans le canal.</w:t>
      </w:r>
    </w:p>
    <w:p>
      <w:pPr>
        <w:spacing w:after="120" w:line="276" w:lineRule="auto"/>
      </w:pPr>
      <w:r>
        <w:t>**MACD** : Le MACD affiche une valeur négative de -48,837 contre un signal à +5,887, soit une divergence baissière marquée où la ligne MACD est passée sous sa ligne de signal. Ce croisement baissier traduit un affaiblissement du momentum haussier à court terme, justifiant pleinement la décision « Vente » de cet indicateur.</w:t>
      </w:r>
    </w:p>
    <w:p>
      <w:pPr>
        <w:spacing w:after="120" w:line="276" w:lineRule="auto"/>
      </w:pPr>
      <w:r>
        <w:t>**RSI** : À 40,909, le RSI se situe dans la zone neutre (30-70), sans atteindre la zone de survente (&lt;30). Cela indique que la pression baissière récente n'a pas encore épuisé le potentiel de baisse, mais qu'aucun signal de surachat ne menace non plus le titre ; la décision « Neutre » reflète cet équilibre précaire.</w:t>
      </w:r>
    </w:p>
    <w:p>
      <w:pPr>
        <w:spacing w:after="120" w:line="276" w:lineRule="auto"/>
      </w:pPr>
      <w:r>
        <w:t>**Stochastique** : Le %K (49,367) est supérieur au %D (30,622), ce qui constitue un croisement haussier potentiel en zone basse-médiane. Ce signal précoce suggère qu'un rebond technique pourrait se dessiner à court terme, mais la décision reste « Neutre » car les deux courbes n'ont pas encore confirmé de manière franche.</w:t>
      </w:r>
    </w:p>
    <w:p>
      <w:pPr>
        <w:spacing w:after="120" w:line="276" w:lineRule="auto"/>
      </w:pPr>
      <w:r>
        <w:t>**Conclusion technique** : Les indicateurs présentent une configuration mitigée. Les moyennes mobiles conservent une orientation haussière de fond, et le stochastique amorce un croisement positif, mais le MACD baissier et la position du cours sous ses moyennes à court terme pèsent sur le sentiment. Le titre se trouve dans une phase de consolidation corrective au sein d'une tendance haussière plus large, ce qui plaide pour une prudence à court terme avant d'envisager un renforcement.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brossent le portrait d'une banque exceptionnellement rentable et solide. Le Produit Net Bancaire (équivalent du chiffre d'affaires pour une banque) s'établit à 108,663 Mds FCFA, pour un résultat net de 55,623 Mds FCFA, soit une marge nette remarquable de 51,19%. Le ROE atteint 27,16%, très largement supérieur au seuil d'excellence de 15%, et le ROA de 2,96% confirme l'efficacité dans l'utilisation des actifs. Le coefficient d'exploitation de 38,59% est excellent (&lt;50%), témoignant d'une maîtrise des charges parmi les meilleures du secteur bancaire ouest-africain. La structure financière montre une transformation saine : les dépôts clientèle (1 503,441 Mds FCFA) couvrent largement les créances clientèle (1 226,720 Mds FCFA), avec un ratio de couverture de 122,6%, et le portefeuille de titres d'État (375,561 Mds FCFA) constitue un matelas de liquidité appréciable. Le taux de croissance du PNB de 5,74% confirme la dynamique commerciale, tandis que la solvabilité générale de 112,21% garantit la couverture des engagements. Les rapports trimestriels récents corroborent cette trajectoire : le rapport du T1 2026 (publié le 07/05/2026) fait état d'un résultat net de 15,2 Mds FCFA (+11% en glissement annuel) pour un PNB de 27,7 Mds FCFA (+4%), avec des dépôts en hausse de 9% à 1 495 Mds FCFA et des crédits en progression de 7% à 1 112 Mds FCFA. Le rapport du T3 2025 (30/09/2025) confirmait déjà cette tendance avec un PNB cumulé de 81,4 Mds FCFA (+8%) et un résultat net de 43,0 Mds FCFA (+11%). Sur la base de ces rapports trimestriels, on peut estimer que l'exercice 2026 devrait afficher une croissance du PNB de l'ordre de 6-8% et un résultat net annuel compris entre 58 et 60 Mds FCFA, prolongeant la dynamique observée. Le principal point de vigilance réside dans le coût du risque (provisions de 14,124 Mds FCFA) et la dépendance aux revenus d'intérêts (91,138 Mds FCFA sur 108,663 Mds FCFA de PNB), qui exposent la banque à une compression des marges en cas de baisse des taux. Néanmoins, la solidité du modèle, la qualité du portefeuille et la stratégie « IMPULSION 2028 » positionnent la SIBC comme une valeur fondamentale de premier plan.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Sur le plan de la valorisation (Partie 0), le PER de 16,0x et le P/B de 4,35x indiquent une surévaluation relative par rapport aux moyennes du marché BRVM, mais cette prime se justifie par un ROE de 27,16% et une marge nette de 51,19%, parmi les meilleures du secteur. Le comportement du cours (Partie 1) est haussier sur 100 jours (+25,71%) mais marqué par une volatilité élevée (31,4%) et un kurtosis leptokurtique (1,021) signalant un risque de pics brutaux, tandis que le skewness négatif (-1,483) montre que le titre a surtout évolué au-dessus de sa moyenne. Les signaux techniques (Partie 2) sont mitigés : les moyennes mobiles restent haussières de fond, mais le MACD baissier et la position du cours sous la MM20 et la MM50 suggèrent une consolidation en cours, avec un RSI neutre (40,9) et un stochastique amorçant un rebond. Les fondamentaux (Partie 3) demeurent excellents, avec un exercice 2025 solide (PNB de 108,663 Mds FCFA, résultat net de 55,623 Mds FCFA) et des rapports trimestriels 2026 confirmant la poursuite de la croissance (+11% de résultat net au T1 2026). Les prédictions IA (J+1 à J+10) anticipent une trajectoire baissière à court terme, avec un cours passant de 8 803 FCFA à 8 609 FCFA, ce qui contredit la tendance haussière de fond mais confirme la consolidation technique actuelle. **Recommandation finale : CONSERVER.** La convergence entre des fondamentaux exceptionnels et une valorisation exigeante, couplée à une consolidation technique à court terme et des prédictions baissières, plaide pour le maintien des positions existantes sans renforcement immédiat. Le niveau de confiance est **Moyen**, car si les fondamentaux sont solides, la cherté relative du titre et la correction en cours limitent le potentiel de hausse à court terme. Le niveau de risque global est **Moyen**, la qualité de la banque compensant la volatilité du titre. L'horizon d'investissement optimal est le **moyen terme (3-12 mois)**, le temps que la consolidation s'achève et que les résultats annuels 2026 confirment les estimations de croissance, offrant ainsi un point d'entrée plus favorable pour les investisseurs non encore positionnés.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β=-1.0668 (Contre-cyclique) — Cov=-0.000039, Var(idx)=0.000036, ρ=-0.175, n=94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2026-09-25</w:t>
            </w:r>
          </w:p>
        </w:tc>
        <w:tc>
          <w:tcPr>
            <w:tcW w:type="dxa" w:w="1440"/>
            <w:shd w:fill="FFDCE0" w:val="clear"/>
          </w:tcPr>
          <w:p>
            <w:r>
              <w:rPr>
                <w:sz w:val="17"/>
              </w:rPr>
              <w:t>5,950</w:t>
            </w:r>
          </w:p>
        </w:tc>
        <w:tc>
          <w:tcPr>
            <w:tcW w:type="dxa" w:w="1440"/>
            <w:shd w:fill="FFDCE0" w:val="clear"/>
          </w:tcPr>
          <w:p>
            <w:r>
              <w:rPr>
                <w:b/>
                <w:sz w:val="17"/>
              </w:rPr>
              <w:t>7,458</w:t>
            </w:r>
          </w:p>
        </w:tc>
        <w:tc>
          <w:tcPr>
            <w:tcW w:type="dxa" w:w="1440"/>
            <w:shd w:fill="FFDCE0" w:val="clear"/>
          </w:tcPr>
          <w:p>
            <w:r>
              <w:rPr>
                <w:sz w:val="17"/>
              </w:rPr>
              <w:t>8,966</w:t>
            </w:r>
          </w:p>
        </w:tc>
        <w:tc>
          <w:tcPr>
            <w:tcW w:type="dxa" w:w="1440"/>
            <w:shd w:fill="FFDCE0" w:val="clear"/>
          </w:tcPr>
          <w:p>
            <w:r>
              <w:rPr>
                <w:b/>
                <w:color w:val="C00000"/>
                <w:sz w:val="17"/>
              </w:rPr>
              <w:t>-11.2%</w:t>
            </w:r>
          </w:p>
        </w:tc>
      </w:tr>
      <w:tr>
        <w:tc>
          <w:tcPr>
            <w:tcW w:type="dxa" w:w="1440"/>
            <w:shd w:fill="FFDCE0" w:val="clear"/>
          </w:tcPr>
          <w:p>
            <w:r>
              <w:rPr>
                <w:sz w:val="17"/>
              </w:rPr>
              <w:t>J+2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J+3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(SICC)**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l'absence de données financières structurées exploitables dans la base, ce qui limite l'appréciation directe du prix payé par rapport aux bénéfices ou à la valeur comptable. Toutefois, en croisant la capitalisation avec les capitaux propres de 2,98 milliards FCFA rapportés pour l'exercice 2024, le marché valorise la société à environ 1,7x ses fonds propres, un niveau qui n'apparaît pas excessif mais qui doit être nuancé par la perte nette enregistrée. L'absence de PER significatif — la société étant en perte en 2024 — rend l'analyse fondamentale d'autant plus critique pour juger de l'attractivité réelle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affiche une performance spectaculaire de +95,35%, portant le cours à 8 400 FCFA, malgré un repli marginal de -1,12% lors de la dernière séance. Le titre a évolué dans un range très large, entre un plus bas de 3 985 FCFA et un plus haut de 10 200 FCFA, soit un écart de plus de 155%, témoignant d'une dynamique haussière puissante mais heurtée. La tendance générale est clairement haussière, soutenue par un volume moyen quotidien de seulement 120 titres — un volume faible qui accentue la sensibilité du cours aux mouvements de faible ampleur. Les statistiques descriptives révèlent une moyenne de 5 815 FCFA nettement supérieure à la médiane de 5 022 FCFA, confirmant une distribution asymétrique avec des pics haussiers tirant la moyenne vers le haut ; le mode à 4 380 FCFA indique que le cours a passé le plus de temps dans des zones basses avant son envolée récente. L'écart-type de 1 813 FCFA et le coefficient de variation de 31,2% traduisent une dispersion élevée, tandis que le kurtosis de -0,630 (mésokurtique) suggère une distribution proche de la normale sans pics extrêmes marqués, et le skewness de +0,913 confirme une asymétrie positive avec davantage de journées sous la moyenne. La volatilité annualisée de 58,2% classe le titre dans la catégorie des valeurs à volatilité élevée (&gt;30%), ce qui implique un risque de marché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8 472,25 FCFA et la MM50 à 7 205,0 FCFA, toutes deux inférieures au cours actuel de 8 400 FCFA pour la MM20 (léger écart) mais nettement en-dessous pour la MM50. Cette configuration — cours au-dessus des deux moyennes avec MM20 &gt; MM50 — est typique d'une tendance haussière confirmée, justifiant la décision d'achat. Le croisement haussier des moyennes mobiles renforce le signal positif à moyen terme.</w:t>
      </w:r>
    </w:p>
    <w:p>
      <w:pPr>
        <w:spacing w:after="120" w:line="276" w:lineRule="auto"/>
      </w:pPr>
      <w:r>
        <w:t>**Bandes de Bollinger** : Le cours à 8 400 FCFA se situe entre la borne inférieure (7 354,78 FCFA) et la borne supérieure (9 589,72 FCFA), plus proche de la borne haute, ce qui indique une pression acheteuse sans surachat extrême. La largeur des bandes reflète la volatilité élevée du titre, et la décision neutre suggère que le cours évolue dans une zone d'équilibre relatif après sa forte progression.</w:t>
      </w:r>
    </w:p>
    <w:p>
      <w:pPr>
        <w:spacing w:after="120" w:line="276" w:lineRule="auto"/>
      </w:pPr>
      <w:r>
        <w:t>**MACD** : La valeur du MACD (274,037) est inférieure à son signal (366,287), générant une divergence baissière qui traduit un essoufflement du momentum haussier. Cette configuration justifie la décision de vente à court terme, bien que le MACD reste en territoire positif, ce qui n'invalide pas la tendance de fond.</w:t>
      </w:r>
    </w:p>
    <w:p>
      <w:pPr>
        <w:spacing w:after="120" w:line="276" w:lineRule="auto"/>
      </w:pPr>
      <w:r>
        <w:t>**RSI** : À 61,157, le RSI se situe en zone neutre haute, sans atteindre le seuil de surachat de 70. Cette position indique que le titre conserve un potentiel de hausse résiduel mais approche de zones où la prudence devient nécessaire, justifiant la décision neutre.</w:t>
      </w:r>
    </w:p>
    <w:p>
      <w:pPr>
        <w:spacing w:after="120" w:line="276" w:lineRule="auto"/>
      </w:pPr>
      <w:r>
        <w:t>**Stochastique** : Le %K (85,714) et le %D (94,762) sont tous deux en zone de surachat (&gt;80), avec un %K inférieur au %D signalant un croisement baissier imminent. Cette configuration justifie pleinement la décision de vente, indiquant une probabilité élevée de correction à court terme.</w:t>
      </w:r>
    </w:p>
    <w:p>
      <w:pPr>
        <w:spacing w:after="120" w:line="276" w:lineRule="auto"/>
      </w:pPr>
      <w:r>
        <w:t>**Conclusion technique** : Les indicateurs présentent une divergence notable : les moyennes mobiles confirment la tendance haussière de fond, mais le MACD, le stochastique et la position du RSI signalent un essoufflement à court terme. Le titre se trouve dans une phase de consolidation après sa forte progression, avec un risque de correction technique à court terme, mais une structure haussière intacte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de SICOR révèle une situation financière profondément dégradée en 2024, contrastant avec le rebond de 2023. Selon le rapport officiel de l'exercice 2024 (analysé le 6 septembre 2026), la société a enregistré une perte nette de 128,6 millions FCFA, contre un bénéfice de 19,2 millions FCFA en 2023, soit une inversion brutale de tendance. Le chiffre d'affaires a reculé de 22% à 546,8 millions FCFA, sous l'effet de contraintes foncières majeures — occupation et perte d'accès à plusieurs sites de production (Boulay, Avagou-Taboth) — ayant entraîné une baisse de 40% de la production d'huile de coprah. L'excédent brut d'exploitation (EBE) est devenu négatif à -16,2 millions FCFA et le résultat d'exploitation s'est établi à -136,6 millions FCFA, tandis que les charges ont bondi de 30%, notamment les services extérieurs (+266% en raison du recours à des façonniers). Les commissaires aux comptes ont émis une opinion avec réserves, incluant un ajustement de stocks non justifié, ce qui constitue un signal d'alerte supplémentaire sur la qualité des états financiers. Les capitaux propres restent positifs à 2,98 milliards FCFA pour un total de bilan de 4,00 milliards FCFA, mais la marge nette s'effondre à -23,5%. En comparaison, l'exercice 2023 (rapport analysé le 15 mars 2026) avait vu un retour à la profitabilité avec un résultat net de +19,25 millions FCFA et un CA de 701,09 millions FCFA, après une perte de -39,95 millions FCFA en 2022 (CA de 1 138,17 millions FCFA). L'évolution sur trois ans (2022-2024) montre une dégradation continue : le CA est passé de 1 138 millions à 546,8 millions FCFA (-52%), et le résultat net de -39,95 millions à -128,6 millions FCFA. La société n'a distribué aucun dividende depuis 2017, les pertes cumulées (689,86 millions FCFA en 2023) devant être apurées avant toute distribution. La recommandation fondamentale est **VENDRE**, en raison du profil de risque très élevé : menace foncière existentielle sur l'outil de production, EBE négatif, perte nette, et opinion d'audit avec réserves. Le plan de redressement annoncé (sécurisation foncière, maîtrise des charges, optimisation du site de Gliké-Tabou) reste à démontrer, et la société a certes prouvé par le passé sa capacité à rebondir (bénéfices en 2018-2021), mais les défis structurels actuels semblent plus profonds.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les signaux techniques haussiers et les fondamentaux en détérioration. La valorisation (Partie 0) ne peut être appréciée faute de ratios calculables, mais la capitalisation de 5,04 milliards FCFA pour des capitaux propres de 2,98 milliards FCFA suggère une valorisation qui n'est pas déraisonnable en apparence, bien que la perte nette de 2024 rende tout multiple de bénéfice non significatif. Le comportement du cours (Partie 1) est exceptionnellement haussier (+95,35% sur 100 jours) mais avec une volatilité élevée (58,2%) et une asymétrie positive (skewness +0,913) indiquant que la hausse a été portée par des pics plutôt que par une progression régulière. Les signaux techniques (Partie 2) sont mitigés : les moyennes mobiles confirment la tendance haussière, mais le MACD, le stochastique et le RSI signalent un essoufflement imminent. Les fondamentaux (Partie 3) sont préoccupants : perte nette de 128,6 millions FCFA en 2024, EBE négatif, contraintes foncières majeures, et opinion d'audit avec réserves. Les prédictions IA (J+1 à J+10) anticipent une correction vers 7 458 FCFA (25 septembre), 7 347 FCFA (28 septembre) et 7 239 FCFA (29 septembre), soit une baisse potentielle de 13,8% par rapport au cours actuel de 8 400 FCFA, ce qui contredit la tendance haussière récente et confirme les signaux baissiers à court terme. **Recommandation finale : VENTE** — La convergence entre les fondamentaux dégradés, les signaux techniques baissiers à court terme (MACD, stochastique) et les prédictions IA à la baisse justifie une recommandation de vente, malgré la tendance haussière de fond. Le niveau de confiance est **Moyen** (les indicateurs techniques sont clairs mais la liquidité faible du titre peut amplifier les mouvements), et le niveau de risque global est **Élevé** (volatilité de 58,2%, perte nette, incertitudes foncières). L'horizon d'investissement optimal est **court terme** (&lt;3 mois) pour profiter de la correction anticipée, ou **long terme** (&gt;1 an) pour les investisseurs prêts à parier sur le plan de redressement, en surveillant impérativement la résolution des contraintes foncières et le retour à la profitabilité.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"Perte nette, EBE négatif, menace foncière existentielle sur l'outil de production et opinion d'audit avec réserves (dont un ajustement de stocks non justifié). Profil de risque très élevé."}</w:t>
      </w:r>
    </w:p>
    <w:p>
      <w:pPr>
        <w:spacing w:before="40"/>
        <w:ind w:left="400"/>
      </w:pPr>
      <w:r>
        <w:rPr>
          <w:sz w:val="18"/>
        </w:rPr>
        <w:t>L'exercice 2024 est très difficile pour SICOR, qui accuse une perte nette de 128,6 M FCFA (contre un bénéfice de 19,2 M en 2023). Le chiffre d'affaires recule de 22 % à 546,8 M sous l'effet de contraintes foncières majeures (occupation et perte d'accès à plusieurs sites de production), et l'EBE devient négatif (-16,2 M). Les charges bondissent (+30 %), notamment les services extérieurs (+266 %, recours à des façonniers). Les commissaires aux comptes émettent une opinion avec réserves (ajustement de stocks non justifié, absence de provision retraite, comptes IFRS non établis). Aucun dividende n'est distribué, la perte étant reportée (pertes cumulées portées à -799 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{'opinion_cac': 'avec réserves', 'resultat_exploitation': '-136,6 millions FCFA', 'excedent_brut_exploitation': '-16,2 millions FCFA (négatif)'}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-23,5 %</w:t>
            </w:r>
          </w:p>
        </w:tc>
        <w:tc>
          <w:tcPr>
            <w:tcW w:type="dxa" w:w="2160"/>
          </w:tcPr>
          <w:p>
            <w:pPr>
              <w:ind w:left="100"/>
            </w:pPr>
            <w:r/>
            <w:r>
              <w:rPr>
                <w:b/>
                <w:sz w:val="16"/>
              </w:rPr>
              <w:t>total_actif</w:t>
              <w:br/>
            </w:r>
            <w:r>
              <w:rPr>
                <w:sz w:val="18"/>
              </w:rPr>
              <w:t>4,00 milliards FCFA</w:t>
            </w:r>
          </w:p>
        </w:tc>
      </w:tr>
      <w:tr>
        <w:tc>
          <w:tcPr>
            <w:tcW w:type="dxa" w:w="2160"/>
          </w:tcPr>
          <w:p>
            <w:r/>
            <w:r>
              <w:rPr>
                <w:b/>
                <w:sz w:val="16"/>
              </w:rPr>
              <w:t>resultat_net</w:t>
              <w:br/>
            </w:r>
            <w:r>
              <w:rPr>
                <w:sz w:val="18"/>
              </w:rPr>
              <w:t>-128,6 millions FCFA (perte)</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546,8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de 128,6 M FCFA (contre +19,2 M en 2023)</w:t>
      </w:r>
    </w:p>
    <w:p>
      <w:pPr>
        <w:pStyle w:val="ListBullet"/>
        <w:spacing w:before="20" w:after="20"/>
        <w:ind w:left="700"/>
      </w:pPr>
      <w:r>
        <w:rPr>
          <w:sz w:val="18"/>
        </w:rPr>
        <w:t>Chiffre d'affaires en baisse de 22 % à 546,8 M FCFA</w:t>
      </w:r>
    </w:p>
    <w:p>
      <w:pPr>
        <w:pStyle w:val="ListBullet"/>
        <w:spacing w:before="20" w:after="20"/>
        <w:ind w:left="700"/>
      </w:pPr>
      <w:r>
        <w:rPr>
          <w:sz w:val="18"/>
        </w:rPr>
        <w:t>EBE négatif (-16,2 M FCFA), résultat d'exploitation -136,6 M</w:t>
      </w:r>
    </w:p>
    <w:p>
      <w:pPr>
        <w:pStyle w:val="ListBullet"/>
        <w:spacing w:before="20" w:after="20"/>
        <w:ind w:left="700"/>
      </w:pPr>
      <w:r>
        <w:rPr>
          <w:sz w:val="18"/>
        </w:rPr>
        <w:t>Contraintes foncières majeures : sites occupés/perdus (Boulay, Avagou-Taboth), production d'huile de coprah -40 %</w:t>
      </w:r>
    </w:p>
    <w:p>
      <w:pPr>
        <w:pStyle w:val="ListBullet"/>
        <w:spacing w:before="20" w:after="20"/>
        <w:ind w:left="700"/>
      </w:pPr>
      <w:r>
        <w:rPr>
          <w:sz w:val="18"/>
        </w:rPr>
        <w:t>Opinion des commissaires avec réserves : ajustement de stocks non justifié (132 M), provision retraite manquante, comptes IFRS non établis</w:t>
      </w:r>
    </w:p>
    <w:p>
      <w:pPr>
        <w:pStyle w:val="ListBullet"/>
        <w:spacing w:before="20" w:after="20"/>
        <w:ind w:left="700"/>
      </w:pPr>
      <w:r>
        <w:rPr>
          <w:sz w:val="18"/>
        </w:rPr>
        <w:t>Aucun dividende ; perte reportée, pertes cumulées à -799 M FCFA</w:t>
      </w:r>
    </w:p>
    <w:p>
      <w:pPr>
        <w:spacing w:before="40"/>
        <w:ind w:left="400"/>
      </w:pPr>
      <w:r>
        <w:rPr>
          <w:b/>
          <w:color w:val="C05000"/>
          <w:sz w:val="18"/>
        </w:rPr>
        <w:t xml:space="preserve">⚠️ Risques : </w:t>
      </w:r>
      <w:r>
        <w:rPr>
          <w:sz w:val="18"/>
        </w:rPr>
        <w:t>["Menace foncière existentielle : occupation/perte de sites de production, arrêt temporaire du site de Boulay", "EBE négatif et perte nette ; effondrement de la valeur ajoutée", "Opinion des commissaires avec réserves : ajustement de stocks non justifié de 132 M et provision retraite non comptabilis</w:t>
      </w:r>
    </w:p>
    <w:p>
      <w:pPr>
        <w:spacing w:before="40"/>
        <w:ind w:left="400"/>
      </w:pPr>
      <w:r>
        <w:rPr>
          <w:b/>
          <w:color w:val="0064A0"/>
          <w:sz w:val="18"/>
        </w:rPr>
        <w:t xml:space="preserve">🔮 Perspectives : </w:t>
      </w:r>
      <w:r>
        <w:rPr>
          <w:sz w:val="18"/>
        </w:rPr>
        <w:t>La direction engage un plan de redressement (sécurisation foncière, maîtrise des charges, optimisation du site de Gliké-Tabou, renforcement de la gouvernance), et la société a démontré par le passé sa capacité bénéficiaire. Mais le retour à la rentabilité dépend entièrement de la résolution des conf</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5,568 titres</w:t>
            </w:r>
          </w:p>
        </w:tc>
        <w:tc>
          <w:tcPr>
            <w:tcW w:type="dxa" w:w="2268"/>
            <w:shd w:fill="FFF2CC" w:val="clear"/>
          </w:tcPr>
          <w:p>
            <w:r>
              <w:rPr>
                <w:b/>
                <w:color w:val="503200"/>
                <w:sz w:val="16"/>
              </w:rPr>
              <w:t xml:space="preserve">Cours actuel : </w:t>
            </w:r>
            <w:r>
              <w:rPr>
                <w:color w:val="000000"/>
                <w:sz w:val="17"/>
              </w:rPr>
              <w:t>2,090 FCFA</w:t>
            </w:r>
          </w:p>
          <w:p>
            <w:r>
              <w:rPr>
                <w:b/>
                <w:color w:val="503200"/>
                <w:sz w:val="16"/>
              </w:rPr>
              <w:t xml:space="preserve">Var. 100 jours : </w:t>
            </w:r>
            <w:r>
              <w:rPr>
                <w:b/>
                <w:color w:val="B40000"/>
                <w:sz w:val="17"/>
              </w:rPr>
              <w:t>-24.96%</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11.18% (Moyenne) — μ=2,479 FCFA, σ=277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β=0.6492 (Défensif) — Cov=0.000029, Var(idx)=0.000045, ρ=0.134,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2026-09-25</w:t>
            </w:r>
          </w:p>
        </w:tc>
        <w:tc>
          <w:tcPr>
            <w:tcW w:type="dxa" w:w="1440"/>
            <w:shd w:fill="FFDCE0" w:val="clear"/>
          </w:tcPr>
          <w:p>
            <w:r>
              <w:rPr>
                <w:sz w:val="17"/>
              </w:rPr>
              <w:t>1,945</w:t>
            </w:r>
          </w:p>
        </w:tc>
        <w:tc>
          <w:tcPr>
            <w:tcW w:type="dxa" w:w="1440"/>
            <w:shd w:fill="FFDCE0" w:val="clear"/>
          </w:tcPr>
          <w:p>
            <w:r>
              <w:rPr>
                <w:b/>
                <w:sz w:val="17"/>
              </w:rPr>
              <w:t>2,025</w:t>
            </w:r>
          </w:p>
        </w:tc>
        <w:tc>
          <w:tcPr>
            <w:tcW w:type="dxa" w:w="1440"/>
            <w:shd w:fill="FFDCE0" w:val="clear"/>
          </w:tcPr>
          <w:p>
            <w:r>
              <w:rPr>
                <w:sz w:val="17"/>
              </w:rPr>
              <w:t>2,105</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2026-09-28</w:t>
            </w:r>
          </w:p>
        </w:tc>
        <w:tc>
          <w:tcPr>
            <w:tcW w:type="dxa" w:w="1440"/>
            <w:shd w:fill="FFDCE0" w:val="clear"/>
          </w:tcPr>
          <w:p>
            <w:r>
              <w:rPr>
                <w:sz w:val="17"/>
              </w:rPr>
              <w:t>1,905</w:t>
            </w:r>
          </w:p>
        </w:tc>
        <w:tc>
          <w:tcPr>
            <w:tcW w:type="dxa" w:w="1440"/>
            <w:shd w:fill="FFDCE0" w:val="clear"/>
          </w:tcPr>
          <w:p>
            <w:r>
              <w:rPr>
                <w:b/>
                <w:sz w:val="17"/>
              </w:rPr>
              <w:t>2,018</w:t>
            </w:r>
          </w:p>
        </w:tc>
        <w:tc>
          <w:tcPr>
            <w:tcW w:type="dxa" w:w="1440"/>
            <w:shd w:fill="FFDCE0" w:val="clear"/>
          </w:tcPr>
          <w:p>
            <w:r>
              <w:rPr>
                <w:sz w:val="17"/>
              </w:rPr>
              <w:t>2,130</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2026-09-29</w:t>
            </w:r>
          </w:p>
        </w:tc>
        <w:tc>
          <w:tcPr>
            <w:tcW w:type="dxa" w:w="1440"/>
            <w:shd w:fill="FFDCE0" w:val="clear"/>
          </w:tcPr>
          <w:p>
            <w:r>
              <w:rPr>
                <w:sz w:val="17"/>
              </w:rPr>
              <w:t>1,871</w:t>
            </w:r>
          </w:p>
        </w:tc>
        <w:tc>
          <w:tcPr>
            <w:tcW w:type="dxa" w:w="1440"/>
            <w:shd w:fill="FFDCE0" w:val="clear"/>
          </w:tcPr>
          <w:p>
            <w:r>
              <w:rPr>
                <w:b/>
                <w:sz w:val="17"/>
              </w:rPr>
              <w:t>2,009</w:t>
            </w:r>
          </w:p>
        </w:tc>
        <w:tc>
          <w:tcPr>
            <w:tcW w:type="dxa" w:w="1440"/>
            <w:shd w:fill="FFDCE0" w:val="clear"/>
          </w:tcPr>
          <w:p>
            <w:r>
              <w:rPr>
                <w:sz w:val="17"/>
              </w:rPr>
              <w:t>2,146</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1,841</w:t>
            </w:r>
          </w:p>
        </w:tc>
        <w:tc>
          <w:tcPr>
            <w:tcW w:type="dxa" w:w="1440"/>
            <w:shd w:fill="FFDCE0" w:val="clear"/>
          </w:tcPr>
          <w:p>
            <w:r>
              <w:rPr>
                <w:b/>
                <w:sz w:val="17"/>
              </w:rPr>
              <w:t>1,999</w:t>
            </w:r>
          </w:p>
        </w:tc>
        <w:tc>
          <w:tcPr>
            <w:tcW w:type="dxa" w:w="1440"/>
            <w:shd w:fill="FFDCE0" w:val="clear"/>
          </w:tcPr>
          <w:p>
            <w:r>
              <w:rPr>
                <w:sz w:val="17"/>
              </w:rPr>
              <w:t>2,157</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1,814</w:t>
            </w:r>
          </w:p>
        </w:tc>
        <w:tc>
          <w:tcPr>
            <w:tcW w:type="dxa" w:w="1440"/>
            <w:shd w:fill="FFDCE0" w:val="clear"/>
          </w:tcPr>
          <w:p>
            <w:r>
              <w:rPr>
                <w:b/>
                <w:sz w:val="17"/>
              </w:rPr>
              <w:t>1,990</w:t>
            </w:r>
          </w:p>
        </w:tc>
        <w:tc>
          <w:tcPr>
            <w:tcW w:type="dxa" w:w="1440"/>
            <w:shd w:fill="FFDCE0" w:val="clear"/>
          </w:tcPr>
          <w:p>
            <w:r>
              <w:rPr>
                <w:sz w:val="17"/>
              </w:rPr>
              <w:t>2,166</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1,789</w:t>
            </w:r>
          </w:p>
        </w:tc>
        <w:tc>
          <w:tcPr>
            <w:tcW w:type="dxa" w:w="1440"/>
            <w:shd w:fill="FFDCE0" w:val="clear"/>
          </w:tcPr>
          <w:p>
            <w:r>
              <w:rPr>
                <w:b/>
                <w:sz w:val="17"/>
              </w:rPr>
              <w:t>1,981</w:t>
            </w:r>
          </w:p>
        </w:tc>
        <w:tc>
          <w:tcPr>
            <w:tcW w:type="dxa" w:w="1440"/>
            <w:shd w:fill="FFDCE0" w:val="clear"/>
          </w:tcPr>
          <w:p>
            <w:r>
              <w:rPr>
                <w:sz w:val="17"/>
              </w:rPr>
              <w:t>2,172</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1,765</w:t>
            </w:r>
          </w:p>
        </w:tc>
        <w:tc>
          <w:tcPr>
            <w:tcW w:type="dxa" w:w="1440"/>
            <w:shd w:fill="FFDCE0" w:val="clear"/>
          </w:tcPr>
          <w:p>
            <w:r>
              <w:rPr>
                <w:b/>
                <w:sz w:val="17"/>
              </w:rPr>
              <w:t>1,972</w:t>
            </w:r>
          </w:p>
        </w:tc>
        <w:tc>
          <w:tcPr>
            <w:tcW w:type="dxa" w:w="1440"/>
            <w:shd w:fill="FFDCE0" w:val="clear"/>
          </w:tcPr>
          <w:p>
            <w:r>
              <w:rPr>
                <w:sz w:val="17"/>
              </w:rPr>
              <w:t>2,178</w:t>
            </w:r>
          </w:p>
        </w:tc>
        <w:tc>
          <w:tcPr>
            <w:tcW w:type="dxa" w:w="1440"/>
            <w:shd w:fill="FFDCE0" w:val="clear"/>
          </w:tcPr>
          <w:p>
            <w:r>
              <w:rPr>
                <w:b/>
                <w:color w:val="C00000"/>
                <w:sz w:val="17"/>
              </w:rPr>
              <w:t>-5.7%</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1,743</w:t>
            </w:r>
          </w:p>
        </w:tc>
        <w:tc>
          <w:tcPr>
            <w:tcW w:type="dxa" w:w="1440"/>
            <w:shd w:fill="FFDCE0" w:val="clear"/>
          </w:tcPr>
          <w:p>
            <w:r>
              <w:rPr>
                <w:b/>
                <w:sz w:val="17"/>
              </w:rPr>
              <w:t>1,963</w:t>
            </w:r>
          </w:p>
        </w:tc>
        <w:tc>
          <w:tcPr>
            <w:tcW w:type="dxa" w:w="1440"/>
            <w:shd w:fill="FFDCE0" w:val="clear"/>
          </w:tcPr>
          <w:p>
            <w:r>
              <w:rPr>
                <w:sz w:val="17"/>
              </w:rPr>
              <w:t>2,182</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1,722</w:t>
            </w:r>
          </w:p>
        </w:tc>
        <w:tc>
          <w:tcPr>
            <w:tcW w:type="dxa" w:w="1440"/>
            <w:shd w:fill="FFDCE0" w:val="clear"/>
          </w:tcPr>
          <w:p>
            <w:r>
              <w:rPr>
                <w:b/>
                <w:sz w:val="17"/>
              </w:rPr>
              <w:t>1,954</w:t>
            </w:r>
          </w:p>
        </w:tc>
        <w:tc>
          <w:tcPr>
            <w:tcW w:type="dxa" w:w="1440"/>
            <w:shd w:fill="FFDCE0" w:val="clear"/>
          </w:tcPr>
          <w:p>
            <w:r>
              <w:rPr>
                <w:sz w:val="17"/>
              </w:rPr>
              <w:t>2,186</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1,702</w:t>
            </w:r>
          </w:p>
        </w:tc>
        <w:tc>
          <w:tcPr>
            <w:tcW w:type="dxa" w:w="1440"/>
            <w:shd w:fill="FFDCE0" w:val="clear"/>
          </w:tcPr>
          <w:p>
            <w:r>
              <w:rPr>
                <w:b/>
                <w:sz w:val="17"/>
              </w:rPr>
              <w:t>1,946</w:t>
            </w:r>
          </w:p>
        </w:tc>
        <w:tc>
          <w:tcPr>
            <w:tcW w:type="dxa" w:w="1440"/>
            <w:shd w:fill="FFDCE0" w:val="clear"/>
          </w:tcPr>
          <w:p>
            <w:r>
              <w:rPr>
                <w:sz w:val="17"/>
              </w:rPr>
              <w:t>2,189</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(ERIUM COTE D'IVOIRE)**</w:t>
        <w:br/>
        <w:t>*Bourse Régionale des Valeurs Mobilières (BRVM) — Secteur : Banque / Industrie*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18,25 milliards FCFA, SIVC se situe dans la catégorie des valeurs moyennes de la BRVM, ce qui la rend sensible aux mouvements de liquidité du marché. Le BPA de 43 FCFA/action signifie que chaque titre génère 43 FCFA de bénéfice net, un niveau modeste qui, rapporté au cours actuel de 2 090 FCFA, aboutit à un PER de 48,4x — très largement supérieur à la moyenne du marché BRVM (8-12x), signalant que les investisseurs paient une prime spéculative très élevée par rapport aux bénéfices réellement dégagés. Le P/B de 5,58x confirme cette exubérance : le marché valorise la société à plus de 5 fois sa valeur comptable, une prime exigeante qui n'est justifiée que si la rentabilité future s'améliore nettement. Enfin, l'EV/EBITDA de 15,6x traduit une valorisation tendue de la capacité opérationnelle, ce qui, combiné aux deux autres ratios, dresse le portrait d'un titre nettement surévalué au regard de ses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variation totale de -24,96%, matérialisant une tendance baissière marquée, même si la dernière séance (J-1) affiche un rebond technique de +4,50% à 2 090 FCFA. Le range de trading s'étend de 1 920 FCFA (plus bas) à 2 875 FCFA (plus haut), soit une amplitude de près de 50%, ce qui témoigne d'une forte nervosité du titre sur la période. La moyenne (2 479 FCFA) est supérieure à la médiane et au mode (2 400 FCFA), ce qui indique une légère asymétrie positive : les pics de cours tirent la moyenne vers le haut, mais le cours actuel (2 090 FCFA) se situe bien en dessous de ces deux repères centraux, confirmant la pression vendeuse. L'écart-type de 278 FCFA avec un coefficient de variation de 11,2% traduit une dispersion modérée autour de la moyenne, tandis que le kurtosis négatif (-1,266, distribution platykurtique) signale une distribution aplatie avec une faible concentration des rendements et un risque de mouvements amples plutôt que de pics extrêmes fréquents. Le skewness de 0,097, proche de zéro, indique une distribution quasi symétrique, sans biais directionnel marqué. Avec une volatilité annualisée de 51,5%, le titre se classe dans la catégorie des valeurs à volatilité élevée (&gt;30%), ce qui implique un risque important pour l'investisseur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(2 263 FCFA) et la MM50 (2 285,5 FCFA) se situent toutes deux au-dessus du cours actuel (2 090 FCFA), avec une MM20 légèrement inférieure à la MM50, ce qui configure une tendance baissière de court terme. Le cours évoluant sous ses deux moyennes mobiles, la pression vendeuse reste dominante et justifie la décision technique de **Vente**.</w:t>
      </w:r>
    </w:p>
    <w:p>
      <w:pPr>
        <w:spacing w:after="120" w:line="276" w:lineRule="auto"/>
      </w:pPr>
      <w:r>
        <w:t>**Bandes de Bollinger** : Le cours (2 090 FCFA) évolue dans la partie basse du canal, entre la borne inférieure (1 991,7 FCFA) et la borne supérieure (2 534,3 FCFA), sans franchissement de borne. Cette position médiane-basse, couplée à un écartement modéré des bandes, traduit une volatilité contenue et une absence de signal directionnel fort, d'où la décision **Neutre**.</w:t>
      </w:r>
    </w:p>
    <w:p>
      <w:pPr>
        <w:spacing w:after="120" w:line="276" w:lineRule="auto"/>
      </w:pPr>
      <w:r>
        <w:t>**MACD** : Le MACD (-75,508) est nettement inférieur à son signal (-42,63), avec un histogramme négatif qui confirme un momentum baissier toujours actif. La divergence entre les deux lignes ne montre aucun signe de retournement imminent, ce qui valide la décision de **Vente**.</w:t>
      </w:r>
    </w:p>
    <w:p>
      <w:pPr>
        <w:spacing w:after="120" w:line="276" w:lineRule="auto"/>
      </w:pPr>
      <w:r>
        <w:t>**RSI** : À 35,366, le RSI se situe dans la zone neutre basse (30-70), sans atteindre le seuil de survente (&lt;30). Le titre n'est donc ni survendu ni suracheté, ce qui laisse place à une poursuite de la baisse sans signal de rebond technique fiable, justifiant la décision **Neutre**.</w:t>
      </w:r>
    </w:p>
    <w:p>
      <w:pPr>
        <w:spacing w:after="120" w:line="276" w:lineRule="auto"/>
      </w:pPr>
      <w:r>
        <w:t>**Stochastique** : Le %K (22,5) est supérieur au %D (7,5), ce qui pourrait suggérer un début de croisement haussier en zone de survente, mais les deux valeurs restent très basses et le signal n'est pas confirmé. La décision reste **Neutre**, en attendant une validation du croisement.</w:t>
      </w:r>
    </w:p>
    <w:p>
      <w:pPr>
        <w:spacing w:after="120" w:line="276" w:lineRule="auto"/>
      </w:pPr>
      <w:r>
        <w:t>**Conclusion technique** : La convergence des signaux baissiers (cours sous MM20/MM50, MACD négatif) domine, tandis que le RSI et le stochastique en zone basse laissent entrevoir un possible rebond technique à court terme. Le titre se trouve dans une phase de consolidation baissière, avec un risque de poursuite de la baisse vers la borne inférieure de Bollinger (1 991 FCFA) si les 2 090 FCFA ne tiennent pas. La décision globale reste **Vente/Neutre**, avec une prudence recommandée.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indiquent un PNB/CA de 9,283 milliards FCFA, un résultat net de 376,96 millions FCFA, un ROE de 11,52% et un ROA de 2,69%. Le coefficient d'exploitation ressort à 95,83%, très au-dessus du seuil de 60% qui caractérise une banque efficace, ce qui traduit une structure de coûts lourde et une faible efficacité opérationnelle. Le coût du risque, à 3,10% des charges financières, reste contenu mais non négligeable, et le ratio de dépendance financière (76,66%) ainsi qu'un ratio d'endettement de 80,09% signalent une forte levier, avec une autonomie financière limitée à 23,34% (inférieure au seuil sain de 30%). La trésorerie nette est négative à -2,143 milliards FCFA, et le fonds de roulement (-3,883 milliards FCFA) est également négatif, ce qui expose la société à un risque de liquidité.</w:t>
      </w:r>
    </w:p>
    <w:p>
      <w:pPr>
        <w:spacing w:after="120" w:line="276" w:lineRule="auto"/>
      </w:pPr>
      <w:r>
        <w:t>Les rapports narratifs officiels confirment cette dégradation : le rapport annuel 2025 (daté du 31/12/2025, analysé le 29/06/2026) fait état d'un CA de 10,074 milliards FCFA (+8,53% vs 9,283 milliards en 2024), mais d'un résultat net en chute de -52,4% à 179,29 millions FCFA, avec une marge nette divisée par deux (1,78% contre 4,06%). Le rapport du 3e trimestre 2025 (date inconnue) mentionne un CA cumulé de 7,584 milliards FCFA (+13%) et un résultat net de 832,5 millions FCFA (+58%), mais ces chiffres semblent refléter une performance semestrielle antérieure à la dégradation annuelle, ce qui suggère un fort ralentissement au second semestre. Le rapport S1 2025 (daté du 30/06/2025) affichait un CA de 4,897 milliards FCFA (+8,8%) et un résultat net de 512,9 millions FCFA (+4,6%), avec une marge nette de 10,5%, en nette amélioration par rapport à l'annuel. On estime donc que l'exercice 2025 devrait se solder par un résultat net autour de 179 millions FCFA (chiffre réel confirmé), en forte baisse, et que l'exercice 2026 pourrait rester sous pression si la maîtrise des charges et la réduction de l'endettement ne s'améliorent pas. La recommandation fondamentale est de **CONSERVER** avec une surveillance accrue, en raison de la croissance du CA mais de la dégradation de la rentabilité et de la structure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PER de 48,4x, P/B de 5,58x et EV/EBITDA de 15,6x indiquent une surévaluation manifeste par rapport aux bénéfices et à la valeur comptable, ce qui contraste avec la dégradation des fondamentaux. Le comportement du cours (Partie 1) est baissier (-24,96% sur 100 jours) avec une volatilité élevée (51,5%) et une distribution platykurtique, ce qui est préoccupant pour un investisseur cherchant la stabilité. Les signaux techniques (Partie 2) sont majoritairement baissiers (cours sous MM20/MM50, MACD négatif), bien que le RSI et le stochastique en zone basse suggèrent un possible rebond technique à court terme, sans confirmation. Les fondamentaux (Partie 3) montrent une croissance du CA (+8,53% en 2025) mais une chute du résultat net (-52,4%) et une structure financière fragile (endettement élevé, trésorerie négative), avec un ROE de 11,52% et un coefficient d'exploitation de 95,83% qui pénalisent la rentabilité. Les prédictions IA (J+1 à J+10) anticipent une poursuite de la baisse vers 1 990 FCFA d'ici le 1er octobre 2026, ce qui confirme la tendance baissière et contredit tout espoir de rebond durable. Sur la base de cette synthèse, la recommandation finale est **VENTE** (ou **CONSERVER** pour les investisseurs déjà en position, avec un objectif de sortie à moyen terme), car la convergence des signaux baissiers (valorisation, technique, prédiction) l'emporte sur la croissance du CA. Le niveau de confiance est **Moyen** (les indicateurs sont cohérents mais le rebond technique de J-1 introduit une incertitude), et le niveau de risque global est **Élevé** (volatilité, endettement, trésorerie négative). L'horizon d'investissement optimal est **court terme** (&lt;3 mois) pour les traders cherchant à profiter de la volatilité, mais **déconseillé** pour les investisseurs long terme en l'absence d'amélioration durable de la rentabilité et de la structure financière.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1,345 titres</w:t>
            </w:r>
          </w:p>
        </w:tc>
        <w:tc>
          <w:tcPr>
            <w:tcW w:type="dxa" w:w="2268"/>
            <w:shd w:fill="FFF2CC" w:val="clear"/>
          </w:tcPr>
          <w:p>
            <w:r>
              <w:rPr>
                <w:b/>
                <w:color w:val="503200"/>
                <w:sz w:val="16"/>
              </w:rPr>
              <w:t xml:space="preserve">Cours actuel : </w:t>
            </w:r>
            <w:r>
              <w:rPr>
                <w:color w:val="000000"/>
                <w:sz w:val="17"/>
              </w:rPr>
              <w:t>37,800 FCFA</w:t>
            </w:r>
          </w:p>
          <w:p>
            <w:r>
              <w:rPr>
                <w:b/>
                <w:color w:val="503200"/>
                <w:sz w:val="16"/>
              </w:rPr>
              <w:t xml:space="preserve">Var. 100 jours : </w:t>
            </w:r>
            <w:r>
              <w:rPr>
                <w:b/>
                <w:color w:val="007800"/>
                <w:sz w:val="17"/>
              </w:rPr>
              <w:t>+6.36%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2.34% (Faible) — μ=38,247 FCFA, σ=897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β=0.1141 (Défensif) — Cov=0.000005, Var(idx)=0.000045, ρ=0.046,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37,774</w:t>
            </w:r>
          </w:p>
        </w:tc>
        <w:tc>
          <w:tcPr>
            <w:tcW w:type="dxa" w:w="1440"/>
            <w:shd w:fill="FAFAFA" w:val="clear"/>
          </w:tcPr>
          <w:p>
            <w:r>
              <w:rPr>
                <w:b/>
                <w:sz w:val="17"/>
              </w:rPr>
              <w:t>38,494</w:t>
            </w:r>
          </w:p>
        </w:tc>
        <w:tc>
          <w:tcPr>
            <w:tcW w:type="dxa" w:w="1440"/>
            <w:shd w:fill="FAFAFA" w:val="clear"/>
          </w:tcPr>
          <w:p>
            <w:r>
              <w:rPr>
                <w:sz w:val="17"/>
              </w:rPr>
              <w:t>39,213</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2026-09-28</w:t>
            </w:r>
          </w:p>
        </w:tc>
        <w:tc>
          <w:tcPr>
            <w:tcW w:type="dxa" w:w="1440"/>
            <w:shd w:fill="C6EFCE" w:val="clear"/>
          </w:tcPr>
          <w:p>
            <w:r>
              <w:rPr>
                <w:sz w:val="17"/>
              </w:rPr>
              <w:t>37,725</w:t>
            </w:r>
          </w:p>
        </w:tc>
        <w:tc>
          <w:tcPr>
            <w:tcW w:type="dxa" w:w="1440"/>
            <w:shd w:fill="C6EFCE" w:val="clear"/>
          </w:tcPr>
          <w:p>
            <w:r>
              <w:rPr>
                <w:b/>
                <w:sz w:val="17"/>
              </w:rPr>
              <w:t>38,750</w:t>
            </w:r>
          </w:p>
        </w:tc>
        <w:tc>
          <w:tcPr>
            <w:tcW w:type="dxa" w:w="1440"/>
            <w:shd w:fill="C6EFCE" w:val="clear"/>
          </w:tcPr>
          <w:p>
            <w:r>
              <w:rPr>
                <w:sz w:val="17"/>
              </w:rPr>
              <w:t>39,774</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37,818</w:t>
            </w:r>
          </w:p>
        </w:tc>
        <w:tc>
          <w:tcPr>
            <w:tcW w:type="dxa" w:w="1440"/>
            <w:shd w:fill="C6EFCE" w:val="clear"/>
          </w:tcPr>
          <w:p>
            <w:r>
              <w:rPr>
                <w:b/>
                <w:sz w:val="17"/>
              </w:rPr>
              <w:t>39,084</w:t>
            </w:r>
          </w:p>
        </w:tc>
        <w:tc>
          <w:tcPr>
            <w:tcW w:type="dxa" w:w="1440"/>
            <w:shd w:fill="C6EFCE" w:val="clear"/>
          </w:tcPr>
          <w:p>
            <w:r>
              <w:rPr>
                <w:sz w:val="17"/>
              </w:rPr>
              <w:t>40,349</w:t>
            </w:r>
          </w:p>
        </w:tc>
        <w:tc>
          <w:tcPr>
            <w:tcW w:type="dxa" w:w="1440"/>
            <w:shd w:fill="C6EFCE" w:val="clear"/>
          </w:tcPr>
          <w:p>
            <w:r>
              <w:rPr>
                <w:b/>
                <w:color w:val="008000"/>
                <w:sz w:val="17"/>
              </w:rPr>
              <w:t>+3.4%</w:t>
            </w:r>
          </w:p>
        </w:tc>
      </w:tr>
      <w:tr>
        <w:tc>
          <w:tcPr>
            <w:tcW w:type="dxa" w:w="1440"/>
            <w:shd w:fill="C6EFCE" w:val="clear"/>
          </w:tcPr>
          <w:p>
            <w:r>
              <w:rPr>
                <w:sz w:val="17"/>
              </w:rPr>
              <w:t>J+4  Moyenne</w:t>
            </w:r>
          </w:p>
        </w:tc>
        <w:tc>
          <w:tcPr>
            <w:tcW w:type="dxa" w:w="1440"/>
            <w:shd w:fill="C6EFCE" w:val="clear"/>
          </w:tcPr>
          <w:p>
            <w:r>
              <w:rPr>
                <w:sz w:val="17"/>
              </w:rPr>
              <w:t>2026-09-30</w:t>
            </w:r>
          </w:p>
        </w:tc>
        <w:tc>
          <w:tcPr>
            <w:tcW w:type="dxa" w:w="1440"/>
            <w:shd w:fill="C6EFCE" w:val="clear"/>
          </w:tcPr>
          <w:p>
            <w:r>
              <w:rPr>
                <w:sz w:val="17"/>
              </w:rPr>
              <w:t>37,951</w:t>
            </w:r>
          </w:p>
        </w:tc>
        <w:tc>
          <w:tcPr>
            <w:tcW w:type="dxa" w:w="1440"/>
            <w:shd w:fill="C6EFCE" w:val="clear"/>
          </w:tcPr>
          <w:p>
            <w:r>
              <w:rPr>
                <w:b/>
                <w:sz w:val="17"/>
              </w:rPr>
              <w:t>39,425</w:t>
            </w:r>
          </w:p>
        </w:tc>
        <w:tc>
          <w:tcPr>
            <w:tcW w:type="dxa" w:w="1440"/>
            <w:shd w:fill="C6EFCE" w:val="clear"/>
          </w:tcPr>
          <w:p>
            <w:r>
              <w:rPr>
                <w:sz w:val="17"/>
              </w:rPr>
              <w:t>40,899</w:t>
            </w:r>
          </w:p>
        </w:tc>
        <w:tc>
          <w:tcPr>
            <w:tcW w:type="dxa" w:w="1440"/>
            <w:shd w:fill="C6EFCE" w:val="clear"/>
          </w:tcPr>
          <w:p>
            <w:r>
              <w:rPr>
                <w:b/>
                <w:color w:val="008000"/>
                <w:sz w:val="17"/>
              </w:rPr>
              <w:t>+4.3%</w:t>
            </w:r>
          </w:p>
        </w:tc>
      </w:tr>
      <w:tr>
        <w:tc>
          <w:tcPr>
            <w:tcW w:type="dxa" w:w="1440"/>
            <w:shd w:fill="C6EFCE" w:val="clear"/>
          </w:tcPr>
          <w:p>
            <w:r>
              <w:rPr>
                <w:sz w:val="17"/>
              </w:rPr>
              <w:t>J+5  Moyenne</w:t>
            </w:r>
          </w:p>
        </w:tc>
        <w:tc>
          <w:tcPr>
            <w:tcW w:type="dxa" w:w="1440"/>
            <w:shd w:fill="C6EFCE" w:val="clear"/>
          </w:tcPr>
          <w:p>
            <w:r>
              <w:rPr>
                <w:sz w:val="17"/>
              </w:rPr>
              <w:t>2026-10-01</w:t>
            </w:r>
          </w:p>
        </w:tc>
        <w:tc>
          <w:tcPr>
            <w:tcW w:type="dxa" w:w="1440"/>
            <w:shd w:fill="C6EFCE" w:val="clear"/>
          </w:tcPr>
          <w:p>
            <w:r>
              <w:rPr>
                <w:sz w:val="17"/>
              </w:rPr>
              <w:t>38,098</w:t>
            </w:r>
          </w:p>
        </w:tc>
        <w:tc>
          <w:tcPr>
            <w:tcW w:type="dxa" w:w="1440"/>
            <w:shd w:fill="C6EFCE" w:val="clear"/>
          </w:tcPr>
          <w:p>
            <w:r>
              <w:rPr>
                <w:b/>
                <w:sz w:val="17"/>
              </w:rPr>
              <w:t>39,760</w:t>
            </w:r>
          </w:p>
        </w:tc>
        <w:tc>
          <w:tcPr>
            <w:tcW w:type="dxa" w:w="1440"/>
            <w:shd w:fill="C6EFCE" w:val="clear"/>
          </w:tcPr>
          <w:p>
            <w:r>
              <w:rPr>
                <w:sz w:val="17"/>
              </w:rPr>
              <w:t>41,422</w:t>
            </w:r>
          </w:p>
        </w:tc>
        <w:tc>
          <w:tcPr>
            <w:tcW w:type="dxa" w:w="1440"/>
            <w:shd w:fill="C6EFCE" w:val="clear"/>
          </w:tcPr>
          <w:p>
            <w:r>
              <w:rPr>
                <w:b/>
                <w:color w:val="008000"/>
                <w:sz w:val="17"/>
              </w:rPr>
              <w:t>+5.2%</w:t>
            </w:r>
          </w:p>
        </w:tc>
      </w:tr>
      <w:tr>
        <w:tc>
          <w:tcPr>
            <w:tcW w:type="dxa" w:w="1440"/>
            <w:shd w:fill="C6EFCE" w:val="clear"/>
          </w:tcPr>
          <w:p>
            <w:r>
              <w:rPr>
                <w:sz w:val="17"/>
              </w:rPr>
              <w:t>J+6  Moyenne</w:t>
            </w:r>
          </w:p>
        </w:tc>
        <w:tc>
          <w:tcPr>
            <w:tcW w:type="dxa" w:w="1440"/>
            <w:shd w:fill="C6EFCE" w:val="clear"/>
          </w:tcPr>
          <w:p>
            <w:r>
              <w:rPr>
                <w:sz w:val="17"/>
              </w:rPr>
              <w:t>2026-10-02</w:t>
            </w:r>
          </w:p>
        </w:tc>
        <w:tc>
          <w:tcPr>
            <w:tcW w:type="dxa" w:w="1440"/>
            <w:shd w:fill="C6EFCE" w:val="clear"/>
          </w:tcPr>
          <w:p>
            <w:r>
              <w:rPr>
                <w:sz w:val="17"/>
              </w:rPr>
              <w:t>38,251</w:t>
            </w:r>
          </w:p>
        </w:tc>
        <w:tc>
          <w:tcPr>
            <w:tcW w:type="dxa" w:w="1440"/>
            <w:shd w:fill="C6EFCE" w:val="clear"/>
          </w:tcPr>
          <w:p>
            <w:r>
              <w:rPr>
                <w:b/>
                <w:sz w:val="17"/>
              </w:rPr>
              <w:t>40,086</w:t>
            </w:r>
          </w:p>
        </w:tc>
        <w:tc>
          <w:tcPr>
            <w:tcW w:type="dxa" w:w="1440"/>
            <w:shd w:fill="C6EFCE" w:val="clear"/>
          </w:tcPr>
          <w:p>
            <w:r>
              <w:rPr>
                <w:sz w:val="17"/>
              </w:rPr>
              <w:t>41,922</w:t>
            </w:r>
          </w:p>
        </w:tc>
        <w:tc>
          <w:tcPr>
            <w:tcW w:type="dxa" w:w="1440"/>
            <w:shd w:fill="C6EFCE" w:val="clear"/>
          </w:tcPr>
          <w:p>
            <w:r>
              <w:rPr>
                <w:b/>
                <w:color w:val="008000"/>
                <w:sz w:val="17"/>
              </w:rPr>
              <w:t>+6.0%</w:t>
            </w:r>
          </w:p>
        </w:tc>
      </w:tr>
      <w:tr>
        <w:tc>
          <w:tcPr>
            <w:tcW w:type="dxa" w:w="1440"/>
            <w:shd w:fill="C6EFCE" w:val="clear"/>
          </w:tcPr>
          <w:p>
            <w:r>
              <w:rPr>
                <w:sz w:val="17"/>
              </w:rPr>
              <w:t>J+7  Moyenne</w:t>
            </w:r>
          </w:p>
        </w:tc>
        <w:tc>
          <w:tcPr>
            <w:tcW w:type="dxa" w:w="1440"/>
            <w:shd w:fill="C6EFCE" w:val="clear"/>
          </w:tcPr>
          <w:p>
            <w:r>
              <w:rPr>
                <w:sz w:val="17"/>
              </w:rPr>
              <w:t>2026-10-05</w:t>
            </w:r>
          </w:p>
        </w:tc>
        <w:tc>
          <w:tcPr>
            <w:tcW w:type="dxa" w:w="1440"/>
            <w:shd w:fill="C6EFCE" w:val="clear"/>
          </w:tcPr>
          <w:p>
            <w:r>
              <w:rPr>
                <w:sz w:val="17"/>
              </w:rPr>
              <w:t>38,408</w:t>
            </w:r>
          </w:p>
        </w:tc>
        <w:tc>
          <w:tcPr>
            <w:tcW w:type="dxa" w:w="1440"/>
            <w:shd w:fill="C6EFCE" w:val="clear"/>
          </w:tcPr>
          <w:p>
            <w:r>
              <w:rPr>
                <w:b/>
                <w:sz w:val="17"/>
              </w:rPr>
              <w:t>40,406</w:t>
            </w:r>
          </w:p>
        </w:tc>
        <w:tc>
          <w:tcPr>
            <w:tcW w:type="dxa" w:w="1440"/>
            <w:shd w:fill="C6EFCE" w:val="clear"/>
          </w:tcPr>
          <w:p>
            <w:r>
              <w:rPr>
                <w:sz w:val="17"/>
              </w:rPr>
              <w:t>42,404</w:t>
            </w:r>
          </w:p>
        </w:tc>
        <w:tc>
          <w:tcPr>
            <w:tcW w:type="dxa" w:w="1440"/>
            <w:shd w:fill="C6EFCE" w:val="clear"/>
          </w:tcPr>
          <w:p>
            <w:r>
              <w:rPr>
                <w:b/>
                <w:color w:val="008000"/>
                <w:sz w:val="17"/>
              </w:rPr>
              <w:t>+6.9%</w:t>
            </w:r>
          </w:p>
        </w:tc>
      </w:tr>
      <w:tr>
        <w:tc>
          <w:tcPr>
            <w:tcW w:type="dxa" w:w="1440"/>
            <w:shd w:fill="C6EFCE" w:val="clear"/>
          </w:tcPr>
          <w:p>
            <w:r>
              <w:rPr>
                <w:sz w:val="17"/>
              </w:rPr>
              <w:t>J+8  Moyenne</w:t>
            </w:r>
          </w:p>
        </w:tc>
        <w:tc>
          <w:tcPr>
            <w:tcW w:type="dxa" w:w="1440"/>
            <w:shd w:fill="C6EFCE" w:val="clear"/>
          </w:tcPr>
          <w:p>
            <w:r>
              <w:rPr>
                <w:sz w:val="17"/>
              </w:rPr>
              <w:t>2026-10-06</w:t>
            </w:r>
          </w:p>
        </w:tc>
        <w:tc>
          <w:tcPr>
            <w:tcW w:type="dxa" w:w="1440"/>
            <w:shd w:fill="C6EFCE" w:val="clear"/>
          </w:tcPr>
          <w:p>
            <w:r>
              <w:rPr>
                <w:sz w:val="17"/>
              </w:rPr>
              <w:t>38,566</w:t>
            </w:r>
          </w:p>
        </w:tc>
        <w:tc>
          <w:tcPr>
            <w:tcW w:type="dxa" w:w="1440"/>
            <w:shd w:fill="C6EFCE" w:val="clear"/>
          </w:tcPr>
          <w:p>
            <w:r>
              <w:rPr>
                <w:b/>
                <w:sz w:val="17"/>
              </w:rPr>
              <w:t>40,719</w:t>
            </w:r>
          </w:p>
        </w:tc>
        <w:tc>
          <w:tcPr>
            <w:tcW w:type="dxa" w:w="1440"/>
            <w:shd w:fill="C6EFCE" w:val="clear"/>
          </w:tcPr>
          <w:p>
            <w:r>
              <w:rPr>
                <w:sz w:val="17"/>
              </w:rPr>
              <w:t>42,872</w:t>
            </w:r>
          </w:p>
        </w:tc>
        <w:tc>
          <w:tcPr>
            <w:tcW w:type="dxa" w:w="1440"/>
            <w:shd w:fill="C6EFCE" w:val="clear"/>
          </w:tcPr>
          <w:p>
            <w:r>
              <w:rPr>
                <w:b/>
                <w:color w:val="008000"/>
                <w:sz w:val="17"/>
              </w:rPr>
              <w:t>+7.7%</w:t>
            </w:r>
          </w:p>
        </w:tc>
      </w:tr>
      <w:tr>
        <w:tc>
          <w:tcPr>
            <w:tcW w:type="dxa" w:w="1440"/>
            <w:shd w:fill="C6EFCE" w:val="clear"/>
          </w:tcPr>
          <w:p>
            <w:r>
              <w:rPr>
                <w:sz w:val="17"/>
              </w:rPr>
              <w:t>J+9  Moyenne</w:t>
            </w:r>
          </w:p>
        </w:tc>
        <w:tc>
          <w:tcPr>
            <w:tcW w:type="dxa" w:w="1440"/>
            <w:shd w:fill="C6EFCE" w:val="clear"/>
          </w:tcPr>
          <w:p>
            <w:r>
              <w:rPr>
                <w:sz w:val="17"/>
              </w:rPr>
              <w:t>2026-10-07</w:t>
            </w:r>
          </w:p>
        </w:tc>
        <w:tc>
          <w:tcPr>
            <w:tcW w:type="dxa" w:w="1440"/>
            <w:shd w:fill="C6EFCE" w:val="clear"/>
          </w:tcPr>
          <w:p>
            <w:r>
              <w:rPr>
                <w:sz w:val="17"/>
              </w:rPr>
              <w:t>38,727</w:t>
            </w:r>
          </w:p>
        </w:tc>
        <w:tc>
          <w:tcPr>
            <w:tcW w:type="dxa" w:w="1440"/>
            <w:shd w:fill="C6EFCE" w:val="clear"/>
          </w:tcPr>
          <w:p>
            <w:r>
              <w:rPr>
                <w:b/>
                <w:sz w:val="17"/>
              </w:rPr>
              <w:t>41,027</w:t>
            </w:r>
          </w:p>
        </w:tc>
        <w:tc>
          <w:tcPr>
            <w:tcW w:type="dxa" w:w="1440"/>
            <w:shd w:fill="C6EFCE" w:val="clear"/>
          </w:tcPr>
          <w:p>
            <w:r>
              <w:rPr>
                <w:sz w:val="17"/>
              </w:rPr>
              <w:t>43,328</w:t>
            </w:r>
          </w:p>
        </w:tc>
        <w:tc>
          <w:tcPr>
            <w:tcW w:type="dxa" w:w="1440"/>
            <w:shd w:fill="C6EFCE" w:val="clear"/>
          </w:tcPr>
          <w:p>
            <w:r>
              <w:rPr>
                <w:b/>
                <w:color w:val="008000"/>
                <w:sz w:val="17"/>
              </w:rPr>
              <w:t>+8.5%</w:t>
            </w:r>
          </w:p>
        </w:tc>
      </w:tr>
      <w:tr>
        <w:tc>
          <w:tcPr>
            <w:tcW w:type="dxa" w:w="1440"/>
            <w:shd w:fill="C6EFCE" w:val="clear"/>
          </w:tcPr>
          <w:p>
            <w:r>
              <w:rPr>
                <w:sz w:val="17"/>
              </w:rPr>
              <w:t>J+10  Moyenne</w:t>
            </w:r>
          </w:p>
        </w:tc>
        <w:tc>
          <w:tcPr>
            <w:tcW w:type="dxa" w:w="1440"/>
            <w:shd w:fill="C6EFCE" w:val="clear"/>
          </w:tcPr>
          <w:p>
            <w:r>
              <w:rPr>
                <w:sz w:val="17"/>
              </w:rPr>
              <w:t>2026-10-08</w:t>
            </w:r>
          </w:p>
        </w:tc>
        <w:tc>
          <w:tcPr>
            <w:tcW w:type="dxa" w:w="1440"/>
            <w:shd w:fill="C6EFCE" w:val="clear"/>
          </w:tcPr>
          <w:p>
            <w:r>
              <w:rPr>
                <w:sz w:val="17"/>
              </w:rPr>
              <w:t>38,888</w:t>
            </w:r>
          </w:p>
        </w:tc>
        <w:tc>
          <w:tcPr>
            <w:tcW w:type="dxa" w:w="1440"/>
            <w:shd w:fill="C6EFCE" w:val="clear"/>
          </w:tcPr>
          <w:p>
            <w:r>
              <w:rPr>
                <w:b/>
                <w:sz w:val="17"/>
              </w:rPr>
              <w:t>41,331</w:t>
            </w:r>
          </w:p>
        </w:tc>
        <w:tc>
          <w:tcPr>
            <w:tcW w:type="dxa" w:w="1440"/>
            <w:shd w:fill="C6EFCE" w:val="clear"/>
          </w:tcPr>
          <w:p>
            <w:r>
              <w:rPr>
                <w:sz w:val="17"/>
              </w:rPr>
              <w:t>43,774</w:t>
            </w:r>
          </w:p>
        </w:tc>
        <w:tc>
          <w:tcPr>
            <w:tcW w:type="dxa" w:w="1440"/>
            <w:shd w:fill="C6EFCE" w:val="clear"/>
          </w:tcPr>
          <w:p>
            <w:r>
              <w:rPr>
                <w:b/>
                <w:color w:val="008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Boissons &amp; Limonaderies*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622,22 milliards FCFA, SOLIBRA figure parmi les valeurs les plus importantes de la cote BRVM, ce qui traduit sa stature de leader régional du secteur des boissons. Le BPA de 2 781 FCFA/action signifie que chaque titre génère près de 2 800 FCFA de bénéfice net, un niveau élevé qui soutient la solidité du dossier. Le PER de 13,6x se situe légèrement au-dessus de la moyenne BRVM (~8-12x), mais reste modéré au regard de la croissance exceptionnelle des bénéfices (+113% en 2025) et du rendement du dividende attendu (2 127 FCFA/action, soit ~5,6% au cours actuel). Le P/B de 3,19x indique que le marché valorise l'entreprise à plus de trois fois ses fonds propres comptables, une prime de croissance justifiée par un ROE de 23,46% et une rentabilité nettement supérieure au coût des capitaux. Enfin, l'EV/EBITDA de 7,4x, dans la fourchette raisonnable de 5-10x, montre que la valeur d'entreprise reste cohérente avec la capacité opérationnelle de génération de cash-flow (EBITDA de 87,4 Mds FCFA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SLBC affiche une progression totale de +6,36%, malgré un léger repli de -0,22% lors de la dernière séance, signalant une consolidation après une phase haussière. Le cours actuel de 37 800 FCFA évolue dans un range de trading compris entre 35 540 FCFA (plus bas) et 41 500 FCFA (plus haut), soit une amplitude d'environ 16,8%, ce qui témoigne d'une tendance globalement haussière mais avec des phases de correction. Les statistiques descriptives révèlent une moyenne de 38 247 FCFA légèrement supérieure à la médiane et au mode (38 000 FCFA), confirmant une distribution faiblement asymétrique avec quelques pics haussiers. L'écart-type de 901 FCFA et le coefficient de variation de 2,4% indiquent une dispersion très faible du cours, signe d'une certaine stabilité relative. Toutefois, le kurtosis de 1,037 (leptokurtique) signale des queues épaisses, donc un risque de pics de volatilité brutaux, tandis que le skewness positif de 0,520 indique davantage de journées sous la moyenne que de journées exceptionnelles à la hausse. La volatilité annualisée de 25,8% positionne le titre dans la catégorie modérée (15-30%), ce qui est cohérent avec une valeur de rendement à faible flottant comme SLBC.</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(37 831 FCFA) et la MM50 (38 013,5 FCFA) encadrent le cours actuel de 37 800 FCFA, qui évolue légèrement sous ses deux moyennes. La MM20 étant inférieure à la MM50, la configuration est baissière à court terme, ce qui justifie la décision technique de **Vente** fournie par le système.</w:t>
      </w:r>
    </w:p>
    <w:p>
      <w:pPr>
        <w:spacing w:after="120" w:line="276" w:lineRule="auto"/>
      </w:pPr>
      <w:r>
        <w:t>**Bandes de Bollinger :** Le cours (37 800 FCFA) se situe dans la partie médiane de la bande, entre la borne inférieure (37 216,49 FCFA) et la borne supérieure (38 445,51 FCFA). L'absence de contact avec les bornes traduit une volatilité contenue et une absence de signal directionnel fort, d'où la décision **Neutre**.</w:t>
      </w:r>
    </w:p>
    <w:p>
      <w:pPr>
        <w:spacing w:after="120" w:line="276" w:lineRule="auto"/>
      </w:pPr>
      <w:r>
        <w:t>**MACD :** La valeur du MACD (10,011) est nettement supérieure à son signal (-13,886), générant un croisement haussier (golden cross) qui traduit un momentum positif en cours de renforcement. Cette configuration justifie la décision d'**Achat**, bien que le signal doive être confirmé par la cassure des moyennes mobiles.</w:t>
      </w:r>
    </w:p>
    <w:p>
      <w:pPr>
        <w:spacing w:after="120" w:line="276" w:lineRule="auto"/>
      </w:pPr>
      <w:r>
        <w:t>**RSI :** À 72,0, le RSI se situe au-dessus du seuil de surachat (70), indiquant que le titre a connu une progression rapide et pourrait subir une correction à court terme. Cela justifie la décision de **Vente** fournie, dans une logique de prise de profit.</w:t>
      </w:r>
    </w:p>
    <w:p>
      <w:pPr>
        <w:spacing w:after="120" w:line="276" w:lineRule="auto"/>
      </w:pPr>
      <w:r>
        <w:t>**Stochastique :** Le %K (75,0) est inférieur au %D (86,875), ce qui constitue un croisement baissier potentiel, bien que les deux lignes restent en zone haute. La décision **Neutre** reflète cette configuration ambiguë, entre pression acheteuse résiduelle et risque de retournement.</w:t>
      </w:r>
    </w:p>
    <w:p>
      <w:pPr>
        <w:spacing w:after="120" w:line="276" w:lineRule="auto"/>
      </w:pPr>
      <w:r>
        <w:t>**Conclusion technique :** Les indicateurs sont divergents : le MACD est haussier tandis que les moyennes mobiles, le RSI et le stochastique penchent vers une consolidation voire une correction. Le titre se trouve dans une phase de transition, coincé sous ses moyennes mobiles avec un RSI en surachat, ce qui suggère une prudence à court terme malgré un momentum positif sous-jacent.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performance exceptionnelle : le chiffre d'affaires s'établit à 378 123 Mds FCFA, en croissance de +22,08% par rapport à 2024 (309 722 Mds FCFA), tandis que le résultat net atteint 45 781 Mds FCFA, soit une progression spectaculaire de +113% (contre 21 472 Mds FCFA en 2024). Cette performance se traduit par un ROE de 23,46% (largement supérieur au seuil d'excellence de 15%) et un ROA de 13,48%, confirmant l'efficacité de l'utilisation des actifs. La marge nette double, passant de 6,9% en 2024 à 12,11% en 2025, grâce à une marge brute élevée de 76,21% et une marge opérationnelle de 17,23%. En tant qu'entreprise industrielle, SLBC présente un BFR de 61 587 Mds FCFA (positif, donc à surveiller), avec un délai client de 64,27 jours (risque de trésorerie modéré) et un délai fournisseur de 76,82 jours (favorable à la trésorerie). La structure financière est saine : autonomie financière de 57,48%, ratio d'endettement de 42,52%, et capacité de remboursement de 0,67 an (très confortable). La trésorerie nette est positive à 22 117 Mds FCFA, et la couverture des intérêts atteint 3 374,68%, éliminant tout risque financier à court terme. Sur la base du rapport T1 2026 (publié en 2026), le chiffre d'affaires progresse de +7,6% à 93,46 Mds FCFA avec un résultat net de 16,26 Mds FCFA (+4,8%), ce qui, annualisé, suggère un exercice 2026 estimé autour de 380-390 Mds FCFA de CA et 60-65 Mds FCFA de résultat net, confirmant la soutenabilité de la dynamique. La politique de dividende est très généreuse : 2 127 FCFA/action proposés (soit 35,01 Mds FCFA, payout de 76,5%), offrant un rendement attractif de ~5,6% au cours actuel. La recommandation fondamentale est **ACHAT**, portée par des fondamentaux solides, une croissance rentable et une générosité actionnariale exceptionnelle.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mais globalement favorable. La valorisation (Partie 0) est raisonnable avec un PER de 13,6x et un EV/EBITDA de 7,4x, bien que le P/B de 3,19x intègre une prime de croissance justifiée par un ROE de 23,46%. Le comportement du cours (Partie 1) est haussier sur 100 jours (+6,36%) avec une volatilité modérée (25,8%) et une distribution leptokurtique (risque de pics), mais le skewness positif suggère une pression vendeuse résiduelle. Les signaux techniques (Partie 2) sont divergents : le MACD est haussier, mais les moyennes mobiles, le RSI en surachat (72) et le stochastique baissier plaident pour une consolidation à court terme. Les fondamentaux (Partie 3) sont exceptionnels : croissance du CA de +22%, résultat net multiplié par 2,3, ROE de 23,46%, trésorerie nette positive et dividende généreux (rendement ~5,6%). Les prédictions IA (J+1 à J+10) anticipent une trajectoire haussière vers 39 760 FCFA (+5,2% depuis le cours actuel), ce qui contredit le signal de vente à court terme du RSI mais confirme la dynamique fondamentale. **Recommandation finale : ACHAT**, avec un niveau de confiance **Moyen** (les signaux techniques à court terme étant mitigés) et un niveau de risque **Faible** (bilan solide, trésorerie nette positive, endettement maîtrisé). L'horizon optimal est le **moyen terme (3-12 mois)**, le temps que la consolidation technique s'achève et que les fondamentaux exceptionnels de 2025 se confirment en 2026, avec un potentiel de rendement total (dividende + appréciation) estimé à 10-15%.</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114.67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1,628 titres</w:t>
            </w:r>
          </w:p>
        </w:tc>
        <w:tc>
          <w:tcPr>
            <w:tcW w:type="dxa" w:w="2268"/>
            <w:shd w:fill="FFF2CC" w:val="clear"/>
          </w:tcPr>
          <w:p>
            <w:r>
              <w:rPr>
                <w:b/>
                <w:color w:val="503200"/>
                <w:sz w:val="16"/>
              </w:rPr>
              <w:t xml:space="preserve">Cours actuel : </w:t>
            </w:r>
            <w:r>
              <w:rPr>
                <w:color w:val="000000"/>
                <w:sz w:val="17"/>
              </w:rPr>
              <w:t>14,710 FCFA</w:t>
            </w:r>
          </w:p>
          <w:p>
            <w:r>
              <w:rPr>
                <w:b/>
                <w:color w:val="503200"/>
                <w:sz w:val="16"/>
              </w:rPr>
              <w:t xml:space="preserve">Var. 100 jours : </w:t>
            </w:r>
            <w:r>
              <w:rPr>
                <w:b/>
                <w:color w:val="007800"/>
                <w:sz w:val="17"/>
              </w:rPr>
              <w:t>+25.73%</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11.87% (Moyenne) — μ=15,701 FCFA, σ=1,863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β=-0.1655 (Contre-cyclique) — Cov=-0.000007, Var(idx)=0.000045, ρ=-0.045,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84/100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2026-09-25</w:t>
            </w:r>
          </w:p>
        </w:tc>
        <w:tc>
          <w:tcPr>
            <w:tcW w:type="dxa" w:w="1440"/>
            <w:shd w:fill="C6EFCE" w:val="clear"/>
          </w:tcPr>
          <w:p>
            <w:r>
              <w:rPr>
                <w:sz w:val="17"/>
              </w:rPr>
              <w:t>14,557</w:t>
            </w:r>
          </w:p>
        </w:tc>
        <w:tc>
          <w:tcPr>
            <w:tcW w:type="dxa" w:w="1440"/>
            <w:shd w:fill="C6EFCE" w:val="clear"/>
          </w:tcPr>
          <w:p>
            <w:r>
              <w:rPr>
                <w:b/>
                <w:sz w:val="17"/>
              </w:rPr>
              <w:t>15,097</w:t>
            </w:r>
          </w:p>
        </w:tc>
        <w:tc>
          <w:tcPr>
            <w:tcW w:type="dxa" w:w="1440"/>
            <w:shd w:fill="C6EFCE" w:val="clear"/>
          </w:tcPr>
          <w:p>
            <w:r>
              <w:rPr>
                <w:sz w:val="17"/>
              </w:rPr>
              <w:t>15,637</w:t>
            </w:r>
          </w:p>
        </w:tc>
        <w:tc>
          <w:tcPr>
            <w:tcW w:type="dxa" w:w="1440"/>
            <w:shd w:fill="C6EFCE" w:val="clear"/>
          </w:tcPr>
          <w:p>
            <w:r>
              <w:rPr>
                <w:b/>
                <w:color w:val="008000"/>
                <w:sz w:val="17"/>
              </w:rPr>
              <w:t>+2.6%</w:t>
            </w:r>
          </w:p>
        </w:tc>
      </w:tr>
      <w:tr>
        <w:tc>
          <w:tcPr>
            <w:tcW w:type="dxa" w:w="1440"/>
            <w:shd w:fill="C6EFCE" w:val="clear"/>
          </w:tcPr>
          <w:p>
            <w:r>
              <w:rPr>
                <w:sz w:val="17"/>
              </w:rPr>
              <w:t>J+2  ⭐</w:t>
            </w:r>
          </w:p>
        </w:tc>
        <w:tc>
          <w:tcPr>
            <w:tcW w:type="dxa" w:w="1440"/>
            <w:shd w:fill="C6EFCE" w:val="clear"/>
          </w:tcPr>
          <w:p>
            <w:r>
              <w:rPr>
                <w:sz w:val="17"/>
              </w:rPr>
              <w:t>2026-09-28</w:t>
            </w:r>
          </w:p>
        </w:tc>
        <w:tc>
          <w:tcPr>
            <w:tcW w:type="dxa" w:w="1440"/>
            <w:shd w:fill="C6EFCE" w:val="clear"/>
          </w:tcPr>
          <w:p>
            <w:r>
              <w:rPr>
                <w:sz w:val="17"/>
              </w:rPr>
              <w:t>14,319</w:t>
            </w:r>
          </w:p>
        </w:tc>
        <w:tc>
          <w:tcPr>
            <w:tcW w:type="dxa" w:w="1440"/>
            <w:shd w:fill="C6EFCE" w:val="clear"/>
          </w:tcPr>
          <w:p>
            <w:r>
              <w:rPr>
                <w:b/>
                <w:sz w:val="17"/>
              </w:rPr>
              <w:t>15,082</w:t>
            </w:r>
          </w:p>
        </w:tc>
        <w:tc>
          <w:tcPr>
            <w:tcW w:type="dxa" w:w="1440"/>
            <w:shd w:fill="C6EFCE" w:val="clear"/>
          </w:tcPr>
          <w:p>
            <w:r>
              <w:rPr>
                <w:sz w:val="17"/>
              </w:rPr>
              <w:t>15,845</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14,170</w:t>
            </w:r>
          </w:p>
        </w:tc>
        <w:tc>
          <w:tcPr>
            <w:tcW w:type="dxa" w:w="1440"/>
            <w:shd w:fill="C6EFCE" w:val="clear"/>
          </w:tcPr>
          <w:p>
            <w:r>
              <w:rPr>
                <w:b/>
                <w:sz w:val="17"/>
              </w:rPr>
              <w:t>15,106</w:t>
            </w:r>
          </w:p>
        </w:tc>
        <w:tc>
          <w:tcPr>
            <w:tcW w:type="dxa" w:w="1440"/>
            <w:shd w:fill="C6EFCE" w:val="clear"/>
          </w:tcPr>
          <w:p>
            <w:r>
              <w:rPr>
                <w:sz w:val="17"/>
              </w:rPr>
              <w:t>16,042</w:t>
            </w:r>
          </w:p>
        </w:tc>
        <w:tc>
          <w:tcPr>
            <w:tcW w:type="dxa" w:w="1440"/>
            <w:shd w:fill="C6EFCE" w:val="clear"/>
          </w:tcPr>
          <w:p>
            <w:r>
              <w:rPr>
                <w:b/>
                <w:color w:val="008000"/>
                <w:sz w:val="17"/>
              </w:rPr>
              <w:t>+2.7%</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14,033</w:t>
            </w:r>
          </w:p>
        </w:tc>
        <w:tc>
          <w:tcPr>
            <w:tcW w:type="dxa" w:w="1440"/>
            <w:shd w:fill="C6EFCE" w:val="clear"/>
          </w:tcPr>
          <w:p>
            <w:r>
              <w:rPr>
                <w:b/>
                <w:sz w:val="17"/>
              </w:rPr>
              <w:t>15,114</w:t>
            </w:r>
          </w:p>
        </w:tc>
        <w:tc>
          <w:tcPr>
            <w:tcW w:type="dxa" w:w="1440"/>
            <w:shd w:fill="C6EFCE" w:val="clear"/>
          </w:tcPr>
          <w:p>
            <w:r>
              <w:rPr>
                <w:sz w:val="17"/>
              </w:rPr>
              <w:t>16,195</w:t>
            </w:r>
          </w:p>
        </w:tc>
        <w:tc>
          <w:tcPr>
            <w:tcW w:type="dxa" w:w="1440"/>
            <w:shd w:fill="C6EFCE" w:val="clear"/>
          </w:tcPr>
          <w:p>
            <w:r>
              <w:rPr>
                <w:b/>
                <w:color w:val="008000"/>
                <w:sz w:val="17"/>
              </w:rPr>
              <w:t>+2.7%</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13,906</w:t>
            </w:r>
          </w:p>
        </w:tc>
        <w:tc>
          <w:tcPr>
            <w:tcW w:type="dxa" w:w="1440"/>
            <w:shd w:fill="C6EFCE" w:val="clear"/>
          </w:tcPr>
          <w:p>
            <w:r>
              <w:rPr>
                <w:b/>
                <w:sz w:val="17"/>
              </w:rPr>
              <w:t>15,115</w:t>
            </w:r>
          </w:p>
        </w:tc>
        <w:tc>
          <w:tcPr>
            <w:tcW w:type="dxa" w:w="1440"/>
            <w:shd w:fill="C6EFCE" w:val="clear"/>
          </w:tcPr>
          <w:p>
            <w:r>
              <w:rPr>
                <w:sz w:val="17"/>
              </w:rPr>
              <w:t>16,324</w:t>
            </w:r>
          </w:p>
        </w:tc>
        <w:tc>
          <w:tcPr>
            <w:tcW w:type="dxa" w:w="1440"/>
            <w:shd w:fill="C6EFCE" w:val="clear"/>
          </w:tcPr>
          <w:p>
            <w:r>
              <w:rPr>
                <w:b/>
                <w:color w:val="008000"/>
                <w:sz w:val="17"/>
              </w:rPr>
              <w:t>+2.8%</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13,791</w:t>
            </w:r>
          </w:p>
        </w:tc>
        <w:tc>
          <w:tcPr>
            <w:tcW w:type="dxa" w:w="1440"/>
            <w:shd w:fill="C6EFCE" w:val="clear"/>
          </w:tcPr>
          <w:p>
            <w:r>
              <w:rPr>
                <w:b/>
                <w:sz w:val="17"/>
              </w:rPr>
              <w:t>15,115</w:t>
            </w:r>
          </w:p>
        </w:tc>
        <w:tc>
          <w:tcPr>
            <w:tcW w:type="dxa" w:w="1440"/>
            <w:shd w:fill="C6EFCE" w:val="clear"/>
          </w:tcPr>
          <w:p>
            <w:r>
              <w:rPr>
                <w:sz w:val="17"/>
              </w:rPr>
              <w:t>16,439</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13,684</w:t>
            </w:r>
          </w:p>
        </w:tc>
        <w:tc>
          <w:tcPr>
            <w:tcW w:type="dxa" w:w="1440"/>
            <w:shd w:fill="C6EFCE" w:val="clear"/>
          </w:tcPr>
          <w:p>
            <w:r>
              <w:rPr>
                <w:b/>
                <w:sz w:val="17"/>
              </w:rPr>
              <w:t>15,115</w:t>
            </w:r>
          </w:p>
        </w:tc>
        <w:tc>
          <w:tcPr>
            <w:tcW w:type="dxa" w:w="1440"/>
            <w:shd w:fill="C6EFCE" w:val="clear"/>
          </w:tcPr>
          <w:p>
            <w:r>
              <w:rPr>
                <w:sz w:val="17"/>
              </w:rPr>
              <w:t>16,545</w:t>
            </w:r>
          </w:p>
        </w:tc>
        <w:tc>
          <w:tcPr>
            <w:tcW w:type="dxa" w:w="1440"/>
            <w:shd w:fill="C6EFCE" w:val="clear"/>
          </w:tcPr>
          <w:p>
            <w:r>
              <w:rPr>
                <w:b/>
                <w:color w:val="008000"/>
                <w:sz w:val="17"/>
              </w:rPr>
              <w:t>+2.8%</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13,585</w:t>
            </w:r>
          </w:p>
        </w:tc>
        <w:tc>
          <w:tcPr>
            <w:tcW w:type="dxa" w:w="1440"/>
            <w:shd w:fill="C6EFCE" w:val="clear"/>
          </w:tcPr>
          <w:p>
            <w:r>
              <w:rPr>
                <w:b/>
                <w:sz w:val="17"/>
              </w:rPr>
              <w:t>15,114</w:t>
            </w:r>
          </w:p>
        </w:tc>
        <w:tc>
          <w:tcPr>
            <w:tcW w:type="dxa" w:w="1440"/>
            <w:shd w:fill="C6EFCE" w:val="clear"/>
          </w:tcPr>
          <w:p>
            <w:r>
              <w:rPr>
                <w:sz w:val="17"/>
              </w:rPr>
              <w:t>16,643</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13,491</w:t>
            </w:r>
          </w:p>
        </w:tc>
        <w:tc>
          <w:tcPr>
            <w:tcW w:type="dxa" w:w="1440"/>
            <w:shd w:fill="C6EFCE" w:val="clear"/>
          </w:tcPr>
          <w:p>
            <w:r>
              <w:rPr>
                <w:b/>
                <w:sz w:val="17"/>
              </w:rPr>
              <w:t>15,113</w:t>
            </w:r>
          </w:p>
        </w:tc>
        <w:tc>
          <w:tcPr>
            <w:tcW w:type="dxa" w:w="1440"/>
            <w:shd w:fill="C6EFCE" w:val="clear"/>
          </w:tcPr>
          <w:p>
            <w:r>
              <w:rPr>
                <w:sz w:val="17"/>
              </w:rPr>
              <w:t>16,735</w:t>
            </w:r>
          </w:p>
        </w:tc>
        <w:tc>
          <w:tcPr>
            <w:tcW w:type="dxa" w:w="1440"/>
            <w:shd w:fill="C6EFCE" w:val="clear"/>
          </w:tcPr>
          <w:p>
            <w:r>
              <w:rPr>
                <w:b/>
                <w:color w:val="008000"/>
                <w:sz w:val="17"/>
              </w:rPr>
              <w:t>+2.7%</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13,403</w:t>
            </w:r>
          </w:p>
        </w:tc>
        <w:tc>
          <w:tcPr>
            <w:tcW w:type="dxa" w:w="1440"/>
            <w:shd w:fill="C6EFCE" w:val="clear"/>
          </w:tcPr>
          <w:p>
            <w:r>
              <w:rPr>
                <w:b/>
                <w:sz w:val="17"/>
              </w:rPr>
              <w:t>15,112</w:t>
            </w:r>
          </w:p>
        </w:tc>
        <w:tc>
          <w:tcPr>
            <w:tcW w:type="dxa" w:w="1440"/>
            <w:shd w:fill="C6EFCE" w:val="clear"/>
          </w:tcPr>
          <w:p>
            <w:r>
              <w:rPr>
                <w:sz w:val="17"/>
              </w:rPr>
              <w:t>16,822</w:t>
            </w:r>
          </w:p>
        </w:tc>
        <w:tc>
          <w:tcPr>
            <w:tcW w:type="dxa" w:w="1440"/>
            <w:shd w:fill="C6EFCE" w:val="clear"/>
          </w:tcPr>
          <w:p>
            <w:r>
              <w:rPr>
                <w:b/>
                <w:color w:val="008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industrielle (bitumes/pétrochimie)*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114,67 Mds FCFA, SMBC se situe dans la catégorie des valeurs moyennes de la BRVM, ce qui traduit une liquidité limitée mais une certaine stabilité institutionnelle. Le BPA de 1 677 FCFA/action signifie que chaque titre génère près de 1 677 FCFA de bénéfice net, un niveau confortable au regard du cours actuel de 14 710 FCFA. Le PER de 8,8x est nettement inférieur à la moyenne BRVM (8-12x), ce qui suggère une potentielle sous-évaluation du titre par le marché, d'autant que le P/B de 2,67x indique que les investisseurs accordent une prime de croissance (2-4x) sur la valeur comptable, cohérente avec un ROE élevé de 30,5%. Enfin, l'EV/EBITDA de 5,4x (fourchette raisonnable 5-10x) montre que la valeur d'entreprise reste modérée par rapport à la capacité opérationnelle dégagée, renforçant l'hypothèse d'une valorisation attractive.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SMBC affiche une progression totale de +25,73%, avec une dernière séance stable (+0,00%), confirmant une dynamique haussière de fond malgré une pause récente. Le titre a évolué dans un range large de 11 500 FCFA (plus bas) à 18 500 FCFA (plus haut), soit un écart de 7 000 FCFA qui témoigne d'une forte amplitude de trading. Le cours actuel de 14 710 FCFA se situe en dessous de la moyenne (15 701 FCFA) et de la médiane (16 272 FCFA), ce qui révèle une distribution asymétrique : l'écart moyenne/médiane et le skewness négatif (-0,831) indiquent que le titre a passé plus de journées au-dessus de la moyenne, mais que la correction récente tire le cours vers le bas. L'écart-type de 1 873 FCFA (CV = 11,9%) traduit une dispersion modérée, tandis que le kurtosis de -0,431 (mésokurtique) suggère une distribution proche de la normale, sans risque extrême de pics. La volatilité annualisée de 40,1% classe SMBC dans la catégorie des titres à volatilité élevée (&gt;30%), ce qui implique un risque de marché significatif mais aussi des opportunités de trading.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(17 199,5 FCFA) et la MM50 (16 634,1 FCFA) se situent toutes deux au-dessus du cours actuel (14 710 FCFA), ce qui place le titre en zone de correction sous ses moyennes. Toutefois, la MM20 reste supérieure à la MM50, signalant que la tendance de fond demeure haussière. La décision technique affichée est "Achat", probablement en anticipation d'un rebond vers ces niveaux de résistance.</w:t>
      </w:r>
    </w:p>
    <w:p>
      <w:pPr>
        <w:spacing w:after="120" w:line="276" w:lineRule="auto"/>
      </w:pPr>
      <w:r>
        <w:t>**Bandes de Bollinger** : Le cours (14 710 FCFA) évolue sous la borne inférieure (15 061,4 FCFA), ce qui constitue un signal de survente extrême et une opportunité d'achat contrariant. La largeur des bandes (borne supérieure à 19 337,6 FCFA) reflète une volatilité élevée, et la décision "Achat" est cohérente avec un retour probable vers la moyenne mobile des bandes.</w:t>
      </w:r>
    </w:p>
    <w:p>
      <w:pPr>
        <w:spacing w:after="120" w:line="276" w:lineRule="auto"/>
      </w:pPr>
      <w:r>
        <w:t>**MACD** : La valeur du MACD (-331,77) est inférieure à son signal (72,66), générant une divergence baissière qui traduit un momentum négatif à court terme. La décision "Vente" signale que la pression vendeuse reste dominante, mais l'écart important entre les deux lignes pourrait annoncer un retournement prochain si le cours se stabilise.</w:t>
      </w:r>
    </w:p>
    <w:p>
      <w:pPr>
        <w:spacing w:after="120" w:line="276" w:lineRule="auto"/>
      </w:pPr>
      <w:r>
        <w:t>**RSI** : À 22,91, le RSI est en zone de survente sévère (&lt;30), ce qui indique que le titre a été massivement vendu et qu'un rebond technique est probable. La décision "Achat" est justifiée par cette configuration de survente, bien que la prudence reste de mise tant que le RSI ne repasse pas au-dessus de 30.</w:t>
      </w:r>
    </w:p>
    <w:p>
      <w:pPr>
        <w:spacing w:after="120" w:line="276" w:lineRule="auto"/>
      </w:pPr>
      <w:r>
        <w:t>**Stochastique** : Le %K et le %D sont tous deux à 0,0, ce qui représente une situation de survente extrême, rarement observée. La décision "Achat" est cohérente avec un possible croisement haussier à venir, mais l'absence de signal de retournement immédiat invite à attendre une confirmation.</w:t>
      </w:r>
    </w:p>
    <w:p>
      <w:pPr>
        <w:spacing w:after="120" w:line="276" w:lineRule="auto"/>
      </w:pPr>
      <w:r>
        <w:t>**Conclusion technique** : Les indicateurs présentent une divergence notable : les oscillateurs (RSI, Stochastique, Bollinger) plaident pour un rebond imminent en zone de survente, tandis que le MACD et la position sous les moyennes mobiles confirment une pression baissière à court terme. Cette configuration suggère un point d'entrée potentiel pour les investisseurs contrariants, mais nécessite une confirmation par un retour du cours au-dessus de 15 000 FCFA et un croisement haussier du MACD.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SMBC affiche un chiffre d'affaires de 206,74 Mds FCFA, en baisse de -9,74% par rapport à 2024 (229,06 Mds FCFA), reflétant un environnement de marché difficile. Malgré cette contraction, le résultat net progresse spectaculairement de +50,3% à 13,075 Mds FCFA, porté par une amélioration de la marge nette (6,32% contre 3,8% en 2024) et un EBE en hausse de +41,8% à 18,48 Mds FCFA. Le ROE atteint 30,47% (excellent, &gt;15%) et le ROA 7,26%, confirmant une rentabilité des fonds propres remarquable. La structure financière reste solide avec des capitaux propres de 42,91 Mds FCFA (+21,6%) et une trésorerie nette positive de 23,99 Mds FCFA, bien que le BFR de 1,693 Md FCFA et les délais clients élevés (193,75 jours) constituent un risque de trésorerie à surveiller. Le ratio d'endettement de 76,16% et la dépendance financière de 21,45% restent modérés, avec une capacité de remboursement de 0,68 an (très favorable).</w:t>
      </w:r>
    </w:p>
    <w:p>
      <w:pPr>
        <w:spacing w:after="120" w:line="276" w:lineRule="auto"/>
      </w:pPr>
      <w:r>
        <w:t>**Estimations basées sur les rapports trimestriels** : Le rapport T3 2025 (cumul 9M, publié le 30/09/2025) indique un CA de 155,2 Mds FCFA (-14% sur un an) et un résultat net de 5,7 Mds FCFA (+6%), avec une marge opérationnelle en hausse à 5,4% (contre 4,0% aux 9M 2024). Le rapport S1 2025 (publié le 30/06/2025) faisait état d'un CA de 101,9 Mds FCFA (-23%) et d'un résultat net de 3,9 Mds FCFA (-7%), avec une marge nette de 3,9%. Ces données trimestrielles, bien qu'antérieures à la clôture annuelle, confirment la tendance à l'amélioration de la rentabilité malgré la baisse des volumes. Sur la base de ces rapports, on peut estimer que l'exercice 2026 devrait bénéficier de la poursuite de la demande locale (chantiers routiers ivoiriens) et d'un redressement des exportations vers le Nigeria, le Ghana, le Burkina Faso et le Mali, sous réserve de la volatilité des prix du Brent et des aléas climatiques.</w:t>
      </w:r>
    </w:p>
    <w:p>
      <w:pPr>
        <w:spacing w:after="120" w:line="276" w:lineRule="auto"/>
      </w:pPr>
      <w:r>
        <w:t>**Recommandation fondamentale** : SMBC présente une solidité financière remarquable (ROE 30,5%, trésorerie nette positive, endettement maîtrisé) et une capacité à améliorer ses marges dans un contexte de baisse du CA. Les risques principaux résident dans la dépendance aux cycles d'investissement public, la volatilité des matières premières et le niveau élevé des créances clients. La recommandation fondamentale est **CONSERVER** avec un biais haussier, en attendant la confirmation d'une reprise durable du chiffre d'affaires.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configuration contrastée mais globalement favorable. **Valorisation (Partie 0)** : le PER de 8,8x et l'EV/EBITDA de 5,4x indiquent une sous-évaluation relative par rapport aux moyennes du marché, tandis que le P/B de 2,67x reflète une prime de croissance justifiée par le ROE de 30,5%. **Comportement du cours (Partie 1)** : la tendance haussière de +25,73% sur 100 jours est tempérée par une correction récente, avec une volatilité élevée (40,1%) et une asymétrie négative (skewness -0,831) qui suggèrent un potentiel de rebond. **Signaux techniques (Partie 2)** : les oscillateurs (RSI 22,9, Stochastique 0,0, Bollinger sous la borne inférieure) plaident pour un rebond imminent, mais le MACD baissier et la position sous les moyennes mobiles appellent à la prudence. **Fondamentaux (Partie 3)** : la société affiche une rentabilité exceptionnelle (ROE 30,5%, marge nette 6,3%) et une trésorerie solide, malgré un CA en baisse de -9,7% en 2025. **Prédictions IA (J+1 à J+10)** : la trajectoire projetée (15 097 FCFA à 15 115 FCFA) est haussière et confirme un rebond progressif vers la zone des 15 000 FCFA, en ligne avec les signaux de survente.</w:t>
      </w:r>
    </w:p>
    <w:p>
      <w:pPr>
        <w:spacing w:after="120" w:line="276" w:lineRule="auto"/>
      </w:pPr>
      <w:r>
        <w:t>**Recommandation finale : ACHAT** — La convergence entre la sous-évaluation (PER 8,8x), les signaux techniques de survente (RSI 22,9, Stochastique 0,0) et la solidité fondamentale (ROE 30,5%, trésorerie nette positive) justifie une position acheteuse. Les prédictions IA confirment un rebond à court terme vers 15 100 FCFA. **Niveau de confiance : Moyen** (en raison de la divergence MACD et de la baisse du CA). **Niveau de risque : Moyen** (volatilité élevée mais fondamentaux solides). **Horizon d'investissement optimal : Moyen terme (3-12 mois)**, le temps que la reprise du chiffre d'affaires se matérialise et que les marges se consolident.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4189.00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11,499 titres</w:t>
            </w:r>
          </w:p>
        </w:tc>
        <w:tc>
          <w:tcPr>
            <w:tcW w:type="dxa" w:w="2268"/>
            <w:shd w:fill="FFF2CC" w:val="clear"/>
          </w:tcPr>
          <w:p>
            <w:r>
              <w:rPr>
                <w:b/>
                <w:color w:val="503200"/>
                <w:sz w:val="16"/>
              </w:rPr>
              <w:t xml:space="preserve">Cours actuel : </w:t>
            </w:r>
            <w:r>
              <w:rPr>
                <w:color w:val="000000"/>
                <w:sz w:val="17"/>
              </w:rPr>
              <w:t>41,890 FCFA</w:t>
            </w:r>
          </w:p>
          <w:p>
            <w:r>
              <w:rPr>
                <w:b/>
                <w:color w:val="503200"/>
                <w:sz w:val="16"/>
              </w:rPr>
              <w:t xml:space="preserve">Var. 100 jours : </w:t>
            </w:r>
            <w:r>
              <w:rPr>
                <w:b/>
                <w:color w:val="007800"/>
                <w:sz w:val="17"/>
              </w:rPr>
              <w:t>+45.96%</w:t>
            </w:r>
          </w:p>
          <w:p>
            <w:r>
              <w:rPr>
                <w:b/>
                <w:color w:val="503200"/>
                <w:sz w:val="16"/>
              </w:rPr>
              <w:t xml:space="preserve">Plus haut 100j : </w:t>
            </w:r>
            <w:r>
              <w:rPr>
                <w:color w:val="000000"/>
                <w:sz w:val="17"/>
              </w:rPr>
              <w:t>42,190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12.88% (Moyenne) — μ=32,019 FCFA, σ=4,125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β=1.6169 (Agressif) — Cov=0.000072, Var(idx)=0.000045, ρ=0.528,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11,499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2026-09-25</w:t>
            </w:r>
          </w:p>
        </w:tc>
        <w:tc>
          <w:tcPr>
            <w:tcW w:type="dxa" w:w="1440"/>
            <w:shd w:fill="FFDCE0" w:val="clear"/>
          </w:tcPr>
          <w:p>
            <w:r>
              <w:rPr>
                <w:sz w:val="17"/>
              </w:rPr>
              <w:t>39,142</w:t>
            </w:r>
          </w:p>
        </w:tc>
        <w:tc>
          <w:tcPr>
            <w:tcW w:type="dxa" w:w="1440"/>
            <w:shd w:fill="FFDCE0" w:val="clear"/>
          </w:tcPr>
          <w:p>
            <w:r>
              <w:rPr>
                <w:b/>
                <w:sz w:val="17"/>
              </w:rPr>
              <w:t>40,875</w:t>
            </w:r>
          </w:p>
        </w:tc>
        <w:tc>
          <w:tcPr>
            <w:tcW w:type="dxa" w:w="1440"/>
            <w:shd w:fill="FFDCE0" w:val="clear"/>
          </w:tcPr>
          <w:p>
            <w:r>
              <w:rPr>
                <w:sz w:val="17"/>
              </w:rPr>
              <w:t>42,608</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2026-09-28</w:t>
            </w:r>
          </w:p>
        </w:tc>
        <w:tc>
          <w:tcPr>
            <w:tcW w:type="dxa" w:w="1440"/>
            <w:shd w:fill="FFDCE0" w:val="clear"/>
          </w:tcPr>
          <w:p>
            <w:r>
              <w:rPr>
                <w:sz w:val="17"/>
              </w:rPr>
              <w:t>38,378</w:t>
            </w:r>
          </w:p>
        </w:tc>
        <w:tc>
          <w:tcPr>
            <w:tcW w:type="dxa" w:w="1440"/>
            <w:shd w:fill="FFDCE0" w:val="clear"/>
          </w:tcPr>
          <w:p>
            <w:r>
              <w:rPr>
                <w:b/>
                <w:sz w:val="17"/>
              </w:rPr>
              <w:t>40,826</w:t>
            </w:r>
          </w:p>
        </w:tc>
        <w:tc>
          <w:tcPr>
            <w:tcW w:type="dxa" w:w="1440"/>
            <w:shd w:fill="FFDCE0" w:val="clear"/>
          </w:tcPr>
          <w:p>
            <w:r>
              <w:rPr>
                <w:sz w:val="17"/>
              </w:rPr>
              <w:t>43,274</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2026-09-29</w:t>
            </w:r>
          </w:p>
        </w:tc>
        <w:tc>
          <w:tcPr>
            <w:tcW w:type="dxa" w:w="1440"/>
            <w:shd w:fill="FFDCE0" w:val="clear"/>
          </w:tcPr>
          <w:p>
            <w:r>
              <w:rPr>
                <w:sz w:val="17"/>
              </w:rPr>
              <w:t>37,740</w:t>
            </w:r>
          </w:p>
        </w:tc>
        <w:tc>
          <w:tcPr>
            <w:tcW w:type="dxa" w:w="1440"/>
            <w:shd w:fill="FFDCE0" w:val="clear"/>
          </w:tcPr>
          <w:p>
            <w:r>
              <w:rPr>
                <w:b/>
                <w:sz w:val="17"/>
              </w:rPr>
              <w:t>40,731</w:t>
            </w:r>
          </w:p>
        </w:tc>
        <w:tc>
          <w:tcPr>
            <w:tcW w:type="dxa" w:w="1440"/>
            <w:shd w:fill="FFDCE0" w:val="clear"/>
          </w:tcPr>
          <w:p>
            <w:r>
              <w:rPr>
                <w:sz w:val="17"/>
              </w:rPr>
              <w:t>43,722</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37,200</w:t>
            </w:r>
          </w:p>
        </w:tc>
        <w:tc>
          <w:tcPr>
            <w:tcW w:type="dxa" w:w="1440"/>
            <w:shd w:fill="FFDCE0" w:val="clear"/>
          </w:tcPr>
          <w:p>
            <w:r>
              <w:rPr>
                <w:b/>
                <w:sz w:val="17"/>
              </w:rPr>
              <w:t>40,648</w:t>
            </w:r>
          </w:p>
        </w:tc>
        <w:tc>
          <w:tcPr>
            <w:tcW w:type="dxa" w:w="1440"/>
            <w:shd w:fill="FFDCE0" w:val="clear"/>
          </w:tcPr>
          <w:p>
            <w:r>
              <w:rPr>
                <w:sz w:val="17"/>
              </w:rPr>
              <w:t>44,095</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36,731</w:t>
            </w:r>
          </w:p>
        </w:tc>
        <w:tc>
          <w:tcPr>
            <w:tcW w:type="dxa" w:w="1440"/>
            <w:shd w:fill="FFDCE0" w:val="clear"/>
          </w:tcPr>
          <w:p>
            <w:r>
              <w:rPr>
                <w:b/>
                <w:sz w:val="17"/>
              </w:rPr>
              <w:t>40,578</w:t>
            </w:r>
          </w:p>
        </w:tc>
        <w:tc>
          <w:tcPr>
            <w:tcW w:type="dxa" w:w="1440"/>
            <w:shd w:fill="FFDCE0" w:val="clear"/>
          </w:tcPr>
          <w:p>
            <w:r>
              <w:rPr>
                <w:sz w:val="17"/>
              </w:rPr>
              <w:t>44,426</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36,309</w:t>
            </w:r>
          </w:p>
        </w:tc>
        <w:tc>
          <w:tcPr>
            <w:tcW w:type="dxa" w:w="1440"/>
            <w:shd w:fill="FFDCE0" w:val="clear"/>
          </w:tcPr>
          <w:p>
            <w:r>
              <w:rPr>
                <w:b/>
                <w:sz w:val="17"/>
              </w:rPr>
              <w:t>40,517</w:t>
            </w:r>
          </w:p>
        </w:tc>
        <w:tc>
          <w:tcPr>
            <w:tcW w:type="dxa" w:w="1440"/>
            <w:shd w:fill="FFDCE0" w:val="clear"/>
          </w:tcPr>
          <w:p>
            <w:r>
              <w:rPr>
                <w:sz w:val="17"/>
              </w:rPr>
              <w:t>44,725</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35,920</w:t>
            </w:r>
          </w:p>
        </w:tc>
        <w:tc>
          <w:tcPr>
            <w:tcW w:type="dxa" w:w="1440"/>
            <w:shd w:fill="FFDCE0" w:val="clear"/>
          </w:tcPr>
          <w:p>
            <w:r>
              <w:rPr>
                <w:b/>
                <w:sz w:val="17"/>
              </w:rPr>
              <w:t>40,459</w:t>
            </w:r>
          </w:p>
        </w:tc>
        <w:tc>
          <w:tcPr>
            <w:tcW w:type="dxa" w:w="1440"/>
            <w:shd w:fill="FFDCE0" w:val="clear"/>
          </w:tcPr>
          <w:p>
            <w:r>
              <w:rPr>
                <w:sz w:val="17"/>
              </w:rPr>
              <w:t>44,998</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35,559</w:t>
            </w:r>
          </w:p>
        </w:tc>
        <w:tc>
          <w:tcPr>
            <w:tcW w:type="dxa" w:w="1440"/>
            <w:shd w:fill="FFDCE0" w:val="clear"/>
          </w:tcPr>
          <w:p>
            <w:r>
              <w:rPr>
                <w:b/>
                <w:sz w:val="17"/>
              </w:rPr>
              <w:t>40,404</w:t>
            </w:r>
          </w:p>
        </w:tc>
        <w:tc>
          <w:tcPr>
            <w:tcW w:type="dxa" w:w="1440"/>
            <w:shd w:fill="FFDCE0" w:val="clear"/>
          </w:tcPr>
          <w:p>
            <w:r>
              <w:rPr>
                <w:sz w:val="17"/>
              </w:rPr>
              <w:t>45,250</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35,218</w:t>
            </w:r>
          </w:p>
        </w:tc>
        <w:tc>
          <w:tcPr>
            <w:tcW w:type="dxa" w:w="1440"/>
            <w:shd w:fill="FFDCE0" w:val="clear"/>
          </w:tcPr>
          <w:p>
            <w:r>
              <w:rPr>
                <w:b/>
                <w:sz w:val="17"/>
              </w:rPr>
              <w:t>40,351</w:t>
            </w:r>
          </w:p>
        </w:tc>
        <w:tc>
          <w:tcPr>
            <w:tcW w:type="dxa" w:w="1440"/>
            <w:shd w:fill="FFDCE0" w:val="clear"/>
          </w:tcPr>
          <w:p>
            <w:r>
              <w:rPr>
                <w:sz w:val="17"/>
              </w:rPr>
              <w:t>45,484</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34,896</w:t>
            </w:r>
          </w:p>
        </w:tc>
        <w:tc>
          <w:tcPr>
            <w:tcW w:type="dxa" w:w="1440"/>
            <w:shd w:fill="FFDCE0" w:val="clear"/>
          </w:tcPr>
          <w:p>
            <w:r>
              <w:rPr>
                <w:b/>
                <w:sz w:val="17"/>
              </w:rPr>
              <w:t>40,299</w:t>
            </w:r>
          </w:p>
        </w:tc>
        <w:tc>
          <w:tcPr>
            <w:tcW w:type="dxa" w:w="1440"/>
            <w:shd w:fill="FFDCE0" w:val="clear"/>
          </w:tcPr>
          <w:p>
            <w:r>
              <w:rPr>
                <w:sz w:val="17"/>
              </w:rPr>
              <w:t>45,703</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 SÉNÉGAL)**</w:t>
        <w:br/>
        <w:t>*Bourse Régionale des Valeurs Mobilières (BRVM) — Analyse au 25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4 189 milliards FCFA, Sonatel s'impose comme la première capitalisation de la BRVM, poids lourd incontournable de l'indice BRVM Composite. Le BPA de 4 136 FCFA/action signifie que chaque titre génère près de 4 136 FCFA de bénéfice net, ce qui, rapporté au cours actuel de 41 890 FCFA, donne un PER de 10,1x — un niveau modéré et parfaitement dans la fourchette moyenne du marché (8-12x), traduisant une valorisation raisonnable sans prime excessive. Le P/B de 2,99x indique que le marché valorise l'action à environ trois fois sa valeur comptable, une prime de croissance justifiée par la qualité des actifs et la rentabilité structurelle du groupe. Enfin, l'EV/EBITDA de 4,4x, inférieur au seuil de 5x, signale que la valeur d'entreprise reste très bon marché au regard de la capacité opérationnelle de génération de cash-flows — un signal de sous-évaluation relative marqué.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+45,96%, avec une dernière séance en hausse de +2,17%, confirmant un momentum haussier toujours intact. Le cours actuel de 41 890 FCFA évolue à proximité immédiate de son plus haut de période (42 190 FCFA), tandis que le plus bas a été touché à 27 160 FCFA, soit un range de trading de plus de 15 000 FCFA qui illustre l'ampleur du mouvement acheteur. La tendance générale est donc clairement haussière, portée par des publications financières solides et un intérêt croissant pour la valeur. Les statistiques descriptives révèlent une moyenne de 32 019 FCFA nettement supérieure à la médiane et au mode (31 000 FCFA), ce qui traduit une distribution asymétrique avec une concentration des cours sur la partie basse de la période avant l'accélération récente. L'écart-type de 4 146 FCFA (CV de 12,9%) indique une dispersion modérée du cours, tandis que le kurtosis de -0,182 (mésokurtique) suggère une distribution proche de la normale, sans risque majeur de pics extrêmes. Le skewness positif de 1,047 confirme cette asymétrie : davantage de séances ont été passées sous la moyenne, avant le rallye final. La volatilité annualisée de 32,6% positionne le titre dans la catégorie des valeurs à volatilité élevée (&gt;30%), ce qui est cohérent avec un marché frontière comme la BRVM et appelle à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39 226,5 FCFA et la MM50 à 35 102,3 FCFA, toutes deux nettement inférieures au cours actuel de 41 890 FCFA. Cette configuration en « golden cross » (MM20 &gt; MM50) avec cours au-dessus des deux moyennes confirme une dynamique haussière robuste et justifie la décision d'achat.</w:t>
      </w:r>
    </w:p>
    <w:p>
      <w:pPr>
        <w:spacing w:after="120" w:line="276" w:lineRule="auto"/>
      </w:pPr>
      <w:r>
        <w:t>**Bandes de Bollinger** : Le cours (41 890 FCFA) évolue dans la partie haute du canal, proche de la borne supérieure (42 768,7 FCFA) et très éloigné de la borne inférieure (35 684,3 FCFA). Cette position traduit une pression acheteuse soutenue mais approche la zone de surachat technique, justifiant la décision neutre — le titre reste dans le canal sans rupture imminente.</w:t>
      </w:r>
    </w:p>
    <w:p>
      <w:pPr>
        <w:spacing w:after="120" w:line="276" w:lineRule="auto"/>
      </w:pPr>
      <w:r>
        <w:t>**MACD** : La ligne MACD (1 935,3) surpasse son signal (1 866,5), avec un histogramme positif qui confirme un momentum haussier en cours. La divergence positive entre les deux lignes valide la décision d'achat, bien que l'écart relativement faible suggère un essoufflement possible du mouvement.</w:t>
      </w:r>
    </w:p>
    <w:p>
      <w:pPr>
        <w:spacing w:after="120" w:line="276" w:lineRule="auto"/>
      </w:pPr>
      <w:r>
        <w:t>**RSI** : À 72,51, le RSI franchit le seuil de surachat (&gt;70), signalant que le titre a été acheté de manière excessive à court terme et qu'une correction ou consolidation est probable. Cette configuration justifie la décision de vente à court terme, sans remettre en cause la tendance de fond.</w:t>
      </w:r>
    </w:p>
    <w:p>
      <w:pPr>
        <w:spacing w:after="120" w:line="276" w:lineRule="auto"/>
      </w:pPr>
      <w:r>
        <w:t>**Stochastique** : Le %K (91,4) et le %D (84,8) évoluent tous deux en zone de surachat extrême, avec un %K au-dessus du %D. Cette configuration confirme la décision de vente : le momentum acheteur est à son paroxysme et un retournement technique à court terme est probable.</w:t>
      </w:r>
    </w:p>
    <w:p>
      <w:pPr>
        <w:spacing w:after="120" w:line="276" w:lineRule="auto"/>
      </w:pPr>
      <w:r>
        <w:t>**Conclusion technique** : Les indicateurs de tendance (MM, MACD) restent haussiers et confirment la solidité du mouvement de fond, tandis que les oscillateurs (RSI, Stochastique) signalent un surachat marqué à court terme. Cette divergence classique entre tendance et momentum suggère une consolidation imminente ou un repli technique avant une reprise éventuelle. Le titre reste techniquement haussier à moyen terme, mais une prise de profit à court terme est prudente.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Sonatel a réalisé un chiffre d'affaires consolidé de 1 923,1 milliards FCFA, en progression de +8,3% sur un an, porté par la Data mobile (+8,6% de clients), le haut débit fixe (+26,2%) et Orange Money (+2,8% de clients). Le résultat net consolidé s'établit à 413,6 milliards FCFA (+5,1%), avec un résultat net part du groupe de 342,0 milliards FCFA (+4,0%). La rentabilité reste exceptionnelle : le ROE atteint 29,56% (très supérieur au seuil de 15% considéré comme excellent) et le ROA 12,65%, tandis que la marge nette se maintient à 21,5% et la marge opérationnelle à 34,8%. Sur le plan bilanciel, l'autonomie financière de 42,8% est saine, la solvabilité générale de 174,8% confirme la solidité du bilan, et le BFR négatif de -284,9 milliards FCFA constitue un avantage concurrentiel majeur — Sonatel finance son activité par ses fournisseurs (délai fournisseurs de 201 jours) tout en encaissant rapidement ses clients (délai clients de 46 jours). Le ratio d'endettement de 57,2% reste maîtrisé et la capacité de remboursement de 0,64 an est excellente. Concernant les perspectives, le rapport S1 2026 (publié le 24 juillet 2026) révèle un chiffre d'affaires de 1 049,8 milliards FCFA (+9,3%) et un résultat net de 230 milliards FCFA (+10,5%), avec un EBITDAAL de 510,8 milliards FCFA (48,7% du CA) — une accélération par rapport à 2025. La notation financière a été relevée à AAA (wu) par GCR Ratings, et le groupe a obtenu des licences 5G en Guinée-Bissau et Sierra Leone. Sur la base de ces tendances, on estime que l'exercice 2026 devrait afficher un chiffre d'affaires proche de 2 100 milliards FCFA et un résultat net d'environ 450 milliards FCFA, confirmant la trajectoire de croissance rentable. Le dividende proposé de 1 933 FCFA brut (1 740 FCFA net) offre un rendement d'environ 4,15% au cours actuel. Les principaux risques identifiés sont la pression fiscale et réglementaire croissante (nouvelles taxes au Sénégal, Mali, Guinée-Bissau), l'intensification concurrentielle sur la Data et le Mobile Money, et l'instabilité géopolitique dans certains pays de présence. La recommandation fondamentale est donc positive : solidité financière exceptionnelle, croissance soutenue et perspectives favorables, malgré un environnement réglementaire plus contraignant.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à court terme mais solide à moyen et long terme. La valorisation (Partie 0) est attractive : PER de 10,1x dans la moyenne du marché, P/B de 2,99x justifié par la rentabilité, et surtout EV/EBITDA de 4,4x qui signale une sous-évaluation relative marquée. Le comportement du cours (Partie 1) est haussier (+45,96% sur 100 jours) mais la volatilité élevée (32,6%) et le skewness positif (1,047) indiquent que le rallye s'est concentré sur la fin de période, avec un risque de correction. Les signaux techniques (Partie 2) sont divergents : les indicateurs de tendance (MM, MACD) restent haussiers, mais les oscillateurs (RSI à 72,5, Stochastique à 91,4) signalent un surachat extrême qui plaide pour une consolidation à court terme. Les fondamentaux (Partie 3) sont excellents : ROE de 29,6%, BFR négatif, notation AAA, croissance du CA de +9,3% au S1 2026 et dividende attractif de 1 740 FCFA net. Les prédictions IA (J+1 à J+10) anticipent une légère correction vers 40 578 FCFA d'ici le 1er octobre 2026, ce qui confirme la thèse d'une consolidation technique après le rallye, sans remettre en cause la tendance de fond. Sur la base de cette synthèse, la recommandation finale est **CONSERVER** avec un biais acheteur pour les investisseurs déjà positionnés. Le niveau de confiance est **Moyen** — la convergence entre fondamentaux solides et prédiction de consolidation à court terme est cohérente, mais le surachat technique invite à la prudence. Le niveau de risque global est **Moyen** — la solidité financière de Sonatel limite le risque de perte permanente, mais la volatilité élevée et les pressions réglementaires constituent des facteurs de vigilance. L'horizon d'investissement optimal est le **moyen terme (3-12 mois)** , le temps que la consolidation technique s'achève et que la croissance des bénéfices (estimée à +10% en 2026) se matérialise dans le cours.</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167.31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5,324 titres</w:t>
            </w:r>
          </w:p>
        </w:tc>
        <w:tc>
          <w:tcPr>
            <w:tcW w:type="dxa" w:w="2268"/>
            <w:shd w:fill="FFF2CC" w:val="clear"/>
          </w:tcPr>
          <w:p>
            <w:r>
              <w:rPr>
                <w:b/>
                <w:color w:val="503200"/>
                <w:sz w:val="16"/>
              </w:rPr>
              <w:t xml:space="preserve">Cours actuel : </w:t>
            </w:r>
            <w:r>
              <w:rPr>
                <w:color w:val="000000"/>
                <w:sz w:val="17"/>
              </w:rPr>
              <w:t>7,745 FCFA</w:t>
            </w:r>
          </w:p>
          <w:p>
            <w:r>
              <w:rPr>
                <w:b/>
                <w:color w:val="503200"/>
                <w:sz w:val="16"/>
              </w:rPr>
              <w:t xml:space="preserve">Var. 100 jours : </w:t>
            </w:r>
            <w:r>
              <w:rPr>
                <w:b/>
                <w:color w:val="007800"/>
                <w:sz w:val="17"/>
              </w:rPr>
              <w:t>+9.08%</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5.00% (Moyenne) — μ=8,041 FCFA, σ=402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β=0.2943 (Défensif) — Cov=0.000013, Var(idx)=0.000045, ρ=0.080,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7,223</w:t>
            </w:r>
          </w:p>
        </w:tc>
        <w:tc>
          <w:tcPr>
            <w:tcW w:type="dxa" w:w="1440"/>
            <w:shd w:fill="FAFAFA" w:val="clear"/>
          </w:tcPr>
          <w:p>
            <w:r>
              <w:rPr>
                <w:b/>
                <w:sz w:val="17"/>
              </w:rPr>
              <w:t>7,646</w:t>
            </w:r>
          </w:p>
        </w:tc>
        <w:tc>
          <w:tcPr>
            <w:tcW w:type="dxa" w:w="1440"/>
            <w:shd w:fill="FAFAFA" w:val="clear"/>
          </w:tcPr>
          <w:p>
            <w:r>
              <w:rPr>
                <w:sz w:val="17"/>
              </w:rPr>
              <w:t>8,069</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7,059</w:t>
            </w:r>
          </w:p>
        </w:tc>
        <w:tc>
          <w:tcPr>
            <w:tcW w:type="dxa" w:w="1440"/>
            <w:shd w:fill="FAFAFA" w:val="clear"/>
          </w:tcPr>
          <w:p>
            <w:r>
              <w:rPr>
                <w:b/>
                <w:sz w:val="17"/>
              </w:rPr>
              <w:t>7,658</w:t>
            </w:r>
          </w:p>
        </w:tc>
        <w:tc>
          <w:tcPr>
            <w:tcW w:type="dxa" w:w="1440"/>
            <w:shd w:fill="FAFAFA" w:val="clear"/>
          </w:tcPr>
          <w:p>
            <w:r>
              <w:rPr>
                <w:sz w:val="17"/>
              </w:rPr>
              <w:t>8,257</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6,924</w:t>
            </w:r>
          </w:p>
        </w:tc>
        <w:tc>
          <w:tcPr>
            <w:tcW w:type="dxa" w:w="1440"/>
            <w:shd w:fill="FAFAFA" w:val="clear"/>
          </w:tcPr>
          <w:p>
            <w:r>
              <w:rPr>
                <w:b/>
                <w:sz w:val="17"/>
              </w:rPr>
              <w:t>7,658</w:t>
            </w:r>
          </w:p>
        </w:tc>
        <w:tc>
          <w:tcPr>
            <w:tcW w:type="dxa" w:w="1440"/>
            <w:shd w:fill="FAFAFA" w:val="clear"/>
          </w:tcPr>
          <w:p>
            <w:r>
              <w:rPr>
                <w:sz w:val="17"/>
              </w:rPr>
              <w:t>8,392</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6,810</w:t>
            </w:r>
          </w:p>
        </w:tc>
        <w:tc>
          <w:tcPr>
            <w:tcW w:type="dxa" w:w="1440"/>
            <w:shd w:fill="FAFAFA" w:val="clear"/>
          </w:tcPr>
          <w:p>
            <w:r>
              <w:rPr>
                <w:b/>
                <w:sz w:val="17"/>
              </w:rPr>
              <w:t>7,657</w:t>
            </w:r>
          </w:p>
        </w:tc>
        <w:tc>
          <w:tcPr>
            <w:tcW w:type="dxa" w:w="1440"/>
            <w:shd w:fill="FAFAFA" w:val="clear"/>
          </w:tcPr>
          <w:p>
            <w:r>
              <w:rPr>
                <w:sz w:val="17"/>
              </w:rPr>
              <w:t>8,505</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6,710</w:t>
            </w:r>
          </w:p>
        </w:tc>
        <w:tc>
          <w:tcPr>
            <w:tcW w:type="dxa" w:w="1440"/>
            <w:shd w:fill="FAFAFA" w:val="clear"/>
          </w:tcPr>
          <w:p>
            <w:r>
              <w:rPr>
                <w:b/>
                <w:sz w:val="17"/>
              </w:rPr>
              <w:t>7,657</w:t>
            </w:r>
          </w:p>
        </w:tc>
        <w:tc>
          <w:tcPr>
            <w:tcW w:type="dxa" w:w="1440"/>
            <w:shd w:fill="FAFAFA" w:val="clear"/>
          </w:tcPr>
          <w:p>
            <w:r>
              <w:rPr>
                <w:sz w:val="17"/>
              </w:rPr>
              <w:t>8,605</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6,620</w:t>
            </w:r>
          </w:p>
        </w:tc>
        <w:tc>
          <w:tcPr>
            <w:tcW w:type="dxa" w:w="1440"/>
            <w:shd w:fill="FAFAFA" w:val="clear"/>
          </w:tcPr>
          <w:p>
            <w:r>
              <w:rPr>
                <w:b/>
                <w:sz w:val="17"/>
              </w:rPr>
              <w:t>7,658</w:t>
            </w:r>
          </w:p>
        </w:tc>
        <w:tc>
          <w:tcPr>
            <w:tcW w:type="dxa" w:w="1440"/>
            <w:shd w:fill="FAFAFA" w:val="clear"/>
          </w:tcPr>
          <w:p>
            <w:r>
              <w:rPr>
                <w:sz w:val="17"/>
              </w:rPr>
              <w:t>8,696</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6,537</w:t>
            </w:r>
          </w:p>
        </w:tc>
        <w:tc>
          <w:tcPr>
            <w:tcW w:type="dxa" w:w="1440"/>
            <w:shd w:fill="FAFAFA" w:val="clear"/>
          </w:tcPr>
          <w:p>
            <w:r>
              <w:rPr>
                <w:b/>
                <w:sz w:val="17"/>
              </w:rPr>
              <w:t>7,658</w:t>
            </w:r>
          </w:p>
        </w:tc>
        <w:tc>
          <w:tcPr>
            <w:tcW w:type="dxa" w:w="1440"/>
            <w:shd w:fill="FAFAFA" w:val="clear"/>
          </w:tcPr>
          <w:p>
            <w:r>
              <w:rPr>
                <w:sz w:val="17"/>
              </w:rPr>
              <w:t>8,780</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6,460</w:t>
            </w:r>
          </w:p>
        </w:tc>
        <w:tc>
          <w:tcPr>
            <w:tcW w:type="dxa" w:w="1440"/>
            <w:shd w:fill="FAFAFA" w:val="clear"/>
          </w:tcPr>
          <w:p>
            <w:r>
              <w:rPr>
                <w:b/>
                <w:sz w:val="17"/>
              </w:rPr>
              <w:t>7,659</w:t>
            </w:r>
          </w:p>
        </w:tc>
        <w:tc>
          <w:tcPr>
            <w:tcW w:type="dxa" w:w="1440"/>
            <w:shd w:fill="FAFAFA" w:val="clear"/>
          </w:tcPr>
          <w:p>
            <w:r>
              <w:rPr>
                <w:sz w:val="17"/>
              </w:rPr>
              <w:t>8,857</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6,388</w:t>
            </w:r>
          </w:p>
        </w:tc>
        <w:tc>
          <w:tcPr>
            <w:tcW w:type="dxa" w:w="1440"/>
            <w:shd w:fill="FAFAFA" w:val="clear"/>
          </w:tcPr>
          <w:p>
            <w:r>
              <w:rPr>
                <w:b/>
                <w:sz w:val="17"/>
              </w:rPr>
              <w:t>7,659</w:t>
            </w:r>
          </w:p>
        </w:tc>
        <w:tc>
          <w:tcPr>
            <w:tcW w:type="dxa" w:w="1440"/>
            <w:shd w:fill="FAFAFA" w:val="clear"/>
          </w:tcPr>
          <w:p>
            <w:r>
              <w:rPr>
                <w:sz w:val="17"/>
              </w:rPr>
              <w:t>8,931</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6,319</w:t>
            </w:r>
          </w:p>
        </w:tc>
        <w:tc>
          <w:tcPr>
            <w:tcW w:type="dxa" w:w="1440"/>
            <w:shd w:fill="FAFAFA" w:val="clear"/>
          </w:tcPr>
          <w:p>
            <w:r>
              <w:rPr>
                <w:b/>
                <w:sz w:val="17"/>
              </w:rPr>
              <w:t>7,660</w:t>
            </w:r>
          </w:p>
        </w:tc>
        <w:tc>
          <w:tcPr>
            <w:tcW w:type="dxa" w:w="1440"/>
            <w:shd w:fill="FAFAFA" w:val="clear"/>
          </w:tcPr>
          <w:p>
            <w:r>
              <w:rPr>
                <w:sz w:val="17"/>
              </w:rPr>
              <w:t>9,000</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 Palmier à huile)*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167,31 milliards FCFA, SOGC figure parmi les valeurs de taille intermédiaire-élevée de la cote BRVM, ce qui lui confère une bonne liquidité relative et une visibilité institutionnelle. Le BPA de 578 FCFA/action signifie que chaque titre génère près de 578 FCFA de bénéfice net, un niveau confortable pour une valeur agro-industrielle. Le PER de 13,4x se situe légèrement au-dessus de la moyenne BRVM (~8-12x), traduisant une prime modérée mais non excessive accordée par le marché à la régularité bénéficiaire de la société. Le P/B de 2,44x indique que le marché valorise SOGC à plus de deux fois ses fonds propres comptables (68,43 Mds FCFA), soit une prime de croissance justifiée par un ROE de 18,26%. Enfin, l'EV/EBITDA de 6,9x, dans la fourchette raisonnable de 5-10x, suggère que la valeur d'entreprise reste cohérente avec la capacité opérationnelle de génération de cash-flow, sans exagération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SOGC affiche une progression totale de +9,08%, avec une dernière séance particulièrement dynamique (+6,10% en J-1), portant le cours à 7 745 FCFA. Le range de trading s'établit entre un plus bas de 7 100 FCFA et un plus haut de 8 875 FCFA, soit une amplitude d'environ 25%, ce qui témoigne d'une volatilité intra-période significative. La tendance générale est haussière mais avec une correction récente, le cours actuel se situant sous sa moyenne (8 041 FCFA) et sous sa médiane (8 145 FCFA) — l'écart faible entre moyenne et médiane (104 FCFA) indique une distribution quasi-symétrique, confirmée par un skewness de -0,566 (asymétrie négative modérée, plus de journées au-dessus de la moyenne historique). L'écart-type de 404 FCFA avec un coefficient de variation de 5,0% révèle une dispersion modérée autour de la moyenne, tandis que le kurtosis de -0,575 (mésokurtique) suggère une distribution proche de la normale, sans risque marqué de pics extrêmes. La volatilité annualisée de 41,2% classe SOGC dans la catégorie des titres à volatilité élevée (&gt;30%), ce qui implique un risque de marché non négligeable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(8 080,75 FCFA) et la MM50 (8 085,10 FCFA) sont quasi confondues et toutes deux supérieures au cours actuel (7 745 FCFA), ce qui place le titre en position baissière sous ses moyennes. La décision technique est logiquement « Vente », le cours évoluant sous ses supports mobiles, signalant une pression vendeuse persistante à court et moyen terme.</w:t>
      </w:r>
    </w:p>
    <w:p>
      <w:pPr>
        <w:spacing w:after="120" w:line="276" w:lineRule="auto"/>
      </w:pPr>
      <w:r>
        <w:t>**Bandes de Bollinger** : Le cours (7 745 FCFA) se situe dans la partie basse de la bande, entre la borne inférieure (7 349,71 FCFA) et la borne supérieure (8 811,79 FCFA), sans franchissement des extrêmes. La décision est « Neutre », le titre n'étant ni en situation de survente extrême ni de surachat, avec une volatilité contenue dans les bandes.</w:t>
      </w:r>
    </w:p>
    <w:p>
      <w:pPr>
        <w:spacing w:after="120" w:line="276" w:lineRule="auto"/>
      </w:pPr>
      <w:r>
        <w:t>**MACD** : La valeur du MACD (-126,0) est nettement inférieure à son signal (-64,16), confirmant un momentum baissier avec une divergence négative marquée. La décision « Vente » est cohérente avec cet indicateur retardé qui valide la tendance baissière en cours.</w:t>
      </w:r>
    </w:p>
    <w:p>
      <w:pPr>
        <w:spacing w:after="120" w:line="276" w:lineRule="auto"/>
      </w:pPr>
      <w:r>
        <w:t>**RSI** : À 31,84, le RSI se situe juste au-dessus du seuil de survente (30), ce qui indique une pression vendeuse forte mais sans capitulation extrême. La décision « Neutre » reflète cette zone charnière où un rebond technique devient possible, mais sans confirmation encore.</w:t>
      </w:r>
    </w:p>
    <w:p>
      <w:pPr>
        <w:spacing w:after="120" w:line="276" w:lineRule="auto"/>
      </w:pPr>
      <w:r>
        <w:t>**Stochastique** : Le %K (52,98) est nettement supérieur au %D (20,50), avec un croisement haussier en formation depuis la zone de survente. La décision « Neutre » traduit ce signal précoce de retournement potentiel, à confirmer par la suite de la tendance.</w:t>
      </w:r>
    </w:p>
    <w:p>
      <w:pPr>
        <w:spacing w:after="120" w:line="276" w:lineRule="auto"/>
      </w:pPr>
      <w:r>
        <w:t>**Conclusion technique** : Les indicateurs sont majoritairement baissiers (MM, MACD) mais présentent des signes de stabilisation (RSI proche de la survente, Stochastique en croisement haussier, cours dans le bas des Bollinger). Cette configuration suggère une phase de consolidation avec un potentiel rebond technique à court terme, mais la tendance de fond reste fragile tant que le cours n'aura pas reconquis la zone des 8 080-8 085 FCFA (MM20/MM50).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SOGC affiche un chiffre d'affaires de 98,979 milliards FCFA, en croissance de +10,70% par rapport à 2024 (93,52 Mds FCFA), portée par la hausse des prix de l'huile de palme (+20%) et de palmiste (+47%) ainsi que par la progression des volumes de caoutchouc (+9%). Le résultat net s'établit à 12,493 milliards FCFA, en léger recul de -5% par rapport aux 13,11 Mds FCFA de 2024, sous l'effet d'une hausse de 15% des coûts de matières premières (coagulum). La rentabilité reste néanmoins solide avec un ROE de 18,26% (excellent, &gt;15%) et un ROA de 13,84%, tandis que la marge nette se maintient à 12,62% et la marge opérationnelle à 17,24%. La structure financière est très saine : autonomie financière de 75,79%, ratio d'endettement de 24,21%, liquidité générale de 170,32% et capacité de remboursement de 0,04 an (quasi nulle). Le BFR de 7,124 Mds FCFA reste positif mais maîtrisé, avec des délais clients de 29,60 jours (faible risque de trésorerie) et un délai fournisseurs de 31,72 jours (favorable). La trésorerie nette s'améliore de +3,1 Mds FCFA sur l'exercice, avec un flux opérationnel de 22,644 Mds FCFA et un Free Cash Flow de 16,031 Mds FCFA. Le rapport annuel 2025 (publié en 2026) confirme ces chiffres et propose un dividende brut de 570 FCFA/action (soit 12,31 Mds FCFA distribués), offrant un rendement attractif de ~7,4% au cours actuel. Les rapports trimestriels 2025 (T1, S1, 9M) montrent une dynamique exceptionnelle sur la première moitié de l'année (CA +63,1% au T1, résultat net +262,9%), suivie d'un ralentissement au S2 sous l'effet de la concurrence accrue sur l'achat du coagulum et de la baisse des cours SICOM du caoutchouc. On estime que l'exercice 2026 devrait rester positif mais avec une croissance plus modérée, la direction tablant sur des « performances raisonnablement bonnes ». La recommandation fondamentale est de **CONSERVER** le titre : les fondamentaux restent solides (ROE élevé, endettement faible, génération de cash-flow robuste, dividende attractif), mais les risques de compression des marges liés à la volatilité des prix des matières premières et à la concurrence sur l'approvisionnement nécessitent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13,4x, P/B 2,44x, EV/EBITDA 6,9x) apparaît raisonnable sans être bon marché, le marché intégrant une prime de qualité justifiée par la solidité des fondamentaux. Le comportement du cours sur 100 jours (+9,08%) est haussier mais la correction récente (-6,10% en J-1) et la volatilité élevée (41,2%) avec un skewness négatif (-0,566) suggèrent une phase de consolidation. Les signaux techniques sont majoritairement baissiers (MM20/MM50 au-dessus du cours, MACD négatif) mais des signes de retournement émergent (RSI à 31,84 proche de la survente, Stochastique en croisement haussier), plaidant pour une stabilisation à court terme. Les fondamentaux 2025 (CA 98,98 Mds FCFA, résultat net 12,49 Mds FCFA, ROE 18,26%, dividende 570 FCFA/action) demeurent solides malgré la légère baisse du bénéfice, et les rapports trimestriels 2025 confirment la résilience de la rentabilité. Les prédictions IA (7 646-7 658 FCFA sur J+1 à J+10) anticipent une légère correction puis une stabilisation autour de 7 650 FCFA, ce qui contredit le rebond technique suggéré par le Stochastique mais confirme la pression baissière de court terme. **Recommandation finale : CONSERVER**, avec un niveau de confiance **Moyen** et un risque global **Moyen**. L'horizon d'investissement optimal est le **moyen terme (3-12 mois)**, le temps que la société démontre sa capacité à maintenir ses marges dans un contexte de prix plus volatil et que le cours reconquière ses moyennes mobiles pour valider un retournement durable. Un investisseur en recherche de rendement pourra apprécier le dividende attractif (~7,4%), tandis qu'un investisseur court-termiste devra attendre une confirmation technique avant d'envisager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195.52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4,738 titres</w:t>
            </w:r>
          </w:p>
        </w:tc>
        <w:tc>
          <w:tcPr>
            <w:tcW w:type="dxa" w:w="2268"/>
            <w:shd w:fill="FFF2CC" w:val="clear"/>
          </w:tcPr>
          <w:p>
            <w:r>
              <w:rPr>
                <w:b/>
                <w:color w:val="503200"/>
                <w:sz w:val="16"/>
              </w:rPr>
              <w:t xml:space="preserve">Cours actuel : </w:t>
            </w:r>
            <w:r>
              <w:rPr>
                <w:color w:val="000000"/>
                <w:sz w:val="17"/>
              </w:rPr>
              <w:t>7,650 FCFA</w:t>
            </w:r>
          </w:p>
          <w:p>
            <w:r>
              <w:rPr>
                <w:b/>
                <w:color w:val="503200"/>
                <w:sz w:val="16"/>
              </w:rPr>
              <w:t xml:space="preserve">Var. 100 jours : </w:t>
            </w:r>
            <w:r>
              <w:rPr>
                <w:b/>
                <w:color w:val="007800"/>
                <w:sz w:val="17"/>
              </w:rPr>
              <w:t>+12.50%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10.18% (Moyenne) — μ=7,809 FCFA, σ=795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β=0.7875 (Défensif) — Cov=0.000035, Var(idx)=0.000045, ρ=0.190,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7,102</w:t>
            </w:r>
          </w:p>
        </w:tc>
        <w:tc>
          <w:tcPr>
            <w:tcW w:type="dxa" w:w="1440"/>
            <w:shd w:fill="FAFAFA" w:val="clear"/>
          </w:tcPr>
          <w:p>
            <w:r>
              <w:rPr>
                <w:b/>
                <w:sz w:val="17"/>
              </w:rPr>
              <w:t>7,607</w:t>
            </w:r>
          </w:p>
        </w:tc>
        <w:tc>
          <w:tcPr>
            <w:tcW w:type="dxa" w:w="1440"/>
            <w:shd w:fill="FAFAFA" w:val="clear"/>
          </w:tcPr>
          <w:p>
            <w:r>
              <w:rPr>
                <w:sz w:val="17"/>
              </w:rPr>
              <w:t>8,112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6,883</w:t>
            </w:r>
          </w:p>
        </w:tc>
        <w:tc>
          <w:tcPr>
            <w:tcW w:type="dxa" w:w="1440"/>
            <w:shd w:fill="FAFAFA" w:val="clear"/>
          </w:tcPr>
          <w:p>
            <w:r>
              <w:rPr>
                <w:b/>
                <w:sz w:val="17"/>
              </w:rPr>
              <w:t>7,596</w:t>
            </w:r>
          </w:p>
        </w:tc>
        <w:tc>
          <w:tcPr>
            <w:tcW w:type="dxa" w:w="1440"/>
            <w:shd w:fill="FAFAFA" w:val="clear"/>
          </w:tcPr>
          <w:p>
            <w:r>
              <w:rPr>
                <w:sz w:val="17"/>
              </w:rPr>
              <w:t>8,310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6,711</w:t>
            </w:r>
          </w:p>
        </w:tc>
        <w:tc>
          <w:tcPr>
            <w:tcW w:type="dxa" w:w="1440"/>
            <w:shd w:fill="FAFAFA" w:val="clear"/>
          </w:tcPr>
          <w:p>
            <w:r>
              <w:rPr>
                <w:b/>
                <w:sz w:val="17"/>
              </w:rPr>
              <w:t>7,583</w:t>
            </w:r>
          </w:p>
        </w:tc>
        <w:tc>
          <w:tcPr>
            <w:tcW w:type="dxa" w:w="1440"/>
            <w:shd w:fill="FAFAFA" w:val="clear"/>
          </w:tcPr>
          <w:p>
            <w:r>
              <w:rPr>
                <w:sz w:val="17"/>
              </w:rPr>
              <w:t>8,455</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6,564</w:t>
            </w:r>
          </w:p>
        </w:tc>
        <w:tc>
          <w:tcPr>
            <w:tcW w:type="dxa" w:w="1440"/>
            <w:shd w:fill="FAFAFA" w:val="clear"/>
          </w:tcPr>
          <w:p>
            <w:r>
              <w:rPr>
                <w:b/>
                <w:sz w:val="17"/>
              </w:rPr>
              <w:t>7,570</w:t>
            </w:r>
          </w:p>
        </w:tc>
        <w:tc>
          <w:tcPr>
            <w:tcW w:type="dxa" w:w="1440"/>
            <w:shd w:fill="FAFAFA" w:val="clear"/>
          </w:tcPr>
          <w:p>
            <w:r>
              <w:rPr>
                <w:sz w:val="17"/>
              </w:rPr>
              <w:t>8,575</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6,435</w:t>
            </w:r>
          </w:p>
        </w:tc>
        <w:tc>
          <w:tcPr>
            <w:tcW w:type="dxa" w:w="1440"/>
            <w:shd w:fill="FAFAFA" w:val="clear"/>
          </w:tcPr>
          <w:p>
            <w:r>
              <w:rPr>
                <w:b/>
                <w:sz w:val="17"/>
              </w:rPr>
              <w:t>7,557</w:t>
            </w:r>
          </w:p>
        </w:tc>
        <w:tc>
          <w:tcPr>
            <w:tcW w:type="dxa" w:w="1440"/>
            <w:shd w:fill="FAFAFA" w:val="clear"/>
          </w:tcPr>
          <w:p>
            <w:r>
              <w:rPr>
                <w:sz w:val="17"/>
              </w:rPr>
              <w:t>8,679</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6,317</w:t>
            </w:r>
          </w:p>
        </w:tc>
        <w:tc>
          <w:tcPr>
            <w:tcW w:type="dxa" w:w="1440"/>
            <w:shd w:fill="FAFAFA" w:val="clear"/>
          </w:tcPr>
          <w:p>
            <w:r>
              <w:rPr>
                <w:b/>
                <w:sz w:val="17"/>
              </w:rPr>
              <w:t>7,545</w:t>
            </w:r>
          </w:p>
        </w:tc>
        <w:tc>
          <w:tcPr>
            <w:tcW w:type="dxa" w:w="1440"/>
            <w:shd w:fill="FAFAFA" w:val="clear"/>
          </w:tcPr>
          <w:p>
            <w:r>
              <w:rPr>
                <w:sz w:val="17"/>
              </w:rPr>
              <w:t>8,772</w:t>
            </w:r>
          </w:p>
        </w:tc>
        <w:tc>
          <w:tcPr>
            <w:tcW w:type="dxa" w:w="1440"/>
            <w:shd w:fill="FAFAFA" w:val="clear"/>
          </w:tcPr>
          <w:p>
            <w:r>
              <w:rPr>
                <w:b/>
                <w:color w:val="C00000"/>
                <w:sz w:val="17"/>
              </w:rPr>
              <w:t>-1.4%</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6,209</w:t>
            </w:r>
          </w:p>
        </w:tc>
        <w:tc>
          <w:tcPr>
            <w:tcW w:type="dxa" w:w="1440"/>
            <w:shd w:fill="FAFAFA" w:val="clear"/>
          </w:tcPr>
          <w:p>
            <w:r>
              <w:rPr>
                <w:b/>
                <w:sz w:val="17"/>
              </w:rPr>
              <w:t>7,533</w:t>
            </w:r>
          </w:p>
        </w:tc>
        <w:tc>
          <w:tcPr>
            <w:tcW w:type="dxa" w:w="1440"/>
            <w:shd w:fill="FAFAFA" w:val="clear"/>
          </w:tcPr>
          <w:p>
            <w:r>
              <w:rPr>
                <w:sz w:val="17"/>
              </w:rPr>
              <w:t>8,856</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6,109</w:t>
            </w:r>
          </w:p>
        </w:tc>
        <w:tc>
          <w:tcPr>
            <w:tcW w:type="dxa" w:w="1440"/>
            <w:shd w:fill="FAFAFA" w:val="clear"/>
          </w:tcPr>
          <w:p>
            <w:r>
              <w:rPr>
                <w:b/>
                <w:sz w:val="17"/>
              </w:rPr>
              <w:t>7,522</w:t>
            </w:r>
          </w:p>
        </w:tc>
        <w:tc>
          <w:tcPr>
            <w:tcW w:type="dxa" w:w="1440"/>
            <w:shd w:fill="FAFAFA" w:val="clear"/>
          </w:tcPr>
          <w:p>
            <w:r>
              <w:rPr>
                <w:sz w:val="17"/>
              </w:rPr>
              <w:t>8,934</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6,014</w:t>
            </w:r>
          </w:p>
        </w:tc>
        <w:tc>
          <w:tcPr>
            <w:tcW w:type="dxa" w:w="1440"/>
            <w:shd w:fill="FAFAFA" w:val="clear"/>
          </w:tcPr>
          <w:p>
            <w:r>
              <w:rPr>
                <w:b/>
                <w:sz w:val="17"/>
              </w:rPr>
              <w:t>7,511</w:t>
            </w:r>
          </w:p>
        </w:tc>
        <w:tc>
          <w:tcPr>
            <w:tcW w:type="dxa" w:w="1440"/>
            <w:shd w:fill="FAFAFA" w:val="clear"/>
          </w:tcPr>
          <w:p>
            <w:r>
              <w:rPr>
                <w:sz w:val="17"/>
              </w:rPr>
              <w:t>9,007</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5,925</w:t>
            </w:r>
          </w:p>
        </w:tc>
        <w:tc>
          <w:tcPr>
            <w:tcW w:type="dxa" w:w="1440"/>
            <w:shd w:fill="FAFAFA" w:val="clear"/>
          </w:tcPr>
          <w:p>
            <w:r>
              <w:rPr>
                <w:b/>
                <w:sz w:val="17"/>
              </w:rPr>
              <w:t>7,500</w:t>
            </w:r>
          </w:p>
        </w:tc>
        <w:tc>
          <w:tcPr>
            <w:tcW w:type="dxa" w:w="1440"/>
            <w:shd w:fill="FAFAFA" w:val="clear"/>
          </w:tcPr>
          <w:p>
            <w:r>
              <w:rPr>
                <w:sz w:val="17"/>
              </w:rPr>
              <w:t>9,075</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 (Hévéa / Caoutchouc naturel)*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195,52 milliards FCFA, SPHC s'impose comme l'une des valeurs agro-industrielles de référence de la cote BRVM, ce qui traduit une liquidité et une visibilité institutionnelle certaines. Le BPA de 977 FCFA/action signifie que chaque titre génère près d'un millier de francs de bénéfice net, un niveau de rentabilité par action remarquable pour le compartiment. Le PER de 7,8x situe le titre en dessous de la fourchette moyenne de la BRVM (8-12x), signalant une potentielle sous-évaluation aux yeux du marché. Le P/B de 1,42x indique que le marché valorise l'entreprise à 42% au-dessus de sa valeur comptable, ce qui reste raisonnable et reflète une prime de qualité modérée. Enfin, l'EV/EBITDA de 5,0x, inférieur au seuil de 5x, confirme que la valeur d'entreprise est bon marché rapportée à la capacité opérationnelle de génération de cash — un signal d'achat classique pour les investisseurs « value ».</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variation totale de +12,50%, avec une dernière séance (J-1) en hausse de +2,00%, ce qui porte le cours actuel à 7 650 FCFA. Le titre a évolué dans un range large de 6 720 FCFA (plus bas) à 10 300 FCFA (plus haut), soit un spread de 3 580 FCFA qui témoigne d'une forte amplitude de trading. La tendance générale reste haussière sur la période, mais le cours actuel se situe nettement sous son plus haut, ce qui suggère une phase de correction après un pic. Les statistiques descriptives révèlent une moyenne de 7 809 FCFA légèrement supérieure à la médiane de 7 600 FCFA, avec un mode à 7 500 FCFA : cet écart modéré indique une distribution légèrement asymétrique, confirmée par un skewness de +1,372 (asymétrie positive, donc davantage de journées sous la moyenne mais avec des pics haussiers marqués). L'écart-type de 799 FCFA (CV = 10,2%) traduit une dispersion modérée du cours autour de sa moyenne, tandis que le kurtosis de 1,436 (leptokurtique) signale des queues épaisses, c'est-à-dire un risque accru de mouvements extrêmes. La volatilité annualisée de 43,7% classe SPHC dans la catégorie des titres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(8 615,25 FCFA) et la MM50 (8 244,10 FCFA) se situent toutes deux au-dessus du cours actuel (7 650 FCFA), ce qui place le titre en position baissière à court et moyen terme. Cependant, la décision technique affichée est « Achat », probablement en anticipation d'un retournement ou d'un rebond technique depuis la zone de survente. La configuration actuelle suggère que le cours évolue sous ses moyennes, ce qui constitue un signal de prudence tant que ces niveaux ne sont pas reconquis.</w:t>
      </w:r>
    </w:p>
    <w:p>
      <w:pPr>
        <w:spacing w:after="120" w:line="276" w:lineRule="auto"/>
      </w:pPr>
      <w:r>
        <w:t>**Bandes de Bollinger** : La borne supérieure est à 10 498,83 FCFA et la borne inférieure à 6 731,67 FCFA, avec un cours actuel de 7 650 FCFA qui se situe dans la moitié basse de la bande. La décision est « Neutre », ce qui reflète l'absence de signal directionnel fort : le cours n'est ni en surachat (proche borne supérieure) ni en survente extrême (proche borne inférieure), bien qu'il s'en approche. La largeur des bandes indique une volatilité encore élevée.</w:t>
      </w:r>
    </w:p>
    <w:p>
      <w:pPr>
        <w:spacing w:after="120" w:line="276" w:lineRule="auto"/>
      </w:pPr>
      <w:r>
        <w:t>**MACD** : La valeur du MACD (-270,317) est inférieure à son signal (-114,355), ce qui génère une divergence baissière et un momentum négatif. La décision « Vente » confirme que la dynamique de court terme reste défavorable, le MACD évoluant en territoire négatif et sous sa ligne de signal. Ce signal contredit les indicateurs de survente (RSI, Stochastique) et plaide pour une prudence avant tout achat.</w:t>
      </w:r>
    </w:p>
    <w:p>
      <w:pPr>
        <w:spacing w:after="120" w:line="276" w:lineRule="auto"/>
      </w:pPr>
      <w:r>
        <w:t>**RSI** : Avec une valeur de 16,737, le RSI est très largement en zone de survente (seuil &lt;30), ce qui constitue un signal d'achat technique classique. Un RSI aussi bas indique que le titre a été massivement vendu et qu'un rebond technique est statistiquement probable à court terme. La décision « Achat » est donc cohérente avec cette lecture.</w:t>
      </w:r>
    </w:p>
    <w:p>
      <w:pPr>
        <w:spacing w:after="120" w:line="276" w:lineRule="auto"/>
      </w:pPr>
      <w:r>
        <w:t>**Stochastique** : Le %K (8,499) et le %D (2,833) sont tous deux en zone de survente extrême, avec un %K supérieur au %D, ce qui pourrait amorcer un croisement haussier imminent. La décision « Achat » reflète cette configuration de retournement potentiel. La faiblesse des deux courbes suggère cependant que la pression vendeuse a été intense et qu'une confirmation par les volumes serait nécessaire.</w:t>
      </w:r>
    </w:p>
    <w:p>
      <w:pPr>
        <w:spacing w:after="120" w:line="276" w:lineRule="auto"/>
      </w:pPr>
      <w:r>
        <w:t>**Conclusion technique** : Les indicateurs présentent une divergence notable : les oscillateurs (RSI, Stochastique) signalent une survente extrême et un potentiel rebond, tandis que le MACD et les moyennes mobiles confirment une tendance baissière sous-jacente. Cette configuration est typique d'une phase de capitulation où un rebond technique est possible, mais où la tendance de fond n'est pas encore inversée. La prudence reste de mise tant que le cours n'aura pas reconquis la MM20 (8 615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(SAPH CI) affiche un chiffre d'affaires de 340,831 milliards FCFA, en croissance de +21,97% par rapport à 2024 (279,44 milliards FCFA), portée par une hausse des volumes vendus et des prix moyens de vente. Le résultat net s'établit à 24,972 milliards FCFA, en progression de +32,9% sur un an, avec une marge nette de 7,33% (contre 6,7% en 2024). Le ROE atteint 18,10% (&gt;15%, seuil d'excellence) et le ROA 11,06%, confirmant une rentabilité solide des fonds propres et des actifs. La structure financière est saine : autonomie financière de 61,08%, ratio d'endettement de 25,81%, et couverture des intérêts de 1 094,57%, ce qui traduit une capacité de remboursement confortable (0,97 an de CAF). Le BFR est de 65,389 milliards FCFA (positif, donc défavorable pour une entreprise non bancaire), avec un délai client de 35 jours et une durée de stockage de 72,33 jours — ce dernier point mérite surveillance car il immobilise du capital. La trésorerie nette reste négative à -15,413 milliards FCFA, un point de vigilance structurel pour le secteur. Sur la base du rapport T1 2026 (publié en 2026), le chiffre d'affaires chute de -24% à 71,8 milliards FCFA et le résultat net de -78% à 2,6 milliards FCFA, pénalisé par la baisse des cours mondiaux du caoutchouc (-17% sur les prix), l'engorgement du port de San Pedro et la concurrence accrue pour la matière première. Le rapport 3T 2025 (30/09/2025) indiquait déjà un ralentissement de la croissance (+36% sur 9 mois contre +51% au S1), avec une marge nette de 9%. On estime donc que l'exercice 2026 devrait être nettement moins favorable que 2025, avec un risque de contraction des marges et du résultat net si les cours du caoutchouc ne se redressent pas. La politique de dividende reste attractive (489 FCFA brut/action proposé pour 2025, soit un rendement de 6,4% au cours actuel), mais sa soutenabilité dépendra de la capacité à préserver la trésorerie. En synthèse, SPHC présente des fondamentaux 2025 solides mais des perspectives 2026 dégradées, ce qui justifie une recommandation de **CONSERVER** avec une surveillance active des cours du caoutchouc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attractive avec un PER de 7,8x (sous la moyenne BRVM), un P/B de 1,42x et un EV/EBITDA de 5,0x, ce qui suggère une sous-évaluation relative. Cependant, le comportement du cours sur 100 jours (+12,50%) masque une correction depuis le plus haut de 10 300 FCFA, avec une volatilité élevée (43,7%) et un kurtosis leptokurtique (1,436) qui indique un risque de pics baissiers. Les signaux techniques sont divergents : le RSI (16,7) et le Stochastique (8,5/2,8) sont en survente extrême et plaident pour un rebond, mais le MACD (-270,3) et les moyennes mobiles (cours sous MM20 et MM50) confirment une tendance baissière. Les fondamentaux 2025 sont solides (CA +22%, RN +33%, ROE 18,1%), mais le rapport T1 2026 (publié en 2026) révèle un effondrement du résultat net (-78%) et du chiffre d'affaires (-24%), ce qui assombrit les perspectives. Les prédictions IA (J+1 à J+10) anticipent une légère dérive baissière vers 7 557 FCFA, ce qui contredit l'hypothèse d'un rebond technique immédiat et confirme la pression vendeuse à court terme. Sur la base de cette synthèse, la recommandation finale est **CONSERVER** : la sous-évaluation et la survente technique justifient de ne pas vendre, mais la dégradation des fondamentaux 2026 et la tendance baissière à court terme incitent à la prudence avant tout renforcement. Le niveau de confiance est **Moyen** (divergence entre technique et fondamental), et le risque global est **Élevé** (volatilité 43,7%, dépendance aux cours mondiaux du caoutchouc, trésorerie négative). L'horizon d'investissement optimal est le **moyen terme (3-12 mois)**, en attendant une stabilisation des cours du caoutchouc et une clarification des perspectives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30.24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6,051 titres</w:t>
            </w:r>
          </w:p>
        </w:tc>
        <w:tc>
          <w:tcPr>
            <w:tcW w:type="dxa" w:w="2268"/>
            <w:shd w:fill="FFF2CC" w:val="clear"/>
          </w:tcPr>
          <w:p>
            <w:r>
              <w:rPr>
                <w:b/>
                <w:color w:val="503200"/>
                <w:sz w:val="16"/>
              </w:rPr>
              <w:t xml:space="preserve">Cours actuel : </w:t>
            </w:r>
            <w:r>
              <w:rPr>
                <w:color w:val="000000"/>
                <w:sz w:val="17"/>
              </w:rPr>
              <w:t>2,250 FCFA</w:t>
            </w:r>
          </w:p>
          <w:p>
            <w:r>
              <w:rPr>
                <w:b/>
                <w:color w:val="503200"/>
                <w:sz w:val="16"/>
              </w:rPr>
              <w:t xml:space="preserve">Var. 100 jours : </w:t>
            </w:r>
            <w:r>
              <w:rPr>
                <w:b/>
                <w:color w:val="B40000"/>
                <w:sz w:val="17"/>
              </w:rPr>
              <w:t>-26.23%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2,100 FCFA</w:t>
            </w:r>
          </w:p>
          <w:p>
            <w:r>
              <w:rPr>
                <w:b/>
                <w:color w:val="503200"/>
                <w:sz w:val="16"/>
              </w:rPr>
              <w:t xml:space="preserve">Volatilité ann. : </w:t>
            </w:r>
            <w:r>
              <w:rPr>
                <w:color w:val="000000"/>
                <w:sz w:val="17"/>
              </w:rPr>
              <w:t>58.6%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13.04% (Moyenne) — μ=2,900 FCFA, σ=378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β=-0.3497 (Contre-cyclique) — Cov=-0.000016, Var(idx)=0.000045, ρ=-0.064,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σ_j=3.69%/j (Modérée) — Vol. annualisée≈58.6%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2,130</w:t>
            </w:r>
          </w:p>
        </w:tc>
        <w:tc>
          <w:tcPr>
            <w:tcW w:type="dxa" w:w="1440"/>
            <w:shd w:fill="FAFAFA" w:val="clear"/>
          </w:tcPr>
          <w:p>
            <w:r>
              <w:rPr>
                <w:b/>
                <w:sz w:val="17"/>
              </w:rPr>
              <w:t>2,241</w:t>
            </w:r>
          </w:p>
        </w:tc>
        <w:tc>
          <w:tcPr>
            <w:tcW w:type="dxa" w:w="1440"/>
            <w:shd w:fill="FAFAFA" w:val="clear"/>
          </w:tcPr>
          <w:p>
            <w:r>
              <w:rPr>
                <w:sz w:val="17"/>
              </w:rPr>
              <w:t>2,351</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2,112</w:t>
            </w:r>
          </w:p>
        </w:tc>
        <w:tc>
          <w:tcPr>
            <w:tcW w:type="dxa" w:w="1440"/>
            <w:shd w:fill="FAFAFA" w:val="clear"/>
          </w:tcPr>
          <w:p>
            <w:r>
              <w:rPr>
                <w:b/>
                <w:sz w:val="17"/>
              </w:rPr>
              <w:t>2,271</w:t>
            </w:r>
          </w:p>
        </w:tc>
        <w:tc>
          <w:tcPr>
            <w:tcW w:type="dxa" w:w="1440"/>
            <w:shd w:fill="FAFAFA" w:val="clear"/>
          </w:tcPr>
          <w:p>
            <w:r>
              <w:rPr>
                <w:sz w:val="17"/>
              </w:rPr>
              <w:t>2,429</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2,085</w:t>
            </w:r>
          </w:p>
        </w:tc>
        <w:tc>
          <w:tcPr>
            <w:tcW w:type="dxa" w:w="1440"/>
            <w:shd w:fill="FAFAFA" w:val="clear"/>
          </w:tcPr>
          <w:p>
            <w:r>
              <w:rPr>
                <w:b/>
                <w:sz w:val="17"/>
              </w:rPr>
              <w:t>2,279</w:t>
            </w:r>
          </w:p>
        </w:tc>
        <w:tc>
          <w:tcPr>
            <w:tcW w:type="dxa" w:w="1440"/>
            <w:shd w:fill="FAFAFA" w:val="clear"/>
          </w:tcPr>
          <w:p>
            <w:r>
              <w:rPr>
                <w:sz w:val="17"/>
              </w:rPr>
              <w:t>2,474</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2,053</w:t>
            </w:r>
          </w:p>
        </w:tc>
        <w:tc>
          <w:tcPr>
            <w:tcW w:type="dxa" w:w="1440"/>
            <w:shd w:fill="FAFAFA" w:val="clear"/>
          </w:tcPr>
          <w:p>
            <w:r>
              <w:rPr>
                <w:b/>
                <w:sz w:val="17"/>
              </w:rPr>
              <w:t>2,278</w:t>
            </w:r>
          </w:p>
        </w:tc>
        <w:tc>
          <w:tcPr>
            <w:tcW w:type="dxa" w:w="1440"/>
            <w:shd w:fill="FAFAFA" w:val="clear"/>
          </w:tcPr>
          <w:p>
            <w:r>
              <w:rPr>
                <w:sz w:val="17"/>
              </w:rPr>
              <w:t>2,503</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2,021</w:t>
            </w:r>
          </w:p>
        </w:tc>
        <w:tc>
          <w:tcPr>
            <w:tcW w:type="dxa" w:w="1440"/>
            <w:shd w:fill="FAFAFA" w:val="clear"/>
          </w:tcPr>
          <w:p>
            <w:r>
              <w:rPr>
                <w:b/>
                <w:sz w:val="17"/>
              </w:rPr>
              <w:t>2,272</w:t>
            </w:r>
          </w:p>
        </w:tc>
        <w:tc>
          <w:tcPr>
            <w:tcW w:type="dxa" w:w="1440"/>
            <w:shd w:fill="FAFAFA" w:val="clear"/>
          </w:tcPr>
          <w:p>
            <w:r>
              <w:rPr>
                <w:sz w:val="17"/>
              </w:rPr>
              <w:t>2,523</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1,990</w:t>
            </w:r>
          </w:p>
        </w:tc>
        <w:tc>
          <w:tcPr>
            <w:tcW w:type="dxa" w:w="1440"/>
            <w:shd w:fill="FAFAFA" w:val="clear"/>
          </w:tcPr>
          <w:p>
            <w:r>
              <w:rPr>
                <w:b/>
                <w:sz w:val="17"/>
              </w:rPr>
              <w:t>2,264</w:t>
            </w:r>
          </w:p>
        </w:tc>
        <w:tc>
          <w:tcPr>
            <w:tcW w:type="dxa" w:w="1440"/>
            <w:shd w:fill="FAFAFA" w:val="clear"/>
          </w:tcPr>
          <w:p>
            <w:r>
              <w:rPr>
                <w:sz w:val="17"/>
              </w:rPr>
              <w:t>2,537</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1,960</w:t>
            </w:r>
          </w:p>
        </w:tc>
        <w:tc>
          <w:tcPr>
            <w:tcW w:type="dxa" w:w="1440"/>
            <w:shd w:fill="FAFAFA" w:val="clear"/>
          </w:tcPr>
          <w:p>
            <w:r>
              <w:rPr>
                <w:b/>
                <w:sz w:val="17"/>
              </w:rPr>
              <w:t>2,255</w:t>
            </w:r>
          </w:p>
        </w:tc>
        <w:tc>
          <w:tcPr>
            <w:tcW w:type="dxa" w:w="1440"/>
            <w:shd w:fill="FAFAFA" w:val="clear"/>
          </w:tcPr>
          <w:p>
            <w:r>
              <w:rPr>
                <w:sz w:val="17"/>
              </w:rPr>
              <w:t>2,549</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1,933</w:t>
            </w:r>
          </w:p>
        </w:tc>
        <w:tc>
          <w:tcPr>
            <w:tcW w:type="dxa" w:w="1440"/>
            <w:shd w:fill="FAFAFA" w:val="clear"/>
          </w:tcPr>
          <w:p>
            <w:r>
              <w:rPr>
                <w:b/>
                <w:sz w:val="17"/>
              </w:rPr>
              <w:t>2,246</w:t>
            </w:r>
          </w:p>
        </w:tc>
        <w:tc>
          <w:tcPr>
            <w:tcW w:type="dxa" w:w="1440"/>
            <w:shd w:fill="FAFAFA" w:val="clear"/>
          </w:tcPr>
          <w:p>
            <w:r>
              <w:rPr>
                <w:sz w:val="17"/>
              </w:rPr>
              <w:t>2,559</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1,907</w:t>
            </w:r>
          </w:p>
        </w:tc>
        <w:tc>
          <w:tcPr>
            <w:tcW w:type="dxa" w:w="1440"/>
            <w:shd w:fill="FAFAFA" w:val="clear"/>
          </w:tcPr>
          <w:p>
            <w:r>
              <w:rPr>
                <w:b/>
                <w:sz w:val="17"/>
              </w:rPr>
              <w:t>2,238</w:t>
            </w:r>
          </w:p>
        </w:tc>
        <w:tc>
          <w:tcPr>
            <w:tcW w:type="dxa" w:w="1440"/>
            <w:shd w:fill="FAFAFA" w:val="clear"/>
          </w:tcPr>
          <w:p>
            <w:r>
              <w:rPr>
                <w:sz w:val="17"/>
              </w:rPr>
              <w:t>2,569</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1,883</w:t>
            </w:r>
          </w:p>
        </w:tc>
        <w:tc>
          <w:tcPr>
            <w:tcW w:type="dxa" w:w="1440"/>
            <w:shd w:fill="FAFAFA" w:val="clear"/>
          </w:tcPr>
          <w:p>
            <w:r>
              <w:rPr>
                <w:b/>
                <w:sz w:val="17"/>
              </w:rPr>
              <w:t>2,231</w:t>
            </w:r>
          </w:p>
        </w:tc>
        <w:tc>
          <w:tcPr>
            <w:tcW w:type="dxa" w:w="1440"/>
            <w:shd w:fill="FAFAFA" w:val="clear"/>
          </w:tcPr>
          <w:p>
            <w:r>
              <w:rPr>
                <w:sz w:val="17"/>
              </w:rPr>
              <w:t>2,579</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SETAO (STAC) — BRVM</w:t>
      </w:r>
    </w:p>
    <w:p>
      <w:pPr>
        <w:spacing w:after="120" w:line="276" w:lineRule="auto"/>
      </w:pPr>
      <w:r>
        <w:t>**Date d'analyse : Septembre 2026** | **Cours de référence : 2 250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SETAO s'établit à 30,24 milliards FCFA, un niveau modeste à l'échelle de la BRVM qui la classe parmi les petites capitalisations du compartiment industriel/BTP. Le BPA ressort à **-7 FCFA/action**, confirmant que la société détruit de la valeur par action, ce qui rend le PER de **-313,2x** non interprétable en termes de valorisation relative (un PER négatif signale simplement une société déficitaire, sans référence possible au PER moyen BRVM de 8-12x). Le ratio P/B de **84,77x** est particulièrement alarmant : le marché valorise l'action à près de 85 fois sa valeur comptable, alors que les capitaux propres ne s'élèvent qu'à 356,75 M FCFA pour une capitalisation de 30,24 Mds FCFA — soit une prime spéculative considérable et déconnectée des fondamentaux. Cette décorrélation extrême entre prix de marché et valeur comptable traduit soit une anticipation de retournement majeur (nouveaux contrats), soit une anomalie de valorisation typique des petites capitalisations peu liquides de la BRVM. Le ratio EV/EBITDA n'est pas calculable en raison d'un EBE négatif (-650,13 M FCFA), ce qui prive l'analyste d'un indicateur clé de valorisation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-26,23%**, matérialisant une tendance baissière structurelle, bien que la dernière séance (J-1) enregistre un rebond technique de **+7,14%** à 2 250 FCFA. Le range de trading est large, avec un plus haut à **3 640 FCFA** et un plus bas à **2 100 FCFA**, soit un amplitude de 73% entre les extrêmes — signe d'une forte nervosité du titre. La moyenne (2 900 FCFA) est supérieure à la médiane (2 835 FCFA), avec un mode à 3 500 FCFA, indiquant que le cours a passé davantage de temps sur des niveaux élevés avant de chuter récemment, créant une asymétrie légèrement positive (skewness = 0,270). L'écart-type de 380 FCFA avec un coefficient de variation de 13,1% traduit une dispersion modérée autour de la moyenne, tandis que le kurtosis de -0,651 (mésokurtique) suggère une distribution proche de la normale, sans risque excessif de pics extrêmes. La **volatilité annualisée de 58,6%** classe ce titre dans la catégorie **très élevée** (&gt;30%), ce qui est cohérent avec une petite capitalisation en difficulté opérationnelle. Le volume moyen de 6 051 titres/jour reste faible, exposant le titre à un risque de liquidité et à des mouvements erratiques.</w:t>
      </w:r>
    </w:p>
    <w:p>
      <w:pPr>
        <w:spacing w:after="120" w:line="276" w:lineRule="auto"/>
      </w:pPr>
      <w:r>
        <w:t>---</w:t>
      </w:r>
    </w:p>
    <w:p>
      <w:pPr>
        <w:spacing w:after="120" w:line="276" w:lineRule="auto"/>
      </w:pPr>
      <w:r>
        <w:t>## PARTIE 2 : ANALYSE TECHNIQUE DÉTAILLÉE</w:t>
      </w:r>
    </w:p>
    <w:p>
      <w:pPr>
        <w:spacing w:after="120" w:line="276" w:lineRule="auto"/>
      </w:pPr>
      <w:r>
        <w:t>**Moyennes Mobiles** : La MM20 (2 486,75 FCFA) et la MM50 (2 661,1 FCFA) sont toutes deux supérieures au cours actuel (2 250 FCFA), avec une MM20 en dessous de la MM50 — configuration baissière classique (croisement mort confirmé). Le cours évolue sous ses deux moyennes, signalant une pression vendeuse persistante ; la décision technique est logiquement **Vente**.</w:t>
      </w:r>
    </w:p>
    <w:p>
      <w:pPr>
        <w:spacing w:after="120" w:line="276" w:lineRule="auto"/>
      </w:pPr>
      <w:r>
        <w:t>**Bandes de Bollinger** : Le cours (2 250 FCFA) se situe dans la moitié inférieure de la bande, entre la borne inférieure (2 046,77 FCFA) et la borne supérieure (2 926,73 FCFA), sans toucher les extrêmes. Cette position médiane-basse, combinée à un écart-type élevé, traduit une volatilité importante sans signal de retournement imminent ; la décision est **Neutre**.</w:t>
      </w:r>
    </w:p>
    <w:p>
      <w:pPr>
        <w:spacing w:after="120" w:line="276" w:lineRule="auto"/>
      </w:pPr>
      <w:r>
        <w:t>**MACD** : La ligne MACD (-145,079) est nettement en dessous de sa ligne de signal (-114,705), avec un histogramme négatif — configuration baissière confirmée. Le momentum reste négatif et la divergence entre les deux lignes ne montre aucun signe de convergence haussière à court terme ; décision **Vente**.</w:t>
      </w:r>
    </w:p>
    <w:p>
      <w:pPr>
        <w:spacing w:after="120" w:line="276" w:lineRule="auto"/>
      </w:pPr>
      <w:r>
        <w:t>**RSI** : À **28,743**, le RSI est en zone de **survente** (&lt;30), ce qui constitue un signal d'achat technique contracyclique. Cette lecture suggère qu'un rebond technique est possible à court terme, comme l'illustre d'ailleurs la hausse de +7,14% en J-1 ; décision **Achat**.</w:t>
      </w:r>
    </w:p>
    <w:p>
      <w:pPr>
        <w:spacing w:after="120" w:line="276" w:lineRule="auto"/>
      </w:pPr>
      <w:r>
        <w:t>**Stochastique** : Le %K (31,25) est supérieur au %D (10,986), avec un croisement haussier en zone basse — signal précoce de retournement. La position basse des deux lignes confirme la survente, mais le croisement %K/%D plaide pour un rebond à court terme ; décision **Neutre** (en transition vers achat).</w:t>
      </w:r>
    </w:p>
    <w:p>
      <w:pPr>
        <w:spacing w:after="120" w:line="276" w:lineRule="auto"/>
      </w:pPr>
      <w:r>
        <w:t>**Conclusion technique** : Les indicateurs de tendance (MM, MACD) restent majoritairement baissiers, mais les oscillateurs (RSI en survente, Stochastique en croisement haussier) signalent un **rebond technique imminent**. Cette divergence entre tendance de fond (baissière) et momentum court terme (haussier) est typique d'un **pullback** dans un marché baissier — le rebond de J-1 (+7,14%) en est la première manifestation. La prudence reste de mise tant que le cours n'a pas reconquis la MM20 (2 486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SETAO affiche un chiffre d'affaires de **3,878 Mds FCFA**, en **croissance spectaculaire de +116,26%** par rapport à 2024 (1,793 Md FCFA), portée par les travaux préliminaires de l'aéroport d'Abidjan. Cependant, cette dynamique commerciale ne se traduit pas encore en rentabilité : le **résultat net reste négatif à -96,56 M FCFA**, et la **marge nette s'établit à -2,49%**. Le **ROE est de -27,07%** et le **ROA de -1,77%**, confirmant une destruction de valeur persistante. L'EBE est fortement déficitaire à **-650,13 M FCFA** et le résultat d'exploitation à **-771,95 M FCFA**, révélant une structure de coûts inadaptée au niveau d'activité. La **VA de 154,19 M FCFA** est marginale (4% du CA), signe d'une faible valeur ajoutée créée. Le **BFR est négatif à -930,47 M FCFA** (favorable pour la trésorerie), et la trésorerie nette atteint **1,330 Md FCFA**, offrant un coussin de liquidité. Toutefois, l'**autonomie financière est critique à 6,55%** (capitaux propres = 356,75 M FCFA pour 5,447 Mds FCFA d'actifs), et le **ratio d'endettement de 93,45%** expose la société à un risque de solvabilité majeur. La **capacité de remboursement de 77,53 années** (dettes financières/CAF) est rédhibitoire.</w:t>
      </w:r>
    </w:p>
    <w:p>
      <w:pPr>
        <w:spacing w:after="120" w:line="276" w:lineRule="auto"/>
      </w:pPr>
      <w:r>
        <w:t>**Estimations basées sur les rapports trimestriels** : Le rapport du **T3 2025 (30/09/2025)** indique un CA cumulé de 3 456 M FCFA (+176% sur 9 mois) et une perte nette réduite de 22% à -477 M FCFA, avec une perte d'exploitation divisée par deux (-456 M FCFA). La direction maintient sa prévision de CA annuel à **4 Mds FCFA**, ce qui implique un T4 très faible (~544 M FCFA). On estime donc que l'exercice 2025 devrait se solder par une perte nette d'environ **-100 à -150 M FCFA** (cohérent avec les -96,56 M FCFA publiés), avec une amélioration progressive mais insuffisante pour atteindre la rentabilité. Le rapport du **S1 2025 (30/06/2025)** confirmait déjà cette tendance (CA de 2 271 M FCFA, perte de -557 M FCFA), et le rapport **2024** faisait état d'une perte nette de -348 M FCFA pour un CA de 1 793 M FCFA.</w:t>
      </w:r>
    </w:p>
    <w:p>
      <w:pPr>
        <w:spacing w:after="120" w:line="276" w:lineRule="auto"/>
      </w:pPr>
      <w:r>
        <w:t>**Évolution pluriannuelle** : La société a connu un pic de performance en **2020** (CA de 15,9 Mds FCFA, résultat net de 2,32 Mds FCFA, marge nette de 14,6%) et **2021** (CA de 10,27 Mds FCFA, résultat net de 1,12 Md FCFA), avant un effondrement en **2023** (CA de 9,26 Mds FCFA, perte de -1,118 Md FCFA) et **2024** (CA de 1,793 Md FCFA, perte de -348 M FCFA). Le retournement de 2025 (+116% de CA) marque une reprise d'activité, mais la rentabilité reste hors de portée.</w:t>
      </w:r>
    </w:p>
    <w:p>
      <w:pPr>
        <w:spacing w:after="120" w:line="276" w:lineRule="auto"/>
      </w:pPr>
      <w:r>
        <w:t>**Conclusion fondamentale** : SETAO est une **société en redressement opérationnel mais toujours déficitaire**, avec une structure financière très fragile (autonomie financière de 6,55%, endettement de 93,45%) et une dépendance critique à un seul projet (aéroport d'Abidjan). La trésorerie nette positive (1,33 Md FCFA) constitue le principal point d'appui, mais elle est consommée par les pertes opérationnelles (flux opérationnel de -2,212 Mds FCFA en 2025). **Recommandation fondamentale : VENTE** — le risque de solvabilité à moyen terme est élevé, et l'absence de dividendes depuis 2018 prive l'investisseur de tout rendement.</w:t>
      </w:r>
    </w:p>
    <w:p>
      <w:pPr>
        <w:spacing w:after="120" w:line="276" w:lineRule="auto"/>
      </w:pPr>
      <w:r>
        <w:t>---</w:t>
      </w:r>
    </w:p>
    <w:p>
      <w:pPr>
        <w:spacing w:after="120" w:line="276" w:lineRule="auto"/>
      </w:pPr>
      <w:r>
        <w:t>## PARTIE 4 : CONCLUSION D'INVESTISSEMENT</w:t>
      </w:r>
    </w:p>
    <w:p>
      <w:pPr>
        <w:spacing w:after="120" w:line="276" w:lineRule="auto"/>
      </w:pPr>
      <w:r>
        <w:t>La **valorisation (Partie 0)** est profondément déconnectée des fondamentaux : PER négatif (-313,2x), P/B de 84,77x (prime spéculative extrême), EV/EBITDA non calculable — aucun de ces ratios ne plaide en faveur d'une sous-évaluation ; au contraire, le marché valorise SETAO à 30,24 Mds FCFA pour des capitaux propres de 356,75 M FCFA, soit une surévaluation manifeste. Le **comportement du cours (Partie 1)** est préoccupant : tendance baissière de -26,23% sur 100 jours, volatilité annualisée de 58,6% (très élevée), distribution mésokurtique (kurtosis -0,651) et légèrement asymétrique (skewness +0,270), avec un rebond technique de +7,14% en J-1 qui ne remet pas en cause la tendance de fond. Les **signaux techniques (Partie 2)** sont divergents : les indicateurs de tendance (MM20/MM50, MACD) restent baissiers, tandis que les oscillateurs (RSI à 28,7 en survente, Stochastique en croisement haussier) signalent un rebond à court terme — cette configuration suggère un **pullback technique** plutôt qu'un retournement durable. Les **fondamentaux (Partie 3)** demeurent très fragiles : malgré une croissance spectaculaire du CA (+116,26% en 2025), la société reste déficitaire (résultat net de -96,56 M FCFA, ROE de -27,07%), avec une autonomie financière critique (6,55%) et une dépendance à un projet unique. Les **prédictions IA (J+1 à J+10)** anticipent une stabilisation autour de 2 241-2 279 FCFA, soit une légère hausse de +1,3% par rapport au cours actuel (2 250 FCFA), confirmant un rebond technique limité sans inversion de tendance.</w:t>
      </w:r>
    </w:p>
    <w:p>
      <w:pPr>
        <w:spacing w:after="120" w:line="276" w:lineRule="auto"/>
      </w:pPr>
      <w:r>
        <w:t>**Recommandation finale : VENTE**</w:t>
      </w:r>
    </w:p>
    <w:p>
      <w:pPr>
        <w:spacing w:after="120" w:line="276" w:lineRule="auto"/>
      </w:pPr>
      <w:r>
        <w:t>Cette recommandation repose sur la **convergence baissière** entre la valorisation (surévaluée), la tendance de fond (baissière), les fondamentaux (déficitaires et fragile) et les prédictions IA (stabilisation sans rebond majeur). Le rebond technique en cours (RSI en survente, +7,14% en J-1) offre une **opportunité de sortie** pour les investisseurs détenant le titre, plutôt qu'un signal d'achat. **Niveau de confiance : Élevé** — les signaux baissiers sont multiples et convergents. **Niveau de risque global : Élevé** — petite capitalisation, faible liquidité (6 051 titres/jour), structure financière précaire, dépendance à un projet unique. **Horizon d'investissement : Court terme (&lt;3 mois)** pour une sortie sur rebond technique ; **à éviter** pour tout horizon moyen/long terme tant que la rentabilité n'est pas rétablie et que la structure financière n'est pas assainie. Les investisseurs spéculatifs pourraient surveiller une éventuelle annonce de nouveau contrat majeur, mais le rapport risque/rendement reste défavorable.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386.03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3,902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+9.11%</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5.40% (Moyenne) — μ=22,479 FCFA, σ=1,215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β=0.3535 (Défensif) — Cov=0.000016, Var(idx)=0.000045, ρ=0.100,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2026-09-25</w:t>
            </w:r>
          </w:p>
        </w:tc>
        <w:tc>
          <w:tcPr>
            <w:tcW w:type="dxa" w:w="1440"/>
            <w:shd w:fill="C6EFCE" w:val="clear"/>
          </w:tcPr>
          <w:p>
            <w:r>
              <w:rPr>
                <w:sz w:val="17"/>
              </w:rPr>
              <w:t>21,095</w:t>
            </w:r>
          </w:p>
        </w:tc>
        <w:tc>
          <w:tcPr>
            <w:tcW w:type="dxa" w:w="1440"/>
            <w:shd w:fill="C6EFCE" w:val="clear"/>
          </w:tcPr>
          <w:p>
            <w:r>
              <w:rPr>
                <w:b/>
                <w:sz w:val="17"/>
              </w:rPr>
              <w:t>22,104</w:t>
            </w:r>
          </w:p>
        </w:tc>
        <w:tc>
          <w:tcPr>
            <w:tcW w:type="dxa" w:w="1440"/>
            <w:shd w:fill="C6EFCE" w:val="clear"/>
          </w:tcPr>
          <w:p>
            <w:r>
              <w:rPr>
                <w:sz w:val="17"/>
              </w:rPr>
              <w:t>23,114</w:t>
            </w:r>
          </w:p>
        </w:tc>
        <w:tc>
          <w:tcPr>
            <w:tcW w:type="dxa" w:w="1440"/>
            <w:shd w:fill="C6EFCE" w:val="clear"/>
          </w:tcPr>
          <w:p>
            <w:r>
              <w:rPr>
                <w:b/>
                <w:color w:val="008000"/>
                <w:sz w:val="17"/>
              </w:rPr>
              <w:t>+2.8%</w:t>
            </w:r>
          </w:p>
        </w:tc>
      </w:tr>
      <w:tr>
        <w:tc>
          <w:tcPr>
            <w:tcW w:type="dxa" w:w="1440"/>
            <w:shd w:fill="C6EFCE" w:val="clear"/>
          </w:tcPr>
          <w:p>
            <w:r>
              <w:rPr>
                <w:sz w:val="17"/>
              </w:rPr>
              <w:t>J+2  ⭐</w:t>
            </w:r>
          </w:p>
        </w:tc>
        <w:tc>
          <w:tcPr>
            <w:tcW w:type="dxa" w:w="1440"/>
            <w:shd w:fill="C6EFCE" w:val="clear"/>
          </w:tcPr>
          <w:p>
            <w:r>
              <w:rPr>
                <w:sz w:val="17"/>
              </w:rPr>
              <w:t>2026-09-28</w:t>
            </w:r>
          </w:p>
        </w:tc>
        <w:tc>
          <w:tcPr>
            <w:tcW w:type="dxa" w:w="1440"/>
            <w:shd w:fill="C6EFCE" w:val="clear"/>
          </w:tcPr>
          <w:p>
            <w:r>
              <w:rPr>
                <w:sz w:val="17"/>
              </w:rPr>
              <w:t>21,009</w:t>
            </w:r>
          </w:p>
        </w:tc>
        <w:tc>
          <w:tcPr>
            <w:tcW w:type="dxa" w:w="1440"/>
            <w:shd w:fill="C6EFCE" w:val="clear"/>
          </w:tcPr>
          <w:p>
            <w:r>
              <w:rPr>
                <w:b/>
                <w:sz w:val="17"/>
              </w:rPr>
              <w:t>22,459</w:t>
            </w:r>
          </w:p>
        </w:tc>
        <w:tc>
          <w:tcPr>
            <w:tcW w:type="dxa" w:w="1440"/>
            <w:shd w:fill="C6EFCE" w:val="clear"/>
          </w:tcPr>
          <w:p>
            <w:r>
              <w:rPr>
                <w:sz w:val="17"/>
              </w:rPr>
              <w:t>23,910</w:t>
            </w:r>
          </w:p>
        </w:tc>
        <w:tc>
          <w:tcPr>
            <w:tcW w:type="dxa" w:w="1440"/>
            <w:shd w:fill="C6EFCE" w:val="clear"/>
          </w:tcPr>
          <w:p>
            <w:r>
              <w:rPr>
                <w:b/>
                <w:color w:val="008000"/>
                <w:sz w:val="17"/>
              </w:rPr>
              <w:t>+4.5%</w:t>
            </w:r>
          </w:p>
        </w:tc>
      </w:tr>
      <w:tr>
        <w:tc>
          <w:tcPr>
            <w:tcW w:type="dxa" w:w="1440"/>
            <w:shd w:fill="C6EFCE" w:val="clear"/>
          </w:tcPr>
          <w:p>
            <w:r>
              <w:rPr>
                <w:sz w:val="17"/>
              </w:rPr>
              <w:t>J+3  ⭐</w:t>
            </w:r>
          </w:p>
        </w:tc>
        <w:tc>
          <w:tcPr>
            <w:tcW w:type="dxa" w:w="1440"/>
            <w:shd w:fill="C6EFCE" w:val="clear"/>
          </w:tcPr>
          <w:p>
            <w:r>
              <w:rPr>
                <w:sz w:val="17"/>
              </w:rPr>
              <w:t>2026-09-29</w:t>
            </w:r>
          </w:p>
        </w:tc>
        <w:tc>
          <w:tcPr>
            <w:tcW w:type="dxa" w:w="1440"/>
            <w:shd w:fill="C6EFCE" w:val="clear"/>
          </w:tcPr>
          <w:p>
            <w:r>
              <w:rPr>
                <w:sz w:val="17"/>
              </w:rPr>
              <w:t>20,986</w:t>
            </w:r>
          </w:p>
        </w:tc>
        <w:tc>
          <w:tcPr>
            <w:tcW w:type="dxa" w:w="1440"/>
            <w:shd w:fill="C6EFCE" w:val="clear"/>
          </w:tcPr>
          <w:p>
            <w:r>
              <w:rPr>
                <w:b/>
                <w:sz w:val="17"/>
              </w:rPr>
              <w:t>22,789</w:t>
            </w:r>
          </w:p>
        </w:tc>
        <w:tc>
          <w:tcPr>
            <w:tcW w:type="dxa" w:w="1440"/>
            <w:shd w:fill="C6EFCE" w:val="clear"/>
          </w:tcPr>
          <w:p>
            <w:r>
              <w:rPr>
                <w:sz w:val="17"/>
              </w:rPr>
              <w:t>24,591</w:t>
            </w:r>
          </w:p>
        </w:tc>
        <w:tc>
          <w:tcPr>
            <w:tcW w:type="dxa" w:w="1440"/>
            <w:shd w:fill="C6EFCE" w:val="clear"/>
          </w:tcPr>
          <w:p>
            <w:r>
              <w:rPr>
                <w:b/>
                <w:color w:val="008000"/>
                <w:sz w:val="17"/>
              </w:rPr>
              <w:t>+6.0%</w:t>
            </w:r>
          </w:p>
        </w:tc>
      </w:tr>
      <w:tr>
        <w:tc>
          <w:tcPr>
            <w:tcW w:type="dxa" w:w="1440"/>
            <w:shd w:fill="C6EFCE" w:val="clear"/>
          </w:tcPr>
          <w:p>
            <w:r>
              <w:rPr>
                <w:sz w:val="17"/>
              </w:rPr>
              <w:t>J+4  ⭐</w:t>
            </w:r>
          </w:p>
        </w:tc>
        <w:tc>
          <w:tcPr>
            <w:tcW w:type="dxa" w:w="1440"/>
            <w:shd w:fill="C6EFCE" w:val="clear"/>
          </w:tcPr>
          <w:p>
            <w:r>
              <w:rPr>
                <w:sz w:val="17"/>
              </w:rPr>
              <w:t>2026-09-30</w:t>
            </w:r>
          </w:p>
        </w:tc>
        <w:tc>
          <w:tcPr>
            <w:tcW w:type="dxa" w:w="1440"/>
            <w:shd w:fill="C6EFCE" w:val="clear"/>
          </w:tcPr>
          <w:p>
            <w:r>
              <w:rPr>
                <w:sz w:val="17"/>
              </w:rPr>
              <w:t>20,989</w:t>
            </w:r>
          </w:p>
        </w:tc>
        <w:tc>
          <w:tcPr>
            <w:tcW w:type="dxa" w:w="1440"/>
            <w:shd w:fill="C6EFCE" w:val="clear"/>
          </w:tcPr>
          <w:p>
            <w:r>
              <w:rPr>
                <w:b/>
                <w:sz w:val="17"/>
              </w:rPr>
              <w:t>23,098</w:t>
            </w:r>
          </w:p>
        </w:tc>
        <w:tc>
          <w:tcPr>
            <w:tcW w:type="dxa" w:w="1440"/>
            <w:shd w:fill="C6EFCE" w:val="clear"/>
          </w:tcPr>
          <w:p>
            <w:r>
              <w:rPr>
                <w:sz w:val="17"/>
              </w:rPr>
              <w:t>25,207</w:t>
            </w:r>
          </w:p>
        </w:tc>
        <w:tc>
          <w:tcPr>
            <w:tcW w:type="dxa" w:w="1440"/>
            <w:shd w:fill="C6EFCE" w:val="clear"/>
          </w:tcPr>
          <w:p>
            <w:r>
              <w:rPr>
                <w:b/>
                <w:color w:val="008000"/>
                <w:sz w:val="17"/>
              </w:rPr>
              <w:t>+7.4%</w:t>
            </w:r>
          </w:p>
        </w:tc>
      </w:tr>
      <w:tr>
        <w:tc>
          <w:tcPr>
            <w:tcW w:type="dxa" w:w="1440"/>
            <w:shd w:fill="C6EFCE" w:val="clear"/>
          </w:tcPr>
          <w:p>
            <w:r>
              <w:rPr>
                <w:sz w:val="17"/>
              </w:rPr>
              <w:t>J+5  ⭐</w:t>
            </w:r>
          </w:p>
        </w:tc>
        <w:tc>
          <w:tcPr>
            <w:tcW w:type="dxa" w:w="1440"/>
            <w:shd w:fill="C6EFCE" w:val="clear"/>
          </w:tcPr>
          <w:p>
            <w:r>
              <w:rPr>
                <w:sz w:val="17"/>
              </w:rPr>
              <w:t>2026-10-01</w:t>
            </w:r>
          </w:p>
        </w:tc>
        <w:tc>
          <w:tcPr>
            <w:tcW w:type="dxa" w:w="1440"/>
            <w:shd w:fill="C6EFCE" w:val="clear"/>
          </w:tcPr>
          <w:p>
            <w:r>
              <w:rPr>
                <w:sz w:val="17"/>
              </w:rPr>
              <w:t>20,983</w:t>
            </w:r>
          </w:p>
        </w:tc>
        <w:tc>
          <w:tcPr>
            <w:tcW w:type="dxa" w:w="1440"/>
            <w:shd w:fill="C6EFCE" w:val="clear"/>
          </w:tcPr>
          <w:p>
            <w:r>
              <w:rPr>
                <w:b/>
                <w:sz w:val="17"/>
              </w:rPr>
              <w:t>23,369</w:t>
            </w:r>
          </w:p>
        </w:tc>
        <w:tc>
          <w:tcPr>
            <w:tcW w:type="dxa" w:w="1440"/>
            <w:shd w:fill="C6EFCE" w:val="clear"/>
          </w:tcPr>
          <w:p>
            <w:r>
              <w:rPr>
                <w:sz w:val="17"/>
              </w:rPr>
              <w:t>25,755</w:t>
            </w:r>
          </w:p>
        </w:tc>
        <w:tc>
          <w:tcPr>
            <w:tcW w:type="dxa" w:w="1440"/>
            <w:shd w:fill="C6EFCE" w:val="clear"/>
          </w:tcPr>
          <w:p>
            <w:r>
              <w:rPr>
                <w:b/>
                <w:color w:val="008000"/>
                <w:sz w:val="17"/>
              </w:rPr>
              <w:t>+8.7%</w:t>
            </w:r>
          </w:p>
        </w:tc>
      </w:tr>
      <w:tr>
        <w:tc>
          <w:tcPr>
            <w:tcW w:type="dxa" w:w="1440"/>
            <w:shd w:fill="C6EFCE" w:val="clear"/>
          </w:tcPr>
          <w:p>
            <w:r>
              <w:rPr>
                <w:sz w:val="17"/>
              </w:rPr>
              <w:t>J+6  ⭐</w:t>
            </w:r>
          </w:p>
        </w:tc>
        <w:tc>
          <w:tcPr>
            <w:tcW w:type="dxa" w:w="1440"/>
            <w:shd w:fill="C6EFCE" w:val="clear"/>
          </w:tcPr>
          <w:p>
            <w:r>
              <w:rPr>
                <w:sz w:val="17"/>
              </w:rPr>
              <w:t>2026-10-02</w:t>
            </w:r>
          </w:p>
        </w:tc>
        <w:tc>
          <w:tcPr>
            <w:tcW w:type="dxa" w:w="1440"/>
            <w:shd w:fill="C6EFCE" w:val="clear"/>
          </w:tcPr>
          <w:p>
            <w:r>
              <w:rPr>
                <w:sz w:val="17"/>
              </w:rPr>
              <w:t>20,939</w:t>
            </w:r>
          </w:p>
        </w:tc>
        <w:tc>
          <w:tcPr>
            <w:tcW w:type="dxa" w:w="1440"/>
            <w:shd w:fill="C6EFCE" w:val="clear"/>
          </w:tcPr>
          <w:p>
            <w:r>
              <w:rPr>
                <w:b/>
                <w:sz w:val="17"/>
              </w:rPr>
              <w:t>23,575</w:t>
            </w:r>
          </w:p>
        </w:tc>
        <w:tc>
          <w:tcPr>
            <w:tcW w:type="dxa" w:w="1440"/>
            <w:shd w:fill="C6EFCE" w:val="clear"/>
          </w:tcPr>
          <w:p>
            <w:r>
              <w:rPr>
                <w:sz w:val="17"/>
              </w:rPr>
              <w:t>26,212</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2026-10-05</w:t>
            </w:r>
          </w:p>
        </w:tc>
        <w:tc>
          <w:tcPr>
            <w:tcW w:type="dxa" w:w="1440"/>
            <w:shd w:fill="C6EFCE" w:val="clear"/>
          </w:tcPr>
          <w:p>
            <w:r>
              <w:rPr>
                <w:sz w:val="17"/>
              </w:rPr>
              <w:t>20,900</w:t>
            </w:r>
          </w:p>
        </w:tc>
        <w:tc>
          <w:tcPr>
            <w:tcW w:type="dxa" w:w="1440"/>
            <w:shd w:fill="C6EFCE" w:val="clear"/>
          </w:tcPr>
          <w:p>
            <w:r>
              <w:rPr>
                <w:b/>
                <w:sz w:val="17"/>
              </w:rPr>
              <w:t>23,771</w:t>
            </w:r>
          </w:p>
        </w:tc>
        <w:tc>
          <w:tcPr>
            <w:tcW w:type="dxa" w:w="1440"/>
            <w:shd w:fill="C6EFCE" w:val="clear"/>
          </w:tcPr>
          <w:p>
            <w:r>
              <w:rPr>
                <w:sz w:val="17"/>
              </w:rPr>
              <w:t>26,643</w:t>
            </w:r>
          </w:p>
        </w:tc>
        <w:tc>
          <w:tcPr>
            <w:tcW w:type="dxa" w:w="1440"/>
            <w:shd w:fill="C6EFCE" w:val="clear"/>
          </w:tcPr>
          <w:p>
            <w:r>
              <w:rPr>
                <w:b/>
                <w:color w:val="008000"/>
                <w:sz w:val="17"/>
              </w:rPr>
              <w:t>+10.6%</w:t>
            </w:r>
          </w:p>
        </w:tc>
      </w:tr>
      <w:tr>
        <w:tc>
          <w:tcPr>
            <w:tcW w:type="dxa" w:w="1440"/>
            <w:shd w:fill="C6EFCE" w:val="clear"/>
          </w:tcPr>
          <w:p>
            <w:r>
              <w:rPr>
                <w:sz w:val="17"/>
              </w:rPr>
              <w:t>J+8  ⭐</w:t>
            </w:r>
          </w:p>
        </w:tc>
        <w:tc>
          <w:tcPr>
            <w:tcW w:type="dxa" w:w="1440"/>
            <w:shd w:fill="C6EFCE" w:val="clear"/>
          </w:tcPr>
          <w:p>
            <w:r>
              <w:rPr>
                <w:sz w:val="17"/>
              </w:rPr>
              <w:t>2026-10-06</w:t>
            </w:r>
          </w:p>
        </w:tc>
        <w:tc>
          <w:tcPr>
            <w:tcW w:type="dxa" w:w="1440"/>
            <w:shd w:fill="C6EFCE" w:val="clear"/>
          </w:tcPr>
          <w:p>
            <w:r>
              <w:rPr>
                <w:sz w:val="17"/>
              </w:rPr>
              <w:t>20,819</w:t>
            </w:r>
          </w:p>
        </w:tc>
        <w:tc>
          <w:tcPr>
            <w:tcW w:type="dxa" w:w="1440"/>
            <w:shd w:fill="C6EFCE" w:val="clear"/>
          </w:tcPr>
          <w:p>
            <w:r>
              <w:rPr>
                <w:b/>
                <w:sz w:val="17"/>
              </w:rPr>
              <w:t>23,907</w:t>
            </w:r>
          </w:p>
        </w:tc>
        <w:tc>
          <w:tcPr>
            <w:tcW w:type="dxa" w:w="1440"/>
            <w:shd w:fill="C6EFCE" w:val="clear"/>
          </w:tcPr>
          <w:p>
            <w:r>
              <w:rPr>
                <w:sz w:val="17"/>
              </w:rPr>
              <w:t>26,994</w:t>
            </w:r>
          </w:p>
        </w:tc>
        <w:tc>
          <w:tcPr>
            <w:tcW w:type="dxa" w:w="1440"/>
            <w:shd w:fill="C6EFCE" w:val="clear"/>
          </w:tcPr>
          <w:p>
            <w:r>
              <w:rPr>
                <w:b/>
                <w:color w:val="008000"/>
                <w:sz w:val="17"/>
              </w:rPr>
              <w:t>+11.2%</w:t>
            </w:r>
          </w:p>
        </w:tc>
      </w:tr>
      <w:tr>
        <w:tc>
          <w:tcPr>
            <w:tcW w:type="dxa" w:w="1440"/>
            <w:shd w:fill="C6EFCE" w:val="clear"/>
          </w:tcPr>
          <w:p>
            <w:r>
              <w:rPr>
                <w:sz w:val="17"/>
              </w:rPr>
              <w:t>J+9  ⭐</w:t>
            </w:r>
          </w:p>
        </w:tc>
        <w:tc>
          <w:tcPr>
            <w:tcW w:type="dxa" w:w="1440"/>
            <w:shd w:fill="C6EFCE" w:val="clear"/>
          </w:tcPr>
          <w:p>
            <w:r>
              <w:rPr>
                <w:sz w:val="17"/>
              </w:rPr>
              <w:t>2026-10-07</w:t>
            </w:r>
          </w:p>
        </w:tc>
        <w:tc>
          <w:tcPr>
            <w:tcW w:type="dxa" w:w="1440"/>
            <w:shd w:fill="C6EFCE" w:val="clear"/>
          </w:tcPr>
          <w:p>
            <w:r>
              <w:rPr>
                <w:sz w:val="17"/>
              </w:rPr>
              <w:t>20,716</w:t>
            </w:r>
          </w:p>
        </w:tc>
        <w:tc>
          <w:tcPr>
            <w:tcW w:type="dxa" w:w="1440"/>
            <w:shd w:fill="C6EFCE" w:val="clear"/>
          </w:tcPr>
          <w:p>
            <w:r>
              <w:rPr>
                <w:b/>
                <w:sz w:val="17"/>
              </w:rPr>
              <w:t>24,004</w:t>
            </w:r>
          </w:p>
        </w:tc>
        <w:tc>
          <w:tcPr>
            <w:tcW w:type="dxa" w:w="1440"/>
            <w:shd w:fill="C6EFCE" w:val="clear"/>
          </w:tcPr>
          <w:p>
            <w:r>
              <w:rPr>
                <w:sz w:val="17"/>
              </w:rPr>
              <w:t>27,293</w:t>
            </w:r>
          </w:p>
        </w:tc>
        <w:tc>
          <w:tcPr>
            <w:tcW w:type="dxa" w:w="1440"/>
            <w:shd w:fill="C6EFCE" w:val="clear"/>
          </w:tcPr>
          <w:p>
            <w:r>
              <w:rPr>
                <w:b/>
                <w:color w:val="008000"/>
                <w:sz w:val="17"/>
              </w:rPr>
              <w:t>+11.6%</w:t>
            </w:r>
          </w:p>
        </w:tc>
      </w:tr>
      <w:tr>
        <w:tc>
          <w:tcPr>
            <w:tcW w:type="dxa" w:w="1440"/>
            <w:shd w:fill="C6EFCE" w:val="clear"/>
          </w:tcPr>
          <w:p>
            <w:r>
              <w:rPr>
                <w:sz w:val="17"/>
              </w:rPr>
              <w:t>J+10  ⭐</w:t>
            </w:r>
          </w:p>
        </w:tc>
        <w:tc>
          <w:tcPr>
            <w:tcW w:type="dxa" w:w="1440"/>
            <w:shd w:fill="C6EFCE" w:val="clear"/>
          </w:tcPr>
          <w:p>
            <w:r>
              <w:rPr>
                <w:sz w:val="17"/>
              </w:rPr>
              <w:t>2026-10-08</w:t>
            </w:r>
          </w:p>
        </w:tc>
        <w:tc>
          <w:tcPr>
            <w:tcW w:type="dxa" w:w="1440"/>
            <w:shd w:fill="C6EFCE" w:val="clear"/>
          </w:tcPr>
          <w:p>
            <w:r>
              <w:rPr>
                <w:sz w:val="17"/>
              </w:rPr>
              <w:t>20,566</w:t>
            </w:r>
          </w:p>
        </w:tc>
        <w:tc>
          <w:tcPr>
            <w:tcW w:type="dxa" w:w="1440"/>
            <w:shd w:fill="C6EFCE" w:val="clear"/>
          </w:tcPr>
          <w:p>
            <w:r>
              <w:rPr>
                <w:b/>
                <w:sz w:val="17"/>
              </w:rPr>
              <w:t>24,037</w:t>
            </w:r>
          </w:p>
        </w:tc>
        <w:tc>
          <w:tcPr>
            <w:tcW w:type="dxa" w:w="1440"/>
            <w:shd w:fill="C6EFCE" w:val="clear"/>
          </w:tcPr>
          <w:p>
            <w:r>
              <w:rPr>
                <w:sz w:val="17"/>
              </w:rPr>
              <w:t>27,508</w:t>
            </w:r>
          </w:p>
        </w:tc>
        <w:tc>
          <w:tcPr>
            <w:tcW w:type="dxa" w:w="1440"/>
            <w:shd w:fill="C6EFCE" w:val="clear"/>
          </w:tcPr>
          <w:p>
            <w:r>
              <w:rPr>
                <w:b/>
                <w:color w:val="008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SITAB (STBC)**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386,03 milliards FCFA, STBC figure parmi les valeurs les plus importantes de la cote BRVM, ce qui témoigne de sa stature de leader sur son segment. Le BPA de 2 014 FCFA/action signifie que chaque titre génère un bénéfice net de plus de deux mille francs, un niveau élevé qui reflète la forte rentabilité de l'entreprise. Le PER de 10,7x se situe dans la fourchette modérée de la BRVM (8-12x), indiquant que les investisseurs ne paient pas une prime excessive pour ces bénéfices, ce qui est d'autant plus remarquable que la société affiche une croissance à deux chiffres de son chiffre d'affaires. En revanche, le P/B de 8,51x traduit une valorisation très exigeante par rapport à la valeur comptable, le marché valorisant fortement la capacité bénéficiaire et la générosité du dividende plutôt que l'actif net. Enfin, l'EV/EBITDA de 7,7x, dans la zone raisonnable de 5-10x, confirme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totale de +9,11%, avec une accélération notable en dernière séance (+2,90% sur la journée J-1), portant le cours actuel à 21 500 FCFA. Le range de trading s'établit entre un plus bas de 19 705 FCFA et un plus haut de 25 000 FCFA, soit une amplitude de plus de 26%, ce qui traduit une réelle volatilité intra-période malgré un coefficient de variation modéré. La tendance générale est haussière sur la période, mais le cours actuel se situe en retrait par rapport à son plus haut, suggérant une phase de consolidation après un sommet. Les statistiques descriptives révèlent une moyenne de 22 479 FCFA légèrement supérieure à la médiane de 22 218 FCFA, avec un mode à 21 000 FCFA : cet écart modéré entre moyenne et médiane, combiné à un skewness de 0,324 (distribution qualifiée de symétrique), indique une légère asymétrie positive sans distorsion majeure. L'écart-type de 1 221 FCFA (CV de 5,4%) témoigne d'une dispersion relativement contenue du cours autour de sa moyenne, tandis que le kurtosis de -0,685 (mésokurtique, proche d'une distribution normale) suggère une absence de risque de pics extrêmes — un profil rassurant pour la gestion du risque. La volatilité annualisée de 37,6% positionne le titre dans la catégorie des valeurs à volatilité élevée (&gt;30%), ce qui est cohérent avec la nature de valeur de rendement à dividende élevé soumise aux aléas réglementaires du secteur du tabac.</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21 868,75 FCFA et la MM50 à 22 730,70 FCFA, toutes deux supérieures au cours actuel de 21 500 FCFA. Cette configuration baissière (cours sous ses deux moyennes) avec une MM20 elle-même inférieure à la MM50 confirme une dynamique descendante de court terme, justifiant la décision technique de **Vente**.</w:t>
      </w:r>
    </w:p>
    <w:p>
      <w:pPr>
        <w:spacing w:after="120" w:line="276" w:lineRule="auto"/>
      </w:pPr>
      <w:r>
        <w:t>**Bandes de Bollinger** : Le cours (21 500 FCFA) se situe dans la partie basse de la bande, entre la borne inférieure (21 002,85 FCFA) et la borne supérieure (22 734,65 FCFA). La proximité de la borne inférieure sans franchissement indique une pression vendeuse modérée mais un potentiel de rebond technique, justifiant la décision **Neutre**.</w:t>
      </w:r>
    </w:p>
    <w:p>
      <w:pPr>
        <w:spacing w:after="120" w:line="276" w:lineRule="auto"/>
      </w:pPr>
      <w:r>
        <w:t>**MACD** : La valeur du MACD (-401,19) est inférieure à son signal (-382,43), avec un histogramme négatif. Cette divergence baissière persistante traduit un momentum négatif de court terme, bien que l'écart réduit entre les deux lignes suggère un possible essoufflement de la tendance baissière, d'où la décision **Vente** maintenue.</w:t>
      </w:r>
    </w:p>
    <w:p>
      <w:pPr>
        <w:spacing w:after="120" w:line="276" w:lineRule="auto"/>
      </w:pPr>
      <w:r>
        <w:t>**RSI** : À 43,39, le RSI se situe dans la zone neutre (30-70), sans signal de surachat ni de survente. Cette position médiane indique un équilibre entre acheteurs et vendeurs, sans pression directionnelle claire, justifiant la décision **Neutre**.</w:t>
      </w:r>
    </w:p>
    <w:p>
      <w:pPr>
        <w:spacing w:after="120" w:line="276" w:lineRule="auto"/>
      </w:pPr>
      <w:r>
        <w:t>**Stochastique** : Le %K (46,36) est supérieur au %D (28,27), avec un croisement récent à la hausse du %K au-dessus du %D depuis une zone proche de la survente. Ce signal haussier naissant contredit partiellement les autres indicateurs, justifiant la décision **Neutre** et suggérant un possible retournement de court terme.</w:t>
      </w:r>
    </w:p>
    <w:p>
      <w:pPr>
        <w:spacing w:after="120" w:line="276" w:lineRule="auto"/>
      </w:pPr>
      <w:r>
        <w:t>**Conclusion technique** : Les indicateurs techniques présentent un tableau mitigé. Les moyennes mobiles et le MACD restent baissiers, tandis que le RSI, les Bandes de Bollinger et le stochastique affichent des signaux neutres à légèrement haussiers. Cette divergence suggère que le titre se trouve dans une phase de consolidation, avec un potentiel de rebond technique à court terme mais sans confirmation d'un retournement durable de tendance. La prudence reste de mise tant que le cours n'aura pas reconquis sa MM20 (21 868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SITAB a réalisé un chiffre d'affaires de 268,537 milliards FCFA, en croissance de 25,3% par rapport à 2024, confirmant la vigueur de sa dynamique commerciale. Le résultat net s'établit à 36,158 milliards FCFA, en baisse de 17,5% par rapport aux 44,2 milliards de 2024, sous l'effet de la hausse des droits d'accises (de 49% à 70%) et de la pression fiscale. Le ROE exceptionnel de 79,75% et le ROA de 48,09% témoignent d'une rentabilité des fonds propres et des actifs remarquable, bien qu'en retrait par rapport à l'exercice précédent. La marge nette se maintient à 13,46%, contre 20,6% en 2024, reflétant la compression des marges sous l'effet de la fiscalité. En tant qu'entreprise commerciale, SITAB affiche un BFR de 5,639 milliards FCFA (positif mais maîtrisé), un délai client de 42,57 jours (modéré, sans risque majeur de trésorerie) et une durée de stockage de 5,73 jours (très faible, traduisant une rotation rapide). La structure financière est extrêmement solide : autonomie financière de 60,3%, dépendance financière quasi nulle (0,0031%), liquidité générale de 225% et trésorerie nette de 30,763 milliards FCFA. Le taux de distribution de 105% (dividende de 1 940 FCFA/action) est généreux mais non soutenable à long terme si la tendance baissière des bénéfices se confirme.</w:t>
      </w:r>
    </w:p>
    <w:p>
      <w:pPr>
        <w:spacing w:after="120" w:line="276" w:lineRule="auto"/>
      </w:pPr>
      <w:r>
        <w:t>**Estimations basées sur les rapports trimestriels** : Le rapport du T1 2026 (publié en 2026) indique un chiffre d'affaires de 68,8 milliards FCFA (+12%) avec des volumes en hausse de 10%, marquant un redressement de la dynamique commerciale après la contraction de 2025. Le résultat net recule légèrement de 1% à 9,3 milliards FCFA, avec une marge nette de 13,5%. Le rapport du T2 2026 (publié en 2026) confirme cette tendance avec un chiffre d'affaires de 70,05 milliards FCFA (+1%) et un résultat net quasi stable à 8,64 milliards FCFA (-0,2%), démontrant une forte résilience de la rentabilité. Sur la base de ces rapports, on peut estimer que l'exercice 2026 devrait afficher une croissance modérée du chiffre d'affaires (autour de +5-10%) avec une stabilisation de la marge nette autour de 12-13%, la direction visant la consolidation des performances et le développement des volumes. La loi de finances 2026 favorisant les fabricants locaux pourrait soutenir l'activité, mais les risques réglementaires et fiscaux persistent.</w:t>
      </w:r>
    </w:p>
    <w:p>
      <w:pPr>
        <w:spacing w:after="120" w:line="276" w:lineRule="auto"/>
      </w:pPr>
      <w:r>
        <w:t>**Recommandation fondamentale** : SITAB présente une solidité financière exceptionnelle (zéro dette, trésorerie abondante, rentabilité élevée) et une capacité de résistance remarquable dans un environnement réglementaire difficile. Cependant, la dégradation des marges et la politique de dividende agressive constituent des signaux d'alerte. La recommandation fondamentale est de **CONSERVER** le titre pour son rendement attractif, en attendant des signaux plus clairs de restauration durable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**Valorisation (Partie 0)** : Le PER de 10,7x et l'EV/EBITDA de 7,7x indiquent une valorisation raisonnable, voire légèrement sous-évaluée par rapport aux bénéfices, mais le P/B de 8,51x traduit une prime excessive sur la valeur comptable, ce qui limite le potentiel de hausse à court terme. **Comportement du cours (Partie 1)** : La tendance haussière sur 100 jours (+9,11%) avec une volatilité élevée (37,6%) et des statistiques rassurantes (kurtosis proche de la normale, skewness symétrique) suggère un profil de risque maîtrisé malgré la volatilité. **Signaux techniques (Partie 2)** : Les indicateurs sont mitigés — baissiers pour les MM et le MACD, neutres pour le RSI et les Bollinger, légèrement haussiers pour le stochastique — ce qui plaide pour une phase de consolidation sans direction claire. **Fondamentaux (Partie 3)** : La solidité financière exceptionnelle (ROE de 79,75%, trésorerie de 30,8 milliards, zéro dette) et la résilience des performances trimestrielles 2026 (T1 et T2) compensent la dégradation des marges, mais la politique de dividende non soutenable (105% de payout) reste un risque. **Prédictions IA (J+1 à J+10)** : La trajectoire prédite (de 22 104 FCFA à 23 369 FCFA, soit +8,7% sur 10 jours) est haussière et contredit les signaux techniques baissiers de court terme, suggérant un possible rebond technique.</w:t>
      </w:r>
    </w:p>
    <w:p>
      <w:pPr>
        <w:spacing w:after="120" w:line="276" w:lineRule="auto"/>
      </w:pPr>
      <w:r>
        <w:t>**Recommandation finale : CONSERVER**. La convergence entre une valorisation raisonnable, des fondamentaux solides et des prédictions haussières est tempérée par des signaux techniques baissiers et une politique de dividende risquée. Le niveau de confiance est **Moyen**, car les indicateurs sont divergents et les perspectives dépendent largement de l'évolution réglementaire. Le niveau de risque global est **Moyen** — élevé pour le secteur du tabac, mais atténué par la solidité financière de l'entreprise. L'horizon d'investissement optimal est le **moyen terme (3-12 mois)**, le temps de vérifier si la direction parvient à stabiliser ses marges et à maintenir sa politique de dividende sans compromettre ses équilibres financiers. Un renforcement de la position ne serait justifié qu'en cas de confirmation d'un retournement technique durable et d'une amélioration des marges opérationnelles.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192.03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7,196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007800"/>
                <w:sz w:val="17"/>
              </w:rPr>
              <w:t>+11.31%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6.67% (Moyenne) — μ=3,001 FCFA, σ=200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β=-0.2175 (Contre-cyclique) — Cov=-0.000010, Var(idx)=0.000045, ρ=-0.055,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7,196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2,897</w:t>
            </w:r>
          </w:p>
        </w:tc>
        <w:tc>
          <w:tcPr>
            <w:tcW w:type="dxa" w:w="1440"/>
            <w:shd w:fill="FAFAFA" w:val="clear"/>
          </w:tcPr>
          <w:p>
            <w:r>
              <w:rPr>
                <w:b/>
                <w:sz w:val="17"/>
              </w:rPr>
              <w:t>3,020</w:t>
            </w:r>
          </w:p>
        </w:tc>
        <w:tc>
          <w:tcPr>
            <w:tcW w:type="dxa" w:w="1440"/>
            <w:shd w:fill="FAFAFA" w:val="clear"/>
          </w:tcPr>
          <w:p>
            <w:r>
              <w:rPr>
                <w:sz w:val="17"/>
              </w:rPr>
              <w:t>3,142</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2,827</w:t>
            </w:r>
          </w:p>
        </w:tc>
        <w:tc>
          <w:tcPr>
            <w:tcW w:type="dxa" w:w="1440"/>
            <w:shd w:fill="FAFAFA" w:val="clear"/>
          </w:tcPr>
          <w:p>
            <w:r>
              <w:rPr>
                <w:b/>
                <w:sz w:val="17"/>
              </w:rPr>
              <w:t>2,999</w:t>
            </w:r>
          </w:p>
        </w:tc>
        <w:tc>
          <w:tcPr>
            <w:tcW w:type="dxa" w:w="1440"/>
            <w:shd w:fill="FAFAFA" w:val="clear"/>
          </w:tcPr>
          <w:p>
            <w:r>
              <w:rPr>
                <w:sz w:val="17"/>
              </w:rPr>
              <w:t>3,171</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2026-09-29</w:t>
            </w:r>
          </w:p>
        </w:tc>
        <w:tc>
          <w:tcPr>
            <w:tcW w:type="dxa" w:w="1440"/>
            <w:shd w:fill="FFDCE0" w:val="clear"/>
          </w:tcPr>
          <w:p>
            <w:r>
              <w:rPr>
                <w:sz w:val="17"/>
              </w:rPr>
              <w:t>2,765</w:t>
            </w:r>
          </w:p>
        </w:tc>
        <w:tc>
          <w:tcPr>
            <w:tcW w:type="dxa" w:w="1440"/>
            <w:shd w:fill="FFDCE0" w:val="clear"/>
          </w:tcPr>
          <w:p>
            <w:r>
              <w:rPr>
                <w:b/>
                <w:sz w:val="17"/>
              </w:rPr>
              <w:t>2,974</w:t>
            </w:r>
          </w:p>
        </w:tc>
        <w:tc>
          <w:tcPr>
            <w:tcW w:type="dxa" w:w="1440"/>
            <w:shd w:fill="FFDCE0" w:val="clear"/>
          </w:tcPr>
          <w:p>
            <w:r>
              <w:rPr>
                <w:sz w:val="17"/>
              </w:rPr>
              <w:t>3,183</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2026-09-30</w:t>
            </w:r>
          </w:p>
        </w:tc>
        <w:tc>
          <w:tcPr>
            <w:tcW w:type="dxa" w:w="1440"/>
            <w:shd w:fill="FFDCE0" w:val="clear"/>
          </w:tcPr>
          <w:p>
            <w:r>
              <w:rPr>
                <w:sz w:val="17"/>
              </w:rPr>
              <w:t>2,711</w:t>
            </w:r>
          </w:p>
        </w:tc>
        <w:tc>
          <w:tcPr>
            <w:tcW w:type="dxa" w:w="1440"/>
            <w:shd w:fill="FFDCE0" w:val="clear"/>
          </w:tcPr>
          <w:p>
            <w:r>
              <w:rPr>
                <w:b/>
                <w:sz w:val="17"/>
              </w:rPr>
              <w:t>2,951</w:t>
            </w:r>
          </w:p>
        </w:tc>
        <w:tc>
          <w:tcPr>
            <w:tcW w:type="dxa" w:w="1440"/>
            <w:shd w:fill="FFDCE0" w:val="clear"/>
          </w:tcPr>
          <w:p>
            <w:r>
              <w:rPr>
                <w:sz w:val="17"/>
              </w:rPr>
              <w:t>3,190</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2026-10-01</w:t>
            </w:r>
          </w:p>
        </w:tc>
        <w:tc>
          <w:tcPr>
            <w:tcW w:type="dxa" w:w="1440"/>
            <w:shd w:fill="FFDCE0" w:val="clear"/>
          </w:tcPr>
          <w:p>
            <w:r>
              <w:rPr>
                <w:sz w:val="17"/>
              </w:rPr>
              <w:t>2,663</w:t>
            </w:r>
          </w:p>
        </w:tc>
        <w:tc>
          <w:tcPr>
            <w:tcW w:type="dxa" w:w="1440"/>
            <w:shd w:fill="FFDCE0" w:val="clear"/>
          </w:tcPr>
          <w:p>
            <w:r>
              <w:rPr>
                <w:b/>
                <w:sz w:val="17"/>
              </w:rPr>
              <w:t>2,929</w:t>
            </w:r>
          </w:p>
        </w:tc>
        <w:tc>
          <w:tcPr>
            <w:tcW w:type="dxa" w:w="1440"/>
            <w:shd w:fill="FFDCE0" w:val="clear"/>
          </w:tcPr>
          <w:p>
            <w:r>
              <w:rPr>
                <w:sz w:val="17"/>
              </w:rPr>
              <w:t>3,195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2026-10-02</w:t>
            </w:r>
          </w:p>
        </w:tc>
        <w:tc>
          <w:tcPr>
            <w:tcW w:type="dxa" w:w="1440"/>
            <w:shd w:fill="FFDCE0" w:val="clear"/>
          </w:tcPr>
          <w:p>
            <w:r>
              <w:rPr>
                <w:sz w:val="17"/>
              </w:rPr>
              <w:t>2,620</w:t>
            </w:r>
          </w:p>
        </w:tc>
        <w:tc>
          <w:tcPr>
            <w:tcW w:type="dxa" w:w="1440"/>
            <w:shd w:fill="FFDCE0" w:val="clear"/>
          </w:tcPr>
          <w:p>
            <w:r>
              <w:rPr>
                <w:b/>
                <w:sz w:val="17"/>
              </w:rPr>
              <w:t>2,909</w:t>
            </w:r>
          </w:p>
        </w:tc>
        <w:tc>
          <w:tcPr>
            <w:tcW w:type="dxa" w:w="1440"/>
            <w:shd w:fill="FFDCE0" w:val="clear"/>
          </w:tcPr>
          <w:p>
            <w:r>
              <w:rPr>
                <w:sz w:val="17"/>
              </w:rPr>
              <w:t>3,198</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2026-10-05</w:t>
            </w:r>
          </w:p>
        </w:tc>
        <w:tc>
          <w:tcPr>
            <w:tcW w:type="dxa" w:w="1440"/>
            <w:shd w:fill="FFDCE0" w:val="clear"/>
          </w:tcPr>
          <w:p>
            <w:r>
              <w:rPr>
                <w:sz w:val="17"/>
              </w:rPr>
              <w:t>2,579</w:t>
            </w:r>
          </w:p>
        </w:tc>
        <w:tc>
          <w:tcPr>
            <w:tcW w:type="dxa" w:w="1440"/>
            <w:shd w:fill="FFDCE0" w:val="clear"/>
          </w:tcPr>
          <w:p>
            <w:r>
              <w:rPr>
                <w:b/>
                <w:sz w:val="17"/>
              </w:rPr>
              <w:t>2,889</w:t>
            </w:r>
          </w:p>
        </w:tc>
        <w:tc>
          <w:tcPr>
            <w:tcW w:type="dxa" w:w="1440"/>
            <w:shd w:fill="FFDCE0" w:val="clear"/>
          </w:tcPr>
          <w:p>
            <w:r>
              <w:rPr>
                <w:sz w:val="17"/>
              </w:rPr>
              <w:t>3,199</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2026-10-06</w:t>
            </w:r>
          </w:p>
        </w:tc>
        <w:tc>
          <w:tcPr>
            <w:tcW w:type="dxa" w:w="1440"/>
            <w:shd w:fill="FFDCE0" w:val="clear"/>
          </w:tcPr>
          <w:p>
            <w:r>
              <w:rPr>
                <w:sz w:val="17"/>
              </w:rPr>
              <w:t>2,541</w:t>
            </w:r>
          </w:p>
        </w:tc>
        <w:tc>
          <w:tcPr>
            <w:tcW w:type="dxa" w:w="1440"/>
            <w:shd w:fill="FFDCE0" w:val="clear"/>
          </w:tcPr>
          <w:p>
            <w:r>
              <w:rPr>
                <w:b/>
                <w:sz w:val="17"/>
              </w:rPr>
              <w:t>2,870</w:t>
            </w:r>
          </w:p>
        </w:tc>
        <w:tc>
          <w:tcPr>
            <w:tcW w:type="dxa" w:w="1440"/>
            <w:shd w:fill="FFDCE0" w:val="clear"/>
          </w:tcPr>
          <w:p>
            <w:r>
              <w:rPr>
                <w:sz w:val="17"/>
              </w:rPr>
              <w:t>3,200</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2026-10-07</w:t>
            </w:r>
          </w:p>
        </w:tc>
        <w:tc>
          <w:tcPr>
            <w:tcW w:type="dxa" w:w="1440"/>
            <w:shd w:fill="FFDCE0" w:val="clear"/>
          </w:tcPr>
          <w:p>
            <w:r>
              <w:rPr>
                <w:sz w:val="17"/>
              </w:rPr>
              <w:t>2,505</w:t>
            </w:r>
          </w:p>
        </w:tc>
        <w:tc>
          <w:tcPr>
            <w:tcW w:type="dxa" w:w="1440"/>
            <w:shd w:fill="FFDCE0" w:val="clear"/>
          </w:tcPr>
          <w:p>
            <w:r>
              <w:rPr>
                <w:b/>
                <w:sz w:val="17"/>
              </w:rPr>
              <w:t>2,852</w:t>
            </w:r>
          </w:p>
        </w:tc>
        <w:tc>
          <w:tcPr>
            <w:tcW w:type="dxa" w:w="1440"/>
            <w:shd w:fill="FFDCE0" w:val="clear"/>
          </w:tcPr>
          <w:p>
            <w:r>
              <w:rPr>
                <w:sz w:val="17"/>
              </w:rPr>
              <w:t>3,199</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2026-10-08</w:t>
            </w:r>
          </w:p>
        </w:tc>
        <w:tc>
          <w:tcPr>
            <w:tcW w:type="dxa" w:w="1440"/>
            <w:shd w:fill="FFDCE0" w:val="clear"/>
          </w:tcPr>
          <w:p>
            <w:r>
              <w:rPr>
                <w:sz w:val="17"/>
              </w:rPr>
              <w:t>2,471</w:t>
            </w:r>
          </w:p>
        </w:tc>
        <w:tc>
          <w:tcPr>
            <w:tcW w:type="dxa" w:w="1440"/>
            <w:shd w:fill="FFDCE0" w:val="clear"/>
          </w:tcPr>
          <w:p>
            <w:r>
              <w:rPr>
                <w:b/>
                <w:sz w:val="17"/>
              </w:rPr>
              <w:t>2,835</w:t>
            </w:r>
          </w:p>
        </w:tc>
        <w:tc>
          <w:tcPr>
            <w:tcW w:type="dxa" w:w="1440"/>
            <w:shd w:fill="FFDCE0" w:val="clear"/>
          </w:tcPr>
          <w:p>
            <w:r>
              <w:rPr>
                <w:sz w:val="17"/>
              </w:rPr>
              <w:t>3,199</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Analyse au 25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192,03 milliards FCFA, TTLC figure parmi les valeurs les plus importantes de la cote BRVM, ce qui témoigne de sa stature de leader du secteur énergétique ivoirien et de sa liquidité relative sur le marché régional. Le BPA de 144 FCFA/action signifie que chaque titre génère 144 FCFA de bénéfice net, ce qui, rapporté au cours actuel de 3 050 FCFA, aboutit à un PER de 21,1x — nettement supérieur à la moyenne BRVM (8-12x), signalant que les investisseurs paient une prime significative pour cette valeur, justifiée soit par des anticipations de croissance, soit par une surévaluation. Le P/B de 5,30x confirme cette exigence : le marché valorise l'entreprise à plus de cinq fois sa valeur comptable, une prime rare qui traduit la confiance dans la qualité des actifs et la rentabilité des fonds propres (ROE de 25,1%). Enfin, l'EV/EBITDA de 11,0x, dans la fourchette haute (10-15x), indique que la valeur totale de l'entreprise (dette incluse) représente onze fois sa capacité opérationnelle, une valorisation exigeante qui suppose une génération de cash-flows soutenue et pérenne.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totale de +11,31%, avec une dernière séance particulièrement dynamique (+2,18% en J-1), portant le cours à 3 050 FCFA. Le range de trading s'étend de 2 720 FCFA (plus bas) à 3 595 FCFA (plus haut), soit une amplitude de 875 FCFA qui témoigne d'une réelle volatilité intra-période, bien que le titre évolue actuellement dans la partie basse de ce canal. La tendance générale reste haussière sur la période, mais le cours actuel (3 050 FCFA) se situe sous la moyenne (3 001 FCFA) et sous la médiane (2 932 FCFA), ce qui révèle une distribution asymétrique : l'écart entre moyenne et médiane (69 FCFA) confirme que quelques journées de forte hausse tirent la moyenne vers le haut, tandis que la majorité des séances se sont déroulées sous ce niveau. L'écart-type de 201 FCFA (CV = 6,7%) indique une dispersion modérée du cours, mais la volatilité annualisée de 41,5% classe le titre dans la catégorie des valeurs à volatilité élevée (&gt;30%), ce qui implique un risque de prix significatif pour l'investisseur. Le kurtosis de -0,205 (mésokurtique) suggère une distribution proche de la normale, sans risque excessif de pics extrêmes, tandis que le skewness de +0,920 (asymétrie positive) indique que les journées de baisse sont plus fréquentes que les journées de hausse, mais que les hausses, lorsqu'elles surviennent, sont plus amples — un profil typique d'un titre en consolidation avec des rebonds techniques.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(3 253,25 FCFA) et la MM50 (3 134,20 FCFA) se situent toutes deux au-dessus du cours actuel (3 050 FCFA), ce qui place le titre en position baissière à court et moyen terme. Cependant, la décision affichée est "Achat", probablement en anticipation d'un retournement ou d'un rebond technique, car le cours évolue sous ses moyennes, ce qui est généralement un signal de faiblesse. La MM20 étant supérieure à la MM50, la configuration reste haussière sur le fond, mais le croisement à la baisse du cours sous ces deux moyennes appelle à la prudence.</w:t>
      </w:r>
    </w:p>
    <w:p>
      <w:pPr>
        <w:spacing w:after="120" w:line="276" w:lineRule="auto"/>
      </w:pPr>
      <w:r>
        <w:t>**Bandes de Bollinger** : Le cours actuel (3 050 FCFA) se situe juste au-dessus de la borne inférieure (3 011,04 FCFA) et très en dessous de la borne supérieure (3 495,46 FCFA), ce qui indique une pression vendeuse récente et une volatilité qui se resserre. La décision "Neutre" reflète cette position ambiguë : le titre n'est ni en surachat (proche de la borne supérieure) ni en survente extrême (sous la borne inférieure), mais la proximité de la borne basse suggère un potentiel de rebond technique à court terme.</w:t>
      </w:r>
    </w:p>
    <w:p>
      <w:pPr>
        <w:spacing w:after="120" w:line="276" w:lineRule="auto"/>
      </w:pPr>
      <w:r>
        <w:t>**MACD** : La valeur du MACD (-30,629) est nettement inférieure à son signal (12,962), générant une divergence baissière marquée et une décision "Vente". Ce croisement négatif indique que le momentum est clairement baissier, avec une pression vendeuse qui persiste. La faiblesse du MACD par rapport à son signal suggère que la tendance baissière pourrait se poursuivre à court terme, à moins d'un retournement rapide.</w:t>
      </w:r>
    </w:p>
    <w:p>
      <w:pPr>
        <w:spacing w:after="120" w:line="276" w:lineRule="auto"/>
      </w:pPr>
      <w:r>
        <w:t>**RSI** : Avec une valeur de 27,778, le RSI se situe en zone de survente (&lt;30), ce qui déclenche une décision "Achat". Cette configuration indique que le titre a été excessivement vendu et qu'un rebond technique est probable à court terme. Cependant, un RSI en survente dans un contexte de tendance baissière (cours sous les MM) peut également signaler une poursuite de la baisse si la pression vendeuse persiste.</w:t>
      </w:r>
    </w:p>
    <w:p>
      <w:pPr>
        <w:spacing w:after="120" w:line="276" w:lineRule="auto"/>
      </w:pPr>
      <w:r>
        <w:t>**Stochastique** : Le %K (20,968) est supérieur au %D (6,989), mais les deux se situent en zone basse (&lt;20), ce qui donne une décision "Neutre". Ce positionnement indique que le titre est proche de la survente, mais le croisement haussier du %K au-dessus du %D n'est pas encore confirmé, laissant planer une incertitude sur la direction à court terme.</w:t>
      </w:r>
    </w:p>
    <w:p>
      <w:pPr>
        <w:spacing w:after="120" w:line="276" w:lineRule="auto"/>
      </w:pPr>
      <w:r>
        <w:t>**Conclusion technique** : Les indicateurs techniques sont majoritairement baissiers à court terme (MACD en vente, cours sous les MM20/MM50), mais le RSI en survente et la proximité de la borne inférieure de Bollinger suggèrent un potentiel de rebond technique. La divergence entre le signal "Achat" des MM (basé sur la configuration haussière de fond) et le signal "Vente" du MACD (basé sur le momentum actuel) reflète une phase de consolidation incertaine, où le titre pourrait soit rebondir depuis la zone de survente, soit poursuivre sa correction vers le support des 2 900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TotalEnergies Marketing Côte d'Ivoire a réalisé un chiffre d'affaires de 588,709 milliards FCFA, en repli de 5,2% par rapport à 2024 (621,042 milliards FCFA), selon les états financiers annuels définitifs au 31 décembre 2025. Le résultat net s'établit à 9,087 milliards FCFA (contre 9,374 milliards en 2024, soit -3%), avec une marge nette de 1,54% (en légère amélioration de +0,03 point). La rentabilité des fonds propres (ROE) reste excellente à 25,10%, bien supérieure au seuil de 15% considéré comme excellent, tandis que le ROA de 4,82% reflète la faible intensité capitalistique du modèle de distribution. L'analyse du bilan 2025 révèle un BFR négatif de -9,662 milliards FCFA (favorable pour la trésorerie), un délai fournisseurs de 49,72 jours (bon pour la trésorerie) et une durée de stockage de 13,80 jours (gestion efficace des stocks). Cependant, la structure financière montre une autonomie financière de seulement 19,21% (inférieure au seuil sain de 30%), un ratio d'endettement de 90,23% et une trésorerie nette négative de -21,926 milliards FCFA, ce qui constitue un signal d'alerte sur la liquidité. Le rapport annuel 2025 (publié en 2026) confirme que la rentabilité opérationnelle s'améliore (EBE +12% à 22,347 milliards FCFA, résultat d'exploitation +18% à 12,329 milliards FCFA) malgré la baisse du CA, mais le dividende brut de 10 milliards FCFA représente un taux de distribution supérieur à 100% du résultat net, ce qui implique un prélèvement sur les réserves et pose la question de la soutenabilité de cette politique. Le rapport du T1 2026 (publié en 2026) montre une reprise encourageante : le CA progresse de 4,3% à 154,392 milliards FCFA et le résultat net de 5,5% à 2,329 milliards FCFA, porté par l'augmentation des volumes vendus sur tous les canaux et l'expansion du réseau (182 stations). Sur la base de ce T1 2026, on peut estimer que l'exercice 2026 devrait renouer avec la croissance, avec un CA annualisé estimé autour de 620-630 milliards FCFA et un résultat net potentiellement en hausse de 5-10% si la dynamique se confirme. La recommandation fondamentale est de **CONSERVER** : l'entreprise est solide, leader sur son marché, avec une rentabilité opérationnelle en amélioration et une politique de dividende attractive, mais la dégradation de la trésorerie, l'endettement élevé et le payout supérieur à 100%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(PER de 21,1x contre une moyenne BRVM de 8-12x, P/B de 5,30x, EV/EBITDA de 11,0x), ce qui suggère que le marché intègre déjà une prime de qualité et des anticipations de croissance, limitant le potentiel d'appréciation à court terme. Le comportement du cours sur 100 jours est haussier (+11,31%) mais avec une volatilité élevée (41,5%) et une asymétrie positive (skewness de +0,920) indiquant que les baisses sont plus fréquentes que les hausses, tandis que le kurtosis proche de zéro écarte le risque de pics extrêmes. Les signaux techniques sont divergents : le RSI en survente (27,78) et la proximité de la borne inférieure de Bollinger suggèrent un rebond, mais le MACD en vente et le cours sous les MM20/MM50 confirment une pression baissière à court terme, créant une configuration incertaine. Les fondamentaux restent solides (ROE de 25,1%, rentabilité opérationnelle en hausse, BFR négatif), mais la trésorerie nette négative (-21,9 milliards FCFA), l'endettement élevé (90,23%) et le payout supérieur à 100% constituent des risques significatifs, tempérés par la reprise du T1 2026 (CA +4,3%, résultat net +5,5%). Les prédictions IA pour les 10 prochains jours (3020 → 2929 FCFA) anticipent une poursuite de la correction baissière, ce qui contredit le signal d'achat du RSI mais confirme la pression du MACD et la position du cours sous les moyennes mobiles. Sur la base de cette synthèse, la recommandation finale est de **CONSERVER** : la convergence entre une valorisation exigeante, des signaux techniques mitigés (survente mais momentum baissier), des fondamentaux solides mais risqués (trésorerie négative) et des prédictions baissières à court terme ne justifie ni un achat agressif ni une vente précipitée. Le niveau de confiance est **Moyen** (les signaux sont contradictoires), le niveau de risque global est **Élevé** (volatilité de 41,5%, endettement de 90%, trésorerie négative), et l'horizon d'investissement optimal est le **moyen terme (3-12 mois)**, en attendant la confirmation de la reprise du T1 2026 et une amélioration de la structure financière avant d'envisager un renforcement de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2,625 titres</w:t>
            </w:r>
          </w:p>
        </w:tc>
        <w:tc>
          <w:tcPr>
            <w:tcW w:type="dxa" w:w="2268"/>
            <w:shd w:fill="FFF2CC" w:val="clear"/>
          </w:tcPr>
          <w:p>
            <w:r>
              <w:rPr>
                <w:b/>
                <w:color w:val="503200"/>
                <w:sz w:val="16"/>
              </w:rPr>
              <w:t xml:space="preserve">Cours actuel : </w:t>
            </w:r>
            <w:r>
              <w:rPr>
                <w:color w:val="000000"/>
                <w:sz w:val="17"/>
              </w:rPr>
              <w:t>3,795 FCFA</w:t>
            </w:r>
          </w:p>
          <w:p>
            <w:r>
              <w:rPr>
                <w:b/>
                <w:color w:val="503200"/>
                <w:sz w:val="16"/>
              </w:rPr>
              <w:t xml:space="preserve">Var. 100 jours : </w:t>
            </w:r>
            <w:r>
              <w:rPr>
                <w:b/>
                <w:color w:val="007800"/>
                <w:sz w:val="17"/>
              </w:rPr>
              <w:t>+16.77%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9.79% (Moyenne) — μ=3,630 FCFA, σ=355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β=0.7749 (Défensif) — Cov=0.000035, Var(idx)=0.000045, ρ=0.184,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3,672</w:t>
            </w:r>
          </w:p>
        </w:tc>
        <w:tc>
          <w:tcPr>
            <w:tcW w:type="dxa" w:w="1440"/>
            <w:shd w:fill="FAFAFA" w:val="clear"/>
          </w:tcPr>
          <w:p>
            <w:r>
              <w:rPr>
                <w:b/>
                <w:sz w:val="17"/>
              </w:rPr>
              <w:t>3,813</w:t>
            </w:r>
          </w:p>
        </w:tc>
        <w:tc>
          <w:tcPr>
            <w:tcW w:type="dxa" w:w="1440"/>
            <w:shd w:fill="FAFAFA" w:val="clear"/>
          </w:tcPr>
          <w:p>
            <w:r>
              <w:rPr>
                <w:sz w:val="17"/>
              </w:rPr>
              <w:t>3,955</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3,617</w:t>
            </w:r>
          </w:p>
        </w:tc>
        <w:tc>
          <w:tcPr>
            <w:tcW w:type="dxa" w:w="1440"/>
            <w:shd w:fill="FAFAFA" w:val="clear"/>
          </w:tcPr>
          <w:p>
            <w:r>
              <w:rPr>
                <w:b/>
                <w:sz w:val="17"/>
              </w:rPr>
              <w:t>3,817</w:t>
            </w:r>
          </w:p>
        </w:tc>
        <w:tc>
          <w:tcPr>
            <w:tcW w:type="dxa" w:w="1440"/>
            <w:shd w:fill="FAFAFA" w:val="clear"/>
          </w:tcPr>
          <w:p>
            <w:r>
              <w:rPr>
                <w:sz w:val="17"/>
              </w:rPr>
              <w:t>4,017</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3,574</w:t>
            </w:r>
          </w:p>
        </w:tc>
        <w:tc>
          <w:tcPr>
            <w:tcW w:type="dxa" w:w="1440"/>
            <w:shd w:fill="FAFAFA" w:val="clear"/>
          </w:tcPr>
          <w:p>
            <w:r>
              <w:rPr>
                <w:b/>
                <w:sz w:val="17"/>
              </w:rPr>
              <w:t>3,819</w:t>
            </w:r>
          </w:p>
        </w:tc>
        <w:tc>
          <w:tcPr>
            <w:tcW w:type="dxa" w:w="1440"/>
            <w:shd w:fill="FAFAFA" w:val="clear"/>
          </w:tcPr>
          <w:p>
            <w:r>
              <w:rPr>
                <w:sz w:val="17"/>
              </w:rPr>
              <w:t>4,064</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3,537</w:t>
            </w:r>
          </w:p>
        </w:tc>
        <w:tc>
          <w:tcPr>
            <w:tcW w:type="dxa" w:w="1440"/>
            <w:shd w:fill="FAFAFA" w:val="clear"/>
          </w:tcPr>
          <w:p>
            <w:r>
              <w:rPr>
                <w:b/>
                <w:sz w:val="17"/>
              </w:rPr>
              <w:t>3,820</w:t>
            </w:r>
          </w:p>
        </w:tc>
        <w:tc>
          <w:tcPr>
            <w:tcW w:type="dxa" w:w="1440"/>
            <w:shd w:fill="FAFAFA" w:val="clear"/>
          </w:tcPr>
          <w:p>
            <w:r>
              <w:rPr>
                <w:sz w:val="17"/>
              </w:rPr>
              <w:t>4,103</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3,504</w:t>
            </w:r>
          </w:p>
        </w:tc>
        <w:tc>
          <w:tcPr>
            <w:tcW w:type="dxa" w:w="1440"/>
            <w:shd w:fill="FAFAFA" w:val="clear"/>
          </w:tcPr>
          <w:p>
            <w:r>
              <w:rPr>
                <w:b/>
                <w:sz w:val="17"/>
              </w:rPr>
              <w:t>3,821</w:t>
            </w:r>
          </w:p>
        </w:tc>
        <w:tc>
          <w:tcPr>
            <w:tcW w:type="dxa" w:w="1440"/>
            <w:shd w:fill="FAFAFA" w:val="clear"/>
          </w:tcPr>
          <w:p>
            <w:r>
              <w:rPr>
                <w:sz w:val="17"/>
              </w:rPr>
              <w:t>4,137</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3,474</w:t>
            </w:r>
          </w:p>
        </w:tc>
        <w:tc>
          <w:tcPr>
            <w:tcW w:type="dxa" w:w="1440"/>
            <w:shd w:fill="FAFAFA" w:val="clear"/>
          </w:tcPr>
          <w:p>
            <w:r>
              <w:rPr>
                <w:b/>
                <w:sz w:val="17"/>
              </w:rPr>
              <w:t>3,821</w:t>
            </w:r>
          </w:p>
        </w:tc>
        <w:tc>
          <w:tcPr>
            <w:tcW w:type="dxa" w:w="1440"/>
            <w:shd w:fill="FAFAFA" w:val="clear"/>
          </w:tcPr>
          <w:p>
            <w:r>
              <w:rPr>
                <w:sz w:val="17"/>
              </w:rPr>
              <w:t>4,168</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3,446</w:t>
            </w:r>
          </w:p>
        </w:tc>
        <w:tc>
          <w:tcPr>
            <w:tcW w:type="dxa" w:w="1440"/>
            <w:shd w:fill="FAFAFA" w:val="clear"/>
          </w:tcPr>
          <w:p>
            <w:r>
              <w:rPr>
                <w:b/>
                <w:sz w:val="17"/>
              </w:rPr>
              <w:t>3,821</w:t>
            </w:r>
          </w:p>
        </w:tc>
        <w:tc>
          <w:tcPr>
            <w:tcW w:type="dxa" w:w="1440"/>
            <w:shd w:fill="FAFAFA" w:val="clear"/>
          </w:tcPr>
          <w:p>
            <w:r>
              <w:rPr>
                <w:sz w:val="17"/>
              </w:rPr>
              <w:t>4,196</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3,421</w:t>
            </w:r>
          </w:p>
        </w:tc>
        <w:tc>
          <w:tcPr>
            <w:tcW w:type="dxa" w:w="1440"/>
            <w:shd w:fill="FAFAFA" w:val="clear"/>
          </w:tcPr>
          <w:p>
            <w:r>
              <w:rPr>
                <w:b/>
                <w:sz w:val="17"/>
              </w:rPr>
              <w:t>3,821</w:t>
            </w:r>
          </w:p>
        </w:tc>
        <w:tc>
          <w:tcPr>
            <w:tcW w:type="dxa" w:w="1440"/>
            <w:shd w:fill="FAFAFA" w:val="clear"/>
          </w:tcPr>
          <w:p>
            <w:r>
              <w:rPr>
                <w:sz w:val="17"/>
              </w:rPr>
              <w:t>4,222</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3,396</w:t>
            </w:r>
          </w:p>
        </w:tc>
        <w:tc>
          <w:tcPr>
            <w:tcW w:type="dxa" w:w="1440"/>
            <w:shd w:fill="FAFAFA" w:val="clear"/>
          </w:tcPr>
          <w:p>
            <w:r>
              <w:rPr>
                <w:b/>
                <w:sz w:val="17"/>
              </w:rPr>
              <w:t>3,822</w:t>
            </w:r>
          </w:p>
        </w:tc>
        <w:tc>
          <w:tcPr>
            <w:tcW w:type="dxa" w:w="1440"/>
            <w:shd w:fill="FAFAFA" w:val="clear"/>
          </w:tcPr>
          <w:p>
            <w:r>
              <w:rPr>
                <w:sz w:val="17"/>
              </w:rPr>
              <w:t>4,247</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3,373</w:t>
            </w:r>
          </w:p>
        </w:tc>
        <w:tc>
          <w:tcPr>
            <w:tcW w:type="dxa" w:w="1440"/>
            <w:shd w:fill="FAFAFA" w:val="clear"/>
          </w:tcPr>
          <w:p>
            <w:r>
              <w:rPr>
                <w:b/>
                <w:sz w:val="17"/>
              </w:rPr>
              <w:t>3,822</w:t>
            </w:r>
          </w:p>
        </w:tc>
        <w:tc>
          <w:tcPr>
            <w:tcW w:type="dxa" w:w="1440"/>
            <w:shd w:fill="FAFAFA" w:val="clear"/>
          </w:tcPr>
          <w:p>
            <w:r>
              <w:rPr>
                <w:sz w:val="17"/>
              </w:rPr>
              <w:t>4,270</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123,63 milliards FCFA, TTLS se positionne parmi les valeurs de taille intermédiaire à supérieure de la cote BRVM, ce qui traduit une liquidité correcte mais un flottant limité (TotalEnergies détient 69,1 % du capital). Le BPA de 208 FCFA/action signifie que chaque titre génère 208 FCFA de bénéfice net, un niveau modeste qui reflète la faible marge nette structurelle du secteur. Le PER de 18,2x est nettement supérieur à la moyenne BRVM (~8-12x), indiquant que les investisseurs paient une prime significative pour la qualité de la signature et la stabilité du dividende, plutôt que pour la croissance bénéficiaire. Le P/B de 4,38x confirme cette prime : le marché valorise l'entreprise à plus de quatre fois sa valeur comptable, un niveau exigeant qui suppose une confiance forte dans la pérennité des cash-flows. Enfin, l'EV/EBITDA de 7,7x, situé dans la fourchette raisonnable de 5-10x, suggère que la valeur d'entreprise reste cohérente avec la capacité opérationnelle,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totale de +16,77 %, avec un cours actuel de 3 795 FCFA, en léger repli de -0,13 % sur la dernière séance, signalant une pause dans la dynamique haussière. Le range de trading est particulièrement large, avec un plus haut à 4 500 FCFA et un plus bas à 2 845 FCFA, soit une amplitude de 58 %, ce qui témoigne d'une forte dispersion des prix sur la période. La tendance générale reste haussière, portée par la résilience opérationnelle de la société et l'attrait pour les valeurs défensives dans un contexte de marché incertain. Les statistiques descriptives révèlent une moyenne de 3 630 FCFA légèrement inférieure à la médiane de 3 655 FCFA, avec un mode à 3 800 FCFA : l'écart faible entre moyenne et médiane, combiné à un skewness de -0,133 (distribution symétrique), indique une répartition équilibrée des cours sans biais marqué. L'écart-type de 357 FCFA (CV = 9,8 %) traduit une dispersion modérée autour de la moyenne, tandis que le kurtosis de -0,217 (mésokurtique) suggère une distribution proche de la normale, sans risque de pics extrêmes fréquents. La volatilité annualisée de 44,1 % classe le titre dans la catégorie des valeurs à volatilité élevée (&gt;30 %), ce qui implique un risque de fluctuation important à court terme, à intégrer dans toute stratégie d'investissement.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3 855,75 FCFA et la MM50 à 3 777,5 FCFA, toutes deux supérieures au cours actuel de 3 795 FCFA. Le croisement haussier (MM20 &gt; MM50) confirme une dynamique de fond positive, mais le cours évolue légèrement sous la MM20, ce qui justifie une décision d'achat sur repli plutôt qu'en poursuite de tendance.</w:t>
      </w:r>
    </w:p>
    <w:p>
      <w:pPr>
        <w:spacing w:after="120" w:line="276" w:lineRule="auto"/>
      </w:pPr>
      <w:r>
        <w:t>**Bandes de Bollinger** : La borne supérieure est à 3 988,86 FCFA et la borne inférieure à 3 722,64 FCFA, avec un cours actuel de 3 795 FCFA positionné dans la partie basse de la bande. Cette configuration indique une volatilité contenue et un potentiel de rebond vers la borne supérieure, mais la décision reste neutre car le cours n'a pas encore testé les extrêmes.</w:t>
      </w:r>
    </w:p>
    <w:p>
      <w:pPr>
        <w:spacing w:after="120" w:line="276" w:lineRule="auto"/>
      </w:pPr>
      <w:r>
        <w:t>**MACD** : La valeur du MACD (15,568) est inférieure à son signal (29,848), générant une décision de vente. Cette divergence négative signale un essoufflement du momentum haussier et un risque de correction à court terme, bien que la ligne MACD reste en territoire positif.</w:t>
      </w:r>
    </w:p>
    <w:p>
      <w:pPr>
        <w:spacing w:after="120" w:line="276" w:lineRule="auto"/>
      </w:pPr>
      <w:r>
        <w:t>**RSI** : À 47,059, le RSI se situe en zone neutre (30-70), sans signal de surachat ni de survente. Cette position médiane reflète un équilibre entre acheteurs et vendeurs, sans pression directionnelle claire, ce qui justifie une décision neutre.</w:t>
      </w:r>
    </w:p>
    <w:p>
      <w:pPr>
        <w:spacing w:after="120" w:line="276" w:lineRule="auto"/>
      </w:pPr>
      <w:r>
        <w:t>**Stochastique** : Le %K (2,381) et le %D (6,349) sont tous deux en zone de survente extrême (&lt;20), avec un %K inférieur au %D. Cette configuration précède souvent un rebond technique, justifiant une décision d'achat contrariante, bien que la faiblesse des volumes moyens (2 625 titres/jour) limite la portée du signal.</w:t>
      </w:r>
    </w:p>
    <w:p>
      <w:pPr>
        <w:spacing w:after="120" w:line="276" w:lineRule="auto"/>
      </w:pPr>
      <w:r>
        <w:t>**Conclusion technique** : Les indicateurs sont divergents : les moyennes mobiles et le stochastique plaident pour un achat, tandis que le MACD et les bandes de Bollinger incitent à la prudence. Le RSI neutre confirme l'absence de tendance forte à court terme. Dans l'ensemble, le titre se trouve dans une phase de consolidation au sein d'une tendance haussière de fond, avec un biais légèrement favorable à un rebond technique, mais la faiblesse des volumes et la divergence du MACD appellent à la patience.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TTLS (exercice clos au 31 décembre 2025) affichent un chiffre d'affaires de 455,209 milliards FCFA, en baisse de 6,1 % par rapport à 2024, conséquence directe de l'arrêt stratégique de la commercialisation du fuel lourd (39,5 milliards FCFA de CA en 2024). Le résultat net s'établit à 6,779 milliards FCFA, en repli de 5,1 % sur un an, tandis que le ROE atteint 24,0 % (excellent, &gt;15 %) et le ROA 3,95 %, confirmant une rentabilité des fonds propres solide malgré la contraction de l'activité. La marge nette reste faible à 1,49 %, typique du secteur de distribution pétrolière, mais la marge brute de 28,71 % et la marge opérationnelle de 1,91 % témoignent d'une bonne maîtrise des coûts. Sur le plan bilanciel, le BFR est négatif à -36,899 milliards FCFA (favorable), le délai fournisseurs de 97,76 jours est nettement supérieur au délai clients de 47,43 jours, ce qui génère un besoin en fonds de roulement négatif et une trésorerie nette positive de 13,941 milliards FCFA. L'autonomie financière de 16,44 % reste inférieure au seuil de 30 % considéré comme sain, mais la solvabilité générale de 119,67 % (&gt;1) et la couverture des intérêts de 485,9 % rassurent sur la solidité financière. Les rapports trimestriels récents confirment la résilience opérationnelle : au T1 2026 (rapport du 31 mars 2026), le CA recule de 10 % à 99,9 milliards FCFA sous l'effet de la baisse réglementaire des prix à la pompe, mais le résultat d'exploitation progresse de 28 % à 2,623 milliards FCFA et le résultat net de 5 % à 1,585 milliards FCFA, grâce à l'amélioration des marges sur les lubrifiants. Sur cette base, on estime que l'exercice 2026 devrait voir le résultat net se stabiliser autour de 6,5-7,0 milliards FCFA, la société compensant la pression sur les carburants par la croissance des segments à forte valeur ajoutée (lubrifiants, GPL, export). La recommandation fondamentale est de **conserver** le titre : la solidité opérationnelle, la position de leader (140 stations-service) et les perspectives liées aux projets Sangomar et GNL constituent des atouts majeurs, mais la faible visibilité sur les volumes et la politique de dividende (non communiquée dans les rapports 2025 et T1 2026) limitent l'attrait pour un achat agressif.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apparaît exigeante (PER 18,2x vs moyenne BRVM 8-12x, P/B 4,38x), mais tempérée par un EV/EBITDA raisonnable de 7,7x, ce qui suggère que le marché intègre une prime de qualité et de stabilité plutôt qu'une sous-évaluation. Le comportement du cours sur 100 jours est haussier (+16,77 %), avec une volatilité élevée (44,1 %) et une distribution symétrique (skewness -0,133, kurtosis -0,217), indiquant l'absence de biais directionnel fort mais un risque de fluctuation important. Les signaux techniques sont divergents : les moyennes mobiles et le stochastique plaident pour un achat, tandis que le MACD et les bandes de Bollinger incitent à la prudence, le RSI neutre confirmant l'absence de tendance claire à court terme. Les fondamentaux restent solides (ROE 24 %, trésorerie nette positive, BFR négatif), avec une résilience opérationnelle démontrée au T1 2026 (résultat net +5 % malgré CA -10 %), mais la faible marge nette (1,49 %) et l'absence d'information sur le dividende limitent le potentiel de revalorisation à court terme. Les prédictions IA (J+1 à J+10) tablent sur une légère appréciation vers 3 813-3 821 FCFA, confirmant la tendance haussière de fond sans emballement. Sur la base de cette synthèse, la recommandation finale est **CONSERVER**, avec un niveau de confiance **Moyen** et un risque global **Moyen**. L'horizon d'investissement optimal est le **moyen terme (3-12 mois)**, en attendant une clarification sur la politique de dividende et une confirmation de la reprise des volumes, qui pourraient justifier un passage à l'achat.</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-19.49%</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49,000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5.59% (Moyenne) — μ=55,263 FCFA, σ=3,087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β=0.0216 (Défensif) — Cov=0.000001, Var(idx)=0.000045, ρ=0.004,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σ_j=3.72%/j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2026-09-25</w:t>
            </w:r>
          </w:p>
        </w:tc>
        <w:tc>
          <w:tcPr>
            <w:tcW w:type="dxa" w:w="1440"/>
            <w:shd w:fill="FAFAFA" w:val="clear"/>
          </w:tcPr>
          <w:p>
            <w:r>
              <w:rPr>
                <w:sz w:val="17"/>
              </w:rPr>
              <w:t>47,411</w:t>
            </w:r>
          </w:p>
        </w:tc>
        <w:tc>
          <w:tcPr>
            <w:tcW w:type="dxa" w:w="1440"/>
            <w:shd w:fill="FAFAFA" w:val="clear"/>
          </w:tcPr>
          <w:p>
            <w:r>
              <w:rPr>
                <w:b/>
                <w:sz w:val="17"/>
              </w:rPr>
              <w:t>50,592</w:t>
            </w:r>
          </w:p>
        </w:tc>
        <w:tc>
          <w:tcPr>
            <w:tcW w:type="dxa" w:w="1440"/>
            <w:shd w:fill="FAFAFA" w:val="clear"/>
          </w:tcPr>
          <w:p>
            <w:r>
              <w:rPr>
                <w:sz w:val="17"/>
              </w:rPr>
              <w:t>53,773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2026-09-28</w:t>
            </w:r>
          </w:p>
        </w:tc>
        <w:tc>
          <w:tcPr>
            <w:tcW w:type="dxa" w:w="1440"/>
            <w:shd w:fill="FAFAFA" w:val="clear"/>
          </w:tcPr>
          <w:p>
            <w:r>
              <w:rPr>
                <w:sz w:val="17"/>
              </w:rPr>
              <w:t>46,029</w:t>
            </w:r>
          </w:p>
        </w:tc>
        <w:tc>
          <w:tcPr>
            <w:tcW w:type="dxa" w:w="1440"/>
            <w:shd w:fill="FAFAFA" w:val="clear"/>
          </w:tcPr>
          <w:p>
            <w:r>
              <w:rPr>
                <w:b/>
                <w:sz w:val="17"/>
              </w:rPr>
              <w:t>50,521</w:t>
            </w:r>
          </w:p>
        </w:tc>
        <w:tc>
          <w:tcPr>
            <w:tcW w:type="dxa" w:w="1440"/>
            <w:shd w:fill="FAFAFA" w:val="clear"/>
          </w:tcPr>
          <w:p>
            <w:r>
              <w:rPr>
                <w:sz w:val="17"/>
              </w:rPr>
              <w:t>55,014</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2026-09-29</w:t>
            </w:r>
          </w:p>
        </w:tc>
        <w:tc>
          <w:tcPr>
            <w:tcW w:type="dxa" w:w="1440"/>
            <w:shd w:fill="FAFAFA" w:val="clear"/>
          </w:tcPr>
          <w:p>
            <w:r>
              <w:rPr>
                <w:sz w:val="17"/>
              </w:rPr>
              <w:t>44,986</w:t>
            </w:r>
          </w:p>
        </w:tc>
        <w:tc>
          <w:tcPr>
            <w:tcW w:type="dxa" w:w="1440"/>
            <w:shd w:fill="FAFAFA" w:val="clear"/>
          </w:tcPr>
          <w:p>
            <w:r>
              <w:rPr>
                <w:b/>
                <w:sz w:val="17"/>
              </w:rPr>
              <w:t>50,484</w:t>
            </w:r>
          </w:p>
        </w:tc>
        <w:tc>
          <w:tcPr>
            <w:tcW w:type="dxa" w:w="1440"/>
            <w:shd w:fill="FAFAFA" w:val="clear"/>
          </w:tcPr>
          <w:p>
            <w:r>
              <w:rPr>
                <w:sz w:val="17"/>
              </w:rPr>
              <w:t>55,982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44,115</w:t>
            </w:r>
          </w:p>
        </w:tc>
        <w:tc>
          <w:tcPr>
            <w:tcW w:type="dxa" w:w="1440"/>
            <w:shd w:fill="FAFAFA" w:val="clear"/>
          </w:tcPr>
          <w:p>
            <w:r>
              <w:rPr>
                <w:b/>
                <w:sz w:val="17"/>
              </w:rPr>
              <w:t>50,461</w:t>
            </w:r>
          </w:p>
        </w:tc>
        <w:tc>
          <w:tcPr>
            <w:tcW w:type="dxa" w:w="1440"/>
            <w:shd w:fill="FAFAFA" w:val="clear"/>
          </w:tcPr>
          <w:p>
            <w:r>
              <w:rPr>
                <w:sz w:val="17"/>
              </w:rPr>
              <w:t>56,806</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43,352</w:t>
            </w:r>
          </w:p>
        </w:tc>
        <w:tc>
          <w:tcPr>
            <w:tcW w:type="dxa" w:w="1440"/>
            <w:shd w:fill="FAFAFA" w:val="clear"/>
          </w:tcPr>
          <w:p>
            <w:r>
              <w:rPr>
                <w:b/>
                <w:sz w:val="17"/>
              </w:rPr>
              <w:t>50,444</w:t>
            </w:r>
          </w:p>
        </w:tc>
        <w:tc>
          <w:tcPr>
            <w:tcW w:type="dxa" w:w="1440"/>
            <w:shd w:fill="FAFAFA" w:val="clear"/>
          </w:tcPr>
          <w:p>
            <w:r>
              <w:rPr>
                <w:sz w:val="17"/>
              </w:rPr>
              <w:t>57,537</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42,664</w:t>
            </w:r>
          </w:p>
        </w:tc>
        <w:tc>
          <w:tcPr>
            <w:tcW w:type="dxa" w:w="1440"/>
            <w:shd w:fill="FAFAFA" w:val="clear"/>
          </w:tcPr>
          <w:p>
            <w:r>
              <w:rPr>
                <w:b/>
                <w:sz w:val="17"/>
              </w:rPr>
              <w:t>50,432</w:t>
            </w:r>
          </w:p>
        </w:tc>
        <w:tc>
          <w:tcPr>
            <w:tcW w:type="dxa" w:w="1440"/>
            <w:shd w:fill="FAFAFA" w:val="clear"/>
          </w:tcPr>
          <w:p>
            <w:r>
              <w:rPr>
                <w:sz w:val="17"/>
              </w:rPr>
              <w:t>58,199</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42,033</w:t>
            </w:r>
          </w:p>
        </w:tc>
        <w:tc>
          <w:tcPr>
            <w:tcW w:type="dxa" w:w="1440"/>
            <w:shd w:fill="FAFAFA" w:val="clear"/>
          </w:tcPr>
          <w:p>
            <w:r>
              <w:rPr>
                <w:b/>
                <w:sz w:val="17"/>
              </w:rPr>
              <w:t>50,422</w:t>
            </w:r>
          </w:p>
        </w:tc>
        <w:tc>
          <w:tcPr>
            <w:tcW w:type="dxa" w:w="1440"/>
            <w:shd w:fill="FAFAFA" w:val="clear"/>
          </w:tcPr>
          <w:p>
            <w:r>
              <w:rPr>
                <w:sz w:val="17"/>
              </w:rPr>
              <w:t>58,810</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41,447</w:t>
            </w:r>
          </w:p>
        </w:tc>
        <w:tc>
          <w:tcPr>
            <w:tcW w:type="dxa" w:w="1440"/>
            <w:shd w:fill="FAFAFA" w:val="clear"/>
          </w:tcPr>
          <w:p>
            <w:r>
              <w:rPr>
                <w:b/>
                <w:sz w:val="17"/>
              </w:rPr>
              <w:t>50,413</w:t>
            </w:r>
          </w:p>
        </w:tc>
        <w:tc>
          <w:tcPr>
            <w:tcW w:type="dxa" w:w="1440"/>
            <w:shd w:fill="FAFAFA" w:val="clear"/>
          </w:tcPr>
          <w:p>
            <w:r>
              <w:rPr>
                <w:sz w:val="17"/>
              </w:rPr>
              <w:t>59,379</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40,897</w:t>
            </w:r>
          </w:p>
        </w:tc>
        <w:tc>
          <w:tcPr>
            <w:tcW w:type="dxa" w:w="1440"/>
            <w:shd w:fill="FAFAFA" w:val="clear"/>
          </w:tcPr>
          <w:p>
            <w:r>
              <w:rPr>
                <w:b/>
                <w:sz w:val="17"/>
              </w:rPr>
              <w:t>50,406</w:t>
            </w:r>
          </w:p>
        </w:tc>
        <w:tc>
          <w:tcPr>
            <w:tcW w:type="dxa" w:w="1440"/>
            <w:shd w:fill="FAFAFA" w:val="clear"/>
          </w:tcPr>
          <w:p>
            <w:r>
              <w:rPr>
                <w:sz w:val="17"/>
              </w:rPr>
              <w:t>59,914</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40,378</w:t>
            </w:r>
          </w:p>
        </w:tc>
        <w:tc>
          <w:tcPr>
            <w:tcW w:type="dxa" w:w="1440"/>
            <w:shd w:fill="FAFAFA" w:val="clear"/>
          </w:tcPr>
          <w:p>
            <w:r>
              <w:rPr>
                <w:b/>
                <w:sz w:val="17"/>
              </w:rPr>
              <w:t>50,399</w:t>
            </w:r>
          </w:p>
        </w:tc>
        <w:tc>
          <w:tcPr>
            <w:tcW w:type="dxa" w:w="1440"/>
            <w:shd w:fill="FAFAFA" w:val="clear"/>
          </w:tcPr>
          <w:p>
            <w:r>
              <w:rPr>
                <w:sz w:val="17"/>
              </w:rPr>
              <w:t>60,420</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s'élève à 468,35 milliards FCFA, un niveau significatif à l'échelle de la BRVM qui place la société parmi les valeurs les plus importantes de la cote, bien que très en deçà des géants télécoms ou bancaires de la place. Les ratios de valorisation boursière (BPA, PER, P/B, EV/EBITDA) ne sont pas calculables en l'absence de données financières structurées actualisées et fiables dans la base de données, ce qui constitue une limite importante pour l'évaluation comparative. Toutefois, en croisant la capitalisation avec le bénéfice net de 640 millions FCFA publié au titre de l'exercice 2023, on obtient un PER implicite extrêmement élevé (supérieur à 700x), traduisant une décorrélation totale entre le prix de marché et la rentabilité effective de l'entreprise. À l'inverse, la valeur comptable étant négative (capitaux propres de -10,66 milliards FCFA en 2023), le ratio P/B est non seulement inexploitable mais signale une situation bilancielle dégradée. En définitive, la valorisation boursière d'UNLC repose davantage sur la prime de notoriété de la marque Unilever et sur des anticipations de redressement que sur des fondamentaux mesurables.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UNLC affiche une variation totale de -19,49%, matérialisant une tendance baissière marquée, bien que la dernière séance (J-1) enregistre un rebond technique de +4,08% à 51 000 FCFA. Le range de trading s'établit entre un plus haut de 63 345 FCFA et un plus bas de 49 000 FCFA, soit une amplitude de 14 345 FCFA (environ 29% du cours bas), ce qui témoigne d'une réelle nervosité du titre sur la période. Les statistiques descriptives révèlent une moyenne de 55 263 FCFA légèrement supérieure à la médiane de 55 000 FCFA, avec un mode à 58 000 FCFA : l'écart faible entre moyenne et médiane (0,5%) indique une distribution quasi symétrique, confirmée par un skewness de 0,239 (asymétrie positive légère). L'écart-type de 3 102 FCFA et le coefficient de variation de 5,6% traduisent une dispersion modérée du cours autour de sa moyenne, tandis que le kurtosis de -0,472 (mésokurtique) suggère une distribution proche de la normale, sans risque excessif de pics extrêmes. La volatilité annualisée de 59,1% classe toutefois le titre dans la catégorie des valeurs à volatilité élevée (&gt;30%), ce qui implique un risque de marché substantiel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(52 622 FCFA) et la MM50 (53 316 FCFA) se situent toutes deux au-dessus du cours actuel (51 000 FCFA), avec une MM20 inférieure à la MM50 — configuration baissière caractéristique d'un marché en repli. Le cours évoluant sous ses deux moyennes, la pression vendeuse domine, ce qui justifie la décision technique de **Vente**.</w:t>
      </w:r>
    </w:p>
    <w:p>
      <w:pPr>
        <w:spacing w:after="120" w:line="276" w:lineRule="auto"/>
      </w:pPr>
      <w:r>
        <w:t>**Bandes de Bollinger** : Le cours (51 000 FCFA) se situe dans la moitié inférieure de la bande, entre la borne inférieure (49 158 FCFA) et la borne supérieure (56 086 FCFA), sans franchissement des extrêmes. Cette position médiane-basse, dans un contexte de bandes relativement resserrées, traduit une volatilité contenue et une absence de signal directionnel fort, d'où la décision **Neutre**.</w:t>
      </w:r>
    </w:p>
    <w:p>
      <w:pPr>
        <w:spacing w:after="120" w:line="276" w:lineRule="auto"/>
      </w:pPr>
      <w:r>
        <w:t>**MACD** : Le MACD (-797,892) est nettement inférieur à son signal (-555,284), et les deux lignes évoluent en territoire négatif. Cette divergence baissière persistante confirme un momentum négatif et une dynamique de fond toujours vendeuse, justifiant la décision **Vente**.</w:t>
      </w:r>
    </w:p>
    <w:p>
      <w:pPr>
        <w:spacing w:after="120" w:line="276" w:lineRule="auto"/>
      </w:pPr>
      <w:r>
        <w:t>**RSI** : À 42,136, le RSI se situe dans la zone neutre (30-70), sans atteindre la zone de survente (&lt;30). Le titre n'est donc ni survendu ni suracheté, ce qui laisse une marge de baisse théorique mais n'incite pas à un signal d'achat contrarien, d'où la décision **Neutre**.</w:t>
      </w:r>
    </w:p>
    <w:p>
      <w:pPr>
        <w:spacing w:after="120" w:line="276" w:lineRule="auto"/>
      </w:pPr>
      <w:r>
        <w:t>**Stochastique** : Le %K (37,736) est supérieur au %D (31,17), configuration haussière de court terme suggérant un début de redressement du momentum. Toutefois, les deux courbes restent en zone basse, ce qui tempère la portée du signal et justifie la décision **Neutre**.</w:t>
      </w:r>
    </w:p>
    <w:p>
      <w:pPr>
        <w:spacing w:after="120" w:line="276" w:lineRule="auto"/>
      </w:pPr>
      <w:r>
        <w:t>**Conclusion technique** : Les indicateurs convergent majoritairement vers un biais baissier (MM, MACD en Vente ; Bollinger, RSI, Stochastique en Neutre), sans signal d'achat franc. Le léger rebond du stochastique et le positionnement médian du RSI suggèrent une possible stabilisation à court terme, mais l'absence de franchissement des moyennes mobiles maintient la pression vendeuse. La configuration technique globale reste donc défavorable, avec un risque de poursuite de la correction vers la borne inférieure des Bollinger (49 158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les plus récentes disponibles pour UNLC portent sur l'exercice clos le **31 décembre 2023** (rapport analysé le 15 mars 2026). En 2023, la société a réalisé un chiffre d'affaires de **24 336 010 000 FCFA**, strictement stable par rapport à 2022, et un bénéfice net de **640 334 855 FCFA**, en nette amélioration après la perte abyssale de **-6 908 362 002 FCFA** enregistrée en 2022. La marge nette ressort ainsi à **2,63%** en 2023 (contre -28,4% en 2022), très en deçà de la moyenne sectorielle des FMCG en Afrique de l'Ouest (5-10%). Le résultat d'exploitation est repassé en territoire positif à **+3 340 millions FCFA** (contre -6 258 millions FCFA en 2022), grâce à une réduction des charges et une hausse des produits accessoires, tandis que les frais financiers ont diminué à 135 millions FCFA (contre 566 millions FCFA en 2022). Le ROE et le ROA ne sont pas calculables de manière pertinente, les capitaux propres étant négatifs à **-10 658 millions FCFA** et le report à nouveau affichant **-35 635 millions FCFA** : la structure bilancielle demeure donc profondément fragilisée. Les dettes financières ont progressé à **4 379 millions FCFA** (contre 3 827 millions FCFA en 2022), et l'absence de dividende en 2023 comme en 2022 prive l'actionnaire de tout rendement. En remontant plus loin, l'exercice 2021 (rapport du 16 mars 2026) affichait un chiffre d'affaires de 24 336 010 000 FCFA et un bénéfice net de **+6 090 755 732 FCFA** (marge nette de 25,0%), avant que la cession de l'activité "Thé" (Lipton) et les perturbations régionales (embargo malien, restrictions BCEAO) ne fassent chuter le CA à 36 174,6 millions FCFA en 2022 selon un autre rapport, puis ne le stabilisent à 24 336 millions FCFA en 2023. L'évolution temporelle révèle donc une entreprise en transition douloureuse : rentabilité ponctuellement restaurée en 2021, effondrement en 2022, redressement fragile en 2023, sans que la croissance du chiffre d'affaires ne soit au rendez-vous. La recommandation fondamentale reste **CONSERVER avec vigilance** : la marque Unilever et le portefeuille de produits résilients constituent des atouts, mais les capitaux propres négatifs, l'endettement croissant, l'absence de dividende et la stagnation du CA imposent une extrême prudence. Une reprise durable de la rentabilité et une reconstitution des fonds propres seraient nécessaires pour envisager un achat.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**VENTE** sur UNLC, avec un niveau de confiance **Moyen** et un risque global **Élevé**. En effet, la valorisation (Partie 0) apparaît totalement déconnectée des fondamentaux, avec un PER implicite supérieur à 700x et des capitaux propres négatifs rendant tout ratio P/B inexploitable. Le comportement du cours (Partie 1) est clairement baissier (-19,49% sur 100 jours), avec une volatilité annualisée élevée de 59,1% et une distribution quasi symétrique (skewness 0,239, kurtosis -0,472) qui n'offre aucun biais favorable. Les signaux techniques (Partie 2) convergent majoritairement à la vente (MM20 et MM50 au-dessus du cours, MACD en divergence baissière), les indicateurs neutres (RSI, Bollinger, Stochastique) ne compensant pas ce biais négatif. Les fondamentaux (Partie 3) demeurent fragiles malgré le redressement du résultat net 2023 (640 millions FCFA), en raison de la stagnation du CA, de la marge nette faible (2,63%), des capitaux propres négatifs (-10,66 milliards FCFA) et de l'absence de dividende. Enfin, les prédictions IA (J+1 à J+10) anticipent une trajectoire baissière continue, de 50 592 FCFA le 25 septembre 2026 à 50 444 FCFA le 1er octobre 2026, confirmant la pression vendeuse et contredisant toute thèse de rebond durable. La convergence entre technique baissière, fondamentaux fragiles et prédictions négatives justifie la recommandation de vente, bien que le rebond de +4,08% en J-1 et le positionnement du stochastique invitent à une certaine prudence dans l'exécution. L'horizon d'investissement optimal est **court terme** (&lt;3 mois) pour les investisseurs cherchant à sortir avant une éventuelle dégradation supplémentaire, aucun catalyseur fondamental positif n'étant identifié à moyen ou long terme.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45.65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13,586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+15.79%</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14.65% (Moyenne) — μ=1,973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β=0.0409 (Défensif) — Cov=0.000002, Var(idx)=0.000045, ρ=0.009,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13,586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88/100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2026-09-25</w:t>
            </w:r>
          </w:p>
        </w:tc>
        <w:tc>
          <w:tcPr>
            <w:tcW w:type="dxa" w:w="1440"/>
            <w:shd w:fill="FAFAFA" w:val="clear"/>
          </w:tcPr>
          <w:p>
            <w:r>
              <w:rPr>
                <w:sz w:val="17"/>
              </w:rPr>
              <w:t>2,122</w:t>
            </w:r>
          </w:p>
        </w:tc>
        <w:tc>
          <w:tcPr>
            <w:tcW w:type="dxa" w:w="1440"/>
            <w:shd w:fill="FAFAFA" w:val="clear"/>
          </w:tcPr>
          <w:p>
            <w:r>
              <w:rPr>
                <w:b/>
                <w:sz w:val="17"/>
              </w:rPr>
              <w:t>2,219</w:t>
            </w:r>
          </w:p>
        </w:tc>
        <w:tc>
          <w:tcPr>
            <w:tcW w:type="dxa" w:w="1440"/>
            <w:shd w:fill="FAFAFA" w:val="clear"/>
          </w:tcPr>
          <w:p>
            <w:r>
              <w:rPr>
                <w:sz w:val="17"/>
              </w:rPr>
              <w:t>2,315</w:t>
            </w:r>
          </w:p>
        </w:tc>
        <w:tc>
          <w:tcPr>
            <w:tcW w:type="dxa" w:w="1440"/>
            <w:shd w:fill="FAFAFA" w:val="clear"/>
          </w:tcPr>
          <w:p>
            <w:r>
              <w:rPr>
                <w:b/>
                <w:color w:val="008000"/>
                <w:sz w:val="17"/>
              </w:rPr>
              <w:t>+0.9%</w:t>
            </w:r>
          </w:p>
        </w:tc>
      </w:tr>
      <w:tr>
        <w:tc>
          <w:tcPr>
            <w:tcW w:type="dxa" w:w="1440"/>
            <w:shd w:fill="FAFAFA" w:val="clear"/>
          </w:tcPr>
          <w:p>
            <w:r>
              <w:rPr>
                <w:sz w:val="17"/>
              </w:rPr>
              <w:t>J+2  Moyenne</w:t>
            </w:r>
          </w:p>
        </w:tc>
        <w:tc>
          <w:tcPr>
            <w:tcW w:type="dxa" w:w="1440"/>
            <w:shd w:fill="FAFAFA" w:val="clear"/>
          </w:tcPr>
          <w:p>
            <w:r>
              <w:rPr>
                <w:sz w:val="17"/>
              </w:rPr>
              <w:t>2026-09-28</w:t>
            </w:r>
          </w:p>
        </w:tc>
        <w:tc>
          <w:tcPr>
            <w:tcW w:type="dxa" w:w="1440"/>
            <w:shd w:fill="FAFAFA" w:val="clear"/>
          </w:tcPr>
          <w:p>
            <w:r>
              <w:rPr>
                <w:sz w:val="17"/>
              </w:rPr>
              <w:t>2,073</w:t>
            </w:r>
          </w:p>
        </w:tc>
        <w:tc>
          <w:tcPr>
            <w:tcW w:type="dxa" w:w="1440"/>
            <w:shd w:fill="FAFAFA" w:val="clear"/>
          </w:tcPr>
          <w:p>
            <w:r>
              <w:rPr>
                <w:b/>
                <w:sz w:val="17"/>
              </w:rPr>
              <w:t>2,209</w:t>
            </w:r>
          </w:p>
        </w:tc>
        <w:tc>
          <w:tcPr>
            <w:tcW w:type="dxa" w:w="1440"/>
            <w:shd w:fill="FAFAFA" w:val="clear"/>
          </w:tcPr>
          <w:p>
            <w:r>
              <w:rPr>
                <w:sz w:val="17"/>
              </w:rPr>
              <w:t>2,345</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2026-09-29</w:t>
            </w:r>
          </w:p>
        </w:tc>
        <w:tc>
          <w:tcPr>
            <w:tcW w:type="dxa" w:w="1440"/>
            <w:shd w:fill="FAFAFA" w:val="clear"/>
          </w:tcPr>
          <w:p>
            <w:r>
              <w:rPr>
                <w:sz w:val="17"/>
              </w:rPr>
              <w:t>2,037</w:t>
            </w:r>
          </w:p>
        </w:tc>
        <w:tc>
          <w:tcPr>
            <w:tcW w:type="dxa" w:w="1440"/>
            <w:shd w:fill="FAFAFA" w:val="clear"/>
          </w:tcPr>
          <w:p>
            <w:r>
              <w:rPr>
                <w:b/>
                <w:sz w:val="17"/>
              </w:rPr>
              <w:t>2,203</w:t>
            </w:r>
          </w:p>
        </w:tc>
        <w:tc>
          <w:tcPr>
            <w:tcW w:type="dxa" w:w="1440"/>
            <w:shd w:fill="FAFAFA" w:val="clear"/>
          </w:tcPr>
          <w:p>
            <w:r>
              <w:rPr>
                <w:sz w:val="17"/>
              </w:rPr>
              <w:t>2,369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2026-09-30</w:t>
            </w:r>
          </w:p>
        </w:tc>
        <w:tc>
          <w:tcPr>
            <w:tcW w:type="dxa" w:w="1440"/>
            <w:shd w:fill="FAFAFA" w:val="clear"/>
          </w:tcPr>
          <w:p>
            <w:r>
              <w:rPr>
                <w:sz w:val="17"/>
              </w:rPr>
              <w:t>2,007</w:t>
            </w:r>
          </w:p>
        </w:tc>
        <w:tc>
          <w:tcPr>
            <w:tcW w:type="dxa" w:w="1440"/>
            <w:shd w:fill="FAFAFA" w:val="clear"/>
          </w:tcPr>
          <w:p>
            <w:r>
              <w:rPr>
                <w:b/>
                <w:sz w:val="17"/>
              </w:rPr>
              <w:t>2,198</w:t>
            </w:r>
          </w:p>
        </w:tc>
        <w:tc>
          <w:tcPr>
            <w:tcW w:type="dxa" w:w="1440"/>
            <w:shd w:fill="FAFAFA" w:val="clear"/>
          </w:tcPr>
          <w:p>
            <w:r>
              <w:rPr>
                <w:sz w:val="17"/>
              </w:rPr>
              <w:t>2,389</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2026-10-01</w:t>
            </w:r>
          </w:p>
        </w:tc>
        <w:tc>
          <w:tcPr>
            <w:tcW w:type="dxa" w:w="1440"/>
            <w:shd w:fill="FAFAFA" w:val="clear"/>
          </w:tcPr>
          <w:p>
            <w:r>
              <w:rPr>
                <w:sz w:val="17"/>
              </w:rPr>
              <w:t>1,979</w:t>
            </w:r>
          </w:p>
        </w:tc>
        <w:tc>
          <w:tcPr>
            <w:tcW w:type="dxa" w:w="1440"/>
            <w:shd w:fill="FAFAFA" w:val="clear"/>
          </w:tcPr>
          <w:p>
            <w:r>
              <w:rPr>
                <w:b/>
                <w:sz w:val="17"/>
              </w:rPr>
              <w:t>2,192</w:t>
            </w:r>
          </w:p>
        </w:tc>
        <w:tc>
          <w:tcPr>
            <w:tcW w:type="dxa" w:w="1440"/>
            <w:shd w:fill="FAFAFA" w:val="clear"/>
          </w:tcPr>
          <w:p>
            <w:r>
              <w:rPr>
                <w:sz w:val="17"/>
              </w:rPr>
              <w:t>2,405</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2026-10-02</w:t>
            </w:r>
          </w:p>
        </w:tc>
        <w:tc>
          <w:tcPr>
            <w:tcW w:type="dxa" w:w="1440"/>
            <w:shd w:fill="FAFAFA" w:val="clear"/>
          </w:tcPr>
          <w:p>
            <w:r>
              <w:rPr>
                <w:sz w:val="17"/>
              </w:rPr>
              <w:t>1,953</w:t>
            </w:r>
          </w:p>
        </w:tc>
        <w:tc>
          <w:tcPr>
            <w:tcW w:type="dxa" w:w="1440"/>
            <w:shd w:fill="FAFAFA" w:val="clear"/>
          </w:tcPr>
          <w:p>
            <w:r>
              <w:rPr>
                <w:b/>
                <w:sz w:val="17"/>
              </w:rPr>
              <w:t>2,186</w:t>
            </w:r>
          </w:p>
        </w:tc>
        <w:tc>
          <w:tcPr>
            <w:tcW w:type="dxa" w:w="1440"/>
            <w:shd w:fill="FAFAFA" w:val="clear"/>
          </w:tcPr>
          <w:p>
            <w:r>
              <w:rPr>
                <w:sz w:val="17"/>
              </w:rPr>
              <w:t>2,419</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2026-10-05</w:t>
            </w:r>
          </w:p>
        </w:tc>
        <w:tc>
          <w:tcPr>
            <w:tcW w:type="dxa" w:w="1440"/>
            <w:shd w:fill="FAFAFA" w:val="clear"/>
          </w:tcPr>
          <w:p>
            <w:r>
              <w:rPr>
                <w:sz w:val="17"/>
              </w:rPr>
              <w:t>1,929</w:t>
            </w:r>
          </w:p>
        </w:tc>
        <w:tc>
          <w:tcPr>
            <w:tcW w:type="dxa" w:w="1440"/>
            <w:shd w:fill="FAFAFA" w:val="clear"/>
          </w:tcPr>
          <w:p>
            <w:r>
              <w:rPr>
                <w:b/>
                <w:sz w:val="17"/>
              </w:rPr>
              <w:t>2,180</w:t>
            </w:r>
          </w:p>
        </w:tc>
        <w:tc>
          <w:tcPr>
            <w:tcW w:type="dxa" w:w="1440"/>
            <w:shd w:fill="FAFAFA" w:val="clear"/>
          </w:tcPr>
          <w:p>
            <w:r>
              <w:rPr>
                <w:sz w:val="17"/>
              </w:rPr>
              <w:t>2,431</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2026-10-06</w:t>
            </w:r>
          </w:p>
        </w:tc>
        <w:tc>
          <w:tcPr>
            <w:tcW w:type="dxa" w:w="1440"/>
            <w:shd w:fill="FAFAFA" w:val="clear"/>
          </w:tcPr>
          <w:p>
            <w:r>
              <w:rPr>
                <w:sz w:val="17"/>
              </w:rPr>
              <w:t>1,907</w:t>
            </w:r>
          </w:p>
        </w:tc>
        <w:tc>
          <w:tcPr>
            <w:tcW w:type="dxa" w:w="1440"/>
            <w:shd w:fill="FAFAFA" w:val="clear"/>
          </w:tcPr>
          <w:p>
            <w:r>
              <w:rPr>
                <w:b/>
                <w:sz w:val="17"/>
              </w:rPr>
              <w:t>2,175</w:t>
            </w:r>
          </w:p>
        </w:tc>
        <w:tc>
          <w:tcPr>
            <w:tcW w:type="dxa" w:w="1440"/>
            <w:shd w:fill="FAFAFA" w:val="clear"/>
          </w:tcPr>
          <w:p>
            <w:r>
              <w:rPr>
                <w:sz w:val="17"/>
              </w:rPr>
              <w:t>2,442</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2026-10-07</w:t>
            </w:r>
          </w:p>
        </w:tc>
        <w:tc>
          <w:tcPr>
            <w:tcW w:type="dxa" w:w="1440"/>
            <w:shd w:fill="FAFAFA" w:val="clear"/>
          </w:tcPr>
          <w:p>
            <w:r>
              <w:rPr>
                <w:sz w:val="17"/>
              </w:rPr>
              <w:t>1,886</w:t>
            </w:r>
          </w:p>
        </w:tc>
        <w:tc>
          <w:tcPr>
            <w:tcW w:type="dxa" w:w="1440"/>
            <w:shd w:fill="FAFAFA" w:val="clear"/>
          </w:tcPr>
          <w:p>
            <w:r>
              <w:rPr>
                <w:b/>
                <w:sz w:val="17"/>
              </w:rPr>
              <w:t>2,169</w:t>
            </w:r>
          </w:p>
        </w:tc>
        <w:tc>
          <w:tcPr>
            <w:tcW w:type="dxa" w:w="1440"/>
            <w:shd w:fill="FAFAFA" w:val="clear"/>
          </w:tcPr>
          <w:p>
            <w:r>
              <w:rPr>
                <w:sz w:val="17"/>
              </w:rPr>
              <w:t>2,452</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2026-10-08</w:t>
            </w:r>
          </w:p>
        </w:tc>
        <w:tc>
          <w:tcPr>
            <w:tcW w:type="dxa" w:w="1440"/>
            <w:shd w:fill="FAFAFA" w:val="clear"/>
          </w:tcPr>
          <w:p>
            <w:r>
              <w:rPr>
                <w:sz w:val="17"/>
              </w:rPr>
              <w:t>1,866</w:t>
            </w:r>
          </w:p>
        </w:tc>
        <w:tc>
          <w:tcPr>
            <w:tcW w:type="dxa" w:w="1440"/>
            <w:shd w:fill="FAFAFA" w:val="clear"/>
          </w:tcPr>
          <w:p>
            <w:r>
              <w:rPr>
                <w:b/>
                <w:sz w:val="17"/>
              </w:rPr>
              <w:t>2,164</w:t>
            </w:r>
          </w:p>
        </w:tc>
        <w:tc>
          <w:tcPr>
            <w:tcW w:type="dxa" w:w="1440"/>
            <w:shd w:fill="FAFAFA" w:val="clear"/>
          </w:tcPr>
          <w:p>
            <w:r>
              <w:rPr>
                <w:sz w:val="17"/>
              </w:rPr>
              <w:t>2,462</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 Textile / Entreprise industrielle*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45,65 milliards FCFA, UNIWAX se situe dans la fourchette intermédiaire-haute des valeurs industrielles cotées à la BRVM, ce qui traduit une certaine confiance du marché dans le redressement de la société. Le BPA ressort à -105 FCFA/action sur l'exercice 2024, conséquence directe d'une perte nette de -2,189 milliards FCFA, rendant le PER non significatif (-20,9x) puisque la société était déficitaire — un ratio négatif n'a pas de valeur interprétative en soi. Le P/B de 2,93x indique que le marché valorise l'action à près de trois fois sa valeur comptable (capitaux propres de 15,591 Mds FCFA en 2024), ce qui constitue une prime de croissance significative, justifiée uniquement si le retour à la rentabilité opérationnelle se confirme. L'EV/EBITDA n'est pas fourni, mais au regard de l'EBE négatif de -352,22 M FCFA en 2024, ce ratio serait également négatif et donc non pertinent — il conviendra de le surveiller une fois l'EBE repassé en territoire positif (1,13 Md FCFA annoncé pour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progression totale de +15,79%, avec un cours actuel de 2 200 FCFA et une variation nulle sur la dernière séance (J-1 : +0,00%), signe d'une stabilisation après le mouvement haussier. Le range de trading est particulièrement large, avec un plus haut à 2 495 FCFA et un plus bas à 1 250 FCFA, soit un écart de près de 100% entre les deux extrêmes — ce qui témoigne d'une forte amplitude et d'une tendance globale haussière mais heurtée. Les statistiques descriptives révèlent une moyenne de 1 973 FCFA légèrement supérieure à la médiane de 1 905 FCFA et au mode de 1 900 FCFA, ce qui suggère une distribution très légèrement asymétrique à droite, cohérente avec le skewness de 0,051 (distribution quasi symétrique). L'écart-type de 291 FCFA (CV = 14,7%) indique une dispersion modérée du cours autour de sa moyenne, tandis que le kurtosis de -0,256 (mésokurtique) signifie que la distribution est proche d'une loi normale, sans risque excessif de pics extrêmes — un élément rassurant pour la gestion du risque. La volatilité annualisée de 48,4% classe clairement le titre dans la catégorie des valeurs à volatilité élevée (&gt;30%), ce qui est typique des petites capitalisations de la BRVM et implique une prime de risque significative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2 363,5 FCFA et la MM50 à 2 157,2 FCFA, toutes deux supérieures au cours actuel de 2 200 FCFA pour la MM20 mais inférieures pour la MM50. Le croisement haussier (MM20 &gt; MM50) confirme une dynamique positive de fond, et la décision technique affichée est "Achat". Toutefois, le cours étant repassé sous la MM20, une consolidation court terme est possible avant reprise.</w:t>
      </w:r>
    </w:p>
    <w:p>
      <w:pPr>
        <w:spacing w:after="120" w:line="276" w:lineRule="auto"/>
      </w:pPr>
      <w:r>
        <w:t>**Bandes de Bollinger** : La borne supérieure se situe à 2 509,07 FCFA et la borne inférieure à 2 217,93 FCFA, avec un cours actuel de 2 200 FCFA légèrement en dessous de la borne basse — situation inhabituelle qui signale une pression vendeuse récente mais aussi un potentiel de rebond technique. La décision affichée est "Achat", cohérente avec un cours en zone de survente relative par rapport aux bandes.</w:t>
      </w:r>
    </w:p>
    <w:p>
      <w:pPr>
        <w:spacing w:after="120" w:line="276" w:lineRule="auto"/>
      </w:pPr>
      <w:r>
        <w:t>**MACD** : La valeur du MACD (19,167) est nettement inférieure à son signal (57,23), générant une divergence baissière et une décision "Vente". Ce signal contredit les autres indicateurs et suggère que le momentum haussier s'essouffle à court terme, appelant à la prudence malgré le contexte globalement positif.</w:t>
      </w:r>
    </w:p>
    <w:p>
      <w:pPr>
        <w:spacing w:after="120" w:line="276" w:lineRule="auto"/>
      </w:pPr>
      <w:r>
        <w:t>**RSI** : À 20,29, le RSI est en zone de survente profonde (seuil &lt;30), ce qui constitue un signal d'achat technique classique. Cette lecture est cohérente avec la position du cours sous la borne inférieure de Bollinger et suggère un rebond imminent à court terme.</w:t>
      </w:r>
    </w:p>
    <w:p>
      <w:pPr>
        <w:spacing w:after="120" w:line="276" w:lineRule="auto"/>
      </w:pPr>
      <w:r>
        <w:t>**Stochastique** : Le %K est à 0,0 et le %D à 1,587, tous deux en zone extrême de survente, avec une décision "Achat". L'aplatissement du %K à zéro indique une pression baissière maximale qui, historiquement, précède souvent un retournement haussier.</w:t>
      </w:r>
    </w:p>
    <w:p>
      <w:pPr>
        <w:spacing w:after="120" w:line="276" w:lineRule="auto"/>
      </w:pPr>
      <w:r>
        <w:t>**Conclusion technique** : La majorité des indicateurs (MM, Bollinger, RSI, Stochastique) plaident pour un achat en zone de survente, avec un potentiel de rebond à court terme vers la MM20 (2 363 FCFA). Cependant, la divergence baissière du MACD tempère cet optimisme et suggère que le rebond pourrait être technique plutôt que structurel. La convergence des signaux de survente (RSI 20,29 ; Stochastique 0,0 ; cours sous Bollinger inférieure) est un élément fort, mais l'investisseur devra surveiller la confirmation du retournement avant de s'engager pleinement.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brossent un tableau contrasté : UNIWAX a réalisé un chiffre d'affaires de 27,333 Mds FCFA, en croissance de +15,4% par rapport à 2023, mais a enregistré une perte nette de -2,189 Mds FCFA (marge nette de -8,01%), avec un ROE de -14,04% et un ROA de -6,39% — des niveaux négatifs qui traduisent une destruction de valeur actionnariale sur cet exercice. La structure financière reste néanmoins solide, avec une autonomie financière de 45,53% (capitaux propres de 15,591 Mds FCFA), une solvabilité générale de 183,60% et une liquidité générale de 126,23%, tandis que le BFR de 2,149 Mds FCFA et le fonds de roulement de 4,027 Mds FCFA indiquent une gestion équilibrée du cycle d'exploitation. Les délais d'exploitation révèlent toutefois des points de vigilance : un délai client de 51,03 jours (risque de trésorerie modéré), un délai fournisseur élevé de 267,82 jours (favorable à la trésorerie) et une durée de stockage de 254,72 jours (immobilisation de capital importante, typique du secteur textile avec des collections saisonnières).</w:t>
      </w:r>
    </w:p>
    <w:p>
      <w:pPr>
        <w:spacing w:after="120" w:line="276" w:lineRule="auto"/>
      </w:pPr>
      <w:r>
        <w:t>L'analyse des rapports narratifs confirme une nette amélioration en 2025 et 2026. Selon le rapport annuel 2025 (publié en 2025), le chiffre d'affaires progresse à 29,03 Mds FCFA (+6,2%), l'EBE redevient positif à 1,13 Md FCFA (contre -0,35 Md en 2024) et la perte nette est réduite de 71% à -624 M FCFA. Le rapport du 1er semestre 2026 (publié en 2026) marque un tournant décisif : le résultat d'exploitation redevient positif à 771 M FCFA (contre -314 M FCFA au S1 2025), avec un chiffre d'affaires de 15,752 Mds FCFA (+0,3%) et un résultat net de 771 M FCFA — notons que le S1 2025 avait affiché un résultat net exceptionnel de 8,217 Mds FCFA grâce à une plus-value de cession-bail de près de 10 Mds FCFA, sans laquelle la perte opérationnelle aurait été de -330 M FCFA. Le rapport du 3ème trimestre 2025 (daté du 30/09/2025) confirme cette dynamique : le CA sur 9 mois atteint 22,474 Mds FCFA (+13%), et la direction annonce l'absence de perte au T3 seul, signalant une possible rupture vers la rentabilité opérationnelle durable. Sur la base de ces rapports trimestriels, on peut estimer que l'exercice 2026 devrait afficher un résultat d'exploitation positif pour la première fois depuis plusieurs années, avec un chiffre d'affaires annuel projeté autour de 30-31 Mds FCFA si la dynamique se maintient.</w:t>
      </w:r>
    </w:p>
    <w:p>
      <w:pPr>
        <w:spacing w:after="120" w:line="276" w:lineRule="auto"/>
      </w:pPr>
      <w:r>
        <w:t>La recommandation fondamentale est donc celle d'une société en redressement réel mais encore fragile : la solidité du bilan (peu de dettes financières, trésorerie nette positive de 2,495 Mds FCFA) et le retour à une rentabilité opérationnelle positive au S1 2026 constituent des signaux forts, mais la dépendance passée aux éléments exceptionnels (cession-bail) et la concurrence des importations asiatiques demeurent des risques majeurs. Le rapport du S1 2026 émet d'ailleurs une recommandation "acheter" en justifiant par "le retour à une rentabilité opérationnelle positive et les perspectives de croissance sur les marchés d'exportation", tout en identifiant des risques liés à la volatilité des marchés d'exportation (Nigeria, Guinée) et à l'impact potentiel de l'Article 28 sur les plus-values futures.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globalement positive mais nuancée. Sur le plan de la **valorisation (Partie 0)**, le P/B de 2,93x traduit une prime de croissance que le marché accorde à UNIWAX, mais le PER négatif et l'absence d'EV/EBITDA exploitable empêchent toute conclusion définitive sur une sous- ou surévaluation — le titre est valorisé sur les perspectives de redressement plutôt que sur les bénéfices passés. Le **comportement du cours (Partie 1)** est haussier sur 100 jours (+15,79%) avec une volatilité élevée (48,4%) et une distribution quasi normale (kurtosis -0,256, skewness 0,051), ce qui est plutôt favorable mais implique une prime de risque. Les **signaux techniques (Partie 2)** sont majoritairement acheteurs (MM, Bollinger, RSI en survente à 20,29, Stochastique à 0,0) mais le MACD baissier introduit une divergence qui appelle à la prudence sur le timing. Les **fondamentaux (Partie 3)** montrent un redressement réel : EBE positif en 2025 (1,13 Md FCFA), résultat d'exploitation positif au S1 2026 (771 M FCFA), et une structure financière solide (autonomie financière de 45,53%, trésorerie nette positive) — mais la perte nette de -624 M FCFA en 2025 et les pertes cumulées (-5,54 Mds FCFA de report à nouveau négatif) rappellent que la société n'est pas encore totalement sortie de la zone de turbulence. Les **prédictions IA (J+1 à J+10)** anticipent une légère érosion du cours de 2 219 FCFA à 2 192 FCFA, soit une baisse de -1,2% sur 10 jours, ce qui contredit les signaux de survente technique et suggère que le rebond pourrait être différé ou de faible amplitude.</w:t>
      </w:r>
    </w:p>
    <w:p>
      <w:pPr>
        <w:spacing w:after="120" w:line="276" w:lineRule="auto"/>
      </w:pPr>
      <w:r>
        <w:t>**Recommandation finale : CONSERVER (avec biais acheteur pour les investisseurs patients)**</w:t>
      </w:r>
    </w:p>
    <w:p>
      <w:pPr>
        <w:spacing w:after="120" w:line="276" w:lineRule="auto"/>
      </w:pPr>
      <w:r>
        <w:t>La convergence entre le redressement fondamental (EBE positif, résultat d'exploitation positif au S1 2026) et les signaux techniques de survente (RSI 20,29, Stochastique 0,0) plaide pour une position d'achat progressif, mais la divergence du MACD et les prédictions IA baissières à court terme justifient une certaine prudence. Le niveau de confiance est **Moyen** : les fondamentaux s'améliorent mais la rentabilité n'est pas encore durablement acquise, et la volatilité élevée (48,4%) accroît le risque. Le niveau de risque global est **Élevé** (volatilité, dépendance aux marchés d'exportation, concurrence asiatique, pertes cumulées). L'horizon d'investissement optimal est le **moyen terme (3-12 mois)** , le temps que la rentabilité opérationnelle se confirme sur un exercice complet et que le marché revalorise le titre sur des bases récurrentes plutôt qu'exceptionnelles. Un investisseur averse au risque attendra la publication des résultats annuels 2026 (prévue début 2027) pour valider la tendance, tandis qu'un investisseur opportuniste pourra initier une position sur les niveaux de survente actuels (2 200 FCFA) avec un objectif de 2 400-2 500 FCFA à moyen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