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18/10/2026 à 08:53</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47 ACHAT  |  0 NEUTRE  |  1 VENTE  (sur 48 sociétés)</w:t>
      </w:r>
    </w:p>
    <w:p>
      <w:pPr>
        <w:spacing w:before="20" w:after="20"/>
        <w:ind w:left="360" w:right="360"/>
        <w:shd w:val="clear" w:color="auto" w:fill="EBF5FB"/>
      </w:pPr>
      <w:r>
        <w:rPr>
          <w:b/>
          <w:sz w:val="19"/>
        </w:rPr>
        <w:t xml:space="preserve">Top opportunité :  </w:t>
      </w:r>
      <w:r>
        <w:rPr>
          <w:color w:val="008000"/>
          <w:sz w:val="19"/>
        </w:rPr>
        <w:t>ECOC  (score 79/100)</w:t>
      </w:r>
    </w:p>
    <w:p>
      <w:pPr>
        <w:spacing w:before="20" w:after="20"/>
        <w:ind w:left="360" w:right="360"/>
        <w:shd w:val="clear" w:color="auto" w:fill="EBF5FB"/>
      </w:pPr>
      <w:r>
        <w:rPr>
          <w:b/>
          <w:sz w:val="19"/>
        </w:rPr>
        <w:t xml:space="preserve">Secteur surperformant :  </w:t>
      </w:r>
      <w:r>
        <w:rPr>
          <w:color w:val="008000"/>
          <w:sz w:val="19"/>
        </w:rPr>
        <w:t>Services Financiers  (+43.2%)</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18 sociétés — vérifier avant d'investir</w:t>
      </w:r>
    </w:p>
    <w:p>
      <w:pPr>
        <w:spacing w:before="20" w:after="20"/>
        <w:ind w:left="360" w:right="360"/>
        <w:shd w:val="clear" w:color="auto" w:fill="EBF5FB"/>
      </w:pPr>
      <w:r>
        <w:rPr>
          <w:b/>
          <w:sz w:val="19"/>
        </w:rPr>
        <w:t xml:space="preserve">⚠️ Liquidité réduite :  </w:t>
      </w:r>
      <w:r>
        <w:rPr>
          <w:color w:val="C00000"/>
          <w:sz w:val="19"/>
        </w:rPr>
        <w:t>14 titres à faible liquidité — risque de sortie</w:t>
      </w:r>
    </w:p>
    <w:p/>
    <w:p>
      <w:r>
        <w:br w:type="page"/>
      </w:r>
    </w:p>
    <w:p>
      <w:pPr>
        <w:pStyle w:val="Heading1"/>
      </w:pPr>
      <w:r>
        <w:t>SYNTHÈSE GÉNÉRALE</w:t>
      </w:r>
    </w:p>
    <w:p>
      <w:pPr>
        <w:spacing w:after="240"/>
      </w:pPr>
      <w:r>
        <w:t xml:space="preserve">Ce rapport présente une analyse détaillée de 48 sociétés cotées à la Bourse Régionale des Valeurs Mobilières (BRVM). </w:t>
      </w:r>
      <w:r>
        <w:t xml:space="preserve">L'indice BRVM Composite s'établit à 532.61 points </w:t>
      </w:r>
      <w:r>
        <w:rPr>
          <w:color w:val="C00000"/>
        </w:rPr>
        <w:t>(-0.94%)</w:t>
      </w:r>
      <w:r>
        <w:t xml:space="preserve"> sur la séance. </w:t>
      </w:r>
      <w:r>
        <w:t>La capitalisation globale du marché atteint 20 886,210 milliards FCFA.</w:t>
      </w:r>
    </w:p>
    <w:p/>
    <w:p>
      <w:pPr>
        <w:pStyle w:val="Heading3"/>
      </w:pPr>
      <w:r>
        <w:t>📊 Évolution de l'indice BRVM Composite (100 derniers jours)</w:t>
      </w:r>
    </w:p>
    <w:p>
      <w:r>
        <w:rPr>
          <w:b/>
        </w:rPr>
        <w:t xml:space="preserve">BRVM Composite — </w:t>
      </w:r>
      <w:r>
        <w:t xml:space="preserve">Sur les 100 derniers jours de cotation (2026-05-26 au 2026-10-16), l'indice BRVM Composite a évolué de </w:t>
      </w:r>
      <w:r>
        <w:rPr>
          <w:b/>
          <w:color w:val="008000"/>
        </w:rPr>
        <w:t>+26.71%</w:t>
      </w:r>
      <w:r>
        <w:t>, passant de 420.33 pts à 532.61 pts. Le plus haut atteint est 555.90 pts et le plus bas 420.33 pts. Sur l'ensemble de la période, la moyenne de l'indice s'établit à 494.55 pts, la médiane à 485.46 pts et le mode à 537.67 pts</w:t>
      </w:r>
      <w:r>
        <w:t xml:space="preserve"> (distribution symétrique). </w:t>
      </w:r>
      <w:r>
        <w:t xml:space="preserve">L'écart-type de 43.59 pts (CV=8.8%) traduit une modérée dispersion des cotations. Le kurtosis de -1.43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+28.90%</w:t>
      </w:r>
      <w:r>
        <w:t xml:space="preserve"> sur la période, passant de 16 203,402 Mds FCFA à 20 886,210 Mds FCFA. Le pic de capitalisation observé est de 21 529,927 Mds FCFA et le plancher de 16 203,402 Mds FCFA. La moyenne de la capitalisation sur la période s'établit à 19 119,047 Mds FCFA, la médiane à 18 701,240 Mds FCFA et le mode à 16 203,402 Mds FCFA</w:t>
      </w:r>
      <w:r>
        <w:t xml:space="preserve"> (distribution symétrique). </w:t>
      </w:r>
      <w:r>
        <w:t>L'écart-type de 1 754,298 Mds FCFA (CV=9.2%) reflète une modérée variabilité de la valorisation du marché. Le kurtosis de -1.45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ABJC - ABJC - SERVAIR ABIDJAN CI</w:t>
      </w:r>
      <w:r>
        <w:t xml:space="preserve"> | Prix: 3000 FCFA | </w:t>
      </w:r>
      <w:r>
        <w:rPr>
          <w:b/>
          <w:color w:val="008000"/>
        </w:rPr>
        <w:t>ACHAT</w:t>
      </w:r>
      <w:r>
        <w:t xml:space="preserve"> | Confiance: Moyen | Risque: Faible</w:t>
      </w:r>
    </w:p>
    <w:p>
      <w:pPr>
        <w:pStyle w:val="ListNumber"/>
      </w:pPr>
      <w:r>
        <w:rPr>
          <w:b/>
        </w:rPr>
        <w:t>BBGC - BRIDGE BANK GROUP COTE D'IVOIRE</w:t>
      </w:r>
      <w:r>
        <w:t xml:space="preserve"> | Prix: 10390 FCFA | </w:t>
      </w:r>
      <w:r>
        <w:rPr>
          <w:b/>
          <w:color w:val="008000"/>
        </w:rPr>
        <w:t>ACHAT</w:t>
      </w:r>
      <w:r>
        <w:t xml:space="preserve"> | Confiance: Moyen | Risque: Moyen</w:t>
      </w:r>
    </w:p>
    <w:p>
      <w:pPr>
        <w:pStyle w:val="ListNumber"/>
      </w:pPr>
      <w:r>
        <w:rPr>
          <w:b/>
        </w:rPr>
        <w:t>BICB - BIIC BN - Banque internationale pour le commerce du benin</w:t>
      </w:r>
      <w:r>
        <w:t xml:space="preserve"> | Prix: 8400 FCFA | </w:t>
      </w:r>
      <w:r>
        <w:rPr>
          <w:b/>
          <w:color w:val="008000"/>
        </w:rPr>
        <w:t>ACHAT</w:t>
      </w:r>
      <w:r>
        <w:t xml:space="preserve"> | Confiance: Faible | Risque: Moyen</w:t>
      </w:r>
    </w:p>
    <w:p>
      <w:pPr>
        <w:pStyle w:val="ListNumber"/>
      </w:pPr>
      <w:r>
        <w:rPr>
          <w:b/>
        </w:rPr>
        <w:t>BICC - BICI CI - Banque internationale pour le commerce et l'industrie de la Côte d'Ivoire</w:t>
      </w:r>
      <w:r>
        <w:t xml:space="preserve"> | Prix: 32400 FCFA | </w:t>
      </w:r>
      <w:r>
        <w:rPr>
          <w:b/>
          <w:color w:val="008000"/>
        </w:rPr>
        <w:t>ACHAT</w:t>
      </w:r>
      <w:r>
        <w:t xml:space="preserve"> | Confiance: Moyen | Risque: Moyen</w:t>
      </w:r>
    </w:p>
    <w:p>
      <w:pPr>
        <w:pStyle w:val="ListNumber"/>
      </w:pPr>
      <w:r>
        <w:rPr>
          <w:b/>
        </w:rPr>
        <w:t>BNBC - BNBC - BERNABE CI</w:t>
      </w:r>
      <w:r>
        <w:t xml:space="preserve"> | Prix: 1805 FCFA | </w:t>
      </w:r>
      <w:r>
        <w:rPr>
          <w:b/>
          <w:color w:val="008000"/>
        </w:rPr>
        <w:t>ACHAT</w:t>
      </w:r>
      <w:r>
        <w:t xml:space="preserve"> | Confiance: Faible | Risque: Faible</w:t>
      </w:r>
    </w:p>
    <w:p>
      <w:pPr>
        <w:pStyle w:val="ListNumber"/>
      </w:pPr>
      <w:r>
        <w:rPr>
          <w:b/>
        </w:rPr>
        <w:t>BOAB - BANK OF AFRICA BENIN</w:t>
      </w:r>
      <w:r>
        <w:t xml:space="preserve"> | Prix: 9000 FCFA | </w:t>
      </w:r>
      <w:r>
        <w:rPr>
          <w:b/>
          <w:color w:val="008000"/>
        </w:rPr>
        <w:t>ACHAT</w:t>
      </w:r>
      <w:r>
        <w:t xml:space="preserve"> | Confiance: Faible | Risque: Faible</w:t>
      </w:r>
    </w:p>
    <w:p>
      <w:pPr>
        <w:pStyle w:val="ListNumber"/>
      </w:pPr>
      <w:r>
        <w:rPr>
          <w:b/>
        </w:rPr>
        <w:t>BOABF - BANK OF AFRICA BURKINA FASO</w:t>
      </w:r>
      <w:r>
        <w:t xml:space="preserve"> | Prix: 8010 FCFA | </w:t>
      </w:r>
      <w:r>
        <w:rPr>
          <w:b/>
          <w:color w:val="008000"/>
        </w:rPr>
        <w:t>ACHAT</w:t>
      </w:r>
      <w:r>
        <w:t xml:space="preserve"> | Confiance: Faible | Risque: Moyen</w:t>
      </w:r>
    </w:p>
    <w:p>
      <w:pPr>
        <w:pStyle w:val="ListNumber"/>
      </w:pPr>
      <w:r>
        <w:rPr>
          <w:b/>
        </w:rPr>
        <w:t>BOAC - BANK OF AFRICA COTE D'IVOIRE</w:t>
      </w:r>
      <w:r>
        <w:t xml:space="preserve"> | Prix: 11395 FCFA | </w:t>
      </w:r>
      <w:r>
        <w:rPr>
          <w:b/>
          <w:color w:val="008000"/>
        </w:rPr>
        <w:t>ACHAT</w:t>
      </w:r>
      <w:r>
        <w:t xml:space="preserve"> | Confiance: Moyen | Risque: Faible</w:t>
      </w:r>
    </w:p>
    <w:p>
      <w:pPr>
        <w:pStyle w:val="ListNumber"/>
      </w:pPr>
      <w:r>
        <w:rPr>
          <w:b/>
        </w:rPr>
        <w:t>BOAM - BANK OF AFRICA MALI</w:t>
      </w:r>
      <w:r>
        <w:t xml:space="preserve"> | Prix: 5700 FCFA | </w:t>
      </w:r>
      <w:r>
        <w:rPr>
          <w:b/>
          <w:color w:val="008000"/>
        </w:rPr>
        <w:t>ACHAT</w:t>
      </w:r>
      <w:r>
        <w:t xml:space="preserve"> | Confiance: Moyen | Risque: Moyen</w:t>
      </w:r>
    </w:p>
    <w:p>
      <w:pPr>
        <w:pStyle w:val="ListNumber"/>
      </w:pPr>
      <w:r>
        <w:rPr>
          <w:b/>
        </w:rPr>
        <w:t>BOAN - BANK OF AFRICA NIGER</w:t>
      </w:r>
      <w:r>
        <w:t xml:space="preserve"> | Prix: 4700 FCFA | </w:t>
      </w:r>
      <w:r>
        <w:rPr>
          <w:b/>
          <w:color w:val="008000"/>
        </w:rPr>
        <w:t>ACHAT</w:t>
      </w:r>
      <w:r>
        <w:t xml:space="preserve"> | Confiance: Faible | Risque: Moyen</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STAC - STAC - SETAO COTE D'IVOIRE</w:t>
      </w:r>
      <w:r>
        <w:t xml:space="preserve"> | Prix: 2030 FCFA | </w:t>
      </w:r>
      <w:r>
        <w:rPr>
          <w:b/>
          <w:color w:val="C00000"/>
        </w:rPr>
        <w:t>VENTE</w:t>
      </w:r>
      <w:r>
        <w:t xml:space="preserve"> | Confiance: Moyen | Risque: Moyen</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Financiers</w:t>
      </w:r>
    </w:p>
    <w:p>
      <w:r>
        <w:rPr>
          <w:b/>
        </w:rPr>
        <w:t xml:space="preserve">Nombre de sociétés: </w:t>
      </w:r>
      <w:r>
        <w:t xml:space="preserve">1  |  </w:t>
      </w:r>
      <w:r>
        <w:rPr>
          <w:b/>
        </w:rPr>
        <w:t xml:space="preserve">Performance moyenne (100j): </w:t>
      </w:r>
      <w:r>
        <w:rPr>
          <w:color w:val="008000"/>
        </w:rPr>
        <w:t>43.21%</w:t>
      </w:r>
      <w:r>
        <w:t xml:space="preserve">  |  </w:t>
      </w:r>
      <w:r>
        <w:rPr>
          <w:b/>
        </w:rPr>
        <w:t xml:space="preserve">vs BRVM Composite: </w:t>
      </w:r>
      <w:r>
        <w:rPr>
          <w:b/>
          <w:color w:val="008000"/>
        </w:rPr>
        <w:t>+16.50%  🟢 Surperformance</w:t>
      </w:r>
      <w:r>
        <w:br/>
      </w:r>
      <w:r>
        <w:rPr>
          <w:b/>
        </w:rPr>
        <w:t xml:space="preserve">Sentiment général: </w:t>
      </w:r>
      <w:r>
        <w:t xml:space="preserve">ACHAT  |  </w:t>
      </w:r>
      <w:r>
        <w:rPr>
          <w:b/>
        </w:rPr>
        <w:t xml:space="preserve">Risque moyen: </w:t>
      </w:r>
      <w:r>
        <w:t xml:space="preserve">Moyen  |  </w:t>
      </w:r>
      <w:r>
        <w:rPr>
          <w:b/>
        </w:rPr>
        <w:t xml:space="preserve">Prix moyen: </w:t>
      </w:r>
      <w:r>
        <w:t>10390 FCFA</w:t>
        <w:br/>
      </w:r>
      <w:r>
        <w:rPr>
          <w:b/>
        </w:rPr>
        <w:br/>
        <w:t xml:space="preserve">Sociétés: </w:t>
      </w:r>
      <w:r>
        <w:t>BBGC (BRIDGE BANK GROUP COTE D'IVOIRE)</w:t>
      </w:r>
    </w:p>
    <w:p/>
    <w:p>
      <w:pPr>
        <w:pStyle w:val="Heading3"/>
      </w:pPr>
      <w:r>
        <w:t>Secteur: SERVICES PUBLICS</w:t>
      </w:r>
    </w:p>
    <w:p>
      <w:r>
        <w:rPr>
          <w:b/>
        </w:rPr>
        <w:t xml:space="preserve">Nombre de sociétés: </w:t>
      </w:r>
      <w:r>
        <w:t xml:space="preserve">2  |  </w:t>
      </w:r>
      <w:r>
        <w:rPr>
          <w:b/>
        </w:rPr>
        <w:t xml:space="preserve">Performance moyenne (100j): </w:t>
      </w:r>
      <w:r>
        <w:rPr>
          <w:color w:val="008000"/>
        </w:rPr>
        <w:t>30.40%</w:t>
      </w:r>
      <w:r>
        <w:t xml:space="preserve">  |  </w:t>
      </w:r>
      <w:r>
        <w:rPr>
          <w:b/>
        </w:rPr>
        <w:t xml:space="preserve">vs BRVM Composite: </w:t>
      </w:r>
      <w:r>
        <w:rPr>
          <w:b/>
          <w:color w:val="008000"/>
        </w:rPr>
        <w:t>+3.69%  🟢 Surperformance</w:t>
      </w:r>
      <w:r>
        <w:br/>
      </w:r>
      <w:r>
        <w:rPr>
          <w:b/>
        </w:rPr>
        <w:t xml:space="preserve">Sentiment général: </w:t>
      </w:r>
      <w:r>
        <w:t xml:space="preserve">ACHAT  |  </w:t>
      </w:r>
      <w:r>
        <w:rPr>
          <w:b/>
        </w:rPr>
        <w:t xml:space="preserve">Risque moyen: </w:t>
      </w:r>
      <w:r>
        <w:t xml:space="preserve">Moyen  |  </w:t>
      </w:r>
      <w:r>
        <w:rPr>
          <w:b/>
        </w:rPr>
        <w:t xml:space="preserve">Prix moyen: </w:t>
      </w:r>
      <w:r>
        <w:t>9350 FCFA</w:t>
        <w:br/>
      </w:r>
      <w:r>
        <w:rPr>
          <w:b/>
        </w:rPr>
        <w:br/>
        <w:t xml:space="preserve">Sociétés: </w:t>
      </w:r>
      <w:r>
        <w:t>CIEC (CIEC - Compagnie Ivoirienne d'Electricité), SDCC (SDCC - Société de Distribution d'Eau de Côte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29.67%</w:t>
      </w:r>
      <w:r>
        <w:t xml:space="preserve">  |  </w:t>
      </w:r>
      <w:r>
        <w:rPr>
          <w:b/>
        </w:rPr>
        <w:t xml:space="preserve">vs BRVM Composite: </w:t>
      </w:r>
      <w:r>
        <w:rPr>
          <w:b/>
          <w:color w:val="008000"/>
        </w:rPr>
        <w:t>+2.96%  🟢 Surperformance</w:t>
      </w:r>
      <w:r>
        <w:br/>
      </w:r>
      <w:r>
        <w:rPr>
          <w:b/>
        </w:rPr>
        <w:t xml:space="preserve">Sentiment général: </w:t>
      </w:r>
      <w:r>
        <w:t xml:space="preserve">ACHAT  |  </w:t>
      </w:r>
      <w:r>
        <w:rPr>
          <w:b/>
        </w:rPr>
        <w:t xml:space="preserve">Risque moyen: </w:t>
      </w:r>
      <w:r>
        <w:t xml:space="preserve">Moyen  |  </w:t>
      </w:r>
      <w:r>
        <w:rPr>
          <w:b/>
        </w:rPr>
        <w:t xml:space="preserve">Prix moyen: </w:t>
      </w:r>
      <w:r>
        <w:t>22365 FCFA</w:t>
        <w:br/>
      </w:r>
      <w:r>
        <w:rPr>
          <w:b/>
        </w:rPr>
        <w:br/>
        <w:t xml:space="preserve">Sociétés: </w:t>
      </w:r>
      <w:r>
        <w:t>ONTBF (ONTBF - ONATEL BURKINA FASO), ORAC (ORAC - ORANGE COTE D'IVOIRE), SNTS (SNTS - SONATEL SN)</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25.78%</w:t>
      </w:r>
      <w:r>
        <w:t xml:space="preserve">  |  </w:t>
      </w:r>
      <w:r>
        <w:rPr>
          <w:b/>
        </w:rPr>
        <w:t xml:space="preserve">vs BRVM Composite: </w:t>
      </w:r>
      <w:r>
        <w:rPr>
          <w:b/>
          <w:color w:val="C00000"/>
        </w:rPr>
        <w:t>-0.93%  🔴 Sous-performance</w:t>
      </w:r>
      <w:r>
        <w:br/>
      </w:r>
      <w:r>
        <w:rPr>
          <w:b/>
        </w:rPr>
        <w:t xml:space="preserve">Sentiment général: </w:t>
      </w:r>
      <w:r>
        <w:t xml:space="preserve">ACHAT  |  </w:t>
      </w:r>
      <w:r>
        <w:rPr>
          <w:b/>
        </w:rPr>
        <w:t xml:space="preserve">Risque moyen: </w:t>
      </w:r>
      <w:r>
        <w:t xml:space="preserve">Moyen  |  </w:t>
      </w:r>
      <w:r>
        <w:rPr>
          <w:b/>
        </w:rPr>
        <w:t xml:space="preserve">Prix moyen: </w:t>
      </w:r>
      <w:r>
        <w:t>13134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ENERGIE</w:t>
      </w:r>
    </w:p>
    <w:p>
      <w:r>
        <w:rPr>
          <w:b/>
        </w:rPr>
        <w:t xml:space="preserve">Nombre de sociétés: </w:t>
      </w:r>
      <w:r>
        <w:t xml:space="preserve">4  |  </w:t>
      </w:r>
      <w:r>
        <w:rPr>
          <w:b/>
        </w:rPr>
        <w:t xml:space="preserve">Performance moyenne (100j): </w:t>
      </w:r>
      <w:r>
        <w:rPr>
          <w:color w:val="008000"/>
        </w:rPr>
        <w:t>13.79%</w:t>
      </w:r>
      <w:r>
        <w:t xml:space="preserve">  |  </w:t>
      </w:r>
      <w:r>
        <w:rPr>
          <w:b/>
        </w:rPr>
        <w:t xml:space="preserve">vs BRVM Composite: </w:t>
      </w:r>
      <w:r>
        <w:rPr>
          <w:b/>
          <w:color w:val="C00000"/>
        </w:rPr>
        <w:t>-12.92%  🔴 Sous-performance</w:t>
      </w:r>
      <w:r>
        <w:br/>
      </w:r>
      <w:r>
        <w:rPr>
          <w:b/>
        </w:rPr>
        <w:t xml:space="preserve">Sentiment général: </w:t>
      </w:r>
      <w:r>
        <w:t xml:space="preserve">ACHAT  |  </w:t>
      </w:r>
      <w:r>
        <w:rPr>
          <w:b/>
        </w:rPr>
        <w:t xml:space="preserve">Risque moyen: </w:t>
      </w:r>
      <w:r>
        <w:t xml:space="preserve">Faible  |  </w:t>
      </w:r>
      <w:r>
        <w:rPr>
          <w:b/>
        </w:rPr>
        <w:t xml:space="preserve">Prix moyen: </w:t>
      </w:r>
      <w:r>
        <w:t>6084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10.85%</w:t>
      </w:r>
      <w:r>
        <w:t xml:space="preserve">  |  </w:t>
      </w:r>
      <w:r>
        <w:rPr>
          <w:b/>
        </w:rPr>
        <w:t xml:space="preserve">vs BRVM Composite: </w:t>
      </w:r>
      <w:r>
        <w:rPr>
          <w:b/>
          <w:color w:val="C00000"/>
        </w:rPr>
        <w:t>-15.87%  🔴 Sous-performance</w:t>
      </w:r>
      <w:r>
        <w:br/>
      </w:r>
      <w:r>
        <w:rPr>
          <w:b/>
        </w:rPr>
        <w:t xml:space="preserve">Sentiment général: </w:t>
      </w:r>
      <w:r>
        <w:t xml:space="preserve">ACHAT  |  </w:t>
      </w:r>
      <w:r>
        <w:rPr>
          <w:b/>
        </w:rPr>
        <w:t xml:space="preserve">Risque moyen: </w:t>
      </w:r>
      <w:r>
        <w:t xml:space="preserve">Faible  |  </w:t>
      </w:r>
      <w:r>
        <w:rPr>
          <w:b/>
        </w:rPr>
        <w:t xml:space="preserve">Prix moyen: </w:t>
      </w:r>
      <w:r>
        <w:t>18054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7.15%</w:t>
      </w:r>
      <w:r>
        <w:t xml:space="preserve">  |  </w:t>
      </w:r>
      <w:r>
        <w:rPr>
          <w:b/>
        </w:rPr>
        <w:t xml:space="preserve">vs BRVM Composite: </w:t>
      </w:r>
      <w:r>
        <w:rPr>
          <w:b/>
          <w:color w:val="C00000"/>
        </w:rPr>
        <w:t>-19.56%  🔴 Sous-performance</w:t>
      </w:r>
      <w:r>
        <w:br/>
      </w:r>
      <w:r>
        <w:rPr>
          <w:b/>
        </w:rPr>
        <w:t xml:space="preserve">Sentiment général: </w:t>
      </w:r>
      <w:r>
        <w:t xml:space="preserve">ACHAT  |  </w:t>
      </w:r>
      <w:r>
        <w:rPr>
          <w:b/>
        </w:rPr>
        <w:t xml:space="preserve">Risque moyen: </w:t>
      </w:r>
      <w:r>
        <w:t xml:space="preserve">Faible  |  </w:t>
      </w:r>
      <w:r>
        <w:rPr>
          <w:b/>
        </w:rPr>
        <w:t xml:space="preserve">Prix moyen: </w:t>
      </w:r>
      <w:r>
        <w:t>2685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-10.06%</w:t>
      </w:r>
      <w:r>
        <w:t xml:space="preserve">  |  </w:t>
      </w:r>
      <w:r>
        <w:rPr>
          <w:b/>
        </w:rPr>
        <w:t xml:space="preserve">vs BRVM Composite: </w:t>
      </w:r>
      <w:r>
        <w:rPr>
          <w:b/>
          <w:color w:val="C00000"/>
        </w:rPr>
        <w:t>-36.77%  🔴 Sous-performance</w:t>
      </w:r>
      <w:r>
        <w:br/>
      </w:r>
      <w:r>
        <w:rPr>
          <w:b/>
        </w:rPr>
        <w:t xml:space="preserve">Sentiment général: </w:t>
      </w:r>
      <w:r>
        <w:t xml:space="preserve">ACHAT  |  </w:t>
      </w:r>
      <w:r>
        <w:rPr>
          <w:b/>
        </w:rPr>
        <w:t xml:space="preserve">Risque moyen: </w:t>
      </w:r>
      <w:r>
        <w:t xml:space="preserve">Faible  |  </w:t>
      </w:r>
      <w:r>
        <w:rPr>
          <w:b/>
        </w:rPr>
        <w:t xml:space="preserve">Prix moyen: </w:t>
      </w:r>
      <w:r>
        <w:t>2298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CIEC, ECOC, NTLC, ONTBF, SDSC, SGBC, SLBC, UNXC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BBGC, BICC, BOAC, BOAM, BOAS, CABC, CBIBF, LNBB, NEIC, NSBC, ORAC, PRSC, SCRC, SDCC, SEMC, SHEC, SICC, SNTS, TTLC, TTLS</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BICB, BNBC, BOAB, BOABF, BOAN, CFAC, ETIT, FTSC, ORGT, PALC, SAFC, SIBC, SIVC, SMBC, SOGC, SPHC, STBC, UNLC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STAC</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992429</w:t>
            </w:r>
          </w:p>
        </w:tc>
        <w:tc>
          <w:tcPr>
            <w:tcW w:type="dxa" w:w="1728"/>
          </w:tcPr>
          <w:p>
            <w:r>
              <w:t>66210493 FCFA</w:t>
            </w:r>
          </w:p>
        </w:tc>
        <w:tc>
          <w:tcPr>
            <w:tcW w:type="dxa" w:w="1728"/>
          </w:tcPr>
          <w:p>
            <w:r>
              <w:t>124.14%</w:t>
            </w:r>
          </w:p>
        </w:tc>
        <w:tc>
          <w:tcPr>
            <w:tcW w:type="dxa" w:w="1728"/>
          </w:tcPr>
          <w:p>
            <w:r>
              <w:t>ACHAT</w:t>
            </w:r>
          </w:p>
        </w:tc>
      </w:tr>
      <w:tr>
        <w:tc>
          <w:tcPr>
            <w:tcW w:type="dxa" w:w="1728"/>
          </w:tcPr>
          <w:p>
            <w:r>
              <w:t>SNTS (SNTS - SONATEL SN)</w:t>
            </w:r>
          </w:p>
        </w:tc>
        <w:tc>
          <w:tcPr>
            <w:tcW w:type="dxa" w:w="1728"/>
          </w:tcPr>
          <w:p>
            <w:r>
              <w:t>29857</w:t>
            </w:r>
          </w:p>
        </w:tc>
        <w:tc>
          <w:tcPr>
            <w:tcW w:type="dxa" w:w="1728"/>
          </w:tcPr>
          <w:p>
            <w:r>
              <w:t>1294874141 FCFA</w:t>
            </w:r>
          </w:p>
        </w:tc>
        <w:tc>
          <w:tcPr>
            <w:tcW w:type="dxa" w:w="1728"/>
          </w:tcPr>
          <w:p>
            <w:r>
              <w:t>52.90%</w:t>
            </w:r>
          </w:p>
        </w:tc>
        <w:tc>
          <w:tcPr>
            <w:tcW w:type="dxa" w:w="1728"/>
          </w:tcPr>
          <w:p>
            <w:r>
              <w:t>ACHAT</w:t>
            </w:r>
          </w:p>
        </w:tc>
      </w:tr>
      <w:tr>
        <w:tc>
          <w:tcPr>
            <w:tcW w:type="dxa" w:w="1728"/>
          </w:tcPr>
          <w:p>
            <w:r>
              <w:t>BBGC (BRIDGE BANK GROUP COTE D'IVOIRE)</w:t>
            </w:r>
          </w:p>
        </w:tc>
        <w:tc>
          <w:tcPr>
            <w:tcW w:type="dxa" w:w="1728"/>
          </w:tcPr>
          <w:p>
            <w:r>
              <w:t>27889</w:t>
            </w:r>
          </w:p>
        </w:tc>
        <w:tc>
          <w:tcPr>
            <w:tcW w:type="dxa" w:w="1728"/>
          </w:tcPr>
          <w:p>
            <w:r>
              <w:t>261950722 FCFA</w:t>
            </w:r>
          </w:p>
        </w:tc>
        <w:tc>
          <w:tcPr>
            <w:tcW w:type="dxa" w:w="1728"/>
          </w:tcPr>
          <w:p>
            <w:r>
              <w:t>43.21%</w:t>
            </w:r>
          </w:p>
        </w:tc>
        <w:tc>
          <w:tcPr>
            <w:tcW w:type="dxa" w:w="1728"/>
          </w:tcPr>
          <w:p>
            <w:r>
              <w:t>ACHAT</w:t>
            </w:r>
          </w:p>
        </w:tc>
      </w:tr>
      <w:tr>
        <w:tc>
          <w:tcPr>
            <w:tcW w:type="dxa" w:w="1728"/>
          </w:tcPr>
          <w:p>
            <w:r>
              <w:t>BOAS (BANK OF AFRICA SENEGAL)</w:t>
            </w:r>
          </w:p>
        </w:tc>
        <w:tc>
          <w:tcPr>
            <w:tcW w:type="dxa" w:w="1728"/>
          </w:tcPr>
          <w:p>
            <w:r>
              <w:t>12025</w:t>
            </w:r>
          </w:p>
        </w:tc>
        <w:tc>
          <w:tcPr>
            <w:tcW w:type="dxa" w:w="1728"/>
          </w:tcPr>
          <w:p>
            <w:r>
              <w:t>96906050 FCFA</w:t>
            </w:r>
          </w:p>
        </w:tc>
        <w:tc>
          <w:tcPr>
            <w:tcW w:type="dxa" w:w="1728"/>
          </w:tcPr>
          <w:p>
            <w:r>
              <w:t>5.23%</w:t>
            </w:r>
          </w:p>
        </w:tc>
        <w:tc>
          <w:tcPr>
            <w:tcW w:type="dxa" w:w="1728"/>
          </w:tcPr>
          <w:p>
            <w:r>
              <w:t>ACHAT</w:t>
            </w:r>
          </w:p>
        </w:tc>
      </w:tr>
      <w:tr>
        <w:tc>
          <w:tcPr>
            <w:tcW w:type="dxa" w:w="1728"/>
          </w:tcPr>
          <w:p>
            <w:r>
              <w:t>SDSC (SDSC - AFRICA GLOBAL LOGISTICS CI)</w:t>
            </w:r>
          </w:p>
        </w:tc>
        <w:tc>
          <w:tcPr>
            <w:tcW w:type="dxa" w:w="1728"/>
          </w:tcPr>
          <w:p>
            <w:r>
              <w:t>11963</w:t>
            </w:r>
          </w:p>
        </w:tc>
        <w:tc>
          <w:tcPr>
            <w:tcW w:type="dxa" w:w="1728"/>
          </w:tcPr>
          <w:p>
            <w:r>
              <w:t>34582460 FCFA</w:t>
            </w:r>
          </w:p>
        </w:tc>
        <w:tc>
          <w:tcPr>
            <w:tcW w:type="dxa" w:w="1728"/>
          </w:tcPr>
          <w:p>
            <w:r>
              <w:t>69.82%</w:t>
            </w:r>
          </w:p>
        </w:tc>
        <w:tc>
          <w:tcPr>
            <w:tcW w:type="dxa" w:w="1728"/>
          </w:tcPr>
          <w:p>
            <w:r>
              <w:t>ACHAT</w:t>
            </w:r>
          </w:p>
        </w:tc>
      </w:tr>
      <w:tr>
        <w:tc>
          <w:tcPr>
            <w:tcW w:type="dxa" w:w="1728"/>
          </w:tcPr>
          <w:p>
            <w:r>
              <w:t>SIBC (SIBC - SOCIETE IVOIRIENNE DE BANQUE)</w:t>
            </w:r>
          </w:p>
        </w:tc>
        <w:tc>
          <w:tcPr>
            <w:tcW w:type="dxa" w:w="1728"/>
          </w:tcPr>
          <w:p>
            <w:r>
              <w:t>11534</w:t>
            </w:r>
          </w:p>
        </w:tc>
        <w:tc>
          <w:tcPr>
            <w:tcW w:type="dxa" w:w="1728"/>
          </w:tcPr>
          <w:p>
            <w:r>
              <w:t>103007830 FCFA</w:t>
            </w:r>
          </w:p>
        </w:tc>
        <w:tc>
          <w:tcPr>
            <w:tcW w:type="dxa" w:w="1728"/>
          </w:tcPr>
          <w:p>
            <w:r>
              <w:t>13.31%</w:t>
            </w:r>
          </w:p>
        </w:tc>
        <w:tc>
          <w:tcPr>
            <w:tcW w:type="dxa" w:w="1728"/>
          </w:tcPr>
          <w:p>
            <w:r>
              <w:t>ACHAT</w:t>
            </w:r>
          </w:p>
        </w:tc>
      </w:tr>
      <w:tr>
        <w:tc>
          <w:tcPr>
            <w:tcW w:type="dxa" w:w="1728"/>
          </w:tcPr>
          <w:p>
            <w:r>
              <w:t>SCRC (SCRC - SUCRIVOIRE)</w:t>
            </w:r>
          </w:p>
        </w:tc>
        <w:tc>
          <w:tcPr>
            <w:tcW w:type="dxa" w:w="1728"/>
          </w:tcPr>
          <w:p>
            <w:r>
              <w:t>10826</w:t>
            </w:r>
          </w:p>
        </w:tc>
        <w:tc>
          <w:tcPr>
            <w:tcW w:type="dxa" w:w="1728"/>
          </w:tcPr>
          <w:p>
            <w:r>
              <w:t>29634021 FCFA</w:t>
            </w:r>
          </w:p>
        </w:tc>
        <w:tc>
          <w:tcPr>
            <w:tcW w:type="dxa" w:w="1728"/>
          </w:tcPr>
          <w:p>
            <w:r>
              <w:t>2.95%</w:t>
            </w:r>
          </w:p>
        </w:tc>
        <w:tc>
          <w:tcPr>
            <w:tcW w:type="dxa" w:w="1728"/>
          </w:tcPr>
          <w:p>
            <w:r>
              <w:t>ACHAT</w:t>
            </w:r>
          </w:p>
        </w:tc>
      </w:tr>
      <w:tr>
        <w:tc>
          <w:tcPr>
            <w:tcW w:type="dxa" w:w="1728"/>
          </w:tcPr>
          <w:p>
            <w:r>
              <w:t>UNXC (UNXC - UNIWAX COTE D'IVOIRE)</w:t>
            </w:r>
          </w:p>
        </w:tc>
        <w:tc>
          <w:tcPr>
            <w:tcW w:type="dxa" w:w="1728"/>
          </w:tcPr>
          <w:p>
            <w:r>
              <w:t>10092</w:t>
            </w:r>
          </w:p>
        </w:tc>
        <w:tc>
          <w:tcPr>
            <w:tcW w:type="dxa" w:w="1728"/>
          </w:tcPr>
          <w:p>
            <w:r>
              <w:t>23182728 FCFA</w:t>
            </w:r>
          </w:p>
        </w:tc>
        <w:tc>
          <w:tcPr>
            <w:tcW w:type="dxa" w:w="1728"/>
          </w:tcPr>
          <w:p>
            <w:r>
              <w:t>20.51%</w:t>
            </w:r>
          </w:p>
        </w:tc>
        <w:tc>
          <w:tcPr>
            <w:tcW w:type="dxa" w:w="1728"/>
          </w:tcPr>
          <w:p>
            <w:r>
              <w:t>ACHAT</w:t>
            </w:r>
          </w:p>
        </w:tc>
      </w:tr>
      <w:tr>
        <w:tc>
          <w:tcPr>
            <w:tcW w:type="dxa" w:w="1728"/>
          </w:tcPr>
          <w:p>
            <w:r>
              <w:t>BOAC (BANK OF AFRICA COTE D'IVOIRE)</w:t>
            </w:r>
          </w:p>
        </w:tc>
        <w:tc>
          <w:tcPr>
            <w:tcW w:type="dxa" w:w="1728"/>
          </w:tcPr>
          <w:p>
            <w:r>
              <w:t>9701</w:t>
            </w:r>
          </w:p>
        </w:tc>
        <w:tc>
          <w:tcPr>
            <w:tcW w:type="dxa" w:w="1728"/>
          </w:tcPr>
          <w:p>
            <w:r>
              <w:t>109106086 FCFA</w:t>
            </w:r>
          </w:p>
        </w:tc>
        <w:tc>
          <w:tcPr>
            <w:tcW w:type="dxa" w:w="1728"/>
          </w:tcPr>
          <w:p>
            <w:r>
              <w:t>29.12%</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TTLC (TTLC - TOTAL ENERGIES MARKETING COTE D'IVOIRE)</w:t>
            </w:r>
          </w:p>
        </w:tc>
        <w:tc>
          <w:tcPr>
            <w:tcW w:type="dxa" w:w="1728"/>
          </w:tcPr>
          <w:p>
            <w:r>
              <w:t>3601</w:t>
            </w:r>
          </w:p>
        </w:tc>
        <w:tc>
          <w:tcPr>
            <w:tcW w:type="dxa" w:w="1728"/>
          </w:tcPr>
          <w:p>
            <w:r>
              <w:t>11059689 FCFA</w:t>
            </w:r>
          </w:p>
        </w:tc>
        <w:tc>
          <w:tcPr>
            <w:tcW w:type="dxa" w:w="1728"/>
          </w:tcPr>
          <w:p>
            <w:r>
              <w:t>8.01%</w:t>
            </w:r>
          </w:p>
        </w:tc>
        <w:tc>
          <w:tcPr>
            <w:tcW w:type="dxa" w:w="1728"/>
          </w:tcPr>
          <w:p>
            <w:r>
              <w:t>ACHAT</w:t>
            </w:r>
          </w:p>
        </w:tc>
      </w:tr>
      <w:tr>
        <w:tc>
          <w:tcPr>
            <w:tcW w:type="dxa" w:w="1728"/>
          </w:tcPr>
          <w:p>
            <w:r>
              <w:t>ORGT (ORGT - ORAGROUP TOGO)</w:t>
            </w:r>
          </w:p>
        </w:tc>
        <w:tc>
          <w:tcPr>
            <w:tcW w:type="dxa" w:w="1728"/>
          </w:tcPr>
          <w:p>
            <w:r>
              <w:t>3268</w:t>
            </w:r>
          </w:p>
        </w:tc>
        <w:tc>
          <w:tcPr>
            <w:tcW w:type="dxa" w:w="1728"/>
          </w:tcPr>
          <w:p>
            <w:r>
              <w:t>9617380 FCFA</w:t>
            </w:r>
          </w:p>
        </w:tc>
        <w:tc>
          <w:tcPr>
            <w:tcW w:type="dxa" w:w="1728"/>
          </w:tcPr>
          <w:p>
            <w:r>
              <w:t>1.46%</w:t>
            </w:r>
          </w:p>
        </w:tc>
        <w:tc>
          <w:tcPr>
            <w:tcW w:type="dxa" w:w="1728"/>
          </w:tcPr>
          <w:p>
            <w:r>
              <w:t>ACHAT</w:t>
            </w:r>
          </w:p>
        </w:tc>
      </w:tr>
      <w:tr>
        <w:tc>
          <w:tcPr>
            <w:tcW w:type="dxa" w:w="1728"/>
          </w:tcPr>
          <w:p>
            <w:r>
              <w:t>SIVC (SIVC - ERIUM CI (Ex AIR LIQUIDECI))</w:t>
            </w:r>
          </w:p>
        </w:tc>
        <w:tc>
          <w:tcPr>
            <w:tcW w:type="dxa" w:w="1728"/>
          </w:tcPr>
          <w:p>
            <w:r>
              <w:t>3116</w:t>
            </w:r>
          </w:p>
        </w:tc>
        <w:tc>
          <w:tcPr>
            <w:tcW w:type="dxa" w:w="1728"/>
          </w:tcPr>
          <w:p>
            <w:r>
              <w:t>6216016 FCFA</w:t>
            </w:r>
          </w:p>
        </w:tc>
        <w:tc>
          <w:tcPr>
            <w:tcW w:type="dxa" w:w="1728"/>
          </w:tcPr>
          <w:p>
            <w:r>
              <w:t>-37.74%</w:t>
            </w:r>
          </w:p>
        </w:tc>
        <w:tc>
          <w:tcPr>
            <w:tcW w:type="dxa" w:w="1728"/>
          </w:tcPr>
          <w:p>
            <w:r>
              <w:t>ACHAT</w:t>
            </w:r>
          </w:p>
        </w:tc>
      </w:tr>
      <w:tr>
        <w:tc>
          <w:tcPr>
            <w:tcW w:type="dxa" w:w="1728"/>
          </w:tcPr>
          <w:p>
            <w:r>
              <w:t>FTSC (FTSC - FILTISAC COTE D'IVOIRE)</w:t>
            </w:r>
          </w:p>
        </w:tc>
        <w:tc>
          <w:tcPr>
            <w:tcW w:type="dxa" w:w="1728"/>
          </w:tcPr>
          <w:p>
            <w:r>
              <w:t>2780</w:t>
            </w:r>
          </w:p>
        </w:tc>
        <w:tc>
          <w:tcPr>
            <w:tcW w:type="dxa" w:w="1728"/>
          </w:tcPr>
          <w:p>
            <w:r>
              <w:t>5373413 FCFA</w:t>
            </w:r>
          </w:p>
        </w:tc>
        <w:tc>
          <w:tcPr>
            <w:tcW w:type="dxa" w:w="1728"/>
          </w:tcPr>
          <w:p>
            <w:r>
              <w:t>-21.74%</w:t>
            </w:r>
          </w:p>
        </w:tc>
        <w:tc>
          <w:tcPr>
            <w:tcW w:type="dxa" w:w="1728"/>
          </w:tcPr>
          <w:p>
            <w:r>
              <w:t>ACHAT</w:t>
            </w:r>
          </w:p>
        </w:tc>
      </w:tr>
      <w:tr>
        <w:tc>
          <w:tcPr>
            <w:tcW w:type="dxa" w:w="1728"/>
          </w:tcPr>
          <w:p>
            <w:r>
              <w:t>NEIC (NEIC - NEI-CEDA CI)</w:t>
            </w:r>
          </w:p>
        </w:tc>
        <w:tc>
          <w:tcPr>
            <w:tcW w:type="dxa" w:w="1728"/>
          </w:tcPr>
          <w:p>
            <w:r>
              <w:t>2686</w:t>
            </w:r>
          </w:p>
        </w:tc>
        <w:tc>
          <w:tcPr>
            <w:tcW w:type="dxa" w:w="1728"/>
          </w:tcPr>
          <w:p>
            <w:r>
              <w:t>6008231 FCFA</w:t>
            </w:r>
          </w:p>
        </w:tc>
        <w:tc>
          <w:tcPr>
            <w:tcW w:type="dxa" w:w="1728"/>
          </w:tcPr>
          <w:p>
            <w:r>
              <w:t>10.79%</w:t>
            </w:r>
          </w:p>
        </w:tc>
        <w:tc>
          <w:tcPr>
            <w:tcW w:type="dxa" w:w="1728"/>
          </w:tcPr>
          <w:p>
            <w:r>
              <w:t>ACHAT</w:t>
            </w:r>
          </w:p>
        </w:tc>
      </w:tr>
      <w:tr>
        <w:tc>
          <w:tcPr>
            <w:tcW w:type="dxa" w:w="1728"/>
          </w:tcPr>
          <w:p>
            <w:r>
              <w:t>ECOC (ECOC - ECOBANK COTE D'IVOIRE)</w:t>
            </w:r>
          </w:p>
        </w:tc>
        <w:tc>
          <w:tcPr>
            <w:tcW w:type="dxa" w:w="1728"/>
          </w:tcPr>
          <w:p>
            <w:r>
              <w:t>2686</w:t>
            </w:r>
          </w:p>
        </w:tc>
        <w:tc>
          <w:tcPr>
            <w:tcW w:type="dxa" w:w="1728"/>
          </w:tcPr>
          <w:p>
            <w:r>
              <w:t>44582358 FCFA</w:t>
            </w:r>
          </w:p>
        </w:tc>
        <w:tc>
          <w:tcPr>
            <w:tcW w:type="dxa" w:w="1728"/>
          </w:tcPr>
          <w:p>
            <w:r>
              <w:t>-2.45%</w:t>
            </w:r>
          </w:p>
        </w:tc>
        <w:tc>
          <w:tcPr>
            <w:tcW w:type="dxa" w:w="1728"/>
          </w:tcPr>
          <w:p>
            <w:r>
              <w:t>ACHAT</w:t>
            </w:r>
          </w:p>
        </w:tc>
      </w:tr>
      <w:tr>
        <w:tc>
          <w:tcPr>
            <w:tcW w:type="dxa" w:w="1728"/>
          </w:tcPr>
          <w:p>
            <w:r>
              <w:t>SOGC (SOGC - Société des caoutchoucs de Grand-Béréby)</w:t>
            </w:r>
          </w:p>
        </w:tc>
        <w:tc>
          <w:tcPr>
            <w:tcW w:type="dxa" w:w="1728"/>
          </w:tcPr>
          <w:p>
            <w:r>
              <w:t>2672</w:t>
            </w:r>
          </w:p>
        </w:tc>
        <w:tc>
          <w:tcPr>
            <w:tcW w:type="dxa" w:w="1728"/>
          </w:tcPr>
          <w:p>
            <w:r>
              <w:t>20860413 FCFA</w:t>
            </w:r>
          </w:p>
        </w:tc>
        <w:tc>
          <w:tcPr>
            <w:tcW w:type="dxa" w:w="1728"/>
          </w:tcPr>
          <w:p>
            <w:r>
              <w:t>0.27%</w:t>
            </w:r>
          </w:p>
        </w:tc>
        <w:tc>
          <w:tcPr>
            <w:tcW w:type="dxa" w:w="1728"/>
          </w:tcPr>
          <w:p>
            <w:r>
              <w:t>ACHAT</w:t>
            </w:r>
          </w:p>
        </w:tc>
      </w:tr>
      <w:tr>
        <w:tc>
          <w:tcPr>
            <w:tcW w:type="dxa" w:w="1728"/>
          </w:tcPr>
          <w:p>
            <w:r>
              <w:t>CFAC (CFAC - CFAO MOTORS CI)</w:t>
            </w:r>
          </w:p>
        </w:tc>
        <w:tc>
          <w:tcPr>
            <w:tcW w:type="dxa" w:w="1728"/>
          </w:tcPr>
          <w:p>
            <w:r>
              <w:t>2604</w:t>
            </w:r>
          </w:p>
        </w:tc>
        <w:tc>
          <w:tcPr>
            <w:tcW w:type="dxa" w:w="1728"/>
          </w:tcPr>
          <w:p>
            <w:r>
              <w:t>3873884 FCFA</w:t>
            </w:r>
          </w:p>
        </w:tc>
        <w:tc>
          <w:tcPr>
            <w:tcW w:type="dxa" w:w="1728"/>
          </w:tcPr>
          <w:p>
            <w:r>
              <w:t>-2.36%</w:t>
            </w:r>
          </w:p>
        </w:tc>
        <w:tc>
          <w:tcPr>
            <w:tcW w:type="dxa" w:w="1728"/>
          </w:tcPr>
          <w:p>
            <w:r>
              <w:t>ACHAT</w:t>
            </w:r>
          </w:p>
        </w:tc>
      </w:tr>
      <w:tr>
        <w:tc>
          <w:tcPr>
            <w:tcW w:type="dxa" w:w="1728"/>
          </w:tcPr>
          <w:p>
            <w:r>
              <w:t>ABJC (ABJC - SERVAIR ABIDJAN CI)</w:t>
            </w:r>
          </w:p>
        </w:tc>
        <w:tc>
          <w:tcPr>
            <w:tcW w:type="dxa" w:w="1728"/>
          </w:tcPr>
          <w:p>
            <w:r>
              <w:t>2211</w:t>
            </w:r>
          </w:p>
        </w:tc>
        <w:tc>
          <w:tcPr>
            <w:tcW w:type="dxa" w:w="1728"/>
          </w:tcPr>
          <w:p>
            <w:r>
              <w:t>8023111 FCFA</w:t>
            </w:r>
          </w:p>
        </w:tc>
        <w:tc>
          <w:tcPr>
            <w:tcW w:type="dxa" w:w="1728"/>
          </w:tcPr>
          <w:p>
            <w:r>
              <w:t>4.17%</w:t>
            </w:r>
          </w:p>
        </w:tc>
        <w:tc>
          <w:tcPr>
            <w:tcW w:type="dxa" w:w="1728"/>
          </w:tcPr>
          <w:p>
            <w:r>
              <w:t>ACHAT</w:t>
            </w:r>
          </w:p>
        </w:tc>
      </w:tr>
      <w:tr>
        <w:tc>
          <w:tcPr>
            <w:tcW w:type="dxa" w:w="1728"/>
          </w:tcPr>
          <w:p>
            <w:r>
              <w:t>BNBC (BNBC - BERNABE CI)</w:t>
            </w:r>
          </w:p>
        </w:tc>
        <w:tc>
          <w:tcPr>
            <w:tcW w:type="dxa" w:w="1728"/>
          </w:tcPr>
          <w:p>
            <w:r>
              <w:t>1919</w:t>
            </w:r>
          </w:p>
        </w:tc>
        <w:tc>
          <w:tcPr>
            <w:tcW w:type="dxa" w:w="1728"/>
          </w:tcPr>
          <w:p>
            <w:r>
              <w:t>3614520 FCFA</w:t>
            </w:r>
          </w:p>
        </w:tc>
        <w:tc>
          <w:tcPr>
            <w:tcW w:type="dxa" w:w="1728"/>
          </w:tcPr>
          <w:p>
            <w:r>
              <w:t>20.74%</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BOABF - BANK OF AFRICA BURKINA FASO</w:t>
      </w:r>
    </w:p>
    <w:p>
      <w:r>
        <w:rPr>
          <w:b/>
        </w:rPr>
        <w:t xml:space="preserve">Score de divergence: </w:t>
      </w:r>
      <w:r>
        <w:t>5/8</w:t>
        <w:br/>
      </w:r>
      <w:r>
        <w:rPr>
          <w:b/>
        </w:rPr>
        <w:t xml:space="preserve">Description: </w:t>
      </w:r>
      <w:r>
        <w:t>Signaux de vente: MM, MACD | Recommandation finale: ACHAT</w:t>
        <w:br/>
      </w:r>
    </w:p>
    <w:p/>
    <w:p>
      <w:pPr>
        <w:pStyle w:val="Heading3"/>
      </w:pPr>
      <w:r>
        <w:t>2. BOAN - BANK OF AFRICA NIGER</w:t>
      </w:r>
    </w:p>
    <w:p>
      <w:r>
        <w:rPr>
          <w:b/>
        </w:rPr>
        <w:t xml:space="preserve">Score de divergence: </w:t>
      </w:r>
      <w:r>
        <w:t>5/8</w:t>
        <w:br/>
      </w:r>
      <w:r>
        <w:rPr>
          <w:b/>
        </w:rPr>
        <w:t xml:space="preserve">Description: </w:t>
      </w:r>
      <w:r>
        <w:t>Signaux de vente: MM, MACD | Recommandation finale: ACHAT</w:t>
        <w:br/>
      </w:r>
    </w:p>
    <w:p/>
    <w:p>
      <w:pPr>
        <w:pStyle w:val="Heading3"/>
      </w:pPr>
      <w:r>
        <w:t>3. CFAC - CFAC - CFAO MOTORS CI</w:t>
      </w:r>
    </w:p>
    <w:p>
      <w:r>
        <w:rPr>
          <w:b/>
        </w:rPr>
        <w:t xml:space="preserve">Score de divergence: </w:t>
      </w:r>
      <w:r>
        <w:t>5/8</w:t>
        <w:br/>
      </w:r>
      <w:r>
        <w:rPr>
          <w:b/>
        </w:rPr>
        <w:t xml:space="preserve">Description: </w:t>
      </w:r>
      <w:r>
        <w:t>Signaux de vente: MM, MACD | Recommandation finale: ACHAT</w:t>
        <w:br/>
      </w:r>
    </w:p>
    <w:p/>
    <w:p>
      <w:pPr>
        <w:pStyle w:val="Heading3"/>
      </w:pPr>
      <w:r>
        <w:t>4. STBC - STBC - SITAB COTE D'IVOIRE</w:t>
      </w:r>
    </w:p>
    <w:p>
      <w:r>
        <w:rPr>
          <w:b/>
        </w:rPr>
        <w:t xml:space="preserve">Score de divergence: </w:t>
      </w:r>
      <w:r>
        <w:t>5/8</w:t>
        <w:br/>
      </w:r>
      <w:r>
        <w:rPr>
          <w:b/>
        </w:rPr>
        <w:t xml:space="preserve">Description: </w:t>
      </w:r>
      <w:r>
        <w:t>Signaux de vente: MM, MACD | Recommandation finale: ACHAT</w:t>
        <w:br/>
      </w:r>
    </w:p>
    <w:p/>
    <w:p>
      <w:pPr>
        <w:pStyle w:val="Heading3"/>
      </w:pPr>
      <w:r>
        <w:t>5. BICB - BIIC BN - Banque internationale pour le commerce du benin</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6. BNBC - BNBC - BERNABE CI</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7. BOAB - BANK OF AFRICA BENIN</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8. ETIT - ETIT - Ecobank Transnational Incorporated Togo</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9. FTSC - FTSC - FILTISAC COTE D'IVOIRE</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10. ORGT - ORGT - ORAGROUP TOGO</w:t>
      </w:r>
    </w:p>
    <w:p>
      <w:r>
        <w:rPr>
          <w:b/>
        </w:rPr>
        <w:t xml:space="preserve">Score de divergence: </w:t>
      </w:r>
      <w:r>
        <w:t>4/8</w:t>
        <w:br/>
      </w:r>
      <w:r>
        <w:rPr>
          <w:b/>
        </w:rPr>
        <w:t xml:space="preserve">Description: </w:t>
      </w:r>
      <w:r>
        <w:t>Signaux d'achat: Stochastique | Signaux de vente: MM,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29</w:t>
            </w:r>
          </w:p>
        </w:tc>
        <w:tc>
          <w:tcPr>
            <w:tcW w:type="dxa" w:w="2160"/>
          </w:tcPr>
          <w:p>
            <w:r>
              <w:t>0</w:t>
            </w:r>
          </w:p>
        </w:tc>
      </w:tr>
      <w:tr>
        <w:tc>
          <w:tcPr>
            <w:tcW w:type="dxa" w:w="2160"/>
          </w:tcPr>
          <w:p>
            <w:r>
              <w:t>Risque Moyen</w:t>
            </w:r>
          </w:p>
        </w:tc>
        <w:tc>
          <w:tcPr>
            <w:tcW w:type="dxa" w:w="2160"/>
          </w:tcPr>
          <w:p>
            <w:r>
              <w:t>0</w:t>
            </w:r>
          </w:p>
        </w:tc>
        <w:tc>
          <w:tcPr>
            <w:tcW w:type="dxa" w:w="2160"/>
          </w:tcPr>
          <w:p>
            <w:r>
              <w:t>19</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BNBC (BNBC - BERNABE CI)</w:t>
      </w:r>
    </w:p>
    <w:p>
      <w:pPr>
        <w:pStyle w:val="ListBullet"/>
      </w:pPr>
      <w:r>
        <w:t>• BOAB (BANK OF AFRICA BENIN)</w:t>
      </w:r>
    </w:p>
    <w:p>
      <w:pPr>
        <w:pStyle w:val="ListBullet"/>
      </w:pPr>
      <w:r>
        <w:t>• BOAC (BANK OF AFRICA COTE D'IVOIRE)</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PALC (PALC - PALM COTE D'IVOIRE)</w:t>
      </w:r>
    </w:p>
    <w:p>
      <w:pPr>
        <w:pStyle w:val="ListBullet"/>
      </w:pPr>
      <w:r>
        <w:t>• PRSC (PRSC - TRACTAFRIC MOTORS CI)</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SGBC (SGBC - SOCIETE GENERALE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SMBC (SMBC - Société Multinationale de Bitumes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BBGC (BRIDGE BANK GROUP COTE D'IVOIRE)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BOABF (BANK OF AFRICA BURKINA FASO)</w:t>
      </w:r>
    </w:p>
    <w:p>
      <w:pPr>
        <w:pStyle w:val="ListBullet"/>
      </w:pPr>
      <w:r>
        <w:t>• BOAM (BANK OF AFRICA MALI)</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SAFC (SAFCA CI)</w:t>
      </w:r>
    </w:p>
    <w:p>
      <w:pPr>
        <w:pStyle w:val="ListBullet"/>
      </w:pPr>
      <w:r>
        <w:t>• SCRC (SCRC - SUCRIVOIRE)</w:t>
      </w:r>
    </w:p>
    <w:p>
      <w:pPr>
        <w:pStyle w:val="ListBullet"/>
      </w:pPr>
      <w:r>
        <w:t>• SHEC (SHEC - VIVO ENERGY COTE D'IVOIRE)</w:t>
      </w:r>
    </w:p>
    <w:p>
      <w:pPr>
        <w:pStyle w:val="ListBullet"/>
      </w:pPr>
      <w:r>
        <w:t>• SICC (SICC - SICOR COTE D'IVOIRE)</w:t>
      </w:r>
    </w:p>
    <w:p>
      <w:pPr>
        <w:pStyle w:val="ListBullet"/>
      </w:pPr>
      <w:r>
        <w:t>• SNTS (SNTS - SONATEL SN)</w:t>
      </w:r>
    </w:p>
    <w:p>
      <w:pPr>
        <w:pStyle w:val="ListBullet"/>
      </w:pPr>
      <w:r>
        <w:t>• STAC (STAC - SETAO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pStyle w:val="ListBullet"/>
        <w:spacing w:before="20" w:after="20"/>
        <w:ind w:left="360"/>
      </w:pPr>
      <w:r>
        <w:rPr>
          <w:sz w:val="18"/>
        </w:rPr>
        <w:t>**BCE / Lagarde (17/10)** : la vente massive d'obligations par la BCE vise à ralentir l'inflation en zone euro — resserrement monétaire en cours.</w:t>
      </w:r>
    </w:p>
    <w:p>
      <w:pPr>
        <w:pStyle w:val="ListBullet"/>
        <w:spacing w:before="20" w:after="20"/>
        <w:ind w:left="360"/>
      </w:pPr>
      <w:r>
        <w:rPr>
          <w:color w:val="C00000"/>
          <w:sz w:val="18"/>
        </w:rPr>
        <w:t>**Taux français (16/10)** : le gouverneur de la Banque de France juge les conditions non réunies pour une intervention BCE sur les taux français — pression persistante sur les taux longs européens.</w:t>
      </w:r>
    </w:p>
    <w:p>
      <w:pPr>
        <w:pStyle w:val="ListBullet"/>
        <w:spacing w:before="20" w:after="20"/>
        <w:ind w:left="360"/>
      </w:pPr>
      <w:r>
        <w:rPr>
          <w:sz w:val="18"/>
        </w:rPr>
        <w:t>**Crédit immobilier (17/10)** : données très limitées sur les taux d'emprunt octobre 2026, pas d'infos exploitables.</w:t>
      </w:r>
    </w:p>
    <w:p>
      <w:pPr>
        <w:pStyle w:val="ListBullet"/>
        <w:spacing w:before="20" w:after="20"/>
        <w:ind w:left="360"/>
      </w:pPr>
      <w:r>
        <w:rPr>
          <w:sz w:val="18"/>
        </w:rPr>
        <w:t>**FMI/Banque mondiale (12/10)** : dossiers croissance Sénégal/Gabon au cœur des assemblées annuelles.</w:t>
      </w:r>
    </w:p>
    <w:p>
      <w:pPr>
        <w:pStyle w:val="Heading3"/>
      </w:pPr>
      <w:r>
        <w:rPr>
          <w:color w:val="500050"/>
        </w:rPr>
        <w:t>⚡ Impact estimé sur la BRVM</w:t>
      </w:r>
    </w:p>
    <w:p>
      <w:pPr>
        <w:spacing w:before="20" w:after="40"/>
        <w:ind w:left="280"/>
      </w:pPr>
      <w:r>
        <w:rPr>
          <w:i/>
          <w:sz w:val="18"/>
        </w:rPr>
        <w:t>Le resserrement BCE et la fermeté des taux européens renchérissent le coût des capitaux internationaux, réduisant l'appétit pour les actifs risqués émergents dont la BRVM. Les secteurs bancaires (SGBC, ECOC, NSBC, BOAM) restent les plus exposés à une remontée des taux de refinancement externes, tandis que les valeurs de rendement (SLBC, ONTBF) peuvent attirer les investisseurs en quête de dividendes stables.</w:t>
      </w:r>
    </w:p>
    <w:p>
      <w:pPr>
        <w:pStyle w:val="Heading2"/>
      </w:pPr>
      <w:r>
        <w:rPr>
          <w:color w:val="006E32"/>
        </w:rPr>
        <w:t>🌍 Plan Africain</w:t>
      </w:r>
    </w:p>
    <w:p>
      <w:pPr>
        <w:pStyle w:val="ListBullet"/>
        <w:spacing w:before="20" w:after="20"/>
        <w:ind w:left="360"/>
      </w:pPr>
      <w:r>
        <w:rPr>
          <w:sz w:val="18"/>
        </w:rPr>
        <w:t>**FMI/Banque mondiale Bangkok (11/10)** : l'Afrique face à la dette et à l'inflation — vigilance maintenue sur la soutenabilité budgétaire.</w:t>
      </w:r>
    </w:p>
    <w:p>
      <w:pPr>
        <w:pStyle w:val="ListBullet"/>
        <w:spacing w:before="20" w:after="20"/>
        <w:ind w:left="360"/>
      </w:pPr>
      <w:r>
        <w:rPr>
          <w:sz w:val="18"/>
        </w:rPr>
        <w:t>**Sénégal/Gabon (12/10)** : croissance au menu des assemblées annuelles.</w:t>
      </w:r>
    </w:p>
    <w:p>
      <w:pPr>
        <w:pStyle w:val="ListBullet"/>
        <w:spacing w:before="20" w:after="20"/>
        <w:ind w:left="360"/>
      </w:pPr>
      <w:r>
        <w:rPr>
          <w:color w:val="008000"/>
          <w:sz w:val="18"/>
        </w:rPr>
        <w:t>**CEDEAO-FMI (06/10)** : renforcement du partenariat institutionnel (positif).</w:t>
      </w:r>
    </w:p>
    <w:p>
      <w:pPr>
        <w:pStyle w:val="Heading3"/>
      </w:pPr>
      <w:r>
        <w:rPr>
          <w:color w:val="500050"/>
        </w:rPr>
        <w:t>⚡ Impact estimé sur la BRVM</w:t>
      </w:r>
    </w:p>
    <w:p>
      <w:pPr>
        <w:spacing w:before="20" w:after="40"/>
        <w:ind w:left="280"/>
      </w:pPr>
      <w:r>
        <w:rPr>
          <w:i/>
          <w:sz w:val="18"/>
        </w:rPr>
        <w:t>La pression sur la dette africaine limite la marge budgétaire des États de l'UEMOA, ce qui pèse indirectement sur les émissions souveraines et donc sur la concurrence avec les actions BRVM. Les banques détenant des titres publics (SGBC, ECOC, NSBC) sont sensibles à l'évolution des primes de risque souverain.</w:t>
      </w:r>
    </w:p>
    <w:p>
      <w:pPr>
        <w:pStyle w:val="Heading2"/>
      </w:pPr>
      <w:r>
        <w:rPr>
          <w:color w:val="145A28"/>
        </w:rPr>
        <w:t>🌍 Plan Afrique de l'Ouest</w:t>
      </w:r>
    </w:p>
    <w:p>
      <w:pPr>
        <w:pStyle w:val="ListBullet"/>
        <w:spacing w:before="20" w:after="20"/>
        <w:ind w:left="360"/>
      </w:pPr>
      <w:r>
        <w:rPr>
          <w:color w:val="008000"/>
          <w:sz w:val="18"/>
        </w:rPr>
        <w:t>**AES-CEDEAO (17/10)** : négociations historiques à Dakar, groupes de travail conjoints pour un cadre de coopération (positif).</w:t>
      </w:r>
    </w:p>
    <w:p>
      <w:pPr>
        <w:pStyle w:val="ListBullet"/>
        <w:spacing w:before="20" w:after="20"/>
        <w:ind w:left="360"/>
      </w:pPr>
      <w:r>
        <w:rPr>
          <w:color w:val="008000"/>
          <w:sz w:val="18"/>
        </w:rPr>
        <w:t>**CEDEAO-FMI (06/10)** : partenariat renforcé (positif).</w:t>
      </w:r>
    </w:p>
    <w:p>
      <w:pPr>
        <w:pStyle w:val="Heading3"/>
      </w:pPr>
      <w:r>
        <w:rPr>
          <w:color w:val="500050"/>
        </w:rPr>
        <w:t>⚡ Impact estimé sur la BRVM</w:t>
      </w:r>
    </w:p>
    <w:p>
      <w:pPr>
        <w:spacing w:before="20" w:after="40"/>
        <w:ind w:left="280"/>
      </w:pPr>
      <w:r>
        <w:rPr>
          <w:i/>
          <w:sz w:val="18"/>
        </w:rPr>
        <w:t>La décrispation AES-CEDEAO réduit le risque politique régional et pourrait favoriser la circulation des capitaux et des marchandises, bénéficiant aux valeurs orientées consommation et distribution (UNXC, ABJC, NEIC) opérant dans l'espace CEDEAO.</w:t>
      </w:r>
    </w:p>
    <w:p>
      <w:pPr>
        <w:pStyle w:val="Heading2"/>
      </w:pPr>
      <w:r>
        <w:rPr>
          <w:color w:val="8C4600"/>
        </w:rPr>
        <w:t>🏦 Plan UEMOA / Zone Franc</w:t>
      </w:r>
    </w:p>
    <w:p>
      <w:pPr>
        <w:pStyle w:val="ListBullet"/>
        <w:spacing w:before="20" w:after="20"/>
        <w:ind w:left="360"/>
      </w:pPr>
      <w:r>
        <w:rPr>
          <w:color w:val="008000"/>
          <w:sz w:val="18"/>
        </w:rPr>
        <w:t>**Sénégal (17/10)** : Maket, plateforme de seconde main, illustre le dynamisme de la consommation digitale (positif).</w:t>
      </w:r>
    </w:p>
    <w:p>
      <w:pPr>
        <w:pStyle w:val="ListBullet"/>
        <w:spacing w:before="20" w:after="20"/>
        <w:ind w:left="360"/>
      </w:pPr>
      <w:r>
        <w:rPr>
          <w:sz w:val="18"/>
        </w:rPr>
        <w:t>**Sénégal politique (17/10)** : retrait de Takku Wallu des commissions d'enquête — tension politique (négatif).</w:t>
      </w:r>
    </w:p>
    <w:p>
      <w:pPr>
        <w:pStyle w:val="ListBullet"/>
        <w:spacing w:before="20" w:after="20"/>
        <w:ind w:left="360"/>
      </w:pPr>
      <w:r>
        <w:rPr>
          <w:sz w:val="18"/>
        </w:rPr>
        <w:t>**Données BCEAO, inflation, FCFA, cacao/caoutchouc** : non fournies.</w:t>
      </w:r>
    </w:p>
    <w:p>
      <w:pPr>
        <w:pStyle w:val="Heading3"/>
      </w:pPr>
      <w:r>
        <w:rPr>
          <w:color w:val="500050"/>
        </w:rPr>
        <w:t>⚡ Impact estimé sur la BRVM</w:t>
      </w:r>
    </w:p>
    <w:p>
      <w:pPr>
        <w:spacing w:before="20" w:after="40"/>
        <w:ind w:left="280"/>
      </w:pPr>
      <w:r>
        <w:rPr>
          <w:i/>
          <w:sz w:val="18"/>
        </w:rPr>
        <w:t>Le dynamisme de la consommation sénégalaise soutient les valeurs de distribution et biens de consommation (UNXC, NTLC, SLBC, SCRC). Les tensions politiques sénégalaises appellent à la prudence sur les valeurs à forte exposition domestique, sans impact direct identifié sur les banques régionales.</w:t>
      </w:r>
    </w:p>
    <w:p>
      <w:pPr>
        <w:pStyle w:val="Heading2"/>
      </w:pPr>
      <w:r>
        <w:rPr>
          <w:color w:val="003366"/>
        </w:rPr>
        <w:t>📈 Plan BRVM</w:t>
      </w:r>
    </w:p>
    <w:p>
      <w:pPr>
        <w:pStyle w:val="ListBullet"/>
        <w:spacing w:before="20" w:after="20"/>
        <w:ind w:left="360"/>
      </w:pPr>
      <w:r>
        <w:rPr>
          <w:color w:val="008000"/>
          <w:sz w:val="18"/>
        </w:rPr>
        <w:t>**Résultats sociétés cotées ivoiriennes (09/06)** : résultats encourageants (positif).</w:t>
      </w:r>
    </w:p>
    <w:p>
      <w:pPr>
        <w:pStyle w:val="ListBullet"/>
        <w:spacing w:before="20" w:after="20"/>
        <w:ind w:left="360"/>
      </w:pPr>
      <w:r>
        <w:rPr>
          <w:sz w:val="18"/>
        </w:rPr>
        <w:t>**Indice BRVM Composite** : 532,61 points.</w:t>
      </w:r>
    </w:p>
    <w:p>
      <w:pPr>
        <w:pStyle w:val="ListBullet"/>
        <w:spacing w:before="20" w:after="20"/>
        <w:ind w:left="360"/>
      </w:pPr>
      <w:r>
        <w:rPr>
          <w:sz w:val="18"/>
        </w:rPr>
        <w:t>**Volumes, IPO, dividendes** : données insuffisantes.</w:t>
      </w:r>
    </w:p>
    <w:p>
      <w:pPr>
        <w:pStyle w:val="Heading3"/>
      </w:pPr>
      <w:r>
        <w:rPr>
          <w:color w:val="500050"/>
        </w:rPr>
        <w:t>⚡ Impact estimé sur la BRVM</w:t>
      </w:r>
    </w:p>
    <w:p>
      <w:pPr>
        <w:spacing w:before="20" w:after="40"/>
        <w:ind w:left="280"/>
      </w:pPr>
      <w:r>
        <w:rPr>
          <w:i/>
          <w:sz w:val="18"/>
        </w:rPr>
        <w:t>Les bons résultats des sociétés ivoiriennes confortent le sentiment positif sur les valeurs bancaires (SGBC, ECOC) et agro-industrielles (PALC, SOGC). Recommandations : conserver SGBC et ONTBF pour leur rendement ; surveiller PALC/SOGC sur le thème cacao ; prudence sur les valeurs de distribution (NTLC, SIVC) en cas de tension politique sénégalaise.</w:t>
      </w:r>
    </w:p>
    <w:p>
      <w:pPr>
        <w:pStyle w:val="Heading1"/>
      </w:pPr>
      <w:r>
        <w:rPr>
          <w:color w:val="8C0000"/>
        </w:rPr>
        <w:t>🏛️ 2. ACTUALITÉS POLITIQUES &amp; GÉOPOLITIQUES</w:t>
      </w:r>
    </w:p>
    <w:p>
      <w:pPr>
        <w:pStyle w:val="Heading2"/>
      </w:pPr>
      <w:r>
        <w:rPr>
          <w:color w:val="00467F"/>
        </w:rPr>
        <w:t>🌐 Plan Mondial</w:t>
      </w:r>
    </w:p>
    <w:p>
      <w:pPr>
        <w:pStyle w:val="ListBullet"/>
        <w:spacing w:before="20" w:after="20"/>
        <w:ind w:left="360"/>
      </w:pPr>
      <w:r>
        <w:rPr>
          <w:sz w:val="18"/>
        </w:rPr>
        <w:t>**BCE / taux français (16-17/10)** : tensions monétaires européennes, pas d'événement géopolitique majeur fourni.</w:t>
      </w:r>
    </w:p>
    <w:p>
      <w:pPr>
        <w:pStyle w:val="ListBullet"/>
        <w:spacing w:before="20" w:after="20"/>
        <w:ind w:left="360"/>
      </w:pPr>
      <w:r>
        <w:rPr>
          <w:sz w:val="18"/>
        </w:rPr>
        <w:t>**Conflits, élections, sanctions** : données insuffisantes.</w:t>
      </w:r>
    </w:p>
    <w:p>
      <w:pPr>
        <w:pStyle w:val="Heading3"/>
      </w:pPr>
      <w:r>
        <w:rPr>
          <w:color w:val="500050"/>
        </w:rPr>
        <w:t>⚡ Impact estimé sur la BRVM</w:t>
      </w:r>
    </w:p>
    <w:p>
      <w:pPr>
        <w:spacing w:before="20" w:after="40"/>
        <w:ind w:left="280"/>
      </w:pPr>
      <w:r>
        <w:rPr>
          <w:i/>
          <w:sz w:val="18"/>
        </w:rPr>
        <w:t>L'absence de choc géopolitique mondial majeur dans les données limite les effets de contagion ; les investisseurs BRVM restent toutefois sensibles à un durcissement monétaire européen qui détourne les flux des marchés frontières.</w:t>
      </w:r>
    </w:p>
    <w:p>
      <w:pPr>
        <w:pStyle w:val="Heading2"/>
      </w:pPr>
      <w:r>
        <w:rPr>
          <w:color w:val="006E32"/>
        </w:rPr>
        <w:t>🌍 Plan Africain</w:t>
      </w:r>
    </w:p>
    <w:p>
      <w:pPr>
        <w:pStyle w:val="ListBullet"/>
        <w:spacing w:before="20" w:after="20"/>
        <w:ind w:left="360"/>
      </w:pPr>
      <w:r>
        <w:rPr>
          <w:color w:val="008000"/>
          <w:sz w:val="18"/>
        </w:rPr>
        <w:t>**AES-CEDEAO (17/10)** : rapprochement historique, groupes de travail conjoints (positif).</w:t>
      </w:r>
    </w:p>
    <w:p>
      <w:pPr>
        <w:pStyle w:val="ListBullet"/>
        <w:spacing w:before="20" w:after="20"/>
        <w:ind w:left="360"/>
      </w:pPr>
      <w:r>
        <w:rPr>
          <w:sz w:val="18"/>
        </w:rPr>
        <w:t>**Stabilité politique, transitions, coups d'État** : données insuffisantes au-delà du dossier AES.</w:t>
      </w:r>
    </w:p>
    <w:p>
      <w:pPr>
        <w:pStyle w:val="Heading3"/>
      </w:pPr>
      <w:r>
        <w:rPr>
          <w:color w:val="500050"/>
        </w:rPr>
        <w:t>⚡ Impact estimé sur la BRVM</w:t>
      </w:r>
    </w:p>
    <w:p>
      <w:pPr>
        <w:spacing w:before="20" w:after="40"/>
        <w:ind w:left="280"/>
      </w:pPr>
      <w:r>
        <w:rPr>
          <w:i/>
          <w:sz w:val="18"/>
        </w:rPr>
        <w:t>Le rapprochement AES-CEDEAO améliore la perception du risque régional et pourrait soutenir les flux de capitaux vers la BRVM, notamment sur les valeurs panafricaines (ECOC, ONTBF).</w:t>
      </w:r>
    </w:p>
    <w:p>
      <w:pPr>
        <w:pStyle w:val="Heading2"/>
      </w:pPr>
      <w:r>
        <w:rPr>
          <w:color w:val="145A28"/>
        </w:rPr>
        <w:t>🌍 Plan Afrique de l'Ouest</w:t>
      </w:r>
    </w:p>
    <w:p>
      <w:pPr>
        <w:pStyle w:val="ListBullet"/>
        <w:spacing w:before="20" w:after="20"/>
        <w:ind w:left="360"/>
      </w:pPr>
      <w:r>
        <w:rPr>
          <w:color w:val="008000"/>
          <w:sz w:val="18"/>
        </w:rPr>
        <w:t>**AES-CEDEAO Dakar (17/10)** : négociations formelles, implication de Lansana Kouyaté (positif/neutre).</w:t>
      </w:r>
    </w:p>
    <w:p>
      <w:pPr>
        <w:pStyle w:val="ListBullet"/>
        <w:spacing w:before="20" w:after="20"/>
        <w:ind w:left="360"/>
      </w:pPr>
      <w:r>
        <w:rPr>
          <w:sz w:val="18"/>
        </w:rPr>
        <w:t>**Sécurité CEDEAO** : données insuffisantes.</w:t>
      </w:r>
    </w:p>
    <w:p>
      <w:pPr>
        <w:pStyle w:val="Heading3"/>
      </w:pPr>
      <w:r>
        <w:rPr>
          <w:color w:val="500050"/>
        </w:rPr>
        <w:t>⚡ Impact estimé sur la BRVM</w:t>
      </w:r>
    </w:p>
    <w:p>
      <w:pPr>
        <w:spacing w:before="20" w:after="40"/>
        <w:ind w:left="280"/>
      </w:pPr>
      <w:r>
        <w:rPr>
          <w:i/>
          <w:sz w:val="18"/>
        </w:rPr>
        <w:t>La désescalade diplomatique réduit les risques spécifiques pour les sociétés cotées opérant au Sahel et en Afrique de l'Ouest ; effet positif modéré sur la confiance des investisseurs régionaux.</w:t>
      </w:r>
    </w:p>
    <w:p>
      <w:pPr>
        <w:pStyle w:val="Heading2"/>
      </w:pPr>
      <w:r>
        <w:rPr>
          <w:color w:val="8C4600"/>
        </w:rPr>
        <w:t>🏦 Plan UEMOA / Zone Franc</w:t>
      </w:r>
    </w:p>
    <w:p>
      <w:pPr>
        <w:pStyle w:val="ListBullet"/>
        <w:spacing w:before="20" w:after="20"/>
        <w:ind w:left="360"/>
      </w:pPr>
      <w:r>
        <w:rPr>
          <w:sz w:val="18"/>
        </w:rPr>
        <w:t>**Sénégal (17/10)** : retrait de Takku Wallu des commissions d'enquête — tension institutionnelle (négatif).</w:t>
      </w:r>
    </w:p>
    <w:p>
      <w:pPr>
        <w:pStyle w:val="ListBullet"/>
        <w:spacing w:before="20" w:after="20"/>
        <w:ind w:left="360"/>
      </w:pPr>
      <w:r>
        <w:rPr>
          <w:sz w:val="18"/>
        </w:rPr>
        <w:t>**Réformes institutionnelles** : données insuffisantes.</w:t>
      </w:r>
    </w:p>
    <w:p>
      <w:pPr>
        <w:pStyle w:val="Heading3"/>
      </w:pPr>
      <w:r>
        <w:rPr>
          <w:color w:val="500050"/>
        </w:rPr>
        <w:t>⚡ Impact estimé sur la BRVM</w:t>
      </w:r>
    </w:p>
    <w:p>
      <w:pPr>
        <w:spacing w:before="20" w:after="40"/>
        <w:ind w:left="280"/>
      </w:pPr>
      <w:r>
        <w:rPr>
          <w:i/>
          <w:sz w:val="18"/>
        </w:rPr>
        <w:t>La tension politique sénégalaise constitue un risque réglementaire direct pour les valeurs à exposition Sénégal (SIVC, certaines filiales bancaires) ; surveillance accrue recommandée sur les titres domestiques sénégalais.</w:t>
      </w:r>
    </w:p>
    <w:p>
      <w:pPr>
        <w:pStyle w:val="Heading2"/>
      </w:pPr>
      <w:r>
        <w:rPr>
          <w:color w:val="003366"/>
        </w:rPr>
        <w:t>📈 Plan BRVM</w:t>
      </w:r>
    </w:p>
    <w:p>
      <w:pPr>
        <w:pStyle w:val="ListBullet"/>
        <w:spacing w:before="20" w:after="20"/>
        <w:ind w:left="360"/>
      </w:pPr>
      <w:r>
        <w:rPr>
          <w:sz w:val="18"/>
        </w:rPr>
        <w:t>**Réglementation CREPMF, nouvelles cotations, gouvernance** : données insuffisantes.</w:t>
      </w:r>
    </w:p>
    <w:p>
      <w:pPr>
        <w:pStyle w:val="Heading3"/>
      </w:pPr>
      <w:r>
        <w:rPr>
          <w:color w:val="500050"/>
        </w:rPr>
        <w:t>⚡ Impact estimé sur la BRVM</w:t>
      </w:r>
    </w:p>
    <w:p>
      <w:pPr>
        <w:spacing w:before="20" w:after="40"/>
        <w:ind w:left="280"/>
      </w:pPr>
      <w:r>
        <w:rPr>
          <w:i/>
          <w:sz w:val="18"/>
        </w:rPr>
        <w:t>Aucune décision réglementaire nouvelle n'est rapportée ; le marché évolue dans son cadre habituel, sans catalyseur réglementaire identifié.</w:t>
      </w:r>
    </w:p>
    <w:p>
      <w:pPr>
        <w:pStyle w:val="Heading1"/>
      </w:pPr>
      <w:r>
        <w:rPr>
          <w:color w:val="006428"/>
        </w:rPr>
        <w:t>💹 3. ACTUALITÉS FINANCIÈRES &amp; MARCHÉS</w:t>
      </w:r>
    </w:p>
    <w:p>
      <w:pPr>
        <w:pStyle w:val="Heading2"/>
      </w:pPr>
      <w:r>
        <w:rPr>
          <w:color w:val="00467F"/>
        </w:rPr>
        <w:t>🌐 Plan Mondial</w:t>
      </w:r>
    </w:p>
    <w:p>
      <w:pPr>
        <w:pStyle w:val="ListBullet"/>
        <w:spacing w:before="20" w:after="20"/>
        <w:ind w:left="360"/>
      </w:pPr>
      <w:r>
        <w:rPr>
          <w:sz w:val="18"/>
        </w:rPr>
        <w:t>**BCE / Lagarde (17/10)** : resserrement quantitatif en cours pour contenir l'inflation.</w:t>
      </w:r>
    </w:p>
    <w:p>
      <w:pPr>
        <w:pStyle w:val="ListBullet"/>
        <w:spacing w:before="20" w:after="20"/>
        <w:ind w:left="360"/>
      </w:pPr>
      <w:r>
        <w:rPr>
          <w:sz w:val="18"/>
        </w:rPr>
        <w:t>**Taux français (16/10)** : pas de soutien BCE attendu à court terme.</w:t>
      </w:r>
    </w:p>
    <w:p>
      <w:pPr>
        <w:pStyle w:val="ListBullet"/>
        <w:spacing w:before="20" w:after="20"/>
        <w:ind w:left="360"/>
      </w:pPr>
      <w:r>
        <w:rPr>
          <w:sz w:val="18"/>
        </w:rPr>
        <w:t>**Wall Street, indices, change, crypto** : données insuffisantes.</w:t>
      </w:r>
    </w:p>
    <w:p>
      <w:pPr>
        <w:pStyle w:val="Heading3"/>
      </w:pPr>
      <w:r>
        <w:rPr>
          <w:color w:val="500050"/>
        </w:rPr>
        <w:t>⚡ Impact estimé sur la BRVM</w:t>
      </w:r>
    </w:p>
    <w:p>
      <w:pPr>
        <w:spacing w:before="20" w:after="40"/>
        <w:ind w:left="280"/>
      </w:pPr>
      <w:r>
        <w:rPr>
          <w:i/>
          <w:sz w:val="18"/>
        </w:rPr>
        <w:t>Le resserrement européen maintient une prime de risque élevée sur les marchés frontières ; les flux vers la BRVM restent tributaires d'une détente monétaire qui n'est pas encore d'actualité.</w:t>
      </w:r>
    </w:p>
    <w:p>
      <w:pPr>
        <w:pStyle w:val="Heading2"/>
      </w:pPr>
      <w:r>
        <w:rPr>
          <w:color w:val="006E32"/>
        </w:rPr>
        <w:t>🌍 Plan Africain</w:t>
      </w:r>
    </w:p>
    <w:p>
      <w:pPr>
        <w:pStyle w:val="ListBullet"/>
        <w:spacing w:before="20" w:after="20"/>
        <w:ind w:left="360"/>
      </w:pPr>
      <w:r>
        <w:rPr>
          <w:sz w:val="18"/>
        </w:rPr>
        <w:t>**Eurobonds, notation souveraine, marchés obligataires** : données insuffisantes.</w:t>
      </w:r>
    </w:p>
    <w:p>
      <w:pPr>
        <w:pStyle w:val="Heading3"/>
      </w:pPr>
      <w:r>
        <w:rPr>
          <w:color w:val="500050"/>
        </w:rPr>
        <w:t>⚡ Impact estimé sur la BRVM</w:t>
      </w:r>
    </w:p>
    <w:p>
      <w:pPr>
        <w:spacing w:before="20" w:after="40"/>
        <w:ind w:left="280"/>
      </w:pPr>
      <w:r>
        <w:rPr>
          <w:i/>
          <w:sz w:val="18"/>
        </w:rPr>
        <w:t>Données insuffisantes pour évaluer la concurrence des marchés obligataires africains sur les capitaux destinés à la BRVM.</w:t>
      </w:r>
    </w:p>
    <w:p>
      <w:pPr>
        <w:pStyle w:val="Heading2"/>
      </w:pPr>
      <w:r>
        <w:rPr>
          <w:color w:val="145A28"/>
        </w:rPr>
        <w:t>🌍 Plan Afrique de l'Ouest</w:t>
      </w:r>
    </w:p>
    <w:p>
      <w:pPr>
        <w:pStyle w:val="ListBullet"/>
        <w:spacing w:before="20" w:after="20"/>
        <w:ind w:left="360"/>
      </w:pPr>
      <w:r>
        <w:rPr>
          <w:sz w:val="18"/>
        </w:rPr>
        <w:t>**Bourses régionales concurrentes, flux sous-régionaux** : données insuffisantes.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8C4600"/>
        </w:rPr>
        <w:t>🏦 Plan UEMOA / Zone Franc</w:t>
      </w:r>
    </w:p>
    <w:p>
      <w:pPr>
        <w:pStyle w:val="ListBullet"/>
        <w:spacing w:before="20" w:after="20"/>
        <w:ind w:left="360"/>
      </w:pPr>
      <w:r>
        <w:rPr>
          <w:sz w:val="18"/>
        </w:rPr>
        <w:t>**Marché des titres publics, taux interbancaire, liquidité** : données insuffisantes.</w:t>
      </w:r>
    </w:p>
    <w:p>
      <w:pPr>
        <w:pStyle w:val="Heading3"/>
      </w:pPr>
      <w:r>
        <w:rPr>
          <w:color w:val="500050"/>
        </w:rPr>
        <w:t>⚡ Impact estimé sur la BRVM</w:t>
      </w:r>
    </w:p>
    <w:p>
      <w:pPr>
        <w:spacing w:before="20" w:after="40"/>
        <w:ind w:left="280"/>
      </w:pPr>
      <w:r>
        <w:rPr>
          <w:i/>
          <w:sz w:val="18"/>
        </w:rPr>
        <w:t>Sans données sur les taux des titres publics UEMOA, l'arbitrage titres publics/actions BRVM ne peut être précisé ; à surveiller pour les banques (SGBC, ECOC) qui arbitrent entre portefeuille souverain et crédit privé.</w:t>
      </w:r>
    </w:p>
    <w:p>
      <w:pPr>
        <w:pStyle w:val="Heading2"/>
      </w:pPr>
      <w:r>
        <w:rPr>
          <w:color w:val="003366"/>
        </w:rPr>
        <w:t>📈 Plan BRVM</w:t>
      </w:r>
    </w:p>
    <w:p>
      <w:pPr>
        <w:pStyle w:val="ListBullet"/>
        <w:spacing w:before="20" w:after="20"/>
        <w:ind w:left="360"/>
      </w:pPr>
      <w:r>
        <w:rPr>
          <w:sz w:val="18"/>
        </w:rPr>
        <w:t>**Indice BRVM Composite** : 532,61 points.</w:t>
      </w:r>
    </w:p>
    <w:p>
      <w:pPr>
        <w:pStyle w:val="ListBullet"/>
        <w:spacing w:before="20" w:after="20"/>
        <w:ind w:left="360"/>
      </w:pPr>
      <w:r>
        <w:rPr>
          <w:color w:val="008000"/>
          <w:sz w:val="18"/>
        </w:rPr>
        <w:t>**Résultats ivoiriens encourageants (09/06)** : sentiment positif.</w:t>
      </w:r>
    </w:p>
    <w:p>
      <w:pPr>
        <w:pStyle w:val="ListBullet"/>
        <w:spacing w:before="20" w:after="20"/>
        <w:ind w:left="360"/>
      </w:pPr>
      <w:r>
        <w:rPr>
          <w:sz w:val="18"/>
        </w:rPr>
        <w:t>**Top/flop, volumes, perspectives** : données insuffisantes.</w:t>
      </w:r>
    </w:p>
    <w:p>
      <w:pPr>
        <w:pStyle w:val="Heading3"/>
      </w:pPr>
      <w:r>
        <w:rPr>
          <w:color w:val="500050"/>
        </w:rPr>
        <w:t>⚡ Impact estimé sur la BRVM</w:t>
      </w:r>
    </w:p>
    <w:p>
      <w:pPr>
        <w:spacing w:before="20" w:after="40"/>
        <w:ind w:left="280"/>
      </w:pPr>
      <w:r>
        <w:rPr>
          <w:i/>
          <w:sz w:val="18"/>
        </w:rPr>
        <w:t>Le niveau de l'indice (532,61) et les bons résultats ivoiriens plaident pour une posture constructive sur SGBC, ECOC et ONTBF (rendement/dividendes) ; PALC et SOGC restent des paris sur les matières premières agricoles ; NTLC, SIVC et SLBC à surveiller au regard du risque politique sénégalais.</w:t>
      </w:r>
    </w:p>
    <w:p>
      <w:pPr>
        <w:pStyle w:val="Heading1"/>
      </w:pPr>
      <w:r>
        <w:rPr>
          <w:color w:val="003366"/>
        </w:rPr>
        <w:t>🎯 SYNTHÈSE &amp; RECOMMANDATION FINALE</w:t>
      </w:r>
    </w:p>
    <w:p>
      <w:pPr>
        <w:spacing w:before="120"/>
      </w:pPr>
      <w:r>
        <w:rPr>
          <w:b/>
          <w:color w:val="C85000"/>
          <w:sz w:val="22"/>
        </w:rPr>
        <w:t>**Niveau d'alerte global : ORANGE**</w:t>
      </w:r>
    </w:p>
    <w:p>
      <w:pPr>
        <w:spacing w:before="20" w:after="40"/>
        <w:ind w:left="0"/>
      </w:pPr>
      <w:r>
        <w:rPr>
          <w:sz w:val="18"/>
        </w:rPr>
        <w:t>Le climat macro mondial reste marqué par le resserrement BCE, qui renchérit le coût du capital pour les marchés frontières, tandis que la zone UEMOA bénéficie d'un apaisement politique régional (rapprochement AES-CEDEAO) et de résultats d'entreprises ivoiriennes encourageants. Les données restent toutefois parcellaires sur la BCEAO, les volumes BRVM et les marchés obligataires, ce qui justifie une vigilance modérée. Recommandation : conserver les valeurs de rendement (SGBC, ONTBF) et les bancaires solides (ECOC), limiter l'exposition aux valeurs domestiques sénégalaises (SIVC, NTLC) tant que la tension politique persiste, et se positionner sélectivement sur PALC/SOGC en anticipation d'un rebond des matières premières agricoles.</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2026-10-17</w:t>
            </w:r>
          </w:p>
        </w:tc>
        <w:tc>
          <w:tcPr>
            <w:tcW w:type="dxa" w:w="1728"/>
          </w:tcPr>
          <w:p>
            <w:r>
              <w:rPr>
                <w:sz w:val="14"/>
              </w:rPr>
              <w:t>La présidente de la Banque centrale européenne (BCE), Christine Lagard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2026-10-17</w:t>
            </w:r>
          </w:p>
        </w:tc>
        <w:tc>
          <w:tcPr>
            <w:tcW w:type="dxa" w:w="1728"/>
          </w:tcPr>
          <w:p>
            <w:r>
              <w:rPr>
                <w:sz w:val="14"/>
              </w:rPr>
              <w:t>Crédit immobilier : Quels sont les taux d’emprunts en octobre 2026 ?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2026-10-16</w:t>
            </w:r>
          </w:p>
        </w:tc>
        <w:tc>
          <w:tcPr>
            <w:tcW w:type="dxa" w:w="1728"/>
          </w:tcPr>
          <w:p>
            <w:r>
              <w:rPr>
                <w:sz w:val="14"/>
              </w:rPr>
              <w:t>La BCE interviendra-t-elle pour soulager les taux français? "Les condi</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2026-10-15</w:t>
            </w:r>
          </w:p>
        </w:tc>
        <w:tc>
          <w:tcPr>
            <w:tcW w:type="dxa" w:w="1728"/>
          </w:tcPr>
          <w:p>
            <w:r>
              <w:rPr>
                <w:sz w:val="14"/>
              </w:rPr>
              <w:t>Donald Trump : un portefeuille « fort comme l'Amérique » qui défie les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2026-10-16</w:t>
            </w:r>
          </w:p>
        </w:tc>
        <w:tc>
          <w:tcPr>
            <w:tcW w:type="dxa" w:w="1728"/>
          </w:tcPr>
          <w:p>
            <w:r>
              <w:rPr>
                <w:sz w:val="14"/>
              </w:rPr>
              <w:t>Tensions sur les taux français: "conditions pas réunies" pour une inte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2026-10-15</w:t>
            </w:r>
          </w:p>
        </w:tc>
        <w:tc>
          <w:tcPr>
            <w:tcW w:type="dxa" w:w="1728"/>
          </w:tcPr>
          <w:p>
            <w:r>
              <w:rPr>
                <w:sz w:val="14"/>
              </w:rPr>
              <w:t>La BCE va-t-elle relever à nouveau ses taux d’intérêt ? À quoi faut-il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 xml:space="preserve">Sénégal, Gabon, croissance : les dossiers africains des assemblées du </w:t>
            </w:r>
          </w:p>
        </w:tc>
        <w:tc>
          <w:tcPr>
            <w:tcW w:type="dxa" w:w="1728"/>
          </w:tcPr>
          <w:p>
            <w:r>
              <w:rPr>
                <w:sz w:val="14"/>
              </w:rPr>
              <w:t>Neutre</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2026-10-11</w:t>
            </w:r>
          </w:p>
        </w:tc>
        <w:tc>
          <w:tcPr>
            <w:tcW w:type="dxa" w:w="1728"/>
          </w:tcPr>
          <w:p>
            <w:r>
              <w:rPr>
                <w:sz w:val="14"/>
              </w:rPr>
              <w:t>FMI-Banque mondiale : à Bangkok, l’Afrique face à la dette et à l’infl</w:t>
            </w:r>
          </w:p>
        </w:tc>
        <w:tc>
          <w:tcPr>
            <w:tcW w:type="dxa" w:w="1728"/>
          </w:tcPr>
          <w:p>
            <w:r>
              <w:rPr>
                <w:sz w:val="14"/>
              </w:rPr>
              <w:t>Neutre</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2026-10-06</w:t>
            </w:r>
          </w:p>
        </w:tc>
        <w:tc>
          <w:tcPr>
            <w:tcW w:type="dxa" w:w="1728"/>
          </w:tcPr>
          <w:p>
            <w:r>
              <w:rPr>
                <w:sz w:val="14"/>
              </w:rPr>
              <w:t>CEDEAO : le Général Birame Diop renforce le partenariat avec le FMI et</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2026-10-01</w:t>
            </w:r>
          </w:p>
        </w:tc>
        <w:tc>
          <w:tcPr>
            <w:tcW w:type="dxa" w:w="1728"/>
          </w:tcPr>
          <w:p>
            <w:r>
              <w:rPr>
                <w:sz w:val="14"/>
              </w:rPr>
              <w:t>Afrique : une croissance solide face au défi de l’investissement [Busi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2026-09-26</w:t>
            </w:r>
          </w:p>
        </w:tc>
        <w:tc>
          <w:tcPr>
            <w:tcW w:type="dxa" w:w="1728"/>
          </w:tcPr>
          <w:p>
            <w:r>
              <w:rPr>
                <w:sz w:val="14"/>
              </w:rPr>
              <w:t>Investissement et emploi : le plaidoyer d'Amara pour la transformation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2026-10-17</w:t>
            </w:r>
          </w:p>
        </w:tc>
        <w:tc>
          <w:tcPr>
            <w:tcW w:type="dxa" w:w="1728"/>
          </w:tcPr>
          <w:p>
            <w:r>
              <w:rPr>
                <w:sz w:val="14"/>
              </w:rPr>
              <w:t>AES-CEDEAO : début de négociations historiques à Dakar - Alwihda Info</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2026-10-17</w:t>
            </w:r>
          </w:p>
        </w:tc>
        <w:tc>
          <w:tcPr>
            <w:tcW w:type="dxa" w:w="1728"/>
          </w:tcPr>
          <w:p>
            <w:r>
              <w:rPr>
                <w:sz w:val="14"/>
              </w:rPr>
              <w:t>AES-CEDEAO : Des groupes de travail conjoints prévus pour bâtir un cad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2026-10-17</w:t>
            </w:r>
          </w:p>
        </w:tc>
        <w:tc>
          <w:tcPr>
            <w:tcW w:type="dxa" w:w="1728"/>
          </w:tcPr>
          <w:p>
            <w:r>
              <w:rPr>
                <w:sz w:val="14"/>
              </w:rPr>
              <w:t xml:space="preserve">Premières rencontres formelles CEDEAO-AES : La marque Lansana Kouyaté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2026-10-17</w:t>
            </w:r>
          </w:p>
        </w:tc>
        <w:tc>
          <w:tcPr>
            <w:tcW w:type="dxa" w:w="1728"/>
          </w:tcPr>
          <w:p>
            <w:r>
              <w:rPr>
                <w:sz w:val="14"/>
              </w:rPr>
              <w:t>Burkina Faso : A Dakar, la Cédeao et l'AES ouvrent la voie à un accord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2026-10-17</w:t>
            </w:r>
          </w:p>
        </w:tc>
        <w:tc>
          <w:tcPr>
            <w:tcW w:type="dxa" w:w="1728"/>
          </w:tcPr>
          <w:p>
            <w:r>
              <w:rPr>
                <w:sz w:val="14"/>
              </w:rPr>
              <w:t>Les pays de l’AES et la CEDEAO renouent le dialogue à Dakar - Le360 Af</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2026-10-17</w:t>
            </w:r>
          </w:p>
        </w:tc>
        <w:tc>
          <w:tcPr>
            <w:tcW w:type="dxa" w:w="1728"/>
          </w:tcPr>
          <w:p>
            <w:r>
              <w:rPr>
                <w:sz w:val="14"/>
              </w:rPr>
              <w:t>Premières discussions entre l'AES et la Cédéao au Sénégal pour une fut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2026-10-17</w:t>
            </w:r>
          </w:p>
        </w:tc>
        <w:tc>
          <w:tcPr>
            <w:tcW w:type="dxa" w:w="1728"/>
          </w:tcPr>
          <w:p>
            <w:r>
              <w:rPr>
                <w:sz w:val="14"/>
              </w:rPr>
              <w:t>VIDÉO. Sénégal: Maket rend le luxe accessible avec la seconde main - t</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2026-10-17</w:t>
            </w:r>
          </w:p>
        </w:tc>
        <w:tc>
          <w:tcPr>
            <w:tcW w:type="dxa" w:w="1728"/>
          </w:tcPr>
          <w:p>
            <w:r>
              <w:rPr>
                <w:sz w:val="14"/>
              </w:rPr>
              <w:t>Sénégal : Takku Wallu quitte les six commissions d’enquête parlementai</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2026-10-17</w:t>
            </w:r>
          </w:p>
        </w:tc>
        <w:tc>
          <w:tcPr>
            <w:tcW w:type="dxa" w:w="1728"/>
          </w:tcPr>
          <w:p>
            <w:r>
              <w:rPr>
                <w:sz w:val="14"/>
              </w:rPr>
              <w:t>Burkina Faso : A Dakar, la Cédeao et l'AES ouvrent la voie à un accord</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2026-10-17</w:t>
            </w:r>
          </w:p>
        </w:tc>
        <w:tc>
          <w:tcPr>
            <w:tcW w:type="dxa" w:w="1728"/>
          </w:tcPr>
          <w:p>
            <w:r>
              <w:rPr>
                <w:sz w:val="14"/>
              </w:rPr>
              <w:t>Afrique : commission mixte Mali – Rwanda prévue en 2027 - Africa24 TV</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2026-10-17</w:t>
            </w:r>
          </w:p>
        </w:tc>
        <w:tc>
          <w:tcPr>
            <w:tcW w:type="dxa" w:w="1728"/>
          </w:tcPr>
          <w:p>
            <w:r>
              <w:rPr>
                <w:sz w:val="14"/>
              </w:rPr>
              <w:t>ONU: Macky Sall, l'ancien président du Sénégal retire sa candidature 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2026-10-18</w:t>
            </w:r>
          </w:p>
        </w:tc>
        <w:tc>
          <w:tcPr>
            <w:tcW w:type="dxa" w:w="1728"/>
          </w:tcPr>
          <w:p>
            <w:r>
              <w:rPr>
                <w:sz w:val="14"/>
              </w:rPr>
              <w:t>Sonatel engage un fractionnement 1 pour 10 de son action à la BRVM - 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2026-10-17</w:t>
            </w:r>
          </w:p>
        </w:tc>
        <w:tc>
          <w:tcPr>
            <w:tcW w:type="dxa" w:w="1728"/>
          </w:tcPr>
          <w:p>
            <w:r>
              <w:rPr>
                <w:sz w:val="14"/>
              </w:rPr>
              <w:t>La présidente de la Banque centrale européenne (BCE), Christine Lagard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2026-10-17</w:t>
            </w:r>
          </w:p>
        </w:tc>
        <w:tc>
          <w:tcPr>
            <w:tcW w:type="dxa" w:w="1728"/>
          </w:tcPr>
          <w:p>
            <w:r>
              <w:rPr>
                <w:sz w:val="14"/>
              </w:rPr>
              <w:t>Crédit immobilier : Quels sont les taux d’emprunts en octobre 2026 ?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2026-10-16</w:t>
            </w:r>
          </w:p>
        </w:tc>
        <w:tc>
          <w:tcPr>
            <w:tcW w:type="dxa" w:w="1728"/>
          </w:tcPr>
          <w:p>
            <w:r>
              <w:rPr>
                <w:sz w:val="14"/>
              </w:rPr>
              <w:t>La BCE interviendra-t-elle pour soulager les taux français? "Les condi</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2026-10-17</w:t>
            </w:r>
          </w:p>
        </w:tc>
        <w:tc>
          <w:tcPr>
            <w:tcW w:type="dxa" w:w="1728"/>
          </w:tcPr>
          <w:p>
            <w:r>
              <w:rPr>
                <w:sz w:val="14"/>
              </w:rPr>
              <w:t>AES-CEDEAO : début de négociations historiques à Dakar - Alwihda Info</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2026-10-17</w:t>
            </w:r>
          </w:p>
        </w:tc>
        <w:tc>
          <w:tcPr>
            <w:tcW w:type="dxa" w:w="1728"/>
          </w:tcPr>
          <w:p>
            <w:r>
              <w:rPr>
                <w:sz w:val="14"/>
              </w:rPr>
              <w:t xml:space="preserve">Premières rencontres formelles CEDEAO-AES : La marque Lansana Kouyaté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2026-10-17</w:t>
            </w:r>
          </w:p>
        </w:tc>
        <w:tc>
          <w:tcPr>
            <w:tcW w:type="dxa" w:w="1728"/>
          </w:tcPr>
          <w:p>
            <w:r>
              <w:rPr>
                <w:sz w:val="14"/>
              </w:rPr>
              <w:t>La présidente de la Banque centrale européenne (BCE), Christine Lagard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2026-10-17</w:t>
            </w:r>
          </w:p>
        </w:tc>
        <w:tc>
          <w:tcPr>
            <w:tcW w:type="dxa" w:w="1728"/>
          </w:tcPr>
          <w:p>
            <w:r>
              <w:rPr>
                <w:sz w:val="14"/>
              </w:rPr>
              <w:t>Crédit immobilier : Quels sont les taux d’emprunts en octobre 2026 ?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2026-10-17</w:t>
            </w:r>
          </w:p>
        </w:tc>
        <w:tc>
          <w:tcPr>
            <w:tcW w:type="dxa" w:w="1728"/>
          </w:tcPr>
          <w:p>
            <w:r>
              <w:rPr>
                <w:sz w:val="14"/>
              </w:rPr>
              <w:t>AES-CEDEAO : début de négociations historiques à Dakar - Alwihda Info</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2026-10-17</w:t>
            </w:r>
          </w:p>
        </w:tc>
        <w:tc>
          <w:tcPr>
            <w:tcW w:type="dxa" w:w="1728"/>
          </w:tcPr>
          <w:p>
            <w:r>
              <w:rPr>
                <w:sz w:val="14"/>
              </w:rPr>
              <w:t>AES-CEDEAO : Des groupes de travail conjoints prévus pour bâtir un cad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2026-10-17</w:t>
            </w:r>
          </w:p>
        </w:tc>
        <w:tc>
          <w:tcPr>
            <w:tcW w:type="dxa" w:w="1728"/>
          </w:tcPr>
          <w:p>
            <w:r>
              <w:rPr>
                <w:sz w:val="14"/>
              </w:rPr>
              <w:t xml:space="preserve">Premières rencontres formelles CEDEAO-AES : La marque Lansana Kouyaté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2026-10-17</w:t>
            </w:r>
          </w:p>
        </w:tc>
        <w:tc>
          <w:tcPr>
            <w:tcW w:type="dxa" w:w="1728"/>
          </w:tcPr>
          <w:p>
            <w:r>
              <w:rPr>
                <w:sz w:val="14"/>
              </w:rPr>
              <w:t>La présidente de la Banque centrale européenne (BCE), Christine Lagard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2026-10-17</w:t>
            </w:r>
          </w:p>
        </w:tc>
        <w:tc>
          <w:tcPr>
            <w:tcW w:type="dxa" w:w="1728"/>
          </w:tcPr>
          <w:p>
            <w:r>
              <w:rPr>
                <w:sz w:val="14"/>
              </w:rPr>
              <w:t>Crédit immobilier : Quels sont les taux d’emprunts en octobre 2026 ?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2026-10-17</w:t>
            </w:r>
          </w:p>
        </w:tc>
        <w:tc>
          <w:tcPr>
            <w:tcW w:type="dxa" w:w="1728"/>
          </w:tcPr>
          <w:p>
            <w:r>
              <w:rPr>
                <w:sz w:val="14"/>
              </w:rPr>
              <w:t>AES-CEDEAO : début de négociations historiques à Dakar - Alwihda Info</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2026-10-17</w:t>
            </w:r>
          </w:p>
        </w:tc>
        <w:tc>
          <w:tcPr>
            <w:tcW w:type="dxa" w:w="1728"/>
          </w:tcPr>
          <w:p>
            <w:r>
              <w:rPr>
                <w:sz w:val="14"/>
              </w:rPr>
              <w:t>AES-CEDEAO : Des groupes de travail conjoints prévus pour bâtir un cad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2026-10-17</w:t>
            </w:r>
          </w:p>
        </w:tc>
        <w:tc>
          <w:tcPr>
            <w:tcW w:type="dxa" w:w="1728"/>
          </w:tcPr>
          <w:p>
            <w:r>
              <w:rPr>
                <w:sz w:val="14"/>
              </w:rPr>
              <w:t xml:space="preserve">Premières rencontres formelles CEDEAO-AES : La marque Lansana Kouyaté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2026-10-17</w:t>
            </w:r>
          </w:p>
        </w:tc>
        <w:tc>
          <w:tcPr>
            <w:tcW w:type="dxa" w:w="1728"/>
          </w:tcPr>
          <w:p>
            <w:r>
              <w:rPr>
                <w:sz w:val="14"/>
              </w:rPr>
              <w:t>La présidente de la Banque centrale européenne (BCE), Christine Lagard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2026-10-17</w:t>
            </w:r>
          </w:p>
        </w:tc>
        <w:tc>
          <w:tcPr>
            <w:tcW w:type="dxa" w:w="1728"/>
          </w:tcPr>
          <w:p>
            <w:r>
              <w:rPr>
                <w:sz w:val="14"/>
              </w:rPr>
              <w:t>Crédit immobilier : Quels sont les taux d’emprunts en octobre 2026 ?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2026-10-17</w:t>
            </w:r>
          </w:p>
        </w:tc>
        <w:tc>
          <w:tcPr>
            <w:tcW w:type="dxa" w:w="1728"/>
          </w:tcPr>
          <w:p>
            <w:r>
              <w:rPr>
                <w:sz w:val="14"/>
              </w:rPr>
              <w:t>AES-CEDEAO : début de négociations historiques à Dakar - Alwihda Info</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2026-10-17</w:t>
            </w:r>
          </w:p>
        </w:tc>
        <w:tc>
          <w:tcPr>
            <w:tcW w:type="dxa" w:w="1728"/>
          </w:tcPr>
          <w:p>
            <w:r>
              <w:rPr>
                <w:sz w:val="14"/>
              </w:rPr>
              <w:t>AES-CEDEAO : Des groupes de travail conjoints prévus pour bâtir un cad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2026-10-17</w:t>
            </w:r>
          </w:p>
        </w:tc>
        <w:tc>
          <w:tcPr>
            <w:tcW w:type="dxa" w:w="1728"/>
          </w:tcPr>
          <w:p>
            <w:r>
              <w:rPr>
                <w:sz w:val="14"/>
              </w:rPr>
              <w:t xml:space="preserve">Premières rencontres formelles CEDEAO-AES : La marque Lansana Kouyaté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2026-10-17</w:t>
            </w:r>
          </w:p>
        </w:tc>
        <w:tc>
          <w:tcPr>
            <w:tcW w:type="dxa" w:w="1728"/>
          </w:tcPr>
          <w:p>
            <w:r>
              <w:rPr>
                <w:sz w:val="14"/>
              </w:rPr>
              <w:t>La présidente de la Banque centrale européenne (BCE), Christine Lagard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2026-10-17</w:t>
            </w:r>
          </w:p>
        </w:tc>
        <w:tc>
          <w:tcPr>
            <w:tcW w:type="dxa" w:w="1728"/>
          </w:tcPr>
          <w:p>
            <w:r>
              <w:rPr>
                <w:sz w:val="14"/>
              </w:rPr>
              <w:t>Crédit immobilier : Quels sont les taux d’emprunts en octobre 2026 ?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2026-10-17</w:t>
            </w:r>
          </w:p>
        </w:tc>
        <w:tc>
          <w:tcPr>
            <w:tcW w:type="dxa" w:w="1728"/>
          </w:tcPr>
          <w:p>
            <w:r>
              <w:rPr>
                <w:sz w:val="14"/>
              </w:rPr>
              <w:t>AES-CEDEAO : début de négociations historiques à Dakar - Alwihda Info</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2026-10-17</w:t>
            </w:r>
          </w:p>
        </w:tc>
        <w:tc>
          <w:tcPr>
            <w:tcW w:type="dxa" w:w="1728"/>
          </w:tcPr>
          <w:p>
            <w:r>
              <w:rPr>
                <w:sz w:val="14"/>
              </w:rPr>
              <w:t xml:space="preserve">Premières rencontres formelles CEDEAO-AES : La marque Lansana Kouyaté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2026-10-17</w:t>
            </w:r>
          </w:p>
        </w:tc>
        <w:tc>
          <w:tcPr>
            <w:tcW w:type="dxa" w:w="1728"/>
          </w:tcPr>
          <w:p>
            <w:r>
              <w:rPr>
                <w:sz w:val="14"/>
              </w:rPr>
              <w:t>Sénégal : Takku Wallu quitte les six commissions d’enquête parlementai</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2026-10-17</w:t>
            </w:r>
          </w:p>
        </w:tc>
        <w:tc>
          <w:tcPr>
            <w:tcW w:type="dxa" w:w="1728"/>
          </w:tcPr>
          <w:p>
            <w:r>
              <w:rPr>
                <w:sz w:val="14"/>
              </w:rPr>
              <w:t>La présidente de la Banque centrale européenne (BCE), Christine Lagard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2026-10-17</w:t>
            </w:r>
          </w:p>
        </w:tc>
        <w:tc>
          <w:tcPr>
            <w:tcW w:type="dxa" w:w="1728"/>
          </w:tcPr>
          <w:p>
            <w:r>
              <w:rPr>
                <w:sz w:val="14"/>
              </w:rPr>
              <w:t>Crédit immobilier : Quels sont les taux d’emprunts en octobre 2026 ?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2026-10-16</w:t>
            </w:r>
          </w:p>
        </w:tc>
        <w:tc>
          <w:tcPr>
            <w:tcW w:type="dxa" w:w="1728"/>
          </w:tcPr>
          <w:p>
            <w:r>
              <w:rPr>
                <w:sz w:val="14"/>
              </w:rPr>
              <w:t>La BCE interviendra-t-elle pour soulager les taux français? "Les condi</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2026-10-17</w:t>
            </w:r>
          </w:p>
        </w:tc>
        <w:tc>
          <w:tcPr>
            <w:tcW w:type="dxa" w:w="1728"/>
          </w:tcPr>
          <w:p>
            <w:r>
              <w:rPr>
                <w:sz w:val="14"/>
              </w:rPr>
              <w:t>AES-CEDEAO : Des groupes de travail conjoints prévus pour bâtir un cad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2026-10-17</w:t>
            </w:r>
          </w:p>
        </w:tc>
        <w:tc>
          <w:tcPr>
            <w:tcW w:type="dxa" w:w="1728"/>
          </w:tcPr>
          <w:p>
            <w:r>
              <w:rPr>
                <w:sz w:val="14"/>
              </w:rPr>
              <w:t>Sénégal : Takku Wallu quitte les six commissions d’enquête parlementai</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2026-10-17</w:t>
            </w:r>
          </w:p>
        </w:tc>
        <w:tc>
          <w:tcPr>
            <w:tcW w:type="dxa" w:w="1728"/>
          </w:tcPr>
          <w:p>
            <w:r>
              <w:rPr>
                <w:sz w:val="14"/>
              </w:rPr>
              <w:t>La présidente de la Banque centrale européenne (BCE), Christine Lagard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2026-10-17</w:t>
            </w:r>
          </w:p>
        </w:tc>
        <w:tc>
          <w:tcPr>
            <w:tcW w:type="dxa" w:w="1728"/>
          </w:tcPr>
          <w:p>
            <w:r>
              <w:rPr>
                <w:sz w:val="14"/>
              </w:rPr>
              <w:t>Crédit immobilier : Quels sont les taux d’emprunts en octobre 2026 ?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2026-10-16</w:t>
            </w:r>
          </w:p>
        </w:tc>
        <w:tc>
          <w:tcPr>
            <w:tcW w:type="dxa" w:w="1728"/>
          </w:tcPr>
          <w:p>
            <w:r>
              <w:rPr>
                <w:sz w:val="14"/>
              </w:rPr>
              <w:t>La BCE interviendra-t-elle pour soulager les taux français? "Les condi</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2026-10-17</w:t>
            </w:r>
          </w:p>
        </w:tc>
        <w:tc>
          <w:tcPr>
            <w:tcW w:type="dxa" w:w="1728"/>
          </w:tcPr>
          <w:p>
            <w:r>
              <w:rPr>
                <w:sz w:val="14"/>
              </w:rPr>
              <w:t>AES-CEDEAO : début de négociations historiques à Dakar - Alwihda Info</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2026-10-17</w:t>
            </w:r>
          </w:p>
        </w:tc>
        <w:tc>
          <w:tcPr>
            <w:tcW w:type="dxa" w:w="1728"/>
          </w:tcPr>
          <w:p>
            <w:r>
              <w:rPr>
                <w:sz w:val="14"/>
              </w:rPr>
              <w:t>AES-CEDEAO : Des groupes de travail conjoints prévus pour bâtir un cad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2026-10-17</w:t>
            </w:r>
          </w:p>
        </w:tc>
        <w:tc>
          <w:tcPr>
            <w:tcW w:type="dxa" w:w="1728"/>
          </w:tcPr>
          <w:p>
            <w:r>
              <w:rPr>
                <w:sz w:val="14"/>
              </w:rPr>
              <w:t>La présidente de la Banque centrale européenne (BCE), Christine Lagard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2026-10-17</w:t>
            </w:r>
          </w:p>
        </w:tc>
        <w:tc>
          <w:tcPr>
            <w:tcW w:type="dxa" w:w="1728"/>
          </w:tcPr>
          <w:p>
            <w:r>
              <w:rPr>
                <w:sz w:val="14"/>
              </w:rPr>
              <w:t>Crédit immobilier : Quels sont les taux d’emprunts en octobre 2026 ?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2026-10-16</w:t>
            </w:r>
          </w:p>
        </w:tc>
        <w:tc>
          <w:tcPr>
            <w:tcW w:type="dxa" w:w="1728"/>
          </w:tcPr>
          <w:p>
            <w:r>
              <w:rPr>
                <w:sz w:val="14"/>
              </w:rPr>
              <w:t>La BCE interviendra-t-elle pour soulager les taux français? "Les condi</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2026-10-17</w:t>
            </w:r>
          </w:p>
        </w:tc>
        <w:tc>
          <w:tcPr>
            <w:tcW w:type="dxa" w:w="1728"/>
          </w:tcPr>
          <w:p>
            <w:r>
              <w:rPr>
                <w:sz w:val="14"/>
              </w:rPr>
              <w:t>AES-CEDEAO : début de négociations historiques à Dakar - Alwihda Info</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2026-10-17</w:t>
            </w:r>
          </w:p>
        </w:tc>
        <w:tc>
          <w:tcPr>
            <w:tcW w:type="dxa" w:w="1728"/>
          </w:tcPr>
          <w:p>
            <w:r>
              <w:rPr>
                <w:sz w:val="14"/>
              </w:rPr>
              <w:t>AES-CEDEAO : Des groupes de travail conjoints prévus pour bâtir un cad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2026-10-17</w:t>
            </w:r>
          </w:p>
        </w:tc>
        <w:tc>
          <w:tcPr>
            <w:tcW w:type="dxa" w:w="1728"/>
          </w:tcPr>
          <w:p>
            <w:r>
              <w:rPr>
                <w:sz w:val="14"/>
              </w:rPr>
              <w:t>La présidente de la Banque centrale européenne (BCE), Christine Lagard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2026-10-17</w:t>
            </w:r>
          </w:p>
        </w:tc>
        <w:tc>
          <w:tcPr>
            <w:tcW w:type="dxa" w:w="1728"/>
          </w:tcPr>
          <w:p>
            <w:r>
              <w:rPr>
                <w:sz w:val="14"/>
              </w:rPr>
              <w:t>Crédit immobilier : Quels sont les taux d’emprunts en octobre 2026 ?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2026-10-16</w:t>
            </w:r>
          </w:p>
        </w:tc>
        <w:tc>
          <w:tcPr>
            <w:tcW w:type="dxa" w:w="1728"/>
          </w:tcPr>
          <w:p>
            <w:r>
              <w:rPr>
                <w:sz w:val="14"/>
              </w:rPr>
              <w:t>La BCE interviendra-t-elle pour soulager les taux français? "Les condi</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2026-10-17</w:t>
            </w:r>
          </w:p>
        </w:tc>
        <w:tc>
          <w:tcPr>
            <w:tcW w:type="dxa" w:w="1728"/>
          </w:tcPr>
          <w:p>
            <w:r>
              <w:rPr>
                <w:sz w:val="14"/>
              </w:rPr>
              <w:t>AES-CEDEAO : Des groupes de travail conjoints prévus pour bâtir un cad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2026-10-17</w:t>
            </w:r>
          </w:p>
        </w:tc>
        <w:tc>
          <w:tcPr>
            <w:tcW w:type="dxa" w:w="1728"/>
          </w:tcPr>
          <w:p>
            <w:r>
              <w:rPr>
                <w:sz w:val="14"/>
              </w:rPr>
              <w:t xml:space="preserve">Premières rencontres formelles CEDEAO-AES : La marque Lansana Kouyaté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2026-10-17</w:t>
            </w:r>
          </w:p>
        </w:tc>
        <w:tc>
          <w:tcPr>
            <w:tcW w:type="dxa" w:w="1728"/>
          </w:tcPr>
          <w:p>
            <w:r>
              <w:rPr>
                <w:sz w:val="14"/>
              </w:rPr>
              <w:t>La présidente de la Banque centrale européenne (BCE), Christine Lagard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2026-10-17</w:t>
            </w:r>
          </w:p>
        </w:tc>
        <w:tc>
          <w:tcPr>
            <w:tcW w:type="dxa" w:w="1728"/>
          </w:tcPr>
          <w:p>
            <w:r>
              <w:rPr>
                <w:sz w:val="14"/>
              </w:rPr>
              <w:t>Crédit immobilier : Quels sont les taux d’emprunts en octobre 2026 ?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2026-10-16</w:t>
            </w:r>
          </w:p>
        </w:tc>
        <w:tc>
          <w:tcPr>
            <w:tcW w:type="dxa" w:w="1728"/>
          </w:tcPr>
          <w:p>
            <w:r>
              <w:rPr>
                <w:sz w:val="14"/>
              </w:rPr>
              <w:t>La BCE interviendra-t-elle pour soulager les taux français? "Les condi</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2026-10-17</w:t>
            </w:r>
          </w:p>
        </w:tc>
        <w:tc>
          <w:tcPr>
            <w:tcW w:type="dxa" w:w="1728"/>
          </w:tcPr>
          <w:p>
            <w:r>
              <w:rPr>
                <w:sz w:val="14"/>
              </w:rPr>
              <w:t>AES-CEDEAO : Des groupes de travail conjoints prévus pour bâtir un cad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2026-10-17</w:t>
            </w:r>
          </w:p>
        </w:tc>
        <w:tc>
          <w:tcPr>
            <w:tcW w:type="dxa" w:w="1728"/>
          </w:tcPr>
          <w:p>
            <w:r>
              <w:rPr>
                <w:sz w:val="14"/>
              </w:rPr>
              <w:t>Sénégal : Takku Wallu quitte les six commissions d’enquête parlementai</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marche_financier  (1 alerte(s))</w:t>
      </w:r>
    </w:p>
    <w:p>
      <w:pPr>
        <w:spacing w:before="40" w:after="40"/>
        <w:ind w:left="360"/>
      </w:pPr>
      <w:r>
        <w:rPr>
          <w:color w:val="646464"/>
          <w:sz w:val="17"/>
        </w:rPr>
        <w:t xml:space="preserve">[18/10/2026] 🟢  </w:t>
      </w:r>
      <w:r>
        <w:rPr>
          <w:b/>
          <w:color w:val="008000"/>
          <w:sz w:val="18"/>
        </w:rPr>
        <w:t>Sonatel engage un fractionnement 1 pour 10 de son action à la BRVM - Africtelegraph</w:t>
      </w:r>
      <w:r>
        <w:rPr>
          <w:color w:val="787878"/>
          <w:sz w:val="15"/>
        </w:rPr>
        <w:t xml:space="preserve">  [marche_financier]</w:t>
      </w:r>
      <w:r>
        <w:rPr>
          <w:color w:val="B47800"/>
          <w:sz w:val="16"/>
        </w:rPr>
        <w:t xml:space="preserve">  ★ 50/10</w:t>
      </w:r>
    </w:p>
    <w:p>
      <w:pPr>
        <w:spacing w:before="0" w:after="20"/>
        <w:ind w:left="600"/>
      </w:pPr>
      <w:r>
        <w:rPr>
          <w:color w:val="323232"/>
          <w:sz w:val="17"/>
        </w:rPr>
        <w:t>Sonatel, la principale société cotée à la BRVM, a annoncé un fractionnement de son action selon un ratio de 1 pour 10. Cette opération divise le nominal de chaque action par dix, rendant le titre plus accessible aux petits investisseurs. Elle vise à améliorer la liquidité du marché et à élargir la base actionnariale. L'opération devrait être effect</w:t>
      </w:r>
    </w:p>
    <w:p>
      <w:pPr>
        <w:spacing w:before="0" w:after="40"/>
        <w:ind w:left="600"/>
      </w:pPr>
      <w:r>
        <w:rPr>
          <w:color w:val="00643C"/>
          <w:sz w:val="16"/>
        </w:rPr>
        <w:t>Points clés : Fractionnement 1 pour 10 de l'action Sonatel à la BRVM  •  Objectif : rendre le titre plus accessible et améliorer la liquidité  •  Impact potentiel sur la base actionnariale et les volumes échangés</w:t>
      </w:r>
    </w:p>
    <w:p>
      <w:pPr>
        <w:spacing w:before="0" w:after="60"/>
        <w:ind w:left="600"/>
      </w:pPr>
      <w:r>
        <w:rPr>
          <w:color w:val="0064B4"/>
          <w:sz w:val="15"/>
        </w:rPr>
        <w:t>Source : https://news.google.com/rss/articles/CBMioAFBVV95cUxNQmhQaGVwYlhjbk01NTlJTUgzY0J</w:t>
      </w:r>
    </w:p>
    <w:p>
      <w:pPr>
        <w:spacing w:before="120" w:after="40"/>
      </w:pPr>
      <w:r>
        <w:rPr>
          <w:b/>
          <w:color w:val="00467F"/>
          <w:sz w:val="20"/>
        </w:rPr>
        <w:t>🔑 politique  (10 alerte(s))</w:t>
      </w:r>
    </w:p>
    <w:p>
      <w:pPr>
        <w:spacing w:before="40" w:after="40"/>
        <w:ind w:left="360"/>
      </w:pPr>
      <w:r>
        <w:rPr>
          <w:color w:val="646464"/>
          <w:sz w:val="17"/>
        </w:rPr>
        <w:t xml:space="preserve">[17/10/2026] 🟢  </w:t>
      </w:r>
      <w:r>
        <w:rPr>
          <w:b/>
          <w:color w:val="008000"/>
          <w:sz w:val="18"/>
        </w:rPr>
        <w:t>Burkina Faso : A Dakar, la Cédeao et l'AES ouvrent la voie à un accord-cadre - Koaci</w:t>
      </w:r>
      <w:r>
        <w:rPr>
          <w:color w:val="787878"/>
          <w:sz w:val="15"/>
        </w:rPr>
        <w:t xml:space="preserve">  [politique]</w:t>
      </w:r>
      <w:r>
        <w:rPr>
          <w:color w:val="B47800"/>
          <w:sz w:val="16"/>
        </w:rPr>
        <w:t xml:space="preserve">  ★ 50/10</w:t>
      </w:r>
    </w:p>
    <w:p>
      <w:pPr>
        <w:spacing w:before="0" w:after="20"/>
        <w:ind w:left="600"/>
      </w:pPr>
      <w:r>
        <w:rPr>
          <w:color w:val="323232"/>
          <w:sz w:val="17"/>
        </w:rPr>
        <w:t>La CEDEAO et l'Alliance des États du Sahel (AES) ont entamé à Dakar des discussions en vue d'un accord-cadre, selon Koaci. Cette ouverture de dialogue intervient après le retrait annoncé du Burkina Faso, du Mali et du Niger de la CEDEAO. Elle pourrait favoriser une désescalade politique et une coopération renforcée dans la sous-région.</w:t>
      </w:r>
    </w:p>
    <w:p>
      <w:pPr>
        <w:spacing w:before="0" w:after="40"/>
        <w:ind w:left="600"/>
      </w:pPr>
      <w:r>
        <w:rPr>
          <w:color w:val="00643C"/>
          <w:sz w:val="16"/>
        </w:rPr>
        <w:t>Points clés : Ouverture de discussions entre la CEDEAO et l'AES à Dakar  •  Objectif : aboutir à un accord-cadre entre les deux entités  •  Contexte : retrait du Burkina Faso, Mali et Niger de la CEDEAO</w:t>
      </w:r>
    </w:p>
    <w:p>
      <w:pPr>
        <w:spacing w:before="0" w:after="60"/>
        <w:ind w:left="600"/>
      </w:pPr>
      <w:r>
        <w:rPr>
          <w:color w:val="0064B4"/>
          <w:sz w:val="15"/>
        </w:rPr>
        <w:t>Source : https://news.google.com/rss/articles/CBMi4gFBVV95cUxQRTRoRFVnbDhTWlRpRnM2MnNPdlI</w:t>
      </w:r>
    </w:p>
    <w:p>
      <w:pPr>
        <w:spacing w:before="40" w:after="40"/>
        <w:ind w:left="360"/>
      </w:pPr>
      <w:r>
        <w:rPr>
          <w:color w:val="646464"/>
          <w:sz w:val="17"/>
        </w:rPr>
        <w:t xml:space="preserve">[17/10/2026] ⚪  </w:t>
      </w:r>
      <w:r>
        <w:rPr>
          <w:b/>
          <w:color w:val="505050"/>
          <w:sz w:val="18"/>
        </w:rPr>
        <w:t>ONU: Macky Sall, l'ancien président du Sénégal retire sa candidature au poste de secrétaire général - tv5monde</w:t>
      </w:r>
      <w:r>
        <w:rPr>
          <w:color w:val="787878"/>
          <w:sz w:val="15"/>
        </w:rPr>
        <w:t xml:space="preserve">  [politique]</w:t>
      </w:r>
      <w:r>
        <w:rPr>
          <w:color w:val="B47800"/>
          <w:sz w:val="16"/>
        </w:rPr>
        <w:t xml:space="preserve">  ★ 50/10</w:t>
      </w:r>
    </w:p>
    <w:p>
      <w:pPr>
        <w:spacing w:before="0" w:after="20"/>
        <w:ind w:left="600"/>
      </w:pPr>
      <w:r>
        <w:rPr>
          <w:color w:val="323232"/>
          <w:sz w:val="17"/>
        </w:rPr>
        <w:t>L'ancien président sénégalais Macky Sall a retiré sa candidature au poste de secrétaire général de l'ONU. Cette décision intervient dans un contexte de tractations diplomatiques pour la succession d'António Guterres. Elle pourrait modifier les équilibres politiques au sein de l'UEMOA et au-delà. Aucun impact direct n'est attendu sur les marchés fin</w:t>
      </w:r>
    </w:p>
    <w:p>
      <w:pPr>
        <w:spacing w:before="0" w:after="40"/>
        <w:ind w:left="600"/>
      </w:pPr>
      <w:r>
        <w:rPr>
          <w:color w:val="00643C"/>
          <w:sz w:val="16"/>
        </w:rPr>
        <w:t>Points clés : Retrait de la candidature de Macky Sall au poste de secrétaire général de l'ONU  •  Décision à caractère politique sans lien direct avec l'économie  •  Possible recomposition des alliances diplomatiques en Afrique de l'Ouest</w:t>
      </w:r>
    </w:p>
    <w:p>
      <w:pPr>
        <w:spacing w:before="0" w:after="60"/>
        <w:ind w:left="600"/>
      </w:pPr>
      <w:r>
        <w:rPr>
          <w:color w:val="0064B4"/>
          <w:sz w:val="15"/>
        </w:rPr>
        <w:t>Source : https://news.google.com/rss/articles/CBMi3gFBVV95cUxOa0VDQWhmSVByR29FTlV6SklYS3F</w:t>
      </w:r>
    </w:p>
    <w:p>
      <w:pPr>
        <w:spacing w:before="40" w:after="40"/>
        <w:ind w:left="360"/>
      </w:pPr>
      <w:r>
        <w:rPr>
          <w:color w:val="646464"/>
          <w:sz w:val="17"/>
        </w:rPr>
        <w:t xml:space="preserve">[17/10/2026] ⚪  </w:t>
      </w:r>
      <w:r>
        <w:rPr>
          <w:b/>
          <w:color w:val="505050"/>
          <w:sz w:val="18"/>
        </w:rPr>
        <w:t>Afrique : commission mixte Mali – Rwanda prévue en 2027 - Africa24 TV</w:t>
      </w:r>
      <w:r>
        <w:rPr>
          <w:color w:val="787878"/>
          <w:sz w:val="15"/>
        </w:rPr>
        <w:t xml:space="preserve">  [politique]</w:t>
      </w:r>
      <w:r>
        <w:rPr>
          <w:color w:val="B47800"/>
          <w:sz w:val="16"/>
        </w:rPr>
        <w:t xml:space="preserve">  ★ 50/10</w:t>
      </w:r>
    </w:p>
    <w:p>
      <w:pPr>
        <w:spacing w:before="0" w:after="20"/>
        <w:ind w:left="600"/>
      </w:pPr>
      <w:r>
        <w:rPr>
          <w:color w:val="323232"/>
          <w:sz w:val="17"/>
        </w:rPr>
        <w:t>Le Mali et le Rwanda prévoient d'établir une commission mixte en 2027, selon Africa24 TV. Cette annonce s'inscrit dans le cadre du renforcement des relations bilatérales entre les deux pays. L'information est classée dans la catégorie politique et concerne la zone UEMOA. Aucun détail supplémentaire n'est fourni sur les objectifs ou le contenu de ce</w:t>
      </w:r>
    </w:p>
    <w:p>
      <w:pPr>
        <w:spacing w:before="0" w:after="40"/>
        <w:ind w:left="600"/>
      </w:pPr>
      <w:r>
        <w:rPr>
          <w:color w:val="00643C"/>
          <w:sz w:val="16"/>
        </w:rPr>
        <w:t>Points clés : Commission mixte Mali-Rwanda prévue pour 2027  •  Annonce relayée par Africa24 TV  •  Renforcement des relations bilatérales  •  Information politique concernant la zone UEMOA</w:t>
      </w:r>
    </w:p>
    <w:p>
      <w:pPr>
        <w:spacing w:before="0" w:after="60"/>
        <w:ind w:left="600"/>
      </w:pPr>
      <w:r>
        <w:rPr>
          <w:color w:val="0064B4"/>
          <w:sz w:val="15"/>
        </w:rPr>
        <w:t>Source : https://news.google.com/rss/articles/CBMigAFBVV95cUxPVXRucTk5R1VZMUFVNnNWWFdKdWh</w:t>
      </w:r>
    </w:p>
    <w:p>
      <w:pPr>
        <w:spacing w:before="40" w:after="40"/>
        <w:ind w:left="360"/>
      </w:pPr>
      <w:r>
        <w:rPr>
          <w:color w:val="646464"/>
          <w:sz w:val="17"/>
        </w:rPr>
        <w:t xml:space="preserve">[17/10/2026] ⚪  </w:t>
      </w:r>
      <w:r>
        <w:rPr>
          <w:b/>
          <w:color w:val="505050"/>
          <w:sz w:val="18"/>
        </w:rPr>
        <w:t>Au Mali, les dessous de la bataille pour le contrôle de la Maison de la presse - Jeune Afrique</w:t>
      </w:r>
      <w:r>
        <w:rPr>
          <w:color w:val="787878"/>
          <w:sz w:val="15"/>
        </w:rPr>
        <w:t xml:space="preserve">  [politique]</w:t>
      </w:r>
      <w:r>
        <w:rPr>
          <w:color w:val="B47800"/>
          <w:sz w:val="16"/>
        </w:rPr>
        <w:t xml:space="preserve">  ★ 50/10</w:t>
      </w:r>
    </w:p>
    <w:p>
      <w:pPr>
        <w:spacing w:before="0" w:after="20"/>
        <w:ind w:left="600"/>
      </w:pPr>
      <w:r>
        <w:rPr>
          <w:color w:val="323232"/>
          <w:sz w:val="17"/>
        </w:rPr>
        <w:t>L'article de Jeune Afrique traite des luttes d'influence autour du contrôle de la Maison de la presse au Mali. Il s'agit d'un enjeu politique interne lié à la gouvernance des médias et à la liberté de la presse. Aucune information financière ou économique n'est mentionnée. L'événement reste circonscrit à la sphère politique malienne.</w:t>
      </w:r>
    </w:p>
    <w:p>
      <w:pPr>
        <w:spacing w:before="0" w:after="40"/>
        <w:ind w:left="600"/>
      </w:pPr>
      <w:r>
        <w:rPr>
          <w:color w:val="00643C"/>
          <w:sz w:val="16"/>
        </w:rPr>
        <w:t>Points clés : Bataille pour le contrôle de la Maison de la presse au Mali  •  Enjeu de gouvernance des médias et d'influence politique  •  Absence d'implications économiques ou financières directes</w:t>
      </w:r>
    </w:p>
    <w:p>
      <w:pPr>
        <w:spacing w:before="0" w:after="60"/>
        <w:ind w:left="600"/>
      </w:pPr>
      <w:r>
        <w:rPr>
          <w:color w:val="0064B4"/>
          <w:sz w:val="15"/>
        </w:rPr>
        <w:t>Source : https://news.google.com/rss/articles/CBMiwwFBVV95cUxPd2tORk9tOWxVUEx3NmxQb0thUWZ</w:t>
      </w:r>
    </w:p>
    <w:p>
      <w:pPr>
        <w:spacing w:before="40" w:after="40"/>
        <w:ind w:left="360"/>
      </w:pPr>
      <w:r>
        <w:rPr>
          <w:color w:val="646464"/>
          <w:sz w:val="17"/>
        </w:rPr>
        <w:t xml:space="preserve">[17/10/2026] 🔴  </w:t>
      </w:r>
      <w:r>
        <w:rPr>
          <w:b/>
          <w:color w:val="C00000"/>
          <w:sz w:val="18"/>
        </w:rPr>
        <w:t>Sénégal : Takku Wallu quitte les six commissions d’enquête parlementaires - Africtelegraph</w:t>
      </w:r>
      <w:r>
        <w:rPr>
          <w:color w:val="787878"/>
          <w:sz w:val="15"/>
        </w:rPr>
        <w:t xml:space="preserve">  [politique]</w:t>
      </w:r>
      <w:r>
        <w:rPr>
          <w:color w:val="B47800"/>
          <w:sz w:val="16"/>
        </w:rPr>
        <w:t xml:space="preserve">  ★ 50/10</w:t>
      </w:r>
    </w:p>
    <w:p>
      <w:pPr>
        <w:spacing w:before="0" w:after="20"/>
        <w:ind w:left="600"/>
      </w:pPr>
      <w:r>
        <w:rPr>
          <w:color w:val="323232"/>
          <w:sz w:val="17"/>
        </w:rPr>
        <w:t>Le parti sénégalais Takku Wallu a annoncé son retrait des six commissions d'enquête parlementaires. Cette décision intervient dans un contexte de tensions politiques au Sénégal. Ce retrait pourrait affecter le fonctionnement des institutions parlementaires et la stabilité politique perçue. Les marchés financiers de la BRVM pourraient être sensibles</w:t>
      </w:r>
    </w:p>
    <w:p>
      <w:pPr>
        <w:spacing w:before="0" w:after="40"/>
        <w:ind w:left="600"/>
      </w:pPr>
      <w:r>
        <w:rPr>
          <w:color w:val="00643C"/>
          <w:sz w:val="16"/>
        </w:rPr>
        <w:t>Points clés : Retrait de Takku Wallu des six commissions d'enquête parlementaires  •  Tensions politiques au Sénégal  •  Impact potentiel sur la stabilité institutionnelle</w:t>
      </w:r>
    </w:p>
    <w:p>
      <w:pPr>
        <w:spacing w:before="0" w:after="60"/>
        <w:ind w:left="600"/>
      </w:pPr>
      <w:r>
        <w:rPr>
          <w:color w:val="0064B4"/>
          <w:sz w:val="15"/>
        </w:rPr>
        <w:t>Source : https://news.google.com/rss/articles/CBMipgFBVV95cUxNRjdEZ0o0TDJoajlpRG9fZTRkeGN</w:t>
      </w:r>
    </w:p>
    <w:p>
      <w:pPr>
        <w:spacing w:before="120" w:after="40"/>
      </w:pPr>
      <w:r>
        <w:rPr>
          <w:b/>
          <w:color w:val="00467F"/>
          <w:sz w:val="20"/>
        </w:rPr>
        <w:t>🔑 économique  (7 alerte(s))</w:t>
      </w:r>
    </w:p>
    <w:p>
      <w:pPr>
        <w:spacing w:before="40" w:after="40"/>
        <w:ind w:left="360"/>
      </w:pPr>
      <w:r>
        <w:rPr>
          <w:color w:val="646464"/>
          <w:sz w:val="17"/>
        </w:rPr>
        <w:t xml:space="preserve">[17/10/2026] 🟢  </w:t>
      </w:r>
      <w:r>
        <w:rPr>
          <w:b/>
          <w:color w:val="008000"/>
          <w:sz w:val="18"/>
        </w:rPr>
        <w:t>Burkina Faso : A Dakar, la Cédeao et l'AES ouvrent la voie à un accord-cadre - Koaci</w:t>
      </w:r>
      <w:r>
        <w:rPr>
          <w:color w:val="787878"/>
          <w:sz w:val="15"/>
        </w:rPr>
        <w:t xml:space="preserve">  [économique]</w:t>
      </w:r>
      <w:r>
        <w:rPr>
          <w:color w:val="B47800"/>
          <w:sz w:val="16"/>
        </w:rPr>
        <w:t xml:space="preserve">  ★ 50/10</w:t>
      </w:r>
    </w:p>
    <w:p>
      <w:pPr>
        <w:spacing w:before="0" w:after="20"/>
        <w:ind w:left="600"/>
      </w:pPr>
      <w:r>
        <w:rPr>
          <w:color w:val="323232"/>
          <w:sz w:val="17"/>
        </w:rPr>
        <w:t xml:space="preserve">La CEDEAO et l'Alliance des États du Sahel (AES) ont ouvert la voie à un accord-cadre lors de discussions à Dakar. Cette avancée pourrait faciliter la réintégration des pays de l'AES dans les instances régionales et apaiser les tensions commerciales. Les marchés financiers de la zone UEMOA pourraient bénéficier d'un climat plus stable si un accord </w:t>
      </w:r>
    </w:p>
    <w:p>
      <w:pPr>
        <w:spacing w:before="0" w:after="40"/>
        <w:ind w:left="600"/>
      </w:pPr>
      <w:r>
        <w:rPr>
          <w:color w:val="00643C"/>
          <w:sz w:val="16"/>
        </w:rPr>
        <w:t>Points clés : Ouverture de négociations pour un accord-cadre entre la CEDEAO et l'AES  •  Réunion à Dakar impliquant les ministres des Affaires étrangères  •  Perspective de normalisation des relations régionales</w:t>
      </w:r>
    </w:p>
    <w:p>
      <w:pPr>
        <w:spacing w:before="0" w:after="60"/>
        <w:ind w:left="600"/>
      </w:pPr>
      <w:r>
        <w:rPr>
          <w:color w:val="0064B4"/>
          <w:sz w:val="15"/>
        </w:rPr>
        <w:t>Source : https://news.google.com/rss/articles/CBMi2wFBVV95cUxON2p4d2l5VTBXQnhoMUMyeHp4U0J</w:t>
      </w:r>
    </w:p>
    <w:p>
      <w:pPr>
        <w:spacing w:before="40" w:after="40"/>
        <w:ind w:left="360"/>
      </w:pPr>
      <w:r>
        <w:rPr>
          <w:color w:val="646464"/>
          <w:sz w:val="17"/>
        </w:rPr>
        <w:t xml:space="preserve">[17/10/2026] 🟢  </w:t>
      </w:r>
      <w:r>
        <w:rPr>
          <w:b/>
          <w:color w:val="008000"/>
          <w:sz w:val="18"/>
        </w:rPr>
        <w:t>AES-CEDEAO : Des groupes de travail conjoints prévus pour bâtir un cadre de coopération - Burkina24.com</w:t>
      </w:r>
      <w:r>
        <w:rPr>
          <w:color w:val="787878"/>
          <w:sz w:val="15"/>
        </w:rPr>
        <w:t xml:space="preserve">  [économique]</w:t>
      </w:r>
      <w:r>
        <w:rPr>
          <w:color w:val="B47800"/>
          <w:sz w:val="16"/>
        </w:rPr>
        <w:t xml:space="preserve">  ★ 50/10</w:t>
      </w:r>
    </w:p>
    <w:p>
      <w:pPr>
        <w:spacing w:before="0" w:after="20"/>
        <w:ind w:left="600"/>
      </w:pPr>
      <w:r>
        <w:rPr>
          <w:color w:val="323232"/>
          <w:sz w:val="17"/>
        </w:rPr>
        <w:t>Les pays de l'Alliance des États du Sahel (AES) et la CEDEAO ont convenu de mettre en place des groupes de travail conjoints afin de bâtir un cadre de coopération. Cette initiative vise à normaliser les relations entre les deux entités après les tensions liées au retrait des pays de l'AES de la CEDEAO. Elle pourrait faciliter la reprise des échange</w:t>
      </w:r>
    </w:p>
    <w:p>
      <w:pPr>
        <w:spacing w:before="0" w:after="40"/>
        <w:ind w:left="600"/>
      </w:pPr>
      <w:r>
        <w:rPr>
          <w:color w:val="00643C"/>
          <w:sz w:val="16"/>
        </w:rPr>
        <w:t>Points clés : Création de groupes de travail conjoints AES-CEDEAO  •  Objectif : bâtir un cadre de coopération formel  •  Contexte : retrait des pays de l'AES de la CEDEAO  •  Potentiel de normalisation des relations régionales</w:t>
      </w:r>
    </w:p>
    <w:p>
      <w:pPr>
        <w:spacing w:before="0" w:after="60"/>
        <w:ind w:left="600"/>
      </w:pPr>
      <w:r>
        <w:rPr>
          <w:color w:val="0064B4"/>
          <w:sz w:val="15"/>
        </w:rPr>
        <w:t>Source : https://news.google.com/rss/articles/CBMiuwFBVV95cUxNSTJZWHNqOW1VLXRYdWYzUEg3MVI</w:t>
      </w:r>
    </w:p>
    <w:p>
      <w:pPr>
        <w:spacing w:before="40" w:after="40"/>
        <w:ind w:left="360"/>
      </w:pPr>
      <w:r>
        <w:rPr>
          <w:color w:val="646464"/>
          <w:sz w:val="17"/>
        </w:rPr>
        <w:t xml:space="preserve">[17/10/2026] ⚪  </w:t>
      </w:r>
      <w:r>
        <w:rPr>
          <w:b/>
          <w:color w:val="505050"/>
          <w:sz w:val="18"/>
        </w:rPr>
        <w:t>Premières rencontres formelles CEDEAO-AES : La marque Lansana Kouyaté au cœur des négociations - Mediaguinee.com</w:t>
      </w:r>
      <w:r>
        <w:rPr>
          <w:color w:val="787878"/>
          <w:sz w:val="15"/>
        </w:rPr>
        <w:t xml:space="preserve">  [économique]</w:t>
      </w:r>
      <w:r>
        <w:rPr>
          <w:color w:val="B47800"/>
          <w:sz w:val="16"/>
        </w:rPr>
        <w:t xml:space="preserve">  ★ 50/10</w:t>
      </w:r>
    </w:p>
    <w:p>
      <w:pPr>
        <w:spacing w:before="0" w:after="20"/>
        <w:ind w:left="600"/>
      </w:pPr>
      <w:r>
        <w:rPr>
          <w:color w:val="323232"/>
          <w:sz w:val="17"/>
        </w:rPr>
        <w:t xml:space="preserve">Les premières rencontres formelles entre la CEDEAO et l'Alliance des États du Sahel (AES) se sont tenues, marquées par l'implication de Lansana Kouyaté dans les négociations. Ces discussions visent à rétablir le dialogue entre les pays de l'AES (Mali, Burkina Faso, Niger) et la CEDEAO après leur retrait annoncé. L'issue de ces pourparlers pourrait </w:t>
      </w:r>
    </w:p>
    <w:p>
      <w:pPr>
        <w:spacing w:before="0" w:after="40"/>
        <w:ind w:left="600"/>
      </w:pPr>
      <w:r>
        <w:rPr>
          <w:color w:val="00643C"/>
          <w:sz w:val="16"/>
        </w:rPr>
        <w:t>Points clés : Premières rencontres formelles entre la CEDEAO et l'AES  •  Lansana Kouyaté joue un rôle central dans les négociations  •  Enjeu de réintégration ou de coopération après le retrait des pays de l'AES</w:t>
      </w:r>
    </w:p>
    <w:p>
      <w:pPr>
        <w:spacing w:before="0" w:after="60"/>
        <w:ind w:left="600"/>
      </w:pPr>
      <w:r>
        <w:rPr>
          <w:color w:val="0064B4"/>
          <w:sz w:val="15"/>
        </w:rPr>
        <w:t>Source : https://news.google.com/rss/articles/CBMixAFBVV95cUxQeGxYM2k0eHFDT01BUG1paTVibXJ</w:t>
      </w:r>
    </w:p>
    <w:p>
      <w:pPr>
        <w:spacing w:before="40" w:after="40"/>
        <w:ind w:left="360"/>
      </w:pPr>
      <w:r>
        <w:rPr>
          <w:color w:val="646464"/>
          <w:sz w:val="17"/>
        </w:rPr>
        <w:t xml:space="preserve">[17/10/2026] 🟢  </w:t>
      </w:r>
      <w:r>
        <w:rPr>
          <w:b/>
          <w:color w:val="008000"/>
          <w:sz w:val="18"/>
        </w:rPr>
        <w:t>AES-CEDEAO : début de négociations historiques à Dakar - Alwihda Info</w:t>
      </w:r>
      <w:r>
        <w:rPr>
          <w:color w:val="787878"/>
          <w:sz w:val="15"/>
        </w:rPr>
        <w:t xml:space="preserve">  [économique]</w:t>
      </w:r>
      <w:r>
        <w:rPr>
          <w:color w:val="B47800"/>
          <w:sz w:val="16"/>
        </w:rPr>
        <w:t xml:space="preserve">  ★ 50/10</w:t>
      </w:r>
    </w:p>
    <w:p>
      <w:pPr>
        <w:spacing w:before="0" w:after="20"/>
        <w:ind w:left="600"/>
      </w:pPr>
      <w:r>
        <w:rPr>
          <w:color w:val="323232"/>
          <w:sz w:val="17"/>
        </w:rPr>
        <w:t>Des négociations historiques ont débuté à Dakar entre l'Alliance des États du Sahel (AES) et la CEDEAO. Cette rencontre marque une tentative de rapprochement après les tensions liées aux retraits annoncés des pays de l'AES de l'organisation régionale. Les discussions portent sur les modalités de coopération future et la gestion des transitions poli</w:t>
      </w:r>
    </w:p>
    <w:p>
      <w:pPr>
        <w:spacing w:before="0" w:after="40"/>
        <w:ind w:left="600"/>
      </w:pPr>
      <w:r>
        <w:rPr>
          <w:color w:val="00643C"/>
          <w:sz w:val="16"/>
        </w:rPr>
        <w:t>Points clés : Premières négociations directes entre l'AES et la CEDEAO à Dakar  •  Contexte de retrait annoncé du Mali, Burkina Faso et Niger de la CEDEAO  •  Enjeux économiques et commerciaux pour la région  •  Possibilité d'un apaisement des tensions régionales</w:t>
      </w:r>
    </w:p>
    <w:p>
      <w:pPr>
        <w:spacing w:before="0" w:after="60"/>
        <w:ind w:left="600"/>
      </w:pPr>
      <w:r>
        <w:rPr>
          <w:color w:val="0064B4"/>
          <w:sz w:val="15"/>
        </w:rPr>
        <w:t>Source : https://news.google.com/rss/articles/CBMiiAFBVV95cUxPcDdwRzZlVGk2dHVPTWhYVVZ4X1M</w:t>
      </w:r>
    </w:p>
    <w:p>
      <w:pPr>
        <w:spacing w:before="40" w:after="40"/>
        <w:ind w:left="360"/>
      </w:pPr>
      <w:r>
        <w:rPr>
          <w:color w:val="646464"/>
          <w:sz w:val="17"/>
        </w:rPr>
        <w:t xml:space="preserve">[17/10/2026] 🟢  </w:t>
      </w:r>
      <w:r>
        <w:rPr>
          <w:b/>
          <w:color w:val="008000"/>
          <w:sz w:val="18"/>
        </w:rPr>
        <w:t>Premières discussions entre l'AES et la Cédéao au Sénégal pour une future collaboration - RFI</w:t>
      </w:r>
      <w:r>
        <w:rPr>
          <w:color w:val="787878"/>
          <w:sz w:val="15"/>
        </w:rPr>
        <w:t xml:space="preserve">  [économique]</w:t>
      </w:r>
      <w:r>
        <w:rPr>
          <w:color w:val="B47800"/>
          <w:sz w:val="16"/>
        </w:rPr>
        <w:t xml:space="preserve">  ★ 50/10</w:t>
      </w:r>
    </w:p>
    <w:p>
      <w:pPr>
        <w:spacing w:before="0" w:after="20"/>
        <w:ind w:left="600"/>
      </w:pPr>
      <w:r>
        <w:rPr>
          <w:color w:val="323232"/>
          <w:sz w:val="17"/>
        </w:rPr>
        <w:t xml:space="preserve">Des discussions préliminaires ont eu lieu au Sénégal entre l'Alliance des États du Sahel (AES) et la Cédéao pour explorer une future collaboration. Cette rencontre marque une tentative de rapprochement entre les deux entités après les tensions liées aux retraits de certains pays de la Cédéao. L'objectif serait de trouver des terrains d'entente sur </w:t>
      </w:r>
    </w:p>
    <w:p>
      <w:pPr>
        <w:spacing w:before="0" w:after="40"/>
        <w:ind w:left="600"/>
      </w:pPr>
      <w:r>
        <w:rPr>
          <w:color w:val="00643C"/>
          <w:sz w:val="16"/>
        </w:rPr>
        <w:t>Points clés : Premières discussions entre l'AES et la Cédéao  •  Rencontre organisée au Sénégal  •  Objectif de future collaboration régionale</w:t>
      </w:r>
    </w:p>
    <w:p>
      <w:pPr>
        <w:spacing w:before="0" w:after="60"/>
        <w:ind w:left="600"/>
      </w:pPr>
      <w:r>
        <w:rPr>
          <w:color w:val="0064B4"/>
          <w:sz w:val="15"/>
        </w:rPr>
        <w:t>Source : https://news.google.com/rss/articles/CBMi5gFBVV95cUxPR0d5cnVhUTJaZzRfeVREcUZKcUt</w:t>
      </w:r>
    </w:p>
    <w:p>
      <w:pPr>
        <w:spacing w:before="120" w:after="40"/>
      </w:pPr>
      <w:r>
        <w:rPr>
          <w:b/>
          <w:color w:val="00467F"/>
          <w:sz w:val="20"/>
        </w:rPr>
        <w:t>🔑 politique_monetaire  (2 alerte(s))</w:t>
      </w:r>
    </w:p>
    <w:p>
      <w:pPr>
        <w:spacing w:before="40" w:after="40"/>
        <w:ind w:left="360"/>
      </w:pPr>
      <w:r>
        <w:rPr>
          <w:color w:val="646464"/>
          <w:sz w:val="17"/>
        </w:rPr>
        <w:t xml:space="preserve">[17/10/2026] ⚪  </w:t>
      </w:r>
      <w:r>
        <w:rPr>
          <w:b/>
          <w:color w:val="505050"/>
          <w:sz w:val="18"/>
        </w:rPr>
        <w:t>Crédit immobilier : Quels sont les taux d’emprunts en octobre 2026 ? - Yahoo Actualités</w:t>
      </w:r>
      <w:r>
        <w:rPr>
          <w:color w:val="787878"/>
          <w:sz w:val="15"/>
        </w:rPr>
        <w:t xml:space="preserve">  [politique_monetaire]</w:t>
      </w:r>
      <w:r>
        <w:rPr>
          <w:color w:val="B47800"/>
          <w:sz w:val="16"/>
        </w:rPr>
        <w:t xml:space="preserve">  ★ 50/10</w:t>
      </w:r>
    </w:p>
    <w:p>
      <w:pPr>
        <w:spacing w:before="0" w:after="20"/>
        <w:ind w:left="600"/>
      </w:pPr>
      <w:r>
        <w:rPr>
          <w:color w:val="323232"/>
          <w:sz w:val="17"/>
        </w:rPr>
        <w:t>L'article évoque les taux d'emprunt immobilier en octobre 2026, mais le contenu fourni est extrêmement limité et ne détaille ni les niveaux de taux ni les pays concernés. Il s'agit d'une actualité internationale de politique monétaire, sans lien direct identifié avec la BRVM. Aucune donnée chiffrée exploitable n'est disponible dans l'extrait.</w:t>
      </w:r>
    </w:p>
    <w:p>
      <w:pPr>
        <w:spacing w:before="0" w:after="40"/>
        <w:ind w:left="600"/>
      </w:pPr>
      <w:r>
        <w:rPr>
          <w:color w:val="00643C"/>
          <w:sz w:val="16"/>
        </w:rPr>
        <w:t>Points clés : Sujet : taux de crédit immobilier en octobre 2026  •  Zone géographique : international, sans précision  •  Contenu source très pauvre, sans chiffres ni analyse  •  Aucune mention directe de la BRVM ou des marchés UEMOA</w:t>
      </w:r>
    </w:p>
    <w:p>
      <w:pPr>
        <w:spacing w:before="0" w:after="60"/>
        <w:ind w:left="600"/>
      </w:pPr>
      <w:r>
        <w:rPr>
          <w:color w:val="0064B4"/>
          <w:sz w:val="15"/>
        </w:rPr>
        <w:t>Source : https://news.google.com/rss/articles/CBMiggFBVV95cUxQRW9UMm8xYUpWUTcwbzctcXg1MHh</w:t>
      </w:r>
    </w:p>
    <w:p>
      <w:pPr>
        <w:spacing w:before="40" w:after="40"/>
        <w:ind w:left="360"/>
      </w:pPr>
      <w:r>
        <w:rPr>
          <w:color w:val="646464"/>
          <w:sz w:val="17"/>
        </w:rPr>
        <w:t xml:space="preserve">[17/10/2026] ⚪  </w:t>
      </w:r>
      <w:r>
        <w:rPr>
          <w:b/>
          <w:color w:val="505050"/>
          <w:sz w:val="18"/>
        </w:rPr>
        <w:t xml:space="preserve">La présidente de la Banque centrale européenne (BCE), Christine Lagarde, estime que la vente massive d’obligations fera </w:t>
      </w:r>
      <w:r>
        <w:rPr>
          <w:color w:val="787878"/>
          <w:sz w:val="15"/>
        </w:rPr>
        <w:t xml:space="preserve">  [politique_monetaire]</w:t>
      </w:r>
      <w:r>
        <w:rPr>
          <w:color w:val="B47800"/>
          <w:sz w:val="16"/>
        </w:rPr>
        <w:t xml:space="preserve">  ★ 50/10</w:t>
      </w:r>
    </w:p>
    <w:p>
      <w:pPr>
        <w:spacing w:before="0" w:after="20"/>
        <w:ind w:left="600"/>
      </w:pPr>
      <w:r>
        <w:rPr>
          <w:color w:val="323232"/>
          <w:sz w:val="17"/>
        </w:rPr>
        <w:t>La présidente de la BCE, Christine Lagarde, estime que la vente massive d'obligations par la banque centrale contribuera à ralentir l'inflation dans la zone euro. Cette stratégie de resserrement quantitatif vise à réduire la liquidité et à contenir la hausse des prix. L'annonce intervient dans un contexte de politique monétaire restrictive pour maî</w:t>
      </w:r>
    </w:p>
    <w:p>
      <w:pPr>
        <w:spacing w:before="0" w:after="40"/>
        <w:ind w:left="600"/>
      </w:pPr>
      <w:r>
        <w:rPr>
          <w:color w:val="00643C"/>
          <w:sz w:val="16"/>
        </w:rPr>
        <w:t>Points clés : La BCE prévoit de vendre massivement des obligations pour réduire l'inflation  •  Christine Lagarde confirme la poursuite du resserrement quantitatif  •  Objectif : ralentir la hausse des prix dans la zone euro</w:t>
      </w:r>
    </w:p>
    <w:p>
      <w:pPr>
        <w:spacing w:before="0" w:after="60"/>
        <w:ind w:left="600"/>
      </w:pPr>
      <w:r>
        <w:rPr>
          <w:color w:val="0064B4"/>
          <w:sz w:val="15"/>
        </w:rPr>
        <w:t>Source : https://news.google.com/rss/articles/CBMi7gFBVV95cUxOUkVWTGNMQW1pUEJ1NElFbXJXQWx</w:t>
      </w:r>
    </w:p>
    <w:p>
      <w:r>
        <w:br w:type="page"/>
      </w:r>
    </w:p>
    <w:p>
      <w:pPr>
        <w:pStyle w:val="Heading1"/>
      </w:pPr>
      <w:r>
        <w:t>🏆 CLASSEMENT DES SOCIÉTÉS — SCORE COMPOSITE /100</w:t>
      </w:r>
    </w:p>
    <w:p>
      <w:r>
        <w:t>Les 48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15,900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5,800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2,870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2,145</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2,270</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2,995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39,005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NTLC</w:t>
            </w:r>
          </w:p>
        </w:tc>
        <w:tc>
          <w:tcPr>
            <w:tcW w:type="dxa" w:w="1080"/>
            <w:shd w:fill="C6EFCE" w:val="clear"/>
          </w:tcPr>
          <w:p>
            <w:r>
              <w:rPr>
                <w:sz w:val="16"/>
              </w:rPr>
              <w:t>CONSOMMATION DE BA</w:t>
            </w:r>
          </w:p>
        </w:tc>
        <w:tc>
          <w:tcPr>
            <w:tcW w:type="dxa" w:w="1080"/>
            <w:shd w:fill="C6EFCE" w:val="clear"/>
          </w:tcPr>
          <w:p>
            <w:r>
              <w:rPr>
                <w:sz w:val="16"/>
              </w:rPr>
              <w:t>14,700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SLBC</w:t>
            </w:r>
          </w:p>
        </w:tc>
        <w:tc>
          <w:tcPr>
            <w:tcW w:type="dxa" w:w="1080"/>
            <w:shd w:fill="C6EFCE" w:val="clear"/>
          </w:tcPr>
          <w:p>
            <w:r>
              <w:rPr>
                <w:sz w:val="16"/>
              </w:rPr>
              <w:t>CONSOMMATION DE BA</w:t>
            </w:r>
          </w:p>
        </w:tc>
        <w:tc>
          <w:tcPr>
            <w:tcW w:type="dxa" w:w="1080"/>
            <w:shd w:fill="C6EFCE" w:val="clear"/>
          </w:tcPr>
          <w:p>
            <w:r>
              <w:rPr>
                <w:sz w:val="16"/>
              </w:rPr>
              <w:t>38,500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3,000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CABC</w:t>
            </w:r>
          </w:p>
        </w:tc>
        <w:tc>
          <w:tcPr>
            <w:tcW w:type="dxa" w:w="1080"/>
            <w:shd w:fill="C6EFCE" w:val="clear"/>
          </w:tcPr>
          <w:p>
            <w:r>
              <w:rPr>
                <w:sz w:val="16"/>
              </w:rPr>
              <w:t>INDUSTRIELS</w:t>
            </w:r>
          </w:p>
        </w:tc>
        <w:tc>
          <w:tcPr>
            <w:tcW w:type="dxa" w:w="1080"/>
            <w:shd w:fill="C6EFCE" w:val="clear"/>
          </w:tcPr>
          <w:p>
            <w:r>
              <w:rPr>
                <w:sz w:val="16"/>
              </w:rPr>
              <w:t>3,000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2,105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20,510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2,190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5,700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8,150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8,725</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11,395</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BICB</w:t>
            </w:r>
          </w:p>
        </w:tc>
        <w:tc>
          <w:tcPr>
            <w:tcW w:type="dxa" w:w="1080"/>
            <w:shd w:fill="EBF5FB" w:val="clear"/>
          </w:tcPr>
          <w:p>
            <w:r>
              <w:rPr>
                <w:sz w:val="16"/>
              </w:rPr>
              <w:t>SERVICES FINANCIER</w:t>
            </w:r>
          </w:p>
        </w:tc>
        <w:tc>
          <w:tcPr>
            <w:tcW w:type="dxa" w:w="1080"/>
            <w:shd w:fill="EBF5FB" w:val="clear"/>
          </w:tcPr>
          <w:p>
            <w:r>
              <w:rPr>
                <w:sz w:val="16"/>
              </w:rPr>
              <w:t>8,400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4,000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9,000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1,800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PALC</w:t>
            </w:r>
          </w:p>
        </w:tc>
        <w:tc>
          <w:tcPr>
            <w:tcW w:type="dxa" w:w="1080"/>
            <w:shd w:fill="EBF5FB" w:val="clear"/>
          </w:tcPr>
          <w:p>
            <w:r>
              <w:rPr>
                <w:sz w:val="16"/>
              </w:rPr>
              <w:t>CONSOMMATION DE BA</w:t>
            </w:r>
          </w:p>
        </w:tc>
        <w:tc>
          <w:tcPr>
            <w:tcW w:type="dxa" w:w="1080"/>
            <w:shd w:fill="EBF5FB" w:val="clear"/>
          </w:tcPr>
          <w:p>
            <w:r>
              <w:rPr>
                <w:sz w:val="16"/>
              </w:rPr>
              <w:t>7,600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4,290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12,900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15,395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SNTS</w:t>
            </w:r>
          </w:p>
        </w:tc>
        <w:tc>
          <w:tcPr>
            <w:tcW w:type="dxa" w:w="1080"/>
            <w:shd w:fill="EBF5FB" w:val="clear"/>
          </w:tcPr>
          <w:p>
            <w:r>
              <w:rPr>
                <w:sz w:val="16"/>
              </w:rPr>
              <w:t>TELECOMMUNICATIONS</w:t>
            </w:r>
          </w:p>
        </w:tc>
        <w:tc>
          <w:tcPr>
            <w:tcW w:type="dxa" w:w="1080"/>
            <w:shd w:fill="EBF5FB" w:val="clear"/>
          </w:tcPr>
          <w:p>
            <w:r>
              <w:rPr>
                <w:sz w:val="16"/>
              </w:rPr>
              <w:t>43,500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7,415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7,600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3,100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3,650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1,805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31,500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20,600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2,780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1,790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BBGC</w:t>
            </w:r>
          </w:p>
        </w:tc>
        <w:tc>
          <w:tcPr>
            <w:tcW w:type="dxa" w:w="1080"/>
            <w:shd w:fill="EBF5FB" w:val="clear"/>
          </w:tcPr>
          <w:p>
            <w:r>
              <w:rPr>
                <w:sz w:val="16"/>
              </w:rPr>
              <w:t>Services Financier</w:t>
            </w:r>
          </w:p>
        </w:tc>
        <w:tc>
          <w:tcPr>
            <w:tcW w:type="dxa" w:w="1080"/>
            <w:shd w:fill="EBF5FB" w:val="clear"/>
          </w:tcPr>
          <w:p>
            <w:r>
              <w:rPr>
                <w:sz w:val="16"/>
              </w:rPr>
              <w:t>10,390</w:t>
            </w:r>
          </w:p>
        </w:tc>
        <w:tc>
          <w:tcPr>
            <w:tcW w:type="dxa" w:w="1080"/>
            <w:shd w:fill="EBF5FB" w:val="clear"/>
          </w:tcPr>
          <w:p>
            <w:r>
              <w:rPr>
                <w:b/>
                <w:sz w:val="16"/>
              </w:rPr>
              <w:t>63/100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3,900</w:t>
            </w:r>
          </w:p>
        </w:tc>
        <w:tc>
          <w:tcPr>
            <w:tcW w:type="dxa" w:w="1080"/>
            <w:shd w:fill="EBF5FB" w:val="clear"/>
          </w:tcPr>
          <w:p>
            <w:r>
              <w:rPr>
                <w:b/>
                <w:sz w:val="16"/>
              </w:rPr>
              <w:t>63/100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21,350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32,400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4,700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1,450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8,010</w:t>
            </w:r>
          </w:p>
        </w:tc>
        <w:tc>
          <w:tcPr>
            <w:tcW w:type="dxa" w:w="1080"/>
            <w:shd w:fill="EBF5FB" w:val="clear"/>
          </w:tcPr>
          <w:p>
            <w:r>
              <w:rPr>
                <w:b/>
                <w:sz w:val="16"/>
              </w:rPr>
              <w:t>59/100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w:t>
            </w:r>
          </w:p>
        </w:tc>
        <w:tc>
          <w:tcPr>
            <w:tcW w:type="dxa" w:w="1080"/>
            <w:shd w:fill="EBF5FB" w:val="clear"/>
          </w:tcPr>
          <w:p>
            <w:r>
              <w:rPr>
                <w:b/>
                <w:sz w:val="16"/>
              </w:rPr>
              <w:t>56/100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45,000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47</w:t>
            </w:r>
          </w:p>
        </w:tc>
        <w:tc>
          <w:tcPr>
            <w:tcW w:type="dxa" w:w="1080"/>
            <w:shd w:fill="FEFEFE" w:val="clear"/>
          </w:tcPr>
          <w:p>
            <w:r>
              <w:rPr>
                <w:sz w:val="16"/>
              </w:rPr>
              <w:t>SICC</w:t>
            </w:r>
          </w:p>
        </w:tc>
        <w:tc>
          <w:tcPr>
            <w:tcW w:type="dxa" w:w="1080"/>
            <w:shd w:fill="FEFEFE" w:val="clear"/>
          </w:tcPr>
          <w:p>
            <w:r>
              <w:rPr>
                <w:sz w:val="16"/>
              </w:rPr>
              <w:t>CONSOMMATION DE BA</w:t>
            </w:r>
          </w:p>
        </w:tc>
        <w:tc>
          <w:tcPr>
            <w:tcW w:type="dxa" w:w="1080"/>
            <w:shd w:fill="FEFEFE" w:val="clear"/>
          </w:tcPr>
          <w:p>
            <w:r>
              <w:rPr>
                <w:sz w:val="16"/>
              </w:rPr>
              <w:t>—</w:t>
            </w:r>
          </w:p>
        </w:tc>
        <w:tc>
          <w:tcPr>
            <w:tcW w:type="dxa" w:w="1080"/>
            <w:shd w:fill="FEFEFE" w:val="clear"/>
          </w:tcPr>
          <w:p>
            <w:r>
              <w:rPr>
                <w:b/>
                <w:sz w:val="16"/>
              </w:rPr>
              <w:t>52/100  (Moyen)</w:t>
            </w:r>
          </w:p>
        </w:tc>
        <w:tc>
          <w:tcPr>
            <w:tcW w:type="dxa" w:w="1080"/>
            <w:shd w:fill="FEFEFE" w:val="clear"/>
          </w:tcPr>
          <w:p>
            <w:r>
              <w:rPr>
                <w:sz w:val="16"/>
              </w:rPr>
              <w:t>NEUTRE</w:t>
            </w:r>
          </w:p>
        </w:tc>
        <w:tc>
          <w:tcPr>
            <w:tcW w:type="dxa" w:w="1080"/>
            <w:shd w:fill="FEFEFE" w:val="clear"/>
          </w:tcPr>
          <w:p>
            <w:r>
              <w:rPr>
                <w:sz w:val="16"/>
              </w:rPr>
              <w:t>ACHAT</w:t>
            </w:r>
          </w:p>
        </w:tc>
        <w:tc>
          <w:tcPr>
            <w:tcW w:type="dxa" w:w="1080"/>
            <w:shd w:fill="FEFEFE" w:val="clear"/>
          </w:tcPr>
          <w:p>
            <w:r>
              <w:rPr>
                <w:color w:val="008000"/>
                <w:sz w:val="16"/>
              </w:rPr>
              <w:t>ACHAT</w:t>
            </w:r>
          </w:p>
        </w:tc>
      </w:tr>
      <w:tr>
        <w:tc>
          <w:tcPr>
            <w:tcW w:type="dxa" w:w="1080"/>
            <w:shd w:fill="FCE4D6" w:val="clear"/>
          </w:tcPr>
          <w:p>
            <w:r>
              <w:rPr>
                <w:sz w:val="16"/>
              </w:rPr>
              <w:t>48</w:t>
            </w:r>
          </w:p>
        </w:tc>
        <w:tc>
          <w:tcPr>
            <w:tcW w:type="dxa" w:w="1080"/>
            <w:shd w:fill="FCE4D6" w:val="clear"/>
          </w:tcPr>
          <w:p>
            <w:r>
              <w:rPr>
                <w:sz w:val="16"/>
              </w:rPr>
              <w:t>STAC</w:t>
            </w:r>
          </w:p>
        </w:tc>
        <w:tc>
          <w:tcPr>
            <w:tcW w:type="dxa" w:w="1080"/>
            <w:shd w:fill="FCE4D6" w:val="clear"/>
          </w:tcPr>
          <w:p>
            <w:r>
              <w:rPr>
                <w:sz w:val="16"/>
              </w:rPr>
              <w:t>INDUSTRIELS</w:t>
            </w:r>
          </w:p>
        </w:tc>
        <w:tc>
          <w:tcPr>
            <w:tcW w:type="dxa" w:w="1080"/>
            <w:shd w:fill="FCE4D6" w:val="clear"/>
          </w:tcPr>
          <w:p>
            <w:r>
              <w:rPr>
                <w:sz w:val="16"/>
              </w:rPr>
              <w:t>2,030</w:t>
            </w:r>
          </w:p>
        </w:tc>
        <w:tc>
          <w:tcPr>
            <w:tcW w:type="dxa" w:w="1080"/>
            <w:shd w:fill="FCE4D6" w:val="clear"/>
          </w:tcPr>
          <w:p>
            <w:r>
              <w:rPr>
                <w:b/>
                <w:sz w:val="16"/>
              </w:rPr>
              <w:t>35/100  (Faible)</w:t>
            </w:r>
          </w:p>
        </w:tc>
        <w:tc>
          <w:tcPr>
            <w:tcW w:type="dxa" w:w="1080"/>
            <w:shd w:fill="FCE4D6" w:val="clear"/>
          </w:tcPr>
          <w:p>
            <w:r>
              <w:rPr>
                <w:sz w:val="16"/>
              </w:rPr>
              <w:t>VENTE</w:t>
            </w:r>
          </w:p>
        </w:tc>
        <w:tc>
          <w:tcPr>
            <w:tcW w:type="dxa" w:w="1080"/>
            <w:shd w:fill="FCE4D6" w:val="clear"/>
          </w:tcPr>
          <w:p>
            <w:r>
              <w:rPr>
                <w:sz w:val="16"/>
              </w:rPr>
              <w:t>VENTE</w:t>
            </w:r>
          </w:p>
        </w:tc>
        <w:tc>
          <w:tcPr>
            <w:tcW w:type="dxa" w:w="1080"/>
            <w:shd w:fill="FCE4D6" w:val="clear"/>
          </w:tcPr>
          <w:p>
            <w:r>
              <w:rPr>
                <w:color w:val="C00000"/>
                <w:sz w:val="16"/>
              </w:rPr>
              <w:t>VENTE</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15,900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SDSC</w:t>
            </w:r>
          </w:p>
        </w:tc>
        <w:tc>
          <w:tcPr>
            <w:tcW w:type="dxa" w:w="1728"/>
            <w:shd w:fill="DEEAF1" w:val="clear"/>
          </w:tcPr>
          <w:p>
            <w:r>
              <w:rPr>
                <w:sz w:val="17"/>
              </w:rPr>
              <w:t>SDSC - AFRICA GLOBAL LOGISTI</w:t>
            </w:r>
          </w:p>
        </w:tc>
        <w:tc>
          <w:tcPr>
            <w:tcW w:type="dxa" w:w="1728"/>
            <w:shd w:fill="DEEAF1" w:val="clear"/>
          </w:tcPr>
          <w:p>
            <w:r>
              <w:rPr>
                <w:sz w:val="17"/>
              </w:rPr>
              <w:t>2,870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2,145</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2,995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39,005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NTLC</w:t>
            </w:r>
          </w:p>
        </w:tc>
        <w:tc>
          <w:tcPr>
            <w:tcW w:type="dxa" w:w="1728"/>
            <w:shd w:fill="DEEAF1" w:val="clear"/>
          </w:tcPr>
          <w:p>
            <w:r>
              <w:rPr>
                <w:sz w:val="17"/>
              </w:rPr>
              <w:t>NTLC - NESTLE COTE D'IVOIRE</w:t>
            </w:r>
          </w:p>
        </w:tc>
        <w:tc>
          <w:tcPr>
            <w:tcW w:type="dxa" w:w="1728"/>
            <w:shd w:fill="DEEAF1" w:val="clear"/>
          </w:tcPr>
          <w:p>
            <w:r>
              <w:rPr>
                <w:sz w:val="17"/>
              </w:rPr>
              <w:t>14,700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SLBC</w:t>
            </w:r>
          </w:p>
        </w:tc>
        <w:tc>
          <w:tcPr>
            <w:tcW w:type="dxa" w:w="1728"/>
            <w:shd w:fill="DEEAF1" w:val="clear"/>
          </w:tcPr>
          <w:p>
            <w:r>
              <w:rPr>
                <w:sz w:val="17"/>
              </w:rPr>
              <w:t>SLBC - SOLIBRA COTE D'IVOIRE</w:t>
            </w:r>
          </w:p>
        </w:tc>
        <w:tc>
          <w:tcPr>
            <w:tcW w:type="dxa" w:w="1728"/>
            <w:shd w:fill="DEEAF1" w:val="clear"/>
          </w:tcPr>
          <w:p>
            <w:r>
              <w:rPr>
                <w:sz w:val="17"/>
              </w:rPr>
              <w:t>38,500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ABJC</w:t>
            </w:r>
          </w:p>
        </w:tc>
        <w:tc>
          <w:tcPr>
            <w:tcW w:type="dxa" w:w="1728"/>
            <w:shd w:fill="DEEAF1" w:val="clear"/>
          </w:tcPr>
          <w:p>
            <w:r>
              <w:rPr>
                <w:sz w:val="17"/>
              </w:rPr>
              <w:t>ABJC - SERVAIR ABIDJAN CI</w:t>
            </w:r>
          </w:p>
        </w:tc>
        <w:tc>
          <w:tcPr>
            <w:tcW w:type="dxa" w:w="1728"/>
            <w:shd w:fill="DEEAF1" w:val="clear"/>
          </w:tcPr>
          <w:p>
            <w:r>
              <w:rPr>
                <w:sz w:val="17"/>
              </w:rPr>
              <w:t>3,000</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ECOC</w:t>
            </w:r>
          </w:p>
        </w:tc>
        <w:tc>
          <w:tcPr>
            <w:tcW w:type="dxa" w:w="1728"/>
            <w:shd w:fill="E2EFDA" w:val="clear"/>
          </w:tcPr>
          <w:p>
            <w:r>
              <w:rPr>
                <w:sz w:val="17"/>
              </w:rPr>
              <w:t>ECOC - ECOBANK COTE D'IVOIRE</w:t>
            </w:r>
          </w:p>
        </w:tc>
        <w:tc>
          <w:tcPr>
            <w:tcW w:type="dxa" w:w="1728"/>
            <w:shd w:fill="E2EFDA" w:val="clear"/>
          </w:tcPr>
          <w:p>
            <w:r>
              <w:rPr>
                <w:sz w:val="17"/>
              </w:rPr>
              <w:t>15,900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CIEC</w:t>
            </w:r>
          </w:p>
        </w:tc>
        <w:tc>
          <w:tcPr>
            <w:tcW w:type="dxa" w:w="1728"/>
            <w:shd w:fill="E2EFDA" w:val="clear"/>
          </w:tcPr>
          <w:p>
            <w:r>
              <w:rPr>
                <w:sz w:val="17"/>
              </w:rPr>
              <w:t xml:space="preserve">CIEC - Compagnie Ivoirienne </w:t>
            </w:r>
          </w:p>
        </w:tc>
        <w:tc>
          <w:tcPr>
            <w:tcW w:type="dxa" w:w="1728"/>
            <w:shd w:fill="E2EFDA" w:val="clear"/>
          </w:tcPr>
          <w:p>
            <w:r>
              <w:rPr>
                <w:sz w:val="17"/>
              </w:rPr>
              <w:t>5,800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SDSC</w:t>
            </w:r>
          </w:p>
        </w:tc>
        <w:tc>
          <w:tcPr>
            <w:tcW w:type="dxa" w:w="1728"/>
            <w:shd w:fill="E2EFDA" w:val="clear"/>
          </w:tcPr>
          <w:p>
            <w:r>
              <w:rPr>
                <w:sz w:val="17"/>
              </w:rPr>
              <w:t>SDSC - AFRICA GLOBAL LOGISTI</w:t>
            </w:r>
          </w:p>
        </w:tc>
        <w:tc>
          <w:tcPr>
            <w:tcW w:type="dxa" w:w="1728"/>
            <w:shd w:fill="E2EFDA" w:val="clear"/>
          </w:tcPr>
          <w:p>
            <w:r>
              <w:rPr>
                <w:sz w:val="17"/>
              </w:rPr>
              <w:t>2,870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2,145</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2,270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ONTBF</w:t>
            </w:r>
          </w:p>
        </w:tc>
        <w:tc>
          <w:tcPr>
            <w:tcW w:type="dxa" w:w="1728"/>
            <w:shd w:fill="E2EFDA" w:val="clear"/>
          </w:tcPr>
          <w:p>
            <w:r>
              <w:rPr>
                <w:sz w:val="17"/>
              </w:rPr>
              <w:t>ONTBF - ONATEL BURKINA FASO</w:t>
            </w:r>
          </w:p>
        </w:tc>
        <w:tc>
          <w:tcPr>
            <w:tcW w:type="dxa" w:w="1728"/>
            <w:shd w:fill="E2EFDA" w:val="clear"/>
          </w:tcPr>
          <w:p>
            <w:r>
              <w:rPr>
                <w:sz w:val="17"/>
              </w:rPr>
              <w:t>2,995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SGBC</w:t>
            </w:r>
          </w:p>
        </w:tc>
        <w:tc>
          <w:tcPr>
            <w:tcW w:type="dxa" w:w="1728"/>
            <w:shd w:fill="E2EFDA" w:val="clear"/>
          </w:tcPr>
          <w:p>
            <w:r>
              <w:rPr>
                <w:sz w:val="17"/>
              </w:rPr>
              <w:t>SGBC - SOCIETE GENERALE COTE</w:t>
            </w:r>
          </w:p>
        </w:tc>
        <w:tc>
          <w:tcPr>
            <w:tcW w:type="dxa" w:w="1728"/>
            <w:shd w:fill="E2EFDA" w:val="clear"/>
          </w:tcPr>
          <w:p>
            <w:r>
              <w:rPr>
                <w:sz w:val="17"/>
              </w:rPr>
              <w:t>39,005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NTLC</w:t>
            </w:r>
          </w:p>
        </w:tc>
        <w:tc>
          <w:tcPr>
            <w:tcW w:type="dxa" w:w="1728"/>
            <w:shd w:fill="E2EFDA" w:val="clear"/>
          </w:tcPr>
          <w:p>
            <w:r>
              <w:rPr>
                <w:sz w:val="17"/>
              </w:rPr>
              <w:t>NTLC - NESTLE COTE D'IVOIRE</w:t>
            </w:r>
          </w:p>
        </w:tc>
        <w:tc>
          <w:tcPr>
            <w:tcW w:type="dxa" w:w="1728"/>
            <w:shd w:fill="E2EFDA" w:val="clear"/>
          </w:tcPr>
          <w:p>
            <w:r>
              <w:rPr>
                <w:sz w:val="17"/>
              </w:rPr>
              <w:t>14,700</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ECOC</w:t>
            </w:r>
          </w:p>
        </w:tc>
        <w:tc>
          <w:tcPr>
            <w:tcW w:type="dxa" w:w="1728"/>
            <w:shd w:fill="FCE4D6" w:val="clear"/>
          </w:tcPr>
          <w:p>
            <w:r>
              <w:rPr>
                <w:sz w:val="17"/>
              </w:rPr>
              <w:t>ECOC - ECOBANK COTE D'IVOIRE</w:t>
            </w:r>
          </w:p>
        </w:tc>
        <w:tc>
          <w:tcPr>
            <w:tcW w:type="dxa" w:w="1728"/>
            <w:shd w:fill="FCE4D6" w:val="clear"/>
          </w:tcPr>
          <w:p>
            <w:r>
              <w:rPr>
                <w:sz w:val="17"/>
              </w:rPr>
              <w:t>15,900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CIEC</w:t>
            </w:r>
          </w:p>
        </w:tc>
        <w:tc>
          <w:tcPr>
            <w:tcW w:type="dxa" w:w="1728"/>
            <w:shd w:fill="FCE4D6" w:val="clear"/>
          </w:tcPr>
          <w:p>
            <w:r>
              <w:rPr>
                <w:sz w:val="17"/>
              </w:rPr>
              <w:t xml:space="preserve">CIEC - Compagnie Ivoirienne </w:t>
            </w:r>
          </w:p>
        </w:tc>
        <w:tc>
          <w:tcPr>
            <w:tcW w:type="dxa" w:w="1728"/>
            <w:shd w:fill="FCE4D6" w:val="clear"/>
          </w:tcPr>
          <w:p>
            <w:r>
              <w:rPr>
                <w:sz w:val="17"/>
              </w:rPr>
              <w:t>5,800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SDSC</w:t>
            </w:r>
          </w:p>
        </w:tc>
        <w:tc>
          <w:tcPr>
            <w:tcW w:type="dxa" w:w="1728"/>
            <w:shd w:fill="FCE4D6" w:val="clear"/>
          </w:tcPr>
          <w:p>
            <w:r>
              <w:rPr>
                <w:sz w:val="17"/>
              </w:rPr>
              <w:t>SDSC - AFRICA GLOBAL LOGISTI</w:t>
            </w:r>
          </w:p>
        </w:tc>
        <w:tc>
          <w:tcPr>
            <w:tcW w:type="dxa" w:w="1728"/>
            <w:shd w:fill="FCE4D6" w:val="clear"/>
          </w:tcPr>
          <w:p>
            <w:r>
              <w:rPr>
                <w:sz w:val="17"/>
              </w:rPr>
              <w:t>2,870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2,145</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2,270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ONTBF</w:t>
            </w:r>
          </w:p>
        </w:tc>
        <w:tc>
          <w:tcPr>
            <w:tcW w:type="dxa" w:w="1728"/>
            <w:shd w:fill="FCE4D6" w:val="clear"/>
          </w:tcPr>
          <w:p>
            <w:r>
              <w:rPr>
                <w:sz w:val="17"/>
              </w:rPr>
              <w:t>ONTBF - ONATEL BURKINA FASO</w:t>
            </w:r>
          </w:p>
        </w:tc>
        <w:tc>
          <w:tcPr>
            <w:tcW w:type="dxa" w:w="1728"/>
            <w:shd w:fill="FCE4D6" w:val="clear"/>
          </w:tcPr>
          <w:p>
            <w:r>
              <w:rPr>
                <w:sz w:val="17"/>
              </w:rPr>
              <w:t>2,995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SGBC</w:t>
            </w:r>
          </w:p>
        </w:tc>
        <w:tc>
          <w:tcPr>
            <w:tcW w:type="dxa" w:w="1728"/>
            <w:shd w:fill="FCE4D6" w:val="clear"/>
          </w:tcPr>
          <w:p>
            <w:r>
              <w:rPr>
                <w:sz w:val="17"/>
              </w:rPr>
              <w:t>SGBC - SOCIETE GENERALE COTE</w:t>
            </w:r>
          </w:p>
        </w:tc>
        <w:tc>
          <w:tcPr>
            <w:tcW w:type="dxa" w:w="1728"/>
            <w:shd w:fill="FCE4D6" w:val="clear"/>
          </w:tcPr>
          <w:p>
            <w:r>
              <w:rPr>
                <w:sz w:val="17"/>
              </w:rPr>
              <w:t>39,005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NTLC</w:t>
            </w:r>
          </w:p>
        </w:tc>
        <w:tc>
          <w:tcPr>
            <w:tcW w:type="dxa" w:w="1728"/>
            <w:shd w:fill="FCE4D6" w:val="clear"/>
          </w:tcPr>
          <w:p>
            <w:r>
              <w:rPr>
                <w:sz w:val="17"/>
              </w:rPr>
              <w:t>NTLC - NESTLE COTE D'IVOIRE</w:t>
            </w:r>
          </w:p>
        </w:tc>
        <w:tc>
          <w:tcPr>
            <w:tcW w:type="dxa" w:w="1728"/>
            <w:shd w:fill="FCE4D6" w:val="clear"/>
          </w:tcPr>
          <w:p>
            <w:r>
              <w:rPr>
                <w:sz w:val="17"/>
              </w:rPr>
              <w:t>14,700</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CABC — CABC - SICABLE COTE D'IVOIRE</w:t>
      </w:r>
    </w:p>
    <w:p>
      <w:pPr>
        <w:pStyle w:val="ListBullet"/>
        <w:spacing w:before="20"/>
        <w:ind w:left="400"/>
      </w:pPr>
      <w:r>
        <w:rPr>
          <w:sz w:val="18"/>
        </w:rPr>
        <w:t>🟢 RSI survente (18.3 &lt; 30) — opportunité potentielle</w:t>
      </w:r>
    </w:p>
    <w:p>
      <w:pPr>
        <w:pStyle w:val="ListBullet"/>
        <w:spacing w:before="20"/>
        <w:ind w:left="400"/>
      </w:pPr>
      <w:r>
        <w:rPr>
          <w:sz w:val="18"/>
        </w:rPr>
        <w:t>⚠️ Cours à 0.0% du plus bas 100j (3,000 FCFA)</w:t>
      </w:r>
    </w:p>
    <w:p>
      <w:pPr>
        <w:spacing w:before="120"/>
      </w:pPr>
      <w:r>
        <w:rPr>
          <w:b/>
          <w:color w:val="0050A0"/>
          <w:sz w:val="20"/>
        </w:rPr>
        <w:t>ECOC — ECOC - ECOBANK COTE D'IVOIRE</w:t>
      </w:r>
    </w:p>
    <w:p>
      <w:pPr>
        <w:pStyle w:val="ListBullet"/>
        <w:spacing w:before="20"/>
        <w:ind w:left="400"/>
      </w:pPr>
      <w:r>
        <w:rPr>
          <w:sz w:val="18"/>
        </w:rPr>
        <w:t>🟢 RSI survente (24.5 &lt; 30) — opportunité potentielle</w:t>
      </w:r>
    </w:p>
    <w:p>
      <w:pPr>
        <w:pStyle w:val="ListBullet"/>
        <w:spacing w:before="20"/>
        <w:ind w:left="400"/>
      </w:pPr>
      <w:r>
        <w:rPr>
          <w:sz w:val="18"/>
        </w:rPr>
        <w:t>⚠️ Cours à 1.2% du plus bas 100j (15,715 FCFA)</w:t>
      </w:r>
    </w:p>
    <w:p>
      <w:pPr>
        <w:spacing w:before="120"/>
      </w:pPr>
      <w:r>
        <w:rPr>
          <w:b/>
          <w:color w:val="0050A0"/>
          <w:sz w:val="20"/>
        </w:rPr>
        <w:t>FTSC — FTSC - FILTISAC COTE D'IVOIRE</w:t>
      </w:r>
    </w:p>
    <w:p>
      <w:pPr>
        <w:pStyle w:val="ListBullet"/>
        <w:spacing w:before="20"/>
        <w:ind w:left="400"/>
      </w:pPr>
      <w:r>
        <w:rPr>
          <w:sz w:val="18"/>
        </w:rPr>
        <w:t>⚠️ Cours à 0.0% du plus bas 100j (1,800 FCFA)</w:t>
      </w:r>
    </w:p>
    <w:p>
      <w:pPr>
        <w:pStyle w:val="ListBullet"/>
        <w:spacing w:before="20"/>
        <w:ind w:left="400"/>
      </w:pPr>
      <w:r>
        <w:rPr>
          <w:sz w:val="18"/>
        </w:rPr>
        <w:t>🟠 Divergence tech(VENTE) / fond(ACHAT) — recommandation ajustée à ACHAT</w:t>
      </w:r>
    </w:p>
    <w:p>
      <w:pPr>
        <w:spacing w:before="120"/>
      </w:pPr>
      <w:r>
        <w:rPr>
          <w:b/>
          <w:color w:val="0050A0"/>
          <w:sz w:val="20"/>
        </w:rPr>
        <w:t>PALC — PALC - PALM COTE D'IVOIRE</w:t>
      </w:r>
    </w:p>
    <w:p>
      <w:pPr>
        <w:pStyle w:val="ListBullet"/>
        <w:spacing w:before="20"/>
        <w:ind w:left="400"/>
      </w:pPr>
      <w:r>
        <w:rPr>
          <w:sz w:val="18"/>
        </w:rPr>
        <w:t>⚠️ Cours à 0.0% du plus bas 100j (7,600 FCFA)</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RSI survente (2.3 &lt; 30) — opportunité potentielle</w:t>
      </w:r>
    </w:p>
    <w:p>
      <w:pPr>
        <w:pStyle w:val="ListBullet"/>
        <w:spacing w:before="20"/>
        <w:ind w:left="400"/>
      </w:pPr>
      <w:r>
        <w:rPr>
          <w:sz w:val="18"/>
        </w:rPr>
        <w:t>⚠️ Cours à 2.9% du plus bas 100j (2,205 FCFA)</w:t>
      </w:r>
    </w:p>
    <w:p>
      <w:pPr>
        <w:spacing w:before="120"/>
      </w:pPr>
      <w:r>
        <w:rPr>
          <w:b/>
          <w:color w:val="0050A0"/>
          <w:sz w:val="20"/>
        </w:rPr>
        <w:t>SIVC — SIVC - ERIUM CI (Ex AIR LIQUIDECI)</w:t>
      </w:r>
    </w:p>
    <w:p>
      <w:pPr>
        <w:pStyle w:val="ListBullet"/>
        <w:spacing w:before="20"/>
        <w:ind w:left="400"/>
      </w:pPr>
      <w:r>
        <w:rPr>
          <w:sz w:val="18"/>
        </w:rPr>
        <w:t>⚠️ Cours à 0.0% du plus bas 100j (1,790 FCFA)</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Cours à 1.6% du plus bas 100j (7,300 FCFA)</w:t>
      </w:r>
    </w:p>
    <w:p>
      <w:pPr>
        <w:pStyle w:val="ListBullet"/>
        <w:spacing w:before="20"/>
        <w:ind w:left="400"/>
      </w:pPr>
      <w:r>
        <w:rPr>
          <w:sz w:val="18"/>
        </w:rPr>
        <w:t>🟠 Divergence tech(VENTE) / fond(ACHAT) — recommandation ajustée à ACHAT</w:t>
      </w:r>
    </w:p>
    <w:p>
      <w:pPr>
        <w:spacing w:before="120"/>
      </w:pPr>
      <w:r>
        <w:rPr>
          <w:b/>
          <w:color w:val="0050A0"/>
          <w:sz w:val="20"/>
        </w:rPr>
        <w:t>STBC — STBC - SITAB COTE D'IVOIRE</w:t>
      </w:r>
    </w:p>
    <w:p>
      <w:pPr>
        <w:pStyle w:val="ListBullet"/>
        <w:spacing w:before="20"/>
        <w:ind w:left="400"/>
      </w:pPr>
      <w:r>
        <w:rPr>
          <w:sz w:val="18"/>
        </w:rPr>
        <w:t>⚠️ Cours à 2.2% du plus bas 100j (20,895 FCFA)</w:t>
      </w:r>
    </w:p>
    <w:p>
      <w:pPr>
        <w:pStyle w:val="ListBullet"/>
        <w:spacing w:before="20"/>
        <w:ind w:left="400"/>
      </w:pPr>
      <w:r>
        <w:rPr>
          <w:sz w:val="18"/>
        </w:rPr>
        <w:t>🟠 Divergence tech(VENTE) / fond(ACHAT) — recommandation ajustée à ACHAT</w:t>
      </w:r>
    </w:p>
    <w:p>
      <w:pPr>
        <w:spacing w:before="120"/>
      </w:pPr>
      <w:r>
        <w:rPr>
          <w:b/>
          <w:color w:val="0050A0"/>
          <w:sz w:val="20"/>
        </w:rPr>
        <w:t>UNLC — UNLC - UNILEVER COTE D'IVOIRE</w:t>
      </w:r>
    </w:p>
    <w:p>
      <w:pPr>
        <w:pStyle w:val="ListBullet"/>
        <w:spacing w:before="20"/>
        <w:ind w:left="400"/>
      </w:pPr>
      <w:r>
        <w:rPr>
          <w:sz w:val="18"/>
        </w:rPr>
        <w:t>⚠️ Cours à 1.3% du plus bas 100j (44,410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survente (3.5 &lt; 30) — opportunité potentielle</w:t>
      </w:r>
    </w:p>
    <w:p>
      <w:pPr>
        <w:spacing w:before="120"/>
      </w:pPr>
      <w:r>
        <w:rPr>
          <w:b/>
          <w:color w:val="0050A0"/>
          <w:sz w:val="20"/>
        </w:rPr>
        <w:t>BBGC — BRIDGE BANK GROUP COTE D'IVOIRE</w:t>
      </w:r>
    </w:p>
    <w:p>
      <w:pPr>
        <w:pStyle w:val="ListBullet"/>
        <w:spacing w:before="20"/>
        <w:ind w:left="400"/>
      </w:pPr>
      <w:r>
        <w:rPr>
          <w:sz w:val="18"/>
        </w:rPr>
        <w:t>⚠️ Cours à 1.0% du plus haut 100j (10,495 FCFA)</w:t>
      </w:r>
    </w:p>
    <w:p>
      <w:pPr>
        <w:spacing w:before="120"/>
      </w:pPr>
      <w:r>
        <w:rPr>
          <w:b/>
          <w:color w:val="0050A0"/>
          <w:sz w:val="20"/>
        </w:rPr>
        <w:t>BICB — BIIC BN - Banque internationale pour le commerce du benin</w:t>
      </w:r>
    </w:p>
    <w:p>
      <w:pPr>
        <w:pStyle w:val="ListBullet"/>
        <w:spacing w:before="20"/>
        <w:ind w:left="400"/>
      </w:pPr>
      <w:r>
        <w:rPr>
          <w:sz w:val="18"/>
        </w:rPr>
        <w:t>🟠 Divergence tech(VENTE) / fond(ACHAT) — recommandation ajustée à ACHAT</w:t>
      </w:r>
    </w:p>
    <w:p>
      <w:pPr>
        <w:spacing w:before="120"/>
      </w:pPr>
      <w:r>
        <w:rPr>
          <w:b/>
          <w:color w:val="0050A0"/>
          <w:sz w:val="20"/>
        </w:rPr>
        <w:t>BNBC — BNBC - BERNABE CI</w:t>
      </w:r>
    </w:p>
    <w:p>
      <w:pPr>
        <w:pStyle w:val="ListBullet"/>
        <w:spacing w:before="20"/>
        <w:ind w:left="400"/>
      </w:pPr>
      <w:r>
        <w:rPr>
          <w:sz w:val="18"/>
        </w:rPr>
        <w:t>🟠 Divergence tech(VENTE) / fond(ACHAT) — recommandation ajustée à ACHAT</w:t>
      </w:r>
    </w:p>
    <w:p>
      <w:pPr>
        <w:spacing w:before="120"/>
      </w:pPr>
      <w:r>
        <w:rPr>
          <w:b/>
          <w:color w:val="0050A0"/>
          <w:sz w:val="20"/>
        </w:rPr>
        <w:t>BOAB — BANK OF AFRICA BENIN</w:t>
      </w:r>
    </w:p>
    <w:p>
      <w:pPr>
        <w:pStyle w:val="ListBullet"/>
        <w:spacing w:before="20"/>
        <w:ind w:left="400"/>
      </w:pPr>
      <w:r>
        <w:rPr>
          <w:sz w:val="18"/>
        </w:rPr>
        <w:t>🟠 Divergence tech(VENTE) / fond(ACHAT) — recommandation ajustée à ACHAT</w:t>
      </w:r>
    </w:p>
    <w:p>
      <w:pPr>
        <w:spacing w:before="120"/>
      </w:pPr>
      <w:r>
        <w:rPr>
          <w:b/>
          <w:color w:val="0050A0"/>
          <w:sz w:val="20"/>
        </w:rPr>
        <w:t>BOABF — BANK OF AFRICA BURKINA FASO</w:t>
      </w:r>
    </w:p>
    <w:p>
      <w:pPr>
        <w:pStyle w:val="ListBullet"/>
        <w:spacing w:before="20"/>
        <w:ind w:left="400"/>
      </w:pPr>
      <w:r>
        <w:rPr>
          <w:sz w:val="18"/>
        </w:rPr>
        <w:t>🟠 Divergence tech(VENTE) / fond(ACHAT) — recommandation ajustée à ACHAT</w:t>
      </w:r>
    </w:p>
    <w:p>
      <w:pPr>
        <w:spacing w:before="120"/>
      </w:pPr>
      <w:r>
        <w:rPr>
          <w:b/>
          <w:color w:val="0050A0"/>
          <w:sz w:val="20"/>
        </w:rPr>
        <w:t>BOAM — BANK OF AFRICA MALI</w:t>
      </w:r>
    </w:p>
    <w:p>
      <w:pPr>
        <w:pStyle w:val="ListBullet"/>
        <w:spacing w:before="20"/>
        <w:ind w:left="400"/>
      </w:pPr>
      <w:r>
        <w:rPr>
          <w:sz w:val="18"/>
        </w:rPr>
        <w:t>🟢 RSI survente (17.6 &lt; 30) — opportunité potentielle</w:t>
      </w:r>
    </w:p>
    <w:p>
      <w:pPr>
        <w:spacing w:before="120"/>
      </w:pPr>
      <w:r>
        <w:rPr>
          <w:b/>
          <w:color w:val="0050A0"/>
          <w:sz w:val="20"/>
        </w:rPr>
        <w:t>BOAN — BANK OF AFRICA NIGER</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Divergence tech(VENTE) / fond(ACHAT) — recommandation ajustée à ACHAT</w:t>
      </w:r>
    </w:p>
    <w:p>
      <w:pPr>
        <w:spacing w:before="120"/>
      </w:pPr>
      <w:r>
        <w:rPr>
          <w:b/>
          <w:color w:val="0050A0"/>
          <w:sz w:val="20"/>
        </w:rPr>
        <w:t>CIEC — CIEC - Compagnie Ivoirienne d'Electricité</w:t>
      </w:r>
    </w:p>
    <w:p>
      <w:pPr>
        <w:pStyle w:val="ListBullet"/>
        <w:spacing w:before="20"/>
        <w:ind w:left="400"/>
      </w:pPr>
      <w:r>
        <w:rPr>
          <w:sz w:val="18"/>
        </w:rPr>
        <w:t>🟢 RSI survente (26.5 &lt; 30) — opportunité potentielle</w:t>
      </w:r>
    </w:p>
    <w:p>
      <w:pPr>
        <w:spacing w:before="120"/>
      </w:pPr>
      <w:r>
        <w:rPr>
          <w:b/>
          <w:color w:val="0050A0"/>
          <w:sz w:val="20"/>
        </w:rPr>
        <w:t>ETIT — ETIT - Ecobank Transnational Incorporated Togo</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survente (16.5 &lt; 30) — opportunité potentielle</w:t>
      </w:r>
    </w:p>
    <w:p>
      <w:pPr>
        <w:spacing w:before="120"/>
      </w:pPr>
      <w:r>
        <w:rPr>
          <w:b/>
          <w:color w:val="0050A0"/>
          <w:sz w:val="20"/>
        </w:rPr>
        <w:t>NSBC — NSBC - NSIA BANQUE COTE D'IVOIRE</w:t>
      </w:r>
    </w:p>
    <w:p>
      <w:pPr>
        <w:pStyle w:val="ListBullet"/>
        <w:spacing w:before="20"/>
        <w:ind w:left="400"/>
      </w:pPr>
      <w:r>
        <w:rPr>
          <w:sz w:val="18"/>
        </w:rPr>
        <w:t>🟢 RSI survente (28.5 &lt; 30) — opportunité potentielle</w:t>
      </w:r>
    </w:p>
    <w:p>
      <w:pPr>
        <w:spacing w:before="120"/>
      </w:pPr>
      <w:r>
        <w:rPr>
          <w:b/>
          <w:color w:val="0050A0"/>
          <w:sz w:val="20"/>
        </w:rPr>
        <w:t>ONTBF — ONTBF - ONATEL BURKINA FASO</w:t>
      </w:r>
    </w:p>
    <w:p>
      <w:pPr>
        <w:pStyle w:val="ListBullet"/>
        <w:spacing w:before="20"/>
        <w:ind w:left="400"/>
      </w:pPr>
      <w:r>
        <w:rPr>
          <w:sz w:val="18"/>
        </w:rPr>
        <w:t>⚠️ Cours à 2.4% du plus haut 100j (3,070 FCFA)</w:t>
      </w:r>
    </w:p>
    <w:p>
      <w:pPr>
        <w:spacing w:before="120"/>
      </w:pPr>
      <w:r>
        <w:rPr>
          <w:b/>
          <w:color w:val="0050A0"/>
          <w:sz w:val="20"/>
        </w:rPr>
        <w:t>ORGT — ORGT - ORAGROUP TOGO</w:t>
      </w:r>
    </w:p>
    <w:p>
      <w:pPr>
        <w:pStyle w:val="ListBullet"/>
        <w:spacing w:before="20"/>
        <w:ind w:left="400"/>
      </w:pPr>
      <w:r>
        <w:rPr>
          <w:sz w:val="18"/>
        </w:rPr>
        <w:t>🟠 Divergence tech(VENTE) / fond(ACHAT) — recommandation ajustée à ACHAT</w:t>
      </w:r>
    </w:p>
    <w:p>
      <w:pPr>
        <w:spacing w:before="120"/>
      </w:pPr>
      <w:r>
        <w:rPr>
          <w:b/>
          <w:color w:val="0050A0"/>
          <w:sz w:val="20"/>
        </w:rPr>
        <w:t>SAFC — SAFCA CI</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0.8% du plus haut 100j (39,300 FCFA)</w:t>
      </w:r>
    </w:p>
    <w:p>
      <w:pPr>
        <w:spacing w:before="120"/>
      </w:pPr>
      <w:r>
        <w:rPr>
          <w:b/>
          <w:color w:val="0050A0"/>
          <w:sz w:val="20"/>
        </w:rPr>
        <w:t>SHEC — SHEC - VIVO ENERGY COTE D'IVOIRE</w:t>
      </w:r>
    </w:p>
    <w:p>
      <w:pPr>
        <w:pStyle w:val="ListBullet"/>
        <w:spacing w:before="20"/>
        <w:ind w:left="400"/>
      </w:pPr>
      <w:r>
        <w:rPr>
          <w:sz w:val="18"/>
        </w:rPr>
        <w:t>🟢 RSI survente (20.5 &lt; 30) — opportunité potentielle</w:t>
      </w:r>
    </w:p>
    <w:p>
      <w:pPr>
        <w:spacing w:before="120"/>
      </w:pPr>
      <w:r>
        <w:rPr>
          <w:b/>
          <w:color w:val="0050A0"/>
          <w:sz w:val="20"/>
        </w:rPr>
        <w:t>SIBC — SIBC - SOCIETE IVOIRIENNE DE BANQUE</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29 société(s) (60%)</w:t>
            </w:r>
          </w:p>
        </w:tc>
        <w:tc>
          <w:tcPr>
            <w:tcW w:type="dxa" w:w="1644"/>
            <w:shd w:fill="FFEB9C" w:val="clear"/>
          </w:tcPr>
          <w:p>
            <w:r>
              <w:rPr>
                <w:b/>
                <w:color w:val="825A00"/>
                <w:sz w:val="19"/>
              </w:rPr>
              <w:t>19 société(s) (40%)</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19.1/100</w:t>
            </w:r>
          </w:p>
        </w:tc>
        <w:tc>
          <w:tcPr>
            <w:tcW w:type="dxa" w:w="1644"/>
            <w:shd w:fill="DEEAF1" w:val="clear"/>
          </w:tcPr>
          <w:p>
            <w:r>
              <w:rPr>
                <w:b/>
                <w:color w:val="000000"/>
                <w:sz w:val="19"/>
              </w:rPr>
              <w:t>18.8/100</w:t>
            </w:r>
          </w:p>
        </w:tc>
      </w:tr>
    </w:tbl>
    <w:p/>
    <w:p>
      <w:r>
        <w:rPr>
          <w:i/>
          <w:color w:val="006400"/>
          <w:sz w:val="18"/>
        </w:rPr>
        <w:t>✅ Le marché BRVM présente globalement un profil de risque FAIBLE (score moyen 19.1/100).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34.2/100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32.8/100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SNTS</w:t>
            </w:r>
          </w:p>
        </w:tc>
        <w:tc>
          <w:tcPr>
            <w:tcW w:type="dxa" w:w="2268"/>
            <w:shd w:fill="FFFFFF" w:val="clear"/>
          </w:tcPr>
          <w:p>
            <w:r>
              <w:rPr>
                <w:sz w:val="16"/>
              </w:rPr>
              <w:t>SNTS - SONATEL SN</w:t>
            </w:r>
          </w:p>
        </w:tc>
        <w:tc>
          <w:tcPr>
            <w:tcW w:type="dxa" w:w="1701"/>
            <w:shd w:fill="FFFFFF" w:val="clear"/>
          </w:tcPr>
          <w:p>
            <w:r>
              <w:rPr>
                <w:sz w:val="16"/>
              </w:rPr>
              <w:t>TELECOMMUNICATIONS</w:t>
            </w:r>
          </w:p>
        </w:tc>
        <w:tc>
          <w:tcPr>
            <w:tcW w:type="dxa" w:w="1020"/>
            <w:shd w:fill="FFEB9C" w:val="clear"/>
          </w:tcPr>
          <w:p>
            <w:r>
              <w:rPr>
                <w:b/>
                <w:color w:val="B40000"/>
                <w:sz w:val="16"/>
              </w:rPr>
              <w:t>29.3/100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BICB</w:t>
            </w:r>
          </w:p>
        </w:tc>
        <w:tc>
          <w:tcPr>
            <w:tcW w:type="dxa" w:w="2268"/>
            <w:shd w:fill="FFFFFF" w:val="clear"/>
          </w:tcPr>
          <w:p>
            <w:r>
              <w:rPr>
                <w:sz w:val="16"/>
              </w:rPr>
              <w:t>BIIC BN - Banque internation…</w:t>
            </w:r>
          </w:p>
        </w:tc>
        <w:tc>
          <w:tcPr>
            <w:tcW w:type="dxa" w:w="1701"/>
            <w:shd w:fill="FFFFFF" w:val="clear"/>
          </w:tcPr>
          <w:p>
            <w:r>
              <w:rPr>
                <w:sz w:val="16"/>
              </w:rPr>
              <w:t>SERVICES FINANCIER</w:t>
            </w:r>
          </w:p>
        </w:tc>
        <w:tc>
          <w:tcPr>
            <w:tcW w:type="dxa" w:w="1020"/>
            <w:shd w:fill="FFEB9C" w:val="clear"/>
          </w:tcPr>
          <w:p>
            <w:r>
              <w:rPr>
                <w:b/>
                <w:color w:val="B40000"/>
                <w:sz w:val="16"/>
              </w:rPr>
              <w:t>26.3/100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SICC (34.2/100 — Moyen) : </w:t>
      </w:r>
      <w:r>
        <w:rPr>
          <w:sz w:val="17"/>
        </w:rPr>
        <w:t>Volatilité=Élevée | Bêta=Contre-cyclique | Liquidité=Faible | Divergence signaux=taux divergence=0% (Convergent ✅) | Stabilité=Modérée</w:t>
      </w:r>
    </w:p>
    <w:p>
      <w:pPr>
        <w:pStyle w:val="ListBullet"/>
      </w:pPr>
      <w:r>
        <w:rPr>
          <w:b/>
          <w:color w:val="B40000"/>
          <w:sz w:val="18"/>
        </w:rPr>
        <w:t xml:space="preserve">#2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#3 SAFC (32.8/100 — Moyen) : </w:t>
      </w:r>
      <w:r>
        <w:rPr>
          <w:sz w:val="17"/>
        </w:rPr>
        <w:t>Volatilité=Élevée | Bêta=Agressif | Liquidité=Bonne | Divergence signaux=taux divergence=20% (Mixte ⚠️) | Stabilité=Modérée</w:t>
      </w:r>
    </w:p>
    <w:p>
      <w:pPr>
        <w:pStyle w:val="ListBullet"/>
      </w:pPr>
      <w:r>
        <w:rPr>
          <w:b/>
          <w:color w:val="B40000"/>
          <w:sz w:val="18"/>
        </w:rPr>
        <w:t xml:space="preserve">#4 SNTS (29.3/100 — Moyen) : </w:t>
      </w:r>
      <w:r>
        <w:rPr>
          <w:sz w:val="17"/>
        </w:rPr>
        <w:t>Volatilité=Élevée | Bêta=Agressif | Liquidité=Excellente | Divergence signaux=taux divergence=20% (Mixte ⚠️) | Stabilité=Stable</w:t>
      </w:r>
    </w:p>
    <w:p>
      <w:pPr>
        <w:pStyle w:val="ListBullet"/>
      </w:pPr>
      <w:r>
        <w:rPr>
          <w:b/>
          <w:color w:val="B40000"/>
          <w:sz w:val="18"/>
        </w:rPr>
        <w:t xml:space="preserve">#5 BICB (26.3/100 — Moyen) : </w:t>
      </w:r>
      <w:r>
        <w:rPr>
          <w:sz w:val="17"/>
        </w:rPr>
        <w:t>Volatilité=Élevée | Bêta=Neutre  | Liquidité=Excellente | Divergence signaux=taux divergence=20% (Mixte ⚠️) | Stabilité=Stable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SIBC</w:t>
            </w:r>
          </w:p>
        </w:tc>
        <w:tc>
          <w:tcPr>
            <w:tcW w:type="dxa" w:w="2268"/>
            <w:shd w:fill="FFFFFF" w:val="clear"/>
          </w:tcPr>
          <w:p>
            <w:r>
              <w:rPr>
                <w:sz w:val="16"/>
              </w:rPr>
              <w:t>SIBC - SOCIETE IVOIRIENNE DE…</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BOAS</w:t>
            </w:r>
          </w:p>
        </w:tc>
        <w:tc>
          <w:tcPr>
            <w:tcW w:type="dxa" w:w="2268"/>
            <w:shd w:fill="FFFFFF" w:val="clear"/>
          </w:tcPr>
          <w:p>
            <w:r>
              <w:rPr>
                <w:sz w:val="16"/>
              </w:rPr>
              <w:t>BANK OF AFRICA SENEGAL</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STBC</w:t>
            </w:r>
          </w:p>
        </w:tc>
        <w:tc>
          <w:tcPr>
            <w:tcW w:type="dxa" w:w="2268"/>
            <w:shd w:fill="FFFFFF" w:val="clear"/>
          </w:tcPr>
          <w:p>
            <w:r>
              <w:rPr>
                <w:sz w:val="16"/>
              </w:rPr>
              <w:t>STBC - SITAB COTE D'IVOIRE</w:t>
            </w:r>
          </w:p>
        </w:tc>
        <w:tc>
          <w:tcPr>
            <w:tcW w:type="dxa" w:w="1701"/>
            <w:shd w:fill="FFFFFF" w:val="clear"/>
          </w:tcPr>
          <w:p>
            <w:r>
              <w:rPr>
                <w:sz w:val="16"/>
              </w:rPr>
              <w:t>CONSOMMATION DE BA</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34.2</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Convergent ✅ / Modérée</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32.8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29.3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26.0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24.5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BBGC</w:t>
            </w:r>
          </w:p>
        </w:tc>
        <w:tc>
          <w:tcPr>
            <w:tcW w:type="dxa" w:w="1984"/>
            <w:shd w:fill="FFFFFF" w:val="clear"/>
          </w:tcPr>
          <w:p>
            <w:r>
              <w:rPr>
                <w:sz w:val="15"/>
              </w:rPr>
              <w:t>BRIDGE BANK GROUP COTE…</w:t>
            </w:r>
          </w:p>
        </w:tc>
        <w:tc>
          <w:tcPr>
            <w:tcW w:type="dxa" w:w="1417"/>
            <w:shd w:fill="FFFFFF" w:val="clear"/>
          </w:tcPr>
          <w:p>
            <w:r>
              <w:rPr>
                <w:sz w:val="15"/>
              </w:rPr>
              <w:t>Services Financi</w:t>
            </w:r>
          </w:p>
        </w:tc>
        <w:tc>
          <w:tcPr>
            <w:tcW w:type="dxa" w:w="737"/>
            <w:shd w:fill="FFEB9C" w:val="clear"/>
          </w:tcPr>
          <w:p>
            <w:r>
              <w:rPr>
                <w:b/>
                <w:color w:val="825A00"/>
                <w:sz w:val="15"/>
              </w:rPr>
              <w:t>22.2</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20.5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19.0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C6EFCE" w:val="clear"/>
          </w:tcPr>
          <w:p>
            <w:r>
              <w:rPr>
                <w:b/>
                <w:color w:val="006400"/>
                <w:sz w:val="15"/>
              </w:rPr>
              <w:t>16.8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16.8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13.8</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13.1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48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2F2F2" w:val="clear"/>
          </w:tcPr>
          <w:p>
            <w:r>
              <w:rPr>
                <w:b/>
                <w:color w:val="505050"/>
                <w:sz w:val="18"/>
              </w:rPr>
              <w:t>⚪ NEUTRE / CONSOLIDATION</w:t>
            </w:r>
          </w:p>
        </w:tc>
      </w:tr>
      <w:tr>
        <w:tc>
          <w:tcPr>
            <w:tcW w:type="dxa" w:w="2835"/>
            <w:shd w:fill="DEEAF1" w:val="clear"/>
          </w:tcPr>
          <w:p>
            <w:r>
              <w:rPr>
                <w:b/>
                <w:sz w:val="18"/>
              </w:rPr>
              <w:t>Variation moyenne J+10</w:t>
            </w:r>
          </w:p>
        </w:tc>
        <w:tc>
          <w:tcPr>
            <w:tcW w:type="dxa" w:w="7370"/>
          </w:tcPr>
          <w:p>
            <w:r>
              <w:rPr>
                <w:b/>
                <w:sz w:val="18"/>
              </w:rPr>
              <w:t>+0.44%  |  Médiane : +0.48%</w:t>
            </w:r>
          </w:p>
        </w:tc>
      </w:tr>
      <w:tr>
        <w:tc>
          <w:tcPr>
            <w:tcW w:type="dxa" w:w="2835"/>
            <w:shd w:fill="DEEAF1" w:val="clear"/>
          </w:tcPr>
          <w:p>
            <w:r>
              <w:rPr>
                <w:b/>
                <w:sz w:val="18"/>
              </w:rPr>
              <w:t>Répartition</w:t>
            </w:r>
          </w:p>
        </w:tc>
        <w:tc>
          <w:tcPr>
            <w:tcW w:type="dxa" w:w="7370"/>
          </w:tcPr>
          <w:p>
            <w:r>
              <w:rPr>
                <w:b/>
                <w:sz w:val="18"/>
              </w:rPr>
              <w:t>📈 18 sociétés en hausse (&gt;+1%)   📉 19 en baisse (&lt;-1%)   ➡️ 8 neutres</w:t>
            </w:r>
          </w:p>
        </w:tc>
      </w:tr>
      <w:tr>
        <w:tc>
          <w:tcPr>
            <w:tcW w:type="dxa" w:w="2835"/>
            <w:shd w:fill="DEEAF1" w:val="clear"/>
          </w:tcPr>
          <w:p>
            <w:r>
              <w:rPr>
                <w:b/>
                <w:sz w:val="18"/>
              </w:rPr>
              <w:t>Confiance globale</w:t>
            </w:r>
          </w:p>
        </w:tc>
        <w:tc>
          <w:tcPr>
            <w:tcW w:type="dxa" w:w="7370"/>
          </w:tcPr>
          <w:p>
            <w:r>
              <w:rPr>
                <w:b/>
                <w:sz w:val="18"/>
              </w:rPr>
              <w:t>Élevée : 0 sociétés (0%)   Moyenne : 8   Faible : 37 (82%)   → Confiance dominante : Faible</w:t>
            </w:r>
          </w:p>
        </w:tc>
      </w:tr>
    </w:tbl>
    <w:p/>
    <w:p>
      <w:r>
        <w:rPr>
          <w:i/>
          <w:color w:val="282828"/>
          <w:sz w:val="18"/>
        </w:rPr>
        <w:t>📝 Analyse : Les modèles n'anticipent pas de mouvement directionnel clair. La variation moyenne est de +0.44% avec 8 sociétés en zone neutre (±1%).</w:t>
      </w:r>
    </w:p>
    <w:p>
      <w:r>
        <w:rPr>
          <w:i/>
          <w:color w:val="282828"/>
          <w:sz w:val="18"/>
        </w:rPr>
        <w:t>🎯 Fiabilité : ⚠️ La confiance est globalement FAIBLE (82%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2,270 FCFA</w:t>
            </w:r>
          </w:p>
        </w:tc>
        <w:tc>
          <w:tcPr>
            <w:tcW w:type="dxa" w:w="1417"/>
            <w:shd w:fill="FFFFFF" w:val="clear"/>
          </w:tcPr>
          <w:p>
            <w:r>
              <w:rPr>
                <w:sz w:val="16"/>
              </w:rPr>
              <w:t>3,082 FCFA</w:t>
            </w:r>
          </w:p>
        </w:tc>
        <w:tc>
          <w:tcPr>
            <w:tcW w:type="dxa" w:w="1134"/>
            <w:shd w:fill="C6EFCE" w:val="clear"/>
          </w:tcPr>
          <w:p>
            <w:r>
              <w:rPr>
                <w:b/>
                <w:color w:val="007800"/>
                <w:sz w:val="16"/>
              </w:rPr>
              <w:t>+35.78%</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21,350 FCFA</w:t>
            </w:r>
          </w:p>
        </w:tc>
        <w:tc>
          <w:tcPr>
            <w:tcW w:type="dxa" w:w="1417"/>
            <w:shd w:fill="FFFFFF" w:val="clear"/>
          </w:tcPr>
          <w:p>
            <w:r>
              <w:rPr>
                <w:sz w:val="16"/>
              </w:rPr>
              <w:t>24,505 FCFA</w:t>
            </w:r>
          </w:p>
        </w:tc>
        <w:tc>
          <w:tcPr>
            <w:tcW w:type="dxa" w:w="1134"/>
            <w:shd w:fill="C6EFCE" w:val="clear"/>
          </w:tcPr>
          <w:p>
            <w:r>
              <w:rPr>
                <w:b/>
                <w:color w:val="007800"/>
                <w:sz w:val="16"/>
              </w:rPr>
              <w:t>+14.78%</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BICB — BIIC BN - Banque internationale pou...</w:t>
            </w:r>
          </w:p>
        </w:tc>
        <w:tc>
          <w:tcPr>
            <w:tcW w:type="dxa" w:w="1701"/>
            <w:shd w:fill="FFFFFF" w:val="clear"/>
          </w:tcPr>
          <w:p>
            <w:r>
              <w:rPr>
                <w:sz w:val="16"/>
              </w:rPr>
              <w:t>SERVICES FINANCIERS</w:t>
            </w:r>
          </w:p>
        </w:tc>
        <w:tc>
          <w:tcPr>
            <w:tcW w:type="dxa" w:w="1417"/>
            <w:shd w:fill="FFFFFF" w:val="clear"/>
          </w:tcPr>
          <w:p>
            <w:r>
              <w:rPr>
                <w:sz w:val="16"/>
              </w:rPr>
              <w:t>8,400 FCFA</w:t>
            </w:r>
          </w:p>
        </w:tc>
        <w:tc>
          <w:tcPr>
            <w:tcW w:type="dxa" w:w="1417"/>
            <w:shd w:fill="FFFFFF" w:val="clear"/>
          </w:tcPr>
          <w:p>
            <w:r>
              <w:rPr>
                <w:sz w:val="16"/>
              </w:rPr>
              <w:t>9,296 FCFA</w:t>
            </w:r>
          </w:p>
        </w:tc>
        <w:tc>
          <w:tcPr>
            <w:tcW w:type="dxa" w:w="1134"/>
            <w:shd w:fill="C6EFCE" w:val="clear"/>
          </w:tcPr>
          <w:p>
            <w:r>
              <w:rPr>
                <w:b/>
                <w:color w:val="007800"/>
                <w:sz w:val="16"/>
              </w:rPr>
              <w:t>+10.67%</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SIVC — SIVC - ERIUM CI (Ex AIR LIQUIDECI)</w:t>
            </w:r>
          </w:p>
        </w:tc>
        <w:tc>
          <w:tcPr>
            <w:tcW w:type="dxa" w:w="1701"/>
            <w:shd w:fill="FFFFFF" w:val="clear"/>
          </w:tcPr>
          <w:p>
            <w:r>
              <w:rPr>
                <w:sz w:val="16"/>
              </w:rPr>
              <w:t>INDUSTRIELS</w:t>
            </w:r>
          </w:p>
        </w:tc>
        <w:tc>
          <w:tcPr>
            <w:tcW w:type="dxa" w:w="1417"/>
            <w:shd w:fill="FFFFFF" w:val="clear"/>
          </w:tcPr>
          <w:p>
            <w:r>
              <w:rPr>
                <w:sz w:val="16"/>
              </w:rPr>
              <w:t>1,790 FCFA</w:t>
            </w:r>
          </w:p>
        </w:tc>
        <w:tc>
          <w:tcPr>
            <w:tcW w:type="dxa" w:w="1417"/>
            <w:shd w:fill="FFFFFF" w:val="clear"/>
          </w:tcPr>
          <w:p>
            <w:r>
              <w:rPr>
                <w:sz w:val="16"/>
              </w:rPr>
              <w:t>1,888 FCFA</w:t>
            </w:r>
          </w:p>
        </w:tc>
        <w:tc>
          <w:tcPr>
            <w:tcW w:type="dxa" w:w="1134"/>
            <w:shd w:fill="C6EFCE" w:val="clear"/>
          </w:tcPr>
          <w:p>
            <w:r>
              <w:rPr>
                <w:b/>
                <w:color w:val="007800"/>
                <w:sz w:val="16"/>
              </w:rPr>
              <w:t>+5.50%</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BOAN — BANK OF AFRICA NIGER</w:t>
            </w:r>
          </w:p>
        </w:tc>
        <w:tc>
          <w:tcPr>
            <w:tcW w:type="dxa" w:w="1701"/>
            <w:shd w:fill="FFFFFF" w:val="clear"/>
          </w:tcPr>
          <w:p>
            <w:r>
              <w:rPr>
                <w:sz w:val="16"/>
              </w:rPr>
              <w:t>SERVICES FINANCIERS</w:t>
            </w:r>
          </w:p>
        </w:tc>
        <w:tc>
          <w:tcPr>
            <w:tcW w:type="dxa" w:w="1417"/>
            <w:shd w:fill="FFFFFF" w:val="clear"/>
          </w:tcPr>
          <w:p>
            <w:r>
              <w:rPr>
                <w:sz w:val="16"/>
              </w:rPr>
              <w:t>4,700 FCFA</w:t>
            </w:r>
          </w:p>
        </w:tc>
        <w:tc>
          <w:tcPr>
            <w:tcW w:type="dxa" w:w="1417"/>
            <w:shd w:fill="FFFFFF" w:val="clear"/>
          </w:tcPr>
          <w:p>
            <w:r>
              <w:rPr>
                <w:sz w:val="16"/>
              </w:rPr>
              <w:t>4,947 FCFA</w:t>
            </w:r>
          </w:p>
        </w:tc>
        <w:tc>
          <w:tcPr>
            <w:tcW w:type="dxa" w:w="1134"/>
            <w:shd w:fill="C6EFCE" w:val="clear"/>
          </w:tcPr>
          <w:p>
            <w:r>
              <w:rPr>
                <w:b/>
                <w:color w:val="007800"/>
                <w:sz w:val="16"/>
              </w:rPr>
              <w:t>+5.26%</w:t>
            </w:r>
          </w:p>
        </w:tc>
        <w:tc>
          <w:tcPr>
            <w:tcW w:type="dxa" w:w="1020"/>
            <w:shd w:fill="FFC7CE" w:val="clear"/>
          </w:tcPr>
          <w:p>
            <w:r>
              <w:rPr>
                <w:sz w:val="16"/>
              </w:rPr>
              <w:t>Faible</w:t>
            </w:r>
          </w:p>
        </w:tc>
      </w:tr>
    </w:tbl>
    <w:p/>
    <w:p>
      <w:pPr>
        <w:pStyle w:val="ListBullet"/>
      </w:pPr>
      <w:r>
        <w:rPr>
          <w:b/>
          <w:color w:val="006400"/>
          <w:sz w:val="18"/>
        </w:rPr>
        <w:t xml:space="preserve">#1 SCRC </w:t>
      </w:r>
      <w:r>
        <w:rPr>
          <w:sz w:val="17"/>
        </w:rPr>
        <w:t>(SCRC - SUCRIVOIRE) — hausse très forte (+35.8%) — signal potentiellement excessif, à croiser avec l'analyse technique. Trajectoire : 📈 Hausse continue. Cours actuel : 2,270 FCFA → prédit J+10 : 3,082 FCFA. ⚠️ Confiance limitée — volatilité élevée ou données insuffisantes. Résultat indicatif uniquement.</w:t>
      </w:r>
    </w:p>
    <w:p>
      <w:pPr>
        <w:pStyle w:val="ListBullet"/>
      </w:pPr>
      <w:r>
        <w:rPr>
          <w:b/>
          <w:color w:val="006400"/>
          <w:sz w:val="18"/>
        </w:rPr>
        <w:t xml:space="preserve">#2 STBC </w:t>
      </w:r>
      <w:r>
        <w:rPr>
          <w:sz w:val="17"/>
        </w:rPr>
        <w:t>(STBC - SITAB COTE D'IVOIRE) — hausse significative (+14.8%) — potentiel de revalorisation notable. Trajectoire : 📈 Hausse continue. Cours actuel : 21,350 FCFA → prédit J+10 : 24,505 FCFA. ⚠️ Confiance limitée — volatilité élevée ou données insuffisantes. Résultat indicatif uniquement.</w:t>
      </w:r>
    </w:p>
    <w:p>
      <w:pPr>
        <w:pStyle w:val="ListBullet"/>
      </w:pPr>
      <w:r>
        <w:rPr>
          <w:b/>
          <w:color w:val="006400"/>
          <w:sz w:val="18"/>
        </w:rPr>
        <w:t xml:space="preserve">#3 BICB </w:t>
      </w:r>
      <w:r>
        <w:rPr>
          <w:sz w:val="17"/>
        </w:rPr>
        <w:t>(BIIC BN - Banque internationale pour le ) — hausse significative (+10.7%) — potentiel de revalorisation notable. Trajectoire : 📈 Hausse continue. Cours actuel : 8,400 FCFA → prédit J+10 : 9,296 FCFA. ⚠️ Confiance limitée — volatilité élevée ou données insuffisantes. Résultat indicatif uniquement.</w:t>
      </w:r>
    </w:p>
    <w:p>
      <w:pPr>
        <w:pStyle w:val="ListBullet"/>
      </w:pPr>
      <w:r>
        <w:rPr>
          <w:b/>
          <w:color w:val="006400"/>
          <w:sz w:val="18"/>
        </w:rPr>
        <w:t xml:space="preserve">#4 SIVC </w:t>
      </w:r>
      <w:r>
        <w:rPr>
          <w:sz w:val="17"/>
        </w:rPr>
        <w:t>(SIVC - ERIUM CI (Ex AIR LIQUIDECI)) — hausse modérée (+5.5%) — signal raisonnable et crédible. Trajectoire : 📈 Hausse continue. Cours actuel : 1,790 FCFA → prédit J+10 : 1,888 FCFA. ⚠️ Confiance limitée — volatilité élevée ou données insuffisantes. Résultat indicatif uniquement.</w:t>
      </w:r>
    </w:p>
    <w:p>
      <w:pPr>
        <w:pStyle w:val="ListBullet"/>
      </w:pPr>
      <w:r>
        <w:rPr>
          <w:b/>
          <w:color w:val="006400"/>
          <w:sz w:val="18"/>
        </w:rPr>
        <w:t xml:space="preserve">#5 BOAN </w:t>
      </w:r>
      <w:r>
        <w:rPr>
          <w:sz w:val="17"/>
        </w:rPr>
        <w:t>(BANK OF AFRICA NIGER) — hausse modérée (+5.3%) — signal raisonnable et crédible. Trajectoire : 📈 Hausse continue. Cours actuel : 4,700 FCFA → prédit J+10 : 4,947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BOAS — BANK OF AFRICA SENEGAL</w:t>
            </w:r>
          </w:p>
        </w:tc>
        <w:tc>
          <w:tcPr>
            <w:tcW w:type="dxa" w:w="1701"/>
            <w:shd w:fill="FFFFFF" w:val="clear"/>
          </w:tcPr>
          <w:p>
            <w:r>
              <w:rPr>
                <w:sz w:val="16"/>
              </w:rPr>
              <w:t>SERVICES FINANCIERS</w:t>
            </w:r>
          </w:p>
        </w:tc>
        <w:tc>
          <w:tcPr>
            <w:tcW w:type="dxa" w:w="1417"/>
            <w:shd w:fill="FFFFFF" w:val="clear"/>
          </w:tcPr>
          <w:p>
            <w:r>
              <w:rPr>
                <w:sz w:val="16"/>
              </w:rPr>
              <w:t>8,150 FCFA</w:t>
            </w:r>
          </w:p>
        </w:tc>
        <w:tc>
          <w:tcPr>
            <w:tcW w:type="dxa" w:w="1417"/>
            <w:shd w:fill="FFFFFF" w:val="clear"/>
          </w:tcPr>
          <w:p>
            <w:r>
              <w:rPr>
                <w:sz w:val="16"/>
              </w:rPr>
              <w:t>7,110 FCFA</w:t>
            </w:r>
          </w:p>
        </w:tc>
        <w:tc>
          <w:tcPr>
            <w:tcW w:type="dxa" w:w="1134"/>
            <w:shd w:fill="FFC7CE" w:val="clear"/>
          </w:tcPr>
          <w:p>
            <w:r>
              <w:rPr>
                <w:b/>
                <w:color w:val="B40000"/>
                <w:sz w:val="16"/>
              </w:rPr>
              <w:t>-12.75%</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FFC7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20,510 FCFA</w:t>
            </w:r>
          </w:p>
        </w:tc>
        <w:tc>
          <w:tcPr>
            <w:tcW w:type="dxa" w:w="1417"/>
            <w:shd w:fill="FFFFFF" w:val="clear"/>
          </w:tcPr>
          <w:p>
            <w:r>
              <w:rPr>
                <w:sz w:val="16"/>
              </w:rPr>
              <w:t>18,450 FCFA</w:t>
            </w:r>
          </w:p>
        </w:tc>
        <w:tc>
          <w:tcPr>
            <w:tcW w:type="dxa" w:w="1134"/>
            <w:shd w:fill="FFC7CE" w:val="clear"/>
          </w:tcPr>
          <w:p>
            <w:r>
              <w:rPr>
                <w:b/>
                <w:color w:val="B40000"/>
                <w:sz w:val="16"/>
              </w:rPr>
              <w:t>-10.04%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31,500 FCFA</w:t>
            </w:r>
          </w:p>
        </w:tc>
        <w:tc>
          <w:tcPr>
            <w:tcW w:type="dxa" w:w="1417"/>
            <w:shd w:fill="FFFFFF" w:val="clear"/>
          </w:tcPr>
          <w:p>
            <w:r>
              <w:rPr>
                <w:sz w:val="16"/>
              </w:rPr>
              <w:t>28,719 FCFA</w:t>
            </w:r>
          </w:p>
        </w:tc>
        <w:tc>
          <w:tcPr>
            <w:tcW w:type="dxa" w:w="1134"/>
            <w:shd w:fill="FFC7CE" w:val="clear"/>
          </w:tcPr>
          <w:p>
            <w:r>
              <w:rPr>
                <w:b/>
                <w:color w:val="B40000"/>
                <w:sz w:val="16"/>
              </w:rPr>
              <w:t>-8.83%</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5,700 FCFA</w:t>
            </w:r>
          </w:p>
        </w:tc>
        <w:tc>
          <w:tcPr>
            <w:tcW w:type="dxa" w:w="1417"/>
            <w:shd w:fill="FFFFFF" w:val="clear"/>
          </w:tcPr>
          <w:p>
            <w:r>
              <w:rPr>
                <w:sz w:val="16"/>
              </w:rPr>
              <w:t>5,317 FCFA</w:t>
            </w:r>
          </w:p>
        </w:tc>
        <w:tc>
          <w:tcPr>
            <w:tcW w:type="dxa" w:w="1134"/>
            <w:shd w:fill="FFC7CE" w:val="clear"/>
          </w:tcPr>
          <w:p>
            <w:r>
              <w:rPr>
                <w:b/>
                <w:color w:val="B40000"/>
                <w:sz w:val="16"/>
              </w:rPr>
              <w:t>-6.72%</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1,800 FCFA</w:t>
            </w:r>
          </w:p>
        </w:tc>
        <w:tc>
          <w:tcPr>
            <w:tcW w:type="dxa" w:w="1417"/>
            <w:shd w:fill="FFFFFF" w:val="clear"/>
          </w:tcPr>
          <w:p>
            <w:r>
              <w:rPr>
                <w:sz w:val="16"/>
              </w:rPr>
              <w:t>1,689 FCFA</w:t>
            </w:r>
          </w:p>
        </w:tc>
        <w:tc>
          <w:tcPr>
            <w:tcW w:type="dxa" w:w="1134"/>
            <w:shd w:fill="FFC7CE" w:val="clear"/>
          </w:tcPr>
          <w:p>
            <w:r>
              <w:rPr>
                <w:b/>
                <w:color w:val="B40000"/>
                <w:sz w:val="16"/>
              </w:rPr>
              <w:t>-6.14%</w:t>
            </w:r>
          </w:p>
        </w:tc>
        <w:tc>
          <w:tcPr>
            <w:tcW w:type="dxa" w:w="1020"/>
            <w:shd w:fill="FFC7CE" w:val="clear"/>
          </w:tcPr>
          <w:p>
            <w:r>
              <w:rPr>
                <w:sz w:val="16"/>
              </w:rPr>
              <w:t>Faible</w:t>
            </w:r>
          </w:p>
        </w:tc>
      </w:tr>
    </w:tbl>
    <w:p/>
    <w:p>
      <w:pPr>
        <w:pStyle w:val="ListBullet"/>
      </w:pPr>
      <w:r>
        <w:rPr>
          <w:b/>
          <w:color w:val="B40000"/>
          <w:sz w:val="18"/>
        </w:rPr>
        <w:t xml:space="preserve">#1 BOAS </w:t>
      </w:r>
      <w:r>
        <w:rPr>
          <w:sz w:val="17"/>
        </w:rPr>
        <w:t>(BANK OF AFRICA SENEGAL) — baisse modérée (-12.8%) — repli technique attendu. Trajectoire : 📉 Baisse continue. Cours actuel : 8,150 FCFA → prédit J+10 : 7,110 FCFA. Confiance partielle — surveiller l'évolution réelle des premiers jours.</w:t>
      </w:r>
    </w:p>
    <w:p>
      <w:pPr>
        <w:pStyle w:val="ListBullet"/>
      </w:pPr>
      <w:r>
        <w:rPr>
          <w:b/>
          <w:color w:val="B40000"/>
          <w:sz w:val="18"/>
        </w:rPr>
        <w:t xml:space="preserve">#2 NSBC </w:t>
      </w:r>
      <w:r>
        <w:rPr>
          <w:sz w:val="17"/>
        </w:rPr>
        <w:t>(NSBC - NSIA BANQUE COTE D'IVOIRE) — baisse modérée (-10.0%) — repli technique attendu. Trajectoire : 📉 Baisse continue. Cours actuel : 20,510 FCFA → prédit J+10 : 18,450 FCFA. ⚠️ Confiance limitée — volatilité élevée. Ne pas agir sur ce seul signal.</w:t>
      </w:r>
    </w:p>
    <w:p>
      <w:pPr>
        <w:pStyle w:val="ListBullet"/>
      </w:pPr>
      <w:r>
        <w:rPr>
          <w:b/>
          <w:color w:val="B40000"/>
          <w:sz w:val="18"/>
        </w:rPr>
        <w:t xml:space="preserve">#3 CBIBF </w:t>
      </w:r>
      <w:r>
        <w:rPr>
          <w:sz w:val="17"/>
        </w:rPr>
        <w:t>(CBIBF - CORIS BANK INTERNATIONAL BURKINA) — baisse modérée (-8.8%) — repli technique attendu. Trajectoire : 📉 Baisse continue. Cours actuel : 31,500 FCFA → prédit J+10 : 28,719 FCFA. ⚠️ Confiance limitée — volatilité élevée. Ne pas agir sur ce seul signal.</w:t>
      </w:r>
    </w:p>
    <w:p>
      <w:pPr>
        <w:pStyle w:val="ListBullet"/>
      </w:pPr>
      <w:r>
        <w:rPr>
          <w:b/>
          <w:color w:val="B40000"/>
          <w:sz w:val="18"/>
        </w:rPr>
        <w:t xml:space="preserve">#4 BOAM </w:t>
      </w:r>
      <w:r>
        <w:rPr>
          <w:sz w:val="17"/>
        </w:rPr>
        <w:t>(BANK OF AFRICA MALI) — baisse modérée (-6.7%) — repli technique attendu. Trajectoire : 📉 Baisse continue. Cours actuel : 5,700 FCFA → prédit J+10 : 5,317 FCFA. ⚠️ Confiance limitée — volatilité élevée. Ne pas agir sur ce seul signal.</w:t>
      </w:r>
    </w:p>
    <w:p>
      <w:pPr>
        <w:pStyle w:val="ListBullet"/>
      </w:pPr>
      <w:r>
        <w:rPr>
          <w:b/>
          <w:color w:val="B40000"/>
          <w:sz w:val="18"/>
        </w:rPr>
        <w:t xml:space="preserve">#5 FTSC </w:t>
      </w:r>
      <w:r>
        <w:rPr>
          <w:sz w:val="17"/>
        </w:rPr>
        <w:t>(FTSC - FILTISAC COTE D'IVOIRE) — baisse modérée (-6.1%) — repli technique attendu. Trajectoire : 📉 Baisse continue. Cours actuel : 1,800 FCFA → prédit J+10 : 1,689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2,270</w:t>
            </w:r>
          </w:p>
        </w:tc>
        <w:tc>
          <w:tcPr>
            <w:tcW w:type="dxa" w:w="1417"/>
            <w:shd w:fill="FFFFFF" w:val="clear"/>
          </w:tcPr>
          <w:p>
            <w:r>
              <w:rPr>
                <w:sz w:val="16"/>
              </w:rPr>
              <w:t>3,082</w:t>
            </w:r>
          </w:p>
        </w:tc>
        <w:tc>
          <w:tcPr>
            <w:tcW w:type="dxa" w:w="1134"/>
            <w:shd w:fill="C6EFCE" w:val="clear"/>
          </w:tcPr>
          <w:p>
            <w:r>
              <w:rPr>
                <w:b/>
                <w:color w:val="007800"/>
                <w:sz w:val="16"/>
              </w:rPr>
              <w:t>+35.78%</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21,350</w:t>
            </w:r>
          </w:p>
        </w:tc>
        <w:tc>
          <w:tcPr>
            <w:tcW w:type="dxa" w:w="1417"/>
            <w:shd w:fill="FFFFFF" w:val="clear"/>
          </w:tcPr>
          <w:p>
            <w:r>
              <w:rPr>
                <w:sz w:val="16"/>
              </w:rPr>
              <w:t>24,505</w:t>
            </w:r>
          </w:p>
        </w:tc>
        <w:tc>
          <w:tcPr>
            <w:tcW w:type="dxa" w:w="1134"/>
            <w:shd w:fill="C6EFCE" w:val="clear"/>
          </w:tcPr>
          <w:p>
            <w:r>
              <w:rPr>
                <w:b/>
                <w:color w:val="007800"/>
                <w:sz w:val="16"/>
              </w:rPr>
              <w:t>+14.78%</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8,400</w:t>
            </w:r>
          </w:p>
        </w:tc>
        <w:tc>
          <w:tcPr>
            <w:tcW w:type="dxa" w:w="1417"/>
            <w:shd w:fill="FFFFFF" w:val="clear"/>
          </w:tcPr>
          <w:p>
            <w:r>
              <w:rPr>
                <w:sz w:val="16"/>
              </w:rPr>
              <w:t>9,296</w:t>
            </w:r>
          </w:p>
        </w:tc>
        <w:tc>
          <w:tcPr>
            <w:tcW w:type="dxa" w:w="1134"/>
            <w:shd w:fill="C6EFCE" w:val="clear"/>
          </w:tcPr>
          <w:p>
            <w:r>
              <w:rPr>
                <w:b/>
                <w:color w:val="007800"/>
                <w:sz w:val="16"/>
              </w:rPr>
              <w:t>+10.67%</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1,790</w:t>
            </w:r>
          </w:p>
        </w:tc>
        <w:tc>
          <w:tcPr>
            <w:tcW w:type="dxa" w:w="1417"/>
            <w:shd w:fill="FFFFFF" w:val="clear"/>
          </w:tcPr>
          <w:p>
            <w:r>
              <w:rPr>
                <w:sz w:val="16"/>
              </w:rPr>
              <w:t>1,888</w:t>
            </w:r>
          </w:p>
        </w:tc>
        <w:tc>
          <w:tcPr>
            <w:tcW w:type="dxa" w:w="1134"/>
            <w:shd w:fill="C6EFCE" w:val="clear"/>
          </w:tcPr>
          <w:p>
            <w:r>
              <w:rPr>
                <w:b/>
                <w:color w:val="007800"/>
                <w:sz w:val="16"/>
              </w:rPr>
              <w:t>+5.50%</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4,700</w:t>
            </w:r>
          </w:p>
        </w:tc>
        <w:tc>
          <w:tcPr>
            <w:tcW w:type="dxa" w:w="1417"/>
            <w:shd w:fill="FFFFFF" w:val="clear"/>
          </w:tcPr>
          <w:p>
            <w:r>
              <w:rPr>
                <w:sz w:val="16"/>
              </w:rPr>
              <w:t>4,947</w:t>
            </w:r>
          </w:p>
        </w:tc>
        <w:tc>
          <w:tcPr>
            <w:tcW w:type="dxa" w:w="1134"/>
            <w:shd w:fill="C6EFCE" w:val="clear"/>
          </w:tcPr>
          <w:p>
            <w:r>
              <w:rPr>
                <w:b/>
                <w:color w:val="007800"/>
                <w:sz w:val="16"/>
              </w:rPr>
              <w:t>+5.26%</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5,800</w:t>
            </w:r>
          </w:p>
        </w:tc>
        <w:tc>
          <w:tcPr>
            <w:tcW w:type="dxa" w:w="1417"/>
            <w:shd w:fill="FFFFFF" w:val="clear"/>
          </w:tcPr>
          <w:p>
            <w:r>
              <w:rPr>
                <w:sz w:val="16"/>
              </w:rPr>
              <w:t>6,071</w:t>
            </w:r>
          </w:p>
        </w:tc>
        <w:tc>
          <w:tcPr>
            <w:tcW w:type="dxa" w:w="1134"/>
            <w:shd w:fill="C6EFCE" w:val="clear"/>
          </w:tcPr>
          <w:p>
            <w:r>
              <w:rPr>
                <w:b/>
                <w:color w:val="007800"/>
                <w:sz w:val="16"/>
              </w:rPr>
              <w:t>+4.68%</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1,450</w:t>
            </w:r>
          </w:p>
        </w:tc>
        <w:tc>
          <w:tcPr>
            <w:tcW w:type="dxa" w:w="1417"/>
            <w:shd w:fill="FFFFFF" w:val="clear"/>
          </w:tcPr>
          <w:p>
            <w:r>
              <w:rPr>
                <w:sz w:val="16"/>
              </w:rPr>
              <w:t>1,504</w:t>
            </w:r>
          </w:p>
        </w:tc>
        <w:tc>
          <w:tcPr>
            <w:tcW w:type="dxa" w:w="1134"/>
            <w:shd w:fill="C6EFCE" w:val="clear"/>
          </w:tcPr>
          <w:p>
            <w:r>
              <w:rPr>
                <w:b/>
                <w:color w:val="007800"/>
                <w:sz w:val="16"/>
              </w:rPr>
              <w:t>+3.71%</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38,500</w:t>
            </w:r>
          </w:p>
        </w:tc>
        <w:tc>
          <w:tcPr>
            <w:tcW w:type="dxa" w:w="1417"/>
            <w:shd w:fill="FFFFFF" w:val="clear"/>
          </w:tcPr>
          <w:p>
            <w:r>
              <w:rPr>
                <w:sz w:val="16"/>
              </w:rPr>
              <w:t>39,851</w:t>
            </w:r>
          </w:p>
        </w:tc>
        <w:tc>
          <w:tcPr>
            <w:tcW w:type="dxa" w:w="1134"/>
            <w:shd w:fill="C6EFCE" w:val="clear"/>
          </w:tcPr>
          <w:p>
            <w:r>
              <w:rPr>
                <w:b/>
                <w:color w:val="007800"/>
                <w:sz w:val="16"/>
              </w:rPr>
              <w:t>+3.51%</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15,900</w:t>
            </w:r>
          </w:p>
        </w:tc>
        <w:tc>
          <w:tcPr>
            <w:tcW w:type="dxa" w:w="1417"/>
            <w:shd w:fill="FFFFFF" w:val="clear"/>
          </w:tcPr>
          <w:p>
            <w:r>
              <w:rPr>
                <w:sz w:val="16"/>
              </w:rPr>
              <w:t>16,360</w:t>
            </w:r>
          </w:p>
        </w:tc>
        <w:tc>
          <w:tcPr>
            <w:tcW w:type="dxa" w:w="1134"/>
            <w:shd w:fill="C6EFCE" w:val="clear"/>
          </w:tcPr>
          <w:p>
            <w:r>
              <w:rPr>
                <w:b/>
                <w:color w:val="007800"/>
                <w:sz w:val="16"/>
              </w:rPr>
              <w:t>+2.89%</w:t>
            </w:r>
          </w:p>
        </w:tc>
        <w:tc>
          <w:tcPr>
            <w:tcW w:type="dxa" w:w="1134"/>
            <w:shd w:fill="FFEB9C" w:val="clear"/>
          </w:tcPr>
          <w:p>
            <w:r>
              <w:rPr>
                <w:sz w:val="16"/>
              </w:rPr>
              <w:t>Moyenne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14,700</w:t>
            </w:r>
          </w:p>
        </w:tc>
        <w:tc>
          <w:tcPr>
            <w:tcW w:type="dxa" w:w="1417"/>
            <w:shd w:fill="FFFFFF" w:val="clear"/>
          </w:tcPr>
          <w:p>
            <w:r>
              <w:rPr>
                <w:sz w:val="16"/>
              </w:rPr>
              <w:t>15,116</w:t>
            </w:r>
          </w:p>
        </w:tc>
        <w:tc>
          <w:tcPr>
            <w:tcW w:type="dxa" w:w="1134"/>
            <w:shd w:fill="C6EFCE" w:val="clear"/>
          </w:tcPr>
          <w:p>
            <w:r>
              <w:rPr>
                <w:b/>
                <w:color w:val="007800"/>
                <w:sz w:val="16"/>
              </w:rPr>
              <w:t>+2.83%</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3,900</w:t>
            </w:r>
          </w:p>
        </w:tc>
        <w:tc>
          <w:tcPr>
            <w:tcW w:type="dxa" w:w="1417"/>
            <w:shd w:fill="FFFFFF" w:val="clear"/>
          </w:tcPr>
          <w:p>
            <w:r>
              <w:rPr>
                <w:sz w:val="16"/>
              </w:rPr>
              <w:t>4,010</w:t>
            </w:r>
          </w:p>
        </w:tc>
        <w:tc>
          <w:tcPr>
            <w:tcW w:type="dxa" w:w="1134"/>
            <w:shd w:fill="C6EFCE" w:val="clear"/>
          </w:tcPr>
          <w:p>
            <w:r>
              <w:rPr>
                <w:b/>
                <w:color w:val="007800"/>
                <w:sz w:val="16"/>
              </w:rPr>
              <w:t>+2.82%</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2,030</w:t>
            </w:r>
          </w:p>
        </w:tc>
        <w:tc>
          <w:tcPr>
            <w:tcW w:type="dxa" w:w="1417"/>
            <w:shd w:fill="FFFFFF" w:val="clear"/>
          </w:tcPr>
          <w:p>
            <w:r>
              <w:rPr>
                <w:sz w:val="16"/>
              </w:rPr>
              <w:t>2,073</w:t>
            </w:r>
          </w:p>
        </w:tc>
        <w:tc>
          <w:tcPr>
            <w:tcW w:type="dxa" w:w="1134"/>
            <w:shd w:fill="C6EFCE" w:val="clear"/>
          </w:tcPr>
          <w:p>
            <w:r>
              <w:rPr>
                <w:b/>
                <w:color w:val="007800"/>
                <w:sz w:val="16"/>
              </w:rPr>
              <w:t>+2.12%</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2,190</w:t>
            </w:r>
          </w:p>
        </w:tc>
        <w:tc>
          <w:tcPr>
            <w:tcW w:type="dxa" w:w="1417"/>
            <w:shd w:fill="FFFFFF" w:val="clear"/>
          </w:tcPr>
          <w:p>
            <w:r>
              <w:rPr>
                <w:sz w:val="16"/>
              </w:rPr>
              <w:t>2,234</w:t>
            </w:r>
          </w:p>
        </w:tc>
        <w:tc>
          <w:tcPr>
            <w:tcW w:type="dxa" w:w="1134"/>
            <w:shd w:fill="C6EFCE" w:val="clear"/>
          </w:tcPr>
          <w:p>
            <w:r>
              <w:rPr>
                <w:b/>
                <w:color w:val="007800"/>
                <w:sz w:val="16"/>
              </w:rPr>
              <w:t>+2.01%</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43,500</w:t>
            </w:r>
          </w:p>
        </w:tc>
        <w:tc>
          <w:tcPr>
            <w:tcW w:type="dxa" w:w="1417"/>
            <w:shd w:fill="FFFFFF" w:val="clear"/>
          </w:tcPr>
          <w:p>
            <w:r>
              <w:rPr>
                <w:sz w:val="16"/>
              </w:rPr>
              <w:t>44,213</w:t>
            </w:r>
          </w:p>
        </w:tc>
        <w:tc>
          <w:tcPr>
            <w:tcW w:type="dxa" w:w="1134"/>
            <w:shd w:fill="C6EFCE" w:val="clear"/>
          </w:tcPr>
          <w:p>
            <w:r>
              <w:rPr>
                <w:b/>
                <w:color w:val="007800"/>
                <w:sz w:val="16"/>
              </w:rPr>
              <w:t>+1.64%</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12,900</w:t>
            </w:r>
          </w:p>
        </w:tc>
        <w:tc>
          <w:tcPr>
            <w:tcW w:type="dxa" w:w="1417"/>
            <w:shd w:fill="FFFFFF" w:val="clear"/>
          </w:tcPr>
          <w:p>
            <w:r>
              <w:rPr>
                <w:sz w:val="16"/>
              </w:rPr>
              <w:t>13,092</w:t>
            </w:r>
          </w:p>
        </w:tc>
        <w:tc>
          <w:tcPr>
            <w:tcW w:type="dxa" w:w="1134"/>
            <w:shd w:fill="C6EFCE" w:val="clear"/>
          </w:tcPr>
          <w:p>
            <w:r>
              <w:rPr>
                <w:b/>
                <w:color w:val="007800"/>
                <w:sz w:val="16"/>
              </w:rPr>
              <w:t>+1.49%</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20,600</w:t>
            </w:r>
          </w:p>
        </w:tc>
        <w:tc>
          <w:tcPr>
            <w:tcW w:type="dxa" w:w="1417"/>
            <w:shd w:fill="FFFFFF" w:val="clear"/>
          </w:tcPr>
          <w:p>
            <w:r>
              <w:rPr>
                <w:sz w:val="16"/>
              </w:rPr>
              <w:t>20,857</w:t>
            </w:r>
          </w:p>
        </w:tc>
        <w:tc>
          <w:tcPr>
            <w:tcW w:type="dxa" w:w="1134"/>
            <w:shd w:fill="C6EFCE" w:val="clear"/>
          </w:tcPr>
          <w:p>
            <w:r>
              <w:rPr>
                <w:b/>
                <w:color w:val="007800"/>
                <w:sz w:val="16"/>
              </w:rPr>
              <w:t>+1.25%</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4,000</w:t>
            </w:r>
          </w:p>
        </w:tc>
        <w:tc>
          <w:tcPr>
            <w:tcW w:type="dxa" w:w="1417"/>
            <w:shd w:fill="FFFFFF" w:val="clear"/>
          </w:tcPr>
          <w:p>
            <w:r>
              <w:rPr>
                <w:sz w:val="16"/>
              </w:rPr>
              <w:t>4,048</w:t>
            </w:r>
          </w:p>
        </w:tc>
        <w:tc>
          <w:tcPr>
            <w:tcW w:type="dxa" w:w="1134"/>
            <w:shd w:fill="C6EFCE" w:val="clear"/>
          </w:tcPr>
          <w:p>
            <w:r>
              <w:rPr>
                <w:b/>
                <w:color w:val="007800"/>
                <w:sz w:val="16"/>
              </w:rPr>
              <w:t>+1.20%</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11,395</w:t>
            </w:r>
          </w:p>
        </w:tc>
        <w:tc>
          <w:tcPr>
            <w:tcW w:type="dxa" w:w="1417"/>
            <w:shd w:fill="FFFFFF" w:val="clear"/>
          </w:tcPr>
          <w:p>
            <w:r>
              <w:rPr>
                <w:sz w:val="16"/>
              </w:rPr>
              <w:t>11,521</w:t>
            </w:r>
          </w:p>
        </w:tc>
        <w:tc>
          <w:tcPr>
            <w:tcW w:type="dxa" w:w="1134"/>
            <w:shd w:fill="C6EFCE" w:val="clear"/>
          </w:tcPr>
          <w:p>
            <w:r>
              <w:rPr>
                <w:b/>
                <w:color w:val="007800"/>
                <w:sz w:val="16"/>
              </w:rPr>
              <w:t>+1.11%</w:t>
            </w:r>
          </w:p>
        </w:tc>
        <w:tc>
          <w:tcPr>
            <w:tcW w:type="dxa" w:w="1134"/>
            <w:shd w:fill="FFEB9C" w:val="clear"/>
          </w:tcPr>
          <w:p>
            <w:r>
              <w:rPr>
                <w:sz w:val="16"/>
              </w:rPr>
              <w:t>Moyenne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2,870</w:t>
            </w:r>
          </w:p>
        </w:tc>
        <w:tc>
          <w:tcPr>
            <w:tcW w:type="dxa" w:w="1417"/>
            <w:shd w:fill="FFFFFF" w:val="clear"/>
          </w:tcPr>
          <w:p>
            <w:r>
              <w:rPr>
                <w:sz w:val="16"/>
              </w:rPr>
              <w:t>2,889</w:t>
            </w:r>
          </w:p>
        </w:tc>
        <w:tc>
          <w:tcPr>
            <w:tcW w:type="dxa" w:w="1134"/>
            <w:shd w:fill="FFEB9C" w:val="clear"/>
          </w:tcPr>
          <w:p>
            <w:r>
              <w:rPr>
                <w:b/>
                <w:color w:val="646400"/>
                <w:sz w:val="16"/>
              </w:rPr>
              <w:t>+0.66%</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3,000</w:t>
            </w:r>
          </w:p>
        </w:tc>
        <w:tc>
          <w:tcPr>
            <w:tcW w:type="dxa" w:w="1417"/>
            <w:shd w:fill="FFFFFF" w:val="clear"/>
          </w:tcPr>
          <w:p>
            <w:r>
              <w:rPr>
                <w:sz w:val="16"/>
              </w:rPr>
              <w:t>3,020</w:t>
            </w:r>
          </w:p>
        </w:tc>
        <w:tc>
          <w:tcPr>
            <w:tcW w:type="dxa" w:w="1134"/>
            <w:shd w:fill="FFEB9C" w:val="clear"/>
          </w:tcPr>
          <w:p>
            <w:r>
              <w:rPr>
                <w:b/>
                <w:color w:val="646400"/>
                <w:sz w:val="16"/>
              </w:rPr>
              <w:t>+0.65%</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7,415</w:t>
            </w:r>
          </w:p>
        </w:tc>
        <w:tc>
          <w:tcPr>
            <w:tcW w:type="dxa" w:w="1417"/>
            <w:shd w:fill="FFFFFF" w:val="clear"/>
          </w:tcPr>
          <w:p>
            <w:r>
              <w:rPr>
                <w:sz w:val="16"/>
              </w:rPr>
              <w:t>7,462</w:t>
            </w:r>
          </w:p>
        </w:tc>
        <w:tc>
          <w:tcPr>
            <w:tcW w:type="dxa" w:w="1134"/>
            <w:shd w:fill="FFEB9C" w:val="clear"/>
          </w:tcPr>
          <w:p>
            <w:r>
              <w:rPr>
                <w:b/>
                <w:color w:val="646400"/>
                <w:sz w:val="16"/>
              </w:rPr>
              <w:t>+0.63%</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2,780</w:t>
            </w:r>
          </w:p>
        </w:tc>
        <w:tc>
          <w:tcPr>
            <w:tcW w:type="dxa" w:w="1417"/>
            <w:shd w:fill="FFFFFF" w:val="clear"/>
          </w:tcPr>
          <w:p>
            <w:r>
              <w:rPr>
                <w:sz w:val="16"/>
              </w:rPr>
              <w:t>2,795</w:t>
            </w:r>
          </w:p>
        </w:tc>
        <w:tc>
          <w:tcPr>
            <w:tcW w:type="dxa" w:w="1134"/>
            <w:shd w:fill="FFEB9C" w:val="clear"/>
          </w:tcPr>
          <w:p>
            <w:r>
              <w:rPr>
                <w:b/>
                <w:color w:val="646400"/>
                <w:sz w:val="16"/>
              </w:rPr>
              <w:t>+0.53%</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45,000</w:t>
            </w:r>
          </w:p>
        </w:tc>
        <w:tc>
          <w:tcPr>
            <w:tcW w:type="dxa" w:w="1417"/>
            <w:shd w:fill="FFFFFF" w:val="clear"/>
          </w:tcPr>
          <w:p>
            <w:r>
              <w:rPr>
                <w:sz w:val="16"/>
              </w:rPr>
              <w:t>45,217</w:t>
            </w:r>
          </w:p>
        </w:tc>
        <w:tc>
          <w:tcPr>
            <w:tcW w:type="dxa" w:w="1134"/>
            <w:shd w:fill="FFEB9C" w:val="clear"/>
          </w:tcPr>
          <w:p>
            <w:r>
              <w:rPr>
                <w:b/>
                <w:color w:val="646400"/>
                <w:sz w:val="16"/>
              </w:rPr>
              <w:t>+0.48%</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1,805</w:t>
            </w:r>
          </w:p>
        </w:tc>
        <w:tc>
          <w:tcPr>
            <w:tcW w:type="dxa" w:w="1417"/>
            <w:shd w:fill="FFFFFF" w:val="clear"/>
          </w:tcPr>
          <w:p>
            <w:r>
              <w:rPr>
                <w:sz w:val="16"/>
              </w:rPr>
              <w:t>1,812</w:t>
            </w:r>
          </w:p>
        </w:tc>
        <w:tc>
          <w:tcPr>
            <w:tcW w:type="dxa" w:w="1134"/>
            <w:shd w:fill="FFEB9C" w:val="clear"/>
          </w:tcPr>
          <w:p>
            <w:r>
              <w:rPr>
                <w:b/>
                <w:color w:val="646400"/>
                <w:sz w:val="16"/>
              </w:rPr>
              <w:t>+0.38%</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65</w:t>
            </w:r>
          </w:p>
        </w:tc>
        <w:tc>
          <w:tcPr>
            <w:tcW w:type="dxa" w:w="1417"/>
            <w:shd w:fill="FFFFFF" w:val="clear"/>
          </w:tcPr>
          <w:p>
            <w:r>
              <w:rPr>
                <w:sz w:val="16"/>
              </w:rPr>
              <w:t>65</w:t>
            </w:r>
          </w:p>
        </w:tc>
        <w:tc>
          <w:tcPr>
            <w:tcW w:type="dxa" w:w="1134"/>
            <w:shd w:fill="FFEB9C" w:val="clear"/>
          </w:tcPr>
          <w:p>
            <w:r>
              <w:rPr>
                <w:b/>
                <w:color w:val="646400"/>
                <w:sz w:val="16"/>
              </w:rPr>
              <w:t>+0.20%</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9,000</w:t>
            </w:r>
          </w:p>
        </w:tc>
        <w:tc>
          <w:tcPr>
            <w:tcW w:type="dxa" w:w="1417"/>
            <w:shd w:fill="FFFFFF" w:val="clear"/>
          </w:tcPr>
          <w:p>
            <w:r>
              <w:rPr>
                <w:sz w:val="16"/>
              </w:rPr>
              <w:t>9,000</w:t>
            </w:r>
          </w:p>
        </w:tc>
        <w:tc>
          <w:tcPr>
            <w:tcW w:type="dxa" w:w="1134"/>
            <w:shd w:fill="FFEB9C" w:val="clear"/>
          </w:tcPr>
          <w:p>
            <w:r>
              <w:rPr>
                <w:b/>
                <w:color w:val="646400"/>
                <w:sz w:val="16"/>
              </w:rPr>
              <w:t>-0.01%</w:t>
            </w:r>
          </w:p>
        </w:tc>
        <w:tc>
          <w:tcPr>
            <w:tcW w:type="dxa" w:w="1134"/>
            <w:shd w:fill="FFEB9C" w:val="clear"/>
          </w:tcPr>
          <w:p>
            <w:r>
              <w:rPr>
                <w:sz w:val="16"/>
              </w:rPr>
              <w:t>Moyenne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15,395</w:t>
            </w:r>
          </w:p>
        </w:tc>
        <w:tc>
          <w:tcPr>
            <w:tcW w:type="dxa" w:w="1417"/>
            <w:shd w:fill="FFFFFF" w:val="clear"/>
          </w:tcPr>
          <w:p>
            <w:r>
              <w:rPr>
                <w:sz w:val="16"/>
              </w:rPr>
              <w:t>15,203</w:t>
            </w:r>
          </w:p>
        </w:tc>
        <w:tc>
          <w:tcPr>
            <w:tcW w:type="dxa" w:w="1134"/>
            <w:shd w:fill="FFC7CE" w:val="clear"/>
          </w:tcPr>
          <w:p>
            <w:r>
              <w:rPr>
                <w:b/>
                <w:color w:val="B40000"/>
                <w:sz w:val="16"/>
              </w:rPr>
              <w:t>-1.25%</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4,290</w:t>
            </w:r>
          </w:p>
        </w:tc>
        <w:tc>
          <w:tcPr>
            <w:tcW w:type="dxa" w:w="1417"/>
            <w:shd w:fill="FFFFFF" w:val="clear"/>
          </w:tcPr>
          <w:p>
            <w:r>
              <w:rPr>
                <w:sz w:val="16"/>
              </w:rPr>
              <w:t>4,215</w:t>
            </w:r>
          </w:p>
        </w:tc>
        <w:tc>
          <w:tcPr>
            <w:tcW w:type="dxa" w:w="1134"/>
            <w:shd w:fill="FFC7CE" w:val="clear"/>
          </w:tcPr>
          <w:p>
            <w:r>
              <w:rPr>
                <w:b/>
                <w:color w:val="B40000"/>
                <w:sz w:val="16"/>
              </w:rPr>
              <w:t>-1.74%</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3,650</w:t>
            </w:r>
          </w:p>
        </w:tc>
        <w:tc>
          <w:tcPr>
            <w:tcW w:type="dxa" w:w="1417"/>
            <w:shd w:fill="FFFFFF" w:val="clear"/>
          </w:tcPr>
          <w:p>
            <w:r>
              <w:rPr>
                <w:sz w:val="16"/>
              </w:rPr>
              <w:t>3,583</w:t>
            </w:r>
          </w:p>
        </w:tc>
        <w:tc>
          <w:tcPr>
            <w:tcW w:type="dxa" w:w="1134"/>
            <w:shd w:fill="FFC7CE" w:val="clear"/>
          </w:tcPr>
          <w:p>
            <w:r>
              <w:rPr>
                <w:b/>
                <w:color w:val="B40000"/>
                <w:sz w:val="16"/>
              </w:rPr>
              <w:t>-1.83%</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39,005</w:t>
            </w:r>
          </w:p>
        </w:tc>
        <w:tc>
          <w:tcPr>
            <w:tcW w:type="dxa" w:w="1417"/>
            <w:shd w:fill="FFFFFF" w:val="clear"/>
          </w:tcPr>
          <w:p>
            <w:r>
              <w:rPr>
                <w:sz w:val="16"/>
              </w:rPr>
              <w:t>38,188</w:t>
            </w:r>
          </w:p>
        </w:tc>
        <w:tc>
          <w:tcPr>
            <w:tcW w:type="dxa" w:w="1134"/>
            <w:shd w:fill="FFC7CE" w:val="clear"/>
          </w:tcPr>
          <w:p>
            <w:r>
              <w:rPr>
                <w:b/>
                <w:color w:val="B40000"/>
                <w:sz w:val="16"/>
              </w:rPr>
              <w:t>-2.09%</w:t>
            </w:r>
          </w:p>
        </w:tc>
        <w:tc>
          <w:tcPr>
            <w:tcW w:type="dxa" w:w="1134"/>
            <w:shd w:fill="FFEB9C" w:val="clear"/>
          </w:tcPr>
          <w:p>
            <w:r>
              <w:rPr>
                <w:sz w:val="16"/>
              </w:rPr>
              <w:t>Moyenne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3,100</w:t>
            </w:r>
          </w:p>
        </w:tc>
        <w:tc>
          <w:tcPr>
            <w:tcW w:type="dxa" w:w="1417"/>
            <w:shd w:fill="FFFFFF" w:val="clear"/>
          </w:tcPr>
          <w:p>
            <w:r>
              <w:rPr>
                <w:sz w:val="16"/>
              </w:rPr>
              <w:t>3,018</w:t>
            </w:r>
          </w:p>
        </w:tc>
        <w:tc>
          <w:tcPr>
            <w:tcW w:type="dxa" w:w="1134"/>
            <w:shd w:fill="FFC7CE" w:val="clear"/>
          </w:tcPr>
          <w:p>
            <w:r>
              <w:rPr>
                <w:b/>
                <w:color w:val="B40000"/>
                <w:sz w:val="16"/>
              </w:rPr>
              <w:t>-2.65%</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7,600</w:t>
            </w:r>
          </w:p>
        </w:tc>
        <w:tc>
          <w:tcPr>
            <w:tcW w:type="dxa" w:w="1417"/>
            <w:shd w:fill="FFFFFF" w:val="clear"/>
          </w:tcPr>
          <w:p>
            <w:r>
              <w:rPr>
                <w:sz w:val="16"/>
              </w:rPr>
              <w:t>7,395</w:t>
            </w:r>
          </w:p>
        </w:tc>
        <w:tc>
          <w:tcPr>
            <w:tcW w:type="dxa" w:w="1134"/>
            <w:shd w:fill="FFC7CE" w:val="clear"/>
          </w:tcPr>
          <w:p>
            <w:r>
              <w:rPr>
                <w:b/>
                <w:color w:val="B40000"/>
                <w:sz w:val="16"/>
              </w:rPr>
              <w:t>-2.70%</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8,010</w:t>
            </w:r>
          </w:p>
        </w:tc>
        <w:tc>
          <w:tcPr>
            <w:tcW w:type="dxa" w:w="1417"/>
            <w:shd w:fill="FFFFFF" w:val="clear"/>
          </w:tcPr>
          <w:p>
            <w:r>
              <w:rPr>
                <w:sz w:val="16"/>
              </w:rPr>
              <w:t>7,782</w:t>
            </w:r>
          </w:p>
        </w:tc>
        <w:tc>
          <w:tcPr>
            <w:tcW w:type="dxa" w:w="1134"/>
            <w:shd w:fill="FFC7CE" w:val="clear"/>
          </w:tcPr>
          <w:p>
            <w:r>
              <w:rPr>
                <w:b/>
                <w:color w:val="B40000"/>
                <w:sz w:val="16"/>
              </w:rPr>
              <w:t>-2.84%</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7,600</w:t>
            </w:r>
          </w:p>
        </w:tc>
        <w:tc>
          <w:tcPr>
            <w:tcW w:type="dxa" w:w="1417"/>
            <w:shd w:fill="FFFFFF" w:val="clear"/>
          </w:tcPr>
          <w:p>
            <w:r>
              <w:rPr>
                <w:sz w:val="16"/>
              </w:rPr>
              <w:t>7,374</w:t>
            </w:r>
          </w:p>
        </w:tc>
        <w:tc>
          <w:tcPr>
            <w:tcW w:type="dxa" w:w="1134"/>
            <w:shd w:fill="FFC7CE" w:val="clear"/>
          </w:tcPr>
          <w:p>
            <w:r>
              <w:rPr>
                <w:b/>
                <w:color w:val="B40000"/>
                <w:sz w:val="16"/>
              </w:rPr>
              <w:t>-2.98%</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2,995</w:t>
            </w:r>
          </w:p>
        </w:tc>
        <w:tc>
          <w:tcPr>
            <w:tcW w:type="dxa" w:w="1417"/>
            <w:shd w:fill="FFFFFF" w:val="clear"/>
          </w:tcPr>
          <w:p>
            <w:r>
              <w:rPr>
                <w:sz w:val="16"/>
              </w:rPr>
              <w:t>2,896</w:t>
            </w:r>
          </w:p>
        </w:tc>
        <w:tc>
          <w:tcPr>
            <w:tcW w:type="dxa" w:w="1134"/>
            <w:shd w:fill="FFC7CE" w:val="clear"/>
          </w:tcPr>
          <w:p>
            <w:r>
              <w:rPr>
                <w:b/>
                <w:color w:val="B40000"/>
                <w:sz w:val="16"/>
              </w:rPr>
              <w:t>-3.29%</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2,105</w:t>
            </w:r>
          </w:p>
        </w:tc>
        <w:tc>
          <w:tcPr>
            <w:tcW w:type="dxa" w:w="1417"/>
            <w:shd w:fill="FFFFFF" w:val="clear"/>
          </w:tcPr>
          <w:p>
            <w:r>
              <w:rPr>
                <w:sz w:val="16"/>
              </w:rPr>
              <w:t>2,023</w:t>
            </w:r>
          </w:p>
        </w:tc>
        <w:tc>
          <w:tcPr>
            <w:tcW w:type="dxa" w:w="1134"/>
            <w:shd w:fill="FFC7CE" w:val="clear"/>
          </w:tcPr>
          <w:p>
            <w:r>
              <w:rPr>
                <w:b/>
                <w:color w:val="B40000"/>
                <w:sz w:val="16"/>
              </w:rPr>
              <w:t>-3.91%</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3,000</w:t>
            </w:r>
          </w:p>
        </w:tc>
        <w:tc>
          <w:tcPr>
            <w:tcW w:type="dxa" w:w="1417"/>
            <w:shd w:fill="FFFFFF" w:val="clear"/>
          </w:tcPr>
          <w:p>
            <w:r>
              <w:rPr>
                <w:sz w:val="16"/>
              </w:rPr>
              <w:t>2,882</w:t>
            </w:r>
          </w:p>
        </w:tc>
        <w:tc>
          <w:tcPr>
            <w:tcW w:type="dxa" w:w="1134"/>
            <w:shd w:fill="FFC7CE" w:val="clear"/>
          </w:tcPr>
          <w:p>
            <w:r>
              <w:rPr>
                <w:b/>
                <w:color w:val="B40000"/>
                <w:sz w:val="16"/>
              </w:rPr>
              <w:t>-3.94%</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32,400</w:t>
            </w:r>
          </w:p>
        </w:tc>
        <w:tc>
          <w:tcPr>
            <w:tcW w:type="dxa" w:w="1417"/>
            <w:shd w:fill="FFFFFF" w:val="clear"/>
          </w:tcPr>
          <w:p>
            <w:r>
              <w:rPr>
                <w:sz w:val="16"/>
              </w:rPr>
              <w:t>31,106</w:t>
            </w:r>
          </w:p>
        </w:tc>
        <w:tc>
          <w:tcPr>
            <w:tcW w:type="dxa" w:w="1134"/>
            <w:shd w:fill="FFC7CE" w:val="clear"/>
          </w:tcPr>
          <w:p>
            <w:r>
              <w:rPr>
                <w:b/>
                <w:color w:val="B40000"/>
                <w:sz w:val="16"/>
              </w:rPr>
              <w:t>-3.99%</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8,725</w:t>
            </w:r>
          </w:p>
        </w:tc>
        <w:tc>
          <w:tcPr>
            <w:tcW w:type="dxa" w:w="1417"/>
            <w:shd w:fill="FFFFFF" w:val="clear"/>
          </w:tcPr>
          <w:p>
            <w:r>
              <w:rPr>
                <w:sz w:val="16"/>
              </w:rPr>
              <w:t>8,333</w:t>
            </w:r>
          </w:p>
        </w:tc>
        <w:tc>
          <w:tcPr>
            <w:tcW w:type="dxa" w:w="1134"/>
            <w:shd w:fill="FFC7CE" w:val="clear"/>
          </w:tcPr>
          <w:p>
            <w:r>
              <w:rPr>
                <w:b/>
                <w:color w:val="B40000"/>
                <w:sz w:val="16"/>
              </w:rPr>
              <w:t>-4.49%</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2,145</w:t>
            </w:r>
          </w:p>
        </w:tc>
        <w:tc>
          <w:tcPr>
            <w:tcW w:type="dxa" w:w="1417"/>
            <w:shd w:fill="FFFFFF" w:val="clear"/>
          </w:tcPr>
          <w:p>
            <w:r>
              <w:rPr>
                <w:sz w:val="16"/>
              </w:rPr>
              <w:t>2,038</w:t>
            </w:r>
          </w:p>
        </w:tc>
        <w:tc>
          <w:tcPr>
            <w:tcW w:type="dxa" w:w="1134"/>
            <w:shd w:fill="FFC7CE" w:val="clear"/>
          </w:tcPr>
          <w:p>
            <w:r>
              <w:rPr>
                <w:b/>
                <w:color w:val="B40000"/>
                <w:sz w:val="16"/>
              </w:rPr>
              <w:t>-4.98%</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1,800</w:t>
            </w:r>
          </w:p>
        </w:tc>
        <w:tc>
          <w:tcPr>
            <w:tcW w:type="dxa" w:w="1417"/>
            <w:shd w:fill="FFFFFF" w:val="clear"/>
          </w:tcPr>
          <w:p>
            <w:r>
              <w:rPr>
                <w:sz w:val="16"/>
              </w:rPr>
              <w:t>1,689</w:t>
            </w:r>
          </w:p>
        </w:tc>
        <w:tc>
          <w:tcPr>
            <w:tcW w:type="dxa" w:w="1134"/>
            <w:shd w:fill="FFC7CE" w:val="clear"/>
          </w:tcPr>
          <w:p>
            <w:r>
              <w:rPr>
                <w:b/>
                <w:color w:val="B40000"/>
                <w:sz w:val="16"/>
              </w:rPr>
              <w:t>-6.14%</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5,700</w:t>
            </w:r>
          </w:p>
        </w:tc>
        <w:tc>
          <w:tcPr>
            <w:tcW w:type="dxa" w:w="1417"/>
            <w:shd w:fill="FFFFFF" w:val="clear"/>
          </w:tcPr>
          <w:p>
            <w:r>
              <w:rPr>
                <w:sz w:val="16"/>
              </w:rPr>
              <w:t>5,317</w:t>
            </w:r>
          </w:p>
        </w:tc>
        <w:tc>
          <w:tcPr>
            <w:tcW w:type="dxa" w:w="1134"/>
            <w:shd w:fill="FFC7CE" w:val="clear"/>
          </w:tcPr>
          <w:p>
            <w:r>
              <w:rPr>
                <w:b/>
                <w:color w:val="B40000"/>
                <w:sz w:val="16"/>
              </w:rPr>
              <w:t>-6.72%</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31,500</w:t>
            </w:r>
          </w:p>
        </w:tc>
        <w:tc>
          <w:tcPr>
            <w:tcW w:type="dxa" w:w="1417"/>
            <w:shd w:fill="FFFFFF" w:val="clear"/>
          </w:tcPr>
          <w:p>
            <w:r>
              <w:rPr>
                <w:sz w:val="16"/>
              </w:rPr>
              <w:t>28,719</w:t>
            </w:r>
          </w:p>
        </w:tc>
        <w:tc>
          <w:tcPr>
            <w:tcW w:type="dxa" w:w="1134"/>
            <w:shd w:fill="FFC7CE" w:val="clear"/>
          </w:tcPr>
          <w:p>
            <w:r>
              <w:rPr>
                <w:b/>
                <w:color w:val="B40000"/>
                <w:sz w:val="16"/>
              </w:rPr>
              <w:t>-8.83%</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20,510</w:t>
            </w:r>
          </w:p>
        </w:tc>
        <w:tc>
          <w:tcPr>
            <w:tcW w:type="dxa" w:w="1417"/>
            <w:shd w:fill="FFFFFF" w:val="clear"/>
          </w:tcPr>
          <w:p>
            <w:r>
              <w:rPr>
                <w:sz w:val="16"/>
              </w:rPr>
              <w:t>18,450</w:t>
            </w:r>
          </w:p>
        </w:tc>
        <w:tc>
          <w:tcPr>
            <w:tcW w:type="dxa" w:w="1134"/>
            <w:shd w:fill="FFC7CE" w:val="clear"/>
          </w:tcPr>
          <w:p>
            <w:r>
              <w:rPr>
                <w:b/>
                <w:color w:val="B40000"/>
                <w:sz w:val="16"/>
              </w:rPr>
              <w:t>-10.04%</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8,150</w:t>
            </w:r>
          </w:p>
        </w:tc>
        <w:tc>
          <w:tcPr>
            <w:tcW w:type="dxa" w:w="1417"/>
            <w:shd w:fill="FFFFFF" w:val="clear"/>
          </w:tcPr>
          <w:p>
            <w:r>
              <w:rPr>
                <w:sz w:val="16"/>
              </w:rPr>
              <w:t>7,110</w:t>
            </w:r>
          </w:p>
        </w:tc>
        <w:tc>
          <w:tcPr>
            <w:tcW w:type="dxa" w:w="1134"/>
            <w:shd w:fill="FFC7CE" w:val="clear"/>
          </w:tcPr>
          <w:p>
            <w:r>
              <w:rPr>
                <w:b/>
                <w:color w:val="B40000"/>
                <w:sz w:val="16"/>
              </w:rPr>
              <w:t>-12.75%</w:t>
            </w:r>
          </w:p>
        </w:tc>
        <w:tc>
          <w:tcPr>
            <w:tcW w:type="dxa" w:w="1134"/>
            <w:shd w:fill="FFEB9C" w:val="clear"/>
          </w:tcPr>
          <w:p>
            <w:r>
              <w:rPr>
                <w:sz w:val="16"/>
              </w:rPr>
              <w:t>Moyenne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45 société(s) sur 48.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(2025)</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-2.54%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-1.97%</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-2.15%</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-624.11 M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6.21%</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FFFFFF" w:val="clear"/>
          </w:tcPr>
          <w:p>
            <w:r>
              <w:rPr>
                <w:b/>
                <w:color w:val="000000"/>
                <w:sz w:val="16"/>
              </w:rPr>
              <w:t>77.01%</w:t>
            </w:r>
          </w:p>
        </w:tc>
        <w:tc>
          <w:tcPr>
            <w:tcW w:type="dxa" w:w="1053"/>
            <w:shd w:fill="FFFFFF" w:val="clear"/>
          </w:tcPr>
          <w:p>
            <w:r>
              <w:rPr>
                <w:b/>
                <w:color w:val="000000"/>
                <w:sz w:val="16"/>
              </w:rPr>
              <w:t>24.10%</w:t>
            </w:r>
          </w:p>
        </w:tc>
        <w:tc>
          <w:tcPr>
            <w:tcW w:type="dxa" w:w="1053"/>
            <w:shd w:fill="C6EFCE" w:val="clear"/>
          </w:tcPr>
          <w:p>
            <w:r>
              <w:rPr>
                <w:b/>
                <w:color w:val="006400"/>
                <w:sz w:val="16"/>
              </w:rPr>
              <w:t>77.58%</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FFFFFF" w:val="clear"/>
          </w:tcPr>
          <w:p>
            <w:r>
              <w:rPr>
                <w:b/>
                <w:color w:val="0000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C6EFCE" w:val="clear"/>
          </w:tcPr>
          <w:p>
            <w:r>
              <w:rPr>
                <w:b/>
                <w:color w:val="006400"/>
                <w:sz w:val="16"/>
              </w:rPr>
              <w:t>1.50%</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FFFFFF" w:val="clear"/>
          </w:tcPr>
          <w:p>
            <w:r>
              <w:rPr>
                <w:b/>
                <w:color w:val="000000"/>
                <w:sz w:val="16"/>
              </w:rPr>
              <w:t>435.02%</w:t>
            </w:r>
          </w:p>
        </w:tc>
        <w:tc>
          <w:tcPr>
            <w:tcW w:type="dxa" w:w="1053"/>
            <w:shd w:fill="FFFFFF" w:val="clear"/>
          </w:tcPr>
          <w:p>
            <w:r>
              <w:rPr>
                <w:b/>
                <w:color w:val="000000"/>
                <w:sz w:val="16"/>
              </w:rPr>
              <w:t>131.76%</w:t>
            </w:r>
          </w:p>
        </w:tc>
        <w:tc>
          <w:tcPr>
            <w:tcW w:type="dxa" w:w="1053"/>
            <w:shd w:fill="C6EFCE" w:val="clear"/>
          </w:tcPr>
          <w:p>
            <w:r>
              <w:rPr>
                <w:b/>
                <w:color w:val="006400"/>
                <w:sz w:val="16"/>
              </w:rPr>
              <w:t>445.93%</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346.19%</w:t>
            </w:r>
          </w:p>
        </w:tc>
      </w:tr>
      <w:tr>
        <w:tc>
          <w:tcPr>
            <w:tcW w:type="dxa" w:w="2551"/>
            <w:shd w:fill="EEF2F7" w:val="clear"/>
          </w:tcPr>
          <w:p>
            <w:r>
              <w:rPr>
                <w:b/>
                <w:sz w:val="15"/>
              </w:rPr>
              <w:t>Free Cash Flow</w:t>
            </w:r>
          </w:p>
        </w:tc>
        <w:tc>
          <w:tcPr>
            <w:tcW w:type="dxa" w:w="1053"/>
            <w:shd w:fill="C6EFCE" w:val="clear"/>
          </w:tcPr>
          <w:p>
            <w:r>
              <w:rPr>
                <w:b/>
                <w:color w:val="0064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FFFF" w:val="clear"/>
          </w:tcPr>
          <w:p>
            <w:r>
              <w:rPr>
                <w:b/>
                <w:color w:val="000000"/>
                <w:sz w:val="16"/>
              </w:rPr>
              <w:t>-2.616 Mds FCFA</w:t>
            </w:r>
          </w:p>
        </w:tc>
        <w:tc>
          <w:tcPr>
            <w:tcW w:type="dxa" w:w="1053"/>
            <w:shd w:fill="FFC7CE" w:val="clear"/>
          </w:tcPr>
          <w:p>
            <w:r>
              <w:rPr>
                <w:b/>
                <w:color w:val="B40000"/>
                <w:sz w:val="16"/>
              </w:rPr>
              <w:t>-8.239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-1.46%</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45.8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325.0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-2.54%</w:t>
            </w:r>
          </w:p>
        </w:tc>
        <w:tc>
          <w:tcPr>
            <w:tcW w:type="dxa" w:w="5669"/>
            <w:shd w:fill="FFFFFF" w:val="clear"/>
          </w:tcPr>
          <w:p>
            <w:r>
              <w:rPr>
                <w:sz w:val="15"/>
              </w:rPr>
              <w:t>❌ ROE négatif (-2.5%)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-1.97%</w:t>
            </w:r>
          </w:p>
        </w:tc>
        <w:tc>
          <w:tcPr>
            <w:tcW w:type="dxa" w:w="5669"/>
            <w:shd w:fill="FFFFFF" w:val="clear"/>
          </w:tcPr>
          <w:p>
            <w:r>
              <w:rPr>
                <w:sz w:val="15"/>
              </w:rPr>
              <w:t>❌ ROA négatif (-1.97%) — actifs non rentables.</w:t>
            </w:r>
          </w:p>
        </w:tc>
      </w:tr>
      <w:tr>
        <w:tc>
          <w:tcPr>
            <w:tcW w:type="dxa" w:w="2268"/>
            <w:shd w:fill="EEF2F7" w:val="clear"/>
          </w:tcPr>
          <w:p>
            <w:r>
              <w:rPr>
                <w:b/>
                <w:sz w:val="15"/>
              </w:rPr>
              <w:t>Marge nette</w:t>
            </w:r>
          </w:p>
        </w:tc>
        <w:tc>
          <w:tcPr>
            <w:tcW w:type="dxa" w:w="1984"/>
            <w:shd w:fill="FFC7CE" w:val="clear"/>
          </w:tcPr>
          <w:p>
            <w:r>
              <w:rPr>
                <w:b/>
                <w:color w:val="B40000"/>
                <w:sz w:val="17"/>
              </w:rPr>
              <w:t>-2.15%</w:t>
            </w:r>
          </w:p>
        </w:tc>
        <w:tc>
          <w:tcPr>
            <w:tcW w:type="dxa" w:w="5669"/>
            <w:shd w:fill="FFFFFF" w:val="clear"/>
          </w:tcPr>
          <w:p>
            <w:r>
              <w:rPr>
                <w:sz w:val="15"/>
              </w:rPr>
              <w:t>❌ Marge nette négative (-2.1%)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-624.11 M FCFA</w:t>
            </w:r>
          </w:p>
        </w:tc>
        <w:tc>
          <w:tcPr>
            <w:tcW w:type="dxa" w:w="5669"/>
            <w:shd w:fill="FFFFFF" w:val="clear"/>
          </w:tcPr>
          <w:p>
            <w:r>
              <w:rPr>
                <w:sz w:val="15"/>
              </w:rPr>
              <w:t>❌ Perte nette de 624.11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6.21%</w:t>
            </w:r>
          </w:p>
        </w:tc>
        <w:tc>
          <w:tcPr>
            <w:tcW w:type="dxa" w:w="5669"/>
            <w:shd w:fill="FFFFFF" w:val="clear"/>
          </w:tcPr>
          <w:p>
            <w:r>
              <w:rPr>
                <w:sz w:val="15"/>
              </w:rPr>
              <w:t>✅ Croissance de 6.2%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77.58%</w:t>
            </w:r>
          </w:p>
        </w:tc>
        <w:tc>
          <w:tcPr>
            <w:tcW w:type="dxa" w:w="5669"/>
            <w:shd w:fill="FFFFFF" w:val="clear"/>
          </w:tcPr>
          <w:p>
            <w:r>
              <w:rPr>
                <w:sz w:val="15"/>
              </w:rPr>
              <w:t>✅ Autonomie financière de 77.6%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1.50%</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445.93%</w:t>
            </w:r>
          </w:p>
        </w:tc>
        <w:tc>
          <w:tcPr>
            <w:tcW w:type="dxa" w:w="5669"/>
            <w:shd w:fill="FFFFFF" w:val="clear"/>
          </w:tcPr>
          <w:p>
            <w:r>
              <w:rPr>
                <w:sz w:val="15"/>
              </w:rPr>
              <w:t>✅ Solvabilité de 446%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346.19%</w:t>
            </w:r>
          </w:p>
        </w:tc>
        <w:tc>
          <w:tcPr>
            <w:tcW w:type="dxa" w:w="5669"/>
            <w:shd w:fill="FFFFFF" w:val="clear"/>
          </w:tcPr>
          <w:p>
            <w:r>
              <w:rPr>
                <w:sz w:val="15"/>
              </w:rPr>
              <w:t>✅ Liquidité générale de 346x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-8.239 Mds FCFA</w:t>
            </w:r>
          </w:p>
        </w:tc>
        <w:tc>
          <w:tcPr>
            <w:tcW w:type="dxa" w:w="5669"/>
            <w:shd w:fill="FFFFFF" w:val="clear"/>
          </w:tcPr>
          <w:p>
            <w:r>
              <w:rPr>
                <w:sz w:val="15"/>
              </w:rPr>
              <w:t>❌ FCF négatif significatif (-8.239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-1.46%</w:t>
            </w:r>
          </w:p>
        </w:tc>
        <w:tc>
          <w:tcPr>
            <w:tcW w:type="dxa" w:w="5669"/>
            <w:shd w:fill="FFFFFF" w:val="clear"/>
          </w:tcPr>
          <w:p>
            <w:r>
              <w:rPr>
                <w:sz w:val="15"/>
              </w:rPr>
              <w:t>❌ Marge opérationnelle négative (-1.5%)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45.8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325.0 j</w:t>
            </w:r>
          </w:p>
        </w:tc>
        <w:tc>
          <w:tcPr>
            <w:tcW w:type="dxa" w:w="5669"/>
            <w:shd w:fill="FFFFFF" w:val="clear"/>
          </w:tcPr>
          <w:p>
            <w:r>
              <w:rPr>
                <w:sz w:val="15"/>
              </w:rPr>
              <w:t>❌ Stock quasi-bloqué (325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-2.54%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-2.15%</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UNXC</w:t>
            </w:r>
          </w:p>
        </w:tc>
        <w:tc>
          <w:tcPr>
            <w:tcW w:type="dxa" w:w="1728"/>
            <w:shd w:fill="C6EFCE" w:val="clear"/>
          </w:tcPr>
          <w:p>
            <w:r>
              <w:rPr>
                <w:color w:val="006400"/>
                <w:sz w:val="16"/>
              </w:rPr>
              <w:t>77.58%</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ABJC</w:t>
            </w:r>
          </w:p>
        </w:tc>
        <w:tc>
          <w:tcPr>
            <w:tcW w:type="dxa" w:w="1728"/>
            <w:shd w:fill="C6EFCE" w:val="clear"/>
          </w:tcPr>
          <w:p>
            <w:r>
              <w:rPr>
                <w:color w:val="006400"/>
                <w:sz w:val="16"/>
              </w:rPr>
              <w:t>619.83 M FCFA</w:t>
            </w:r>
          </w:p>
        </w:tc>
        <w:tc>
          <w:tcPr>
            <w:tcW w:type="dxa" w:w="1728"/>
            <w:shd w:fill="FFC7CE" w:val="clear"/>
          </w:tcPr>
          <w:p>
            <w:r>
              <w:rPr>
                <w:b/>
                <w:color w:val="B40000"/>
                <w:sz w:val="16"/>
              </w:rPr>
              <w:t>UNXC</w:t>
            </w:r>
          </w:p>
        </w:tc>
        <w:tc>
          <w:tcPr>
            <w:tcW w:type="dxa" w:w="1728"/>
            <w:shd w:fill="FFC7CE" w:val="clear"/>
          </w:tcPr>
          <w:p>
            <w:r>
              <w:rPr>
                <w:color w:val="B40000"/>
                <w:sz w:val="16"/>
              </w:rPr>
              <w:t>-8.239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(2025)</w:t>
            </w:r>
          </w:p>
        </w:tc>
        <w:tc>
          <w:tcPr>
            <w:tcW w:type="dxa" w:w="1474"/>
            <w:shd w:fill="1F4E79" w:val="clear"/>
          </w:tcPr>
          <w:p>
            <w:r>
              <w:rPr>
                <w:b/>
                <w:color w:val="FFFFFF"/>
                <w:sz w:val="15"/>
              </w:rPr>
              <w:t>SIVC (2025)</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C6EFCE" w:val="clear"/>
          </w:tcPr>
          <w:p>
            <w:r>
              <w:rPr>
                <w:b/>
                <w:color w:val="006400"/>
                <w:sz w:val="16"/>
              </w:rPr>
              <w:t>15.40%</w:t>
            </w:r>
          </w:p>
        </w:tc>
        <w:tc>
          <w:tcPr>
            <w:tcW w:type="dxa" w:w="1474"/>
            <w:shd w:fill="FFFFFF" w:val="clear"/>
          </w:tcPr>
          <w:p>
            <w:r>
              <w:rPr>
                <w:b/>
                <w:color w:val="000000"/>
                <w:sz w:val="16"/>
              </w:rPr>
              <w:t>2.97%</w:t>
            </w:r>
          </w:p>
        </w:tc>
        <w:tc>
          <w:tcPr>
            <w:tcW w:type="dxa" w:w="1474"/>
            <w:shd w:fill="FFFFFF" w:val="clear"/>
          </w:tcPr>
          <w:p>
            <w:r>
              <w:rPr>
                <w:b/>
                <w:color w:val="000000"/>
                <w:sz w:val="16"/>
              </w:rPr>
              <w:t>1.07%</w:t>
            </w:r>
          </w:p>
        </w:tc>
        <w:tc>
          <w:tcPr>
            <w:tcW w:type="dxa" w:w="1474"/>
            <w:shd w:fill="FFFFFF" w:val="clear"/>
          </w:tcPr>
          <w:p>
            <w:r>
              <w:rPr>
                <w:b/>
                <w:color w:val="000000"/>
                <w:sz w:val="16"/>
              </w:rPr>
              <w:t>7.10%</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C6EFCE" w:val="clear"/>
          </w:tcPr>
          <w:p>
            <w:r>
              <w:rPr>
                <w:b/>
                <w:color w:val="006400"/>
                <w:sz w:val="16"/>
              </w:rPr>
              <w:t>6.10%</w:t>
            </w:r>
          </w:p>
        </w:tc>
        <w:tc>
          <w:tcPr>
            <w:tcW w:type="dxa" w:w="1474"/>
            <w:shd w:fill="FFFFFF" w:val="clear"/>
          </w:tcPr>
          <w:p>
            <w:r>
              <w:rPr>
                <w:b/>
                <w:color w:val="000000"/>
                <w:sz w:val="16"/>
              </w:rPr>
              <w:t>1.19%</w:t>
            </w:r>
          </w:p>
        </w:tc>
        <w:tc>
          <w:tcPr>
            <w:tcW w:type="dxa" w:w="1474"/>
            <w:shd w:fill="FFFFFF" w:val="clear"/>
          </w:tcPr>
          <w:p>
            <w:r>
              <w:rPr>
                <w:b/>
                <w:color w:val="000000"/>
                <w:sz w:val="16"/>
              </w:rPr>
              <w:t>0.30%</w:t>
            </w:r>
          </w:p>
        </w:tc>
        <w:tc>
          <w:tcPr>
            <w:tcW w:type="dxa" w:w="1474"/>
            <w:shd w:fill="FFFFFF" w:val="clear"/>
          </w:tcPr>
          <w:p>
            <w:r>
              <w:rPr>
                <w:b/>
                <w:color w:val="000000"/>
                <w:sz w:val="16"/>
              </w:rPr>
              <w:t>1.23%</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C6EFCE" w:val="clear"/>
          </w:tcPr>
          <w:p>
            <w:r>
              <w:rPr>
                <w:b/>
                <w:color w:val="006400"/>
                <w:sz w:val="16"/>
              </w:rPr>
              <w:t>6.77%</w:t>
            </w:r>
          </w:p>
        </w:tc>
        <w:tc>
          <w:tcPr>
            <w:tcW w:type="dxa" w:w="1474"/>
            <w:shd w:fill="FFFFFF" w:val="clear"/>
          </w:tcPr>
          <w:p>
            <w:r>
              <w:rPr>
                <w:b/>
                <w:color w:val="000000"/>
                <w:sz w:val="16"/>
              </w:rPr>
              <w:t>1.45%</w:t>
            </w:r>
          </w:p>
        </w:tc>
        <w:tc>
          <w:tcPr>
            <w:tcW w:type="dxa" w:w="1474"/>
            <w:shd w:fill="FFFFFF" w:val="clear"/>
          </w:tcPr>
          <w:p>
            <w:r>
              <w:rPr>
                <w:b/>
                <w:color w:val="000000"/>
                <w:sz w:val="16"/>
              </w:rPr>
              <w:t>0.85%</w:t>
            </w:r>
          </w:p>
        </w:tc>
        <w:tc>
          <w:tcPr>
            <w:tcW w:type="dxa" w:w="1474"/>
            <w:shd w:fill="FFFFFF" w:val="clear"/>
          </w:tcPr>
          <w:p>
            <w:r>
              <w:rPr>
                <w:b/>
                <w:color w:val="000000"/>
                <w:sz w:val="16"/>
              </w:rPr>
              <w:t>1.78%</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C6EFCE" w:val="clear"/>
          </w:tcPr>
          <w:p>
            <w:r>
              <w:rPr>
                <w:b/>
                <w:color w:val="006400"/>
                <w:sz w:val="16"/>
              </w:rPr>
              <w:t>1.439 Mds FCFA</w:t>
            </w:r>
          </w:p>
        </w:tc>
        <w:tc>
          <w:tcPr>
            <w:tcW w:type="dxa" w:w="1474"/>
            <w:shd w:fill="FFFFFF" w:val="clear"/>
          </w:tcPr>
          <w:p>
            <w:r>
              <w:rPr>
                <w:b/>
                <w:color w:val="000000"/>
                <w:sz w:val="16"/>
              </w:rPr>
              <w:t>465.98 M FCFA</w:t>
            </w:r>
          </w:p>
        </w:tc>
        <w:tc>
          <w:tcPr>
            <w:tcW w:type="dxa" w:w="1474"/>
            <w:shd w:fill="FFFFFF" w:val="clear"/>
          </w:tcPr>
          <w:p>
            <w:r>
              <w:rPr>
                <w:b/>
                <w:color w:val="000000"/>
                <w:sz w:val="16"/>
              </w:rPr>
              <w:t>784.97 M FCFA</w:t>
            </w:r>
          </w:p>
        </w:tc>
        <w:tc>
          <w:tcPr>
            <w:tcW w:type="dxa" w:w="1474"/>
            <w:shd w:fill="FFFFFF" w:val="clear"/>
          </w:tcPr>
          <w:p>
            <w:r>
              <w:rPr>
                <w:b/>
                <w:color w:val="000000"/>
                <w:sz w:val="16"/>
              </w:rPr>
              <w:t>179.29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C7CE" w:val="clear"/>
          </w:tcPr>
          <w:p>
            <w:r>
              <w:rPr>
                <w:b/>
                <w:color w:val="B40000"/>
                <w:sz w:val="16"/>
              </w:rPr>
              <w:t>4.61%</w:t>
            </w:r>
          </w:p>
        </w:tc>
        <w:tc>
          <w:tcPr>
            <w:tcW w:type="dxa" w:w="1474"/>
            <w:shd w:fill="FFFFFF" w:val="clear"/>
          </w:tcPr>
          <w:p>
            <w:r>
              <w:rPr>
                <w:b/>
                <w:color w:val="000000"/>
                <w:sz w:val="16"/>
              </w:rPr>
              <w:t>7.43%</w:t>
            </w:r>
          </w:p>
        </w:tc>
        <w:tc>
          <w:tcPr>
            <w:tcW w:type="dxa" w:w="1474"/>
            <w:shd w:fill="FFFFFF" w:val="clear"/>
          </w:tcPr>
          <w:p>
            <w:r>
              <w:rPr>
                <w:b/>
                <w:color w:val="000000"/>
                <w:sz w:val="16"/>
              </w:rPr>
              <w:t>8.53%</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C6EFCE" w:val="clear"/>
          </w:tcPr>
          <w:p>
            <w:r>
              <w:rPr>
                <w:b/>
                <w:color w:val="006400"/>
                <w:sz w:val="16"/>
              </w:rPr>
              <w:t>40.11%</w:t>
            </w:r>
          </w:p>
        </w:tc>
        <w:tc>
          <w:tcPr>
            <w:tcW w:type="dxa" w:w="1474"/>
            <w:shd w:fill="FFFFFF" w:val="clear"/>
          </w:tcPr>
          <w:p>
            <w:r>
              <w:rPr>
                <w:b/>
                <w:color w:val="000000"/>
                <w:sz w:val="16"/>
              </w:rPr>
              <w:t>28.35%</w:t>
            </w:r>
          </w:p>
        </w:tc>
        <w:tc>
          <w:tcPr>
            <w:tcW w:type="dxa" w:w="1474"/>
            <w:shd w:fill="FFFFFF" w:val="clear"/>
          </w:tcPr>
          <w:p>
            <w:r>
              <w:rPr>
                <w:b/>
                <w:color w:val="000000"/>
                <w:sz w:val="16"/>
              </w:rPr>
              <w:t>17.29%</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FFFF" w:val="clear"/>
          </w:tcPr>
          <w:p>
            <w:r>
              <w:rPr>
                <w:b/>
                <w:color w:val="000000"/>
                <w:sz w:val="16"/>
              </w:rPr>
              <w:t>97.60%</w:t>
            </w:r>
          </w:p>
        </w:tc>
        <w:tc>
          <w:tcPr>
            <w:tcW w:type="dxa" w:w="1474"/>
            <w:shd w:fill="C6EFCE" w:val="clear"/>
          </w:tcPr>
          <w:p>
            <w:r>
              <w:rPr>
                <w:b/>
                <w:color w:val="006400"/>
                <w:sz w:val="16"/>
              </w:rPr>
              <w:t>13.91%</w:t>
            </w:r>
          </w:p>
        </w:tc>
        <w:tc>
          <w:tcPr>
            <w:tcW w:type="dxa" w:w="1474"/>
            <w:shd w:fill="FFC7CE" w:val="clear"/>
          </w:tcPr>
          <w:p>
            <w:r>
              <w:rPr>
                <w:b/>
                <w:color w:val="B40000"/>
                <w:sz w:val="16"/>
              </w:rPr>
              <w:t>228.41%</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C6EFCE" w:val="clear"/>
          </w:tcPr>
          <w:p>
            <w:r>
              <w:rPr>
                <w:b/>
                <w:color w:val="006400"/>
                <w:sz w:val="16"/>
              </w:rPr>
              <w:t>166.98%</w:t>
            </w:r>
          </w:p>
        </w:tc>
        <w:tc>
          <w:tcPr>
            <w:tcW w:type="dxa" w:w="1474"/>
            <w:shd w:fill="FFFFFF" w:val="clear"/>
          </w:tcPr>
          <w:p>
            <w:r>
              <w:rPr>
                <w:b/>
                <w:color w:val="000000"/>
                <w:sz w:val="16"/>
              </w:rPr>
              <w:t>139.57%</w:t>
            </w:r>
          </w:p>
        </w:tc>
        <w:tc>
          <w:tcPr>
            <w:tcW w:type="dxa" w:w="1474"/>
            <w:shd w:fill="FFFFFF" w:val="clear"/>
          </w:tcPr>
          <w:p>
            <w:r>
              <w:rPr>
                <w:b/>
                <w:color w:val="000000"/>
                <w:sz w:val="16"/>
              </w:rPr>
              <w:t>120.91%</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109.82%</w:t>
            </w:r>
          </w:p>
        </w:tc>
        <w:tc>
          <w:tcPr>
            <w:tcW w:type="dxa" w:w="1474"/>
            <w:shd w:fill="FFC7CE" w:val="clear"/>
          </w:tcPr>
          <w:p>
            <w:r>
              <w:rPr>
                <w:b/>
                <w:color w:val="B40000"/>
                <w:sz w:val="16"/>
              </w:rPr>
              <w:t>73.09%</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55.471 Mds FCFA</w:t>
            </w:r>
          </w:p>
        </w:tc>
        <w:tc>
          <w:tcPr>
            <w:tcW w:type="dxa" w:w="1474"/>
            <w:shd w:fill="FFFFFF" w:val="clear"/>
          </w:tcPr>
          <w:p>
            <w:r>
              <w:rPr>
                <w:b/>
                <w:color w:val="000000"/>
                <w:sz w:val="16"/>
              </w:rPr>
              <w:t>-935.89 M FCFA</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-2.47%</w:t>
            </w:r>
          </w:p>
        </w:tc>
        <w:tc>
          <w:tcPr>
            <w:tcW w:type="dxa" w:w="1474"/>
            <w:shd w:fill="FFFFFF" w:val="clear"/>
          </w:tcPr>
          <w:p>
            <w:r>
              <w:rPr>
                <w:b/>
                <w:color w:val="000000"/>
                <w:sz w:val="16"/>
              </w:rPr>
              <w:t>8.60%</w:t>
            </w:r>
          </w:p>
        </w:tc>
        <w:tc>
          <w:tcPr>
            <w:tcW w:type="dxa" w:w="1474"/>
            <w:shd w:fill="FFC7CE" w:val="clear"/>
          </w:tcPr>
          <w:p>
            <w:r>
              <w:rPr>
                <w:b/>
                <w:color w:val="B40000"/>
                <w:sz w:val="16"/>
              </w:rPr>
              <w:t>-19.90%</w:t>
            </w:r>
          </w:p>
        </w:tc>
      </w:tr>
      <w:tr>
        <w:tc>
          <w:tcPr>
            <w:tcW w:type="dxa" w:w="2551"/>
            <w:shd w:fill="EEF2F7" w:val="clear"/>
          </w:tcPr>
          <w:p>
            <w:r>
              <w:rPr>
                <w:b/>
                <w:sz w:val="15"/>
              </w:rPr>
              <w:t>Délai clients</w:t>
            </w:r>
          </w:p>
        </w:tc>
        <w:tc>
          <w:tcPr>
            <w:tcW w:type="dxa" w:w="1474"/>
            <w:shd w:fill="FFFFFF" w:val="clear"/>
          </w:tcPr>
          <w:p>
            <w:r>
              <w:rPr>
                <w:b/>
                <w:color w:val="000000"/>
                <w:sz w:val="16"/>
              </w:rPr>
              <w:t>144.7 j</w:t>
            </w:r>
          </w:p>
        </w:tc>
        <w:tc>
          <w:tcPr>
            <w:tcW w:type="dxa" w:w="1474"/>
            <w:shd w:fill="FFC7CE" w:val="clear"/>
          </w:tcPr>
          <w:p>
            <w:r>
              <w:rPr>
                <w:b/>
                <w:color w:val="B40000"/>
                <w:sz w:val="16"/>
              </w:rPr>
              <w:t>213.7 j</w:t>
            </w:r>
          </w:p>
        </w:tc>
        <w:tc>
          <w:tcPr>
            <w:tcW w:type="dxa" w:w="1474"/>
            <w:shd w:fill="F2F2F2" w:val="clear"/>
          </w:tcPr>
          <w:p>
            <w:r>
              <w:rPr>
                <w:b/>
                <w:sz w:val="16"/>
              </w:rPr>
              <w:t>N/D</w:t>
            </w:r>
          </w:p>
        </w:tc>
        <w:tc>
          <w:tcPr>
            <w:tcW w:type="dxa" w:w="1474"/>
            <w:shd w:fill="C6EFCE" w:val="clear"/>
          </w:tcPr>
          <w:p>
            <w:r>
              <w:rPr>
                <w:b/>
                <w:color w:val="006400"/>
                <w:sz w:val="16"/>
              </w:rPr>
              <w:t>79.3 j</w:t>
            </w:r>
          </w:p>
        </w:tc>
        <w:tc>
          <w:tcPr>
            <w:tcW w:type="dxa" w:w="1474"/>
            <w:shd w:fill="F2F2F2" w:val="clear"/>
          </w:tcPr>
          <w:p>
            <w:r>
              <w:rPr>
                <w:b/>
                <w:sz w:val="16"/>
              </w:rPr>
              <w:t>N/D</w:t>
            </w:r>
          </w:p>
        </w:tc>
      </w:tr>
      <w:tr>
        <w:tc>
          <w:tcPr>
            <w:tcW w:type="dxa" w:w="2551"/>
            <w:shd w:fill="EEF2F7" w:val="clear"/>
          </w:tcPr>
          <w:p>
            <w:r>
              <w:rPr>
                <w:b/>
                <w:sz w:val="15"/>
              </w:rPr>
              <w:t>Durée stockage</w:t>
            </w:r>
          </w:p>
        </w:tc>
        <w:tc>
          <w:tcPr>
            <w:tcW w:type="dxa" w:w="1474"/>
            <w:shd w:fill="C6EFCE" w:val="clear"/>
          </w:tcPr>
          <w:p>
            <w:r>
              <w:rPr>
                <w:b/>
                <w:color w:val="006400"/>
                <w:sz w:val="16"/>
              </w:rPr>
              <w:t>152.1 j</w:t>
            </w:r>
          </w:p>
        </w:tc>
        <w:tc>
          <w:tcPr>
            <w:tcW w:type="dxa" w:w="1474"/>
            <w:shd w:fill="FFC7CE" w:val="clear"/>
          </w:tcPr>
          <w:p>
            <w:r>
              <w:rPr>
                <w:b/>
                <w:color w:val="B40000"/>
                <w:sz w:val="16"/>
              </w:rPr>
              <w:t>214.7 j</w:t>
            </w:r>
          </w:p>
        </w:tc>
        <w:tc>
          <w:tcPr>
            <w:tcW w:type="dxa" w:w="1474"/>
            <w:shd w:fill="F2F2F2" w:val="clear"/>
          </w:tcPr>
          <w:p>
            <w:r>
              <w:rPr>
                <w:b/>
                <w:sz w:val="16"/>
              </w:rPr>
              <w:t>N/D</w:t>
            </w:r>
          </w:p>
        </w:tc>
        <w:tc>
          <w:tcPr>
            <w:tcW w:type="dxa" w:w="1474"/>
            <w:shd w:fill="FFFFFF" w:val="clear"/>
          </w:tcPr>
          <w:p>
            <w:r>
              <w:rPr>
                <w:b/>
                <w:color w:val="000000"/>
                <w:sz w:val="16"/>
              </w:rPr>
              <w:t>189.3 j</w:t>
            </w:r>
          </w:p>
        </w:tc>
        <w:tc>
          <w:tcPr>
            <w:tcW w:type="dxa" w:w="1474"/>
            <w:shd w:fill="F2F2F2" w:val="clear"/>
          </w:tcPr>
          <w:p>
            <w:r>
              <w:rPr>
                <w:b/>
                <w:sz w:val="16"/>
              </w:rPr>
              <w:t>N/D</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r>
        <w:tc>
          <w:tcPr>
            <w:tcW w:type="dxa" w:w="2268"/>
            <w:shd w:fill="EEF2F7" w:val="clear"/>
          </w:tcPr>
          <w:p>
            <w:r>
              <w:rPr>
                <w:b/>
                <w:sz w:val="15"/>
              </w:rPr>
              <w:t>Délai clients</w:t>
            </w:r>
          </w:p>
        </w:tc>
        <w:tc>
          <w:tcPr>
            <w:tcW w:type="dxa" w:w="1984"/>
            <w:shd w:fill="FFC7CE" w:val="clear"/>
          </w:tcPr>
          <w:p>
            <w:r>
              <w:rPr>
                <w:b/>
                <w:color w:val="007800"/>
                <w:sz w:val="17"/>
              </w:rPr>
              <w:t>144.7 j</w:t>
            </w:r>
          </w:p>
        </w:tc>
        <w:tc>
          <w:tcPr>
            <w:tcW w:type="dxa" w:w="5669"/>
            <w:shd w:fill="FFFFFF" w:val="clear"/>
          </w:tcPr>
          <w:p>
            <w:r>
              <w:rPr>
                <w:sz w:val="15"/>
              </w:rPr>
              <w:t>❌ Délai critique de 145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152.1 j</w:t>
            </w:r>
          </w:p>
        </w:tc>
        <w:tc>
          <w:tcPr>
            <w:tcW w:type="dxa" w:w="5669"/>
            <w:shd w:fill="FFFFFF" w:val="clear"/>
          </w:tcPr>
          <w:p>
            <w:r>
              <w:rPr>
                <w:sz w:val="15"/>
              </w:rPr>
              <w:t>❌ Stock quasi-bloqué (152 jours) — capital fortement immobilisé, risque d'obsolescence élevé.</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213.7 j</w:t>
            </w:r>
          </w:p>
        </w:tc>
        <w:tc>
          <w:tcPr>
            <w:tcW w:type="dxa" w:w="5669"/>
            <w:shd w:fill="FFFFFF" w:val="clear"/>
          </w:tcPr>
          <w:p>
            <w:r>
              <w:rPr>
                <w:sz w:val="15"/>
              </w:rPr>
              <w:t>❌ Délai critique de 214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214.7 j</w:t>
            </w:r>
          </w:p>
        </w:tc>
        <w:tc>
          <w:tcPr>
            <w:tcW w:type="dxa" w:w="5669"/>
            <w:shd w:fill="FFFFFF" w:val="clear"/>
          </w:tcPr>
          <w:p>
            <w:r>
              <w:rPr>
                <w:sz w:val="15"/>
              </w:rPr>
              <w:t>❌ Stock quasi-bloqué (215 jours) — capital fortement immobilisé, risque d'obsolescence élevé.</w:t>
            </w:r>
          </w:p>
        </w:tc>
      </w:tr>
    </w:tbl>
    <w:p/>
    <w:p>
      <w:pPr>
        <w:spacing w:before="160"/>
      </w:pPr>
      <w:r>
        <w:rPr>
          <w:b/>
          <w:color w:val="003366"/>
          <w:sz w:val="20"/>
        </w:rPr>
        <w:t xml:space="preserve">▶ SDSC — SDSC - AFRICA GLOBAL LOGISTICS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1.07%</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0.30%</w:t>
            </w:r>
          </w:p>
        </w:tc>
        <w:tc>
          <w:tcPr>
            <w:tcW w:type="dxa" w:w="5669"/>
            <w:shd w:fill="FFFFFF" w:val="clear"/>
          </w:tcPr>
          <w:p>
            <w:r>
              <w:rPr>
                <w:sz w:val="15"/>
              </w:rPr>
              <w:t>⚠️ ROA de 0.30%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0.85%</w:t>
            </w:r>
          </w:p>
        </w:tc>
        <w:tc>
          <w:tcPr>
            <w:tcW w:type="dxa" w:w="5669"/>
            <w:shd w:fill="FFFFFF" w:val="clear"/>
          </w:tcPr>
          <w:p>
            <w:r>
              <w:rPr>
                <w:sz w:val="15"/>
              </w:rPr>
              <w:t>⚠️ Marge nette quasi-nulle (0.85%)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784.97 M FCFA</w:t>
            </w:r>
          </w:p>
        </w:tc>
        <w:tc>
          <w:tcPr>
            <w:tcW w:type="dxa" w:w="5669"/>
            <w:shd w:fill="FFFFFF" w:val="clear"/>
          </w:tcPr>
          <w:p>
            <w:r>
              <w:rPr>
                <w:sz w:val="15"/>
              </w:rPr>
              <w:t>✅ Résultat net positif de 784.97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7.43%</w:t>
            </w:r>
          </w:p>
        </w:tc>
        <w:tc>
          <w:tcPr>
            <w:tcW w:type="dxa" w:w="5669"/>
            <w:shd w:fill="FFFFFF" w:val="clear"/>
          </w:tcPr>
          <w:p>
            <w:r>
              <w:rPr>
                <w:sz w:val="15"/>
              </w:rPr>
              <w:t>✅ Croissance de 7.4%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28.35%</w:t>
            </w:r>
          </w:p>
        </w:tc>
        <w:tc>
          <w:tcPr>
            <w:tcW w:type="dxa" w:w="5669"/>
            <w:shd w:fill="FFFFFF" w:val="clear"/>
          </w:tcPr>
          <w:p>
            <w:r>
              <w:rPr>
                <w:sz w:val="15"/>
              </w:rPr>
              <w:t>✅ Autonomie financière correcte (28.3%)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13.91%</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139.57%</w:t>
            </w:r>
          </w:p>
        </w:tc>
        <w:tc>
          <w:tcPr>
            <w:tcW w:type="dxa" w:w="5669"/>
            <w:shd w:fill="FFFFFF" w:val="clear"/>
          </w:tcPr>
          <w:p>
            <w:r>
              <w:rPr>
                <w:sz w:val="15"/>
              </w:rPr>
              <w:t>✅ Solvabilité satisfaisante (140%)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109.82%</w:t>
            </w:r>
          </w:p>
        </w:tc>
        <w:tc>
          <w:tcPr>
            <w:tcW w:type="dxa" w:w="5669"/>
            <w:shd w:fill="FFFFFF" w:val="clear"/>
          </w:tcPr>
          <w:p>
            <w:r>
              <w:rPr>
                <w:sz w:val="15"/>
              </w:rPr>
              <w:t>⚠️ Liquidité générale limite (109.82x)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55.471 Mds FCFA</w:t>
            </w:r>
          </w:p>
        </w:tc>
        <w:tc>
          <w:tcPr>
            <w:tcW w:type="dxa" w:w="5669"/>
            <w:shd w:fill="FFFFFF" w:val="clear"/>
          </w:tcPr>
          <w:p>
            <w:r>
              <w:rPr>
                <w:sz w:val="15"/>
              </w:rPr>
              <w:t>✅ FCF positif de 55.471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-2.47%</w:t>
            </w:r>
          </w:p>
        </w:tc>
        <w:tc>
          <w:tcPr>
            <w:tcW w:type="dxa" w:w="5669"/>
            <w:shd w:fill="FFFFFF" w:val="clear"/>
          </w:tcPr>
          <w:p>
            <w:r>
              <w:rPr>
                <w:sz w:val="15"/>
              </w:rPr>
              <w:t>❌ Marge opérationnelle négative (-2.5%) — l'activité principale est déficitaire.</w:t>
            </w:r>
          </w:p>
        </w:tc>
      </w:tr>
    </w:tbl>
    <w:p/>
    <w:p>
      <w:pPr>
        <w:spacing w:before="160"/>
      </w:pPr>
      <w:r>
        <w:rPr>
          <w:b/>
          <w:color w:val="003366"/>
          <w:sz w:val="20"/>
        </w:rPr>
        <w:t xml:space="preserve">▶ SIVC — SIVC - ERIUM CI (Ex AIR LIQUIDECI)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7.10%</w:t>
            </w:r>
          </w:p>
        </w:tc>
        <w:tc>
          <w:tcPr>
            <w:tcW w:type="dxa" w:w="5669"/>
            <w:shd w:fill="FFFFFF" w:val="clear"/>
          </w:tcPr>
          <w:p>
            <w:r>
              <w:rPr>
                <w:sz w:val="15"/>
              </w:rPr>
              <w:t>⚠️ ROE de 7.1%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1.23%</w:t>
            </w:r>
          </w:p>
        </w:tc>
        <w:tc>
          <w:tcPr>
            <w:tcW w:type="dxa" w:w="5669"/>
            <w:shd w:fill="FFFFFF" w:val="clear"/>
          </w:tcPr>
          <w:p>
            <w:r>
              <w:rPr>
                <w:sz w:val="15"/>
              </w:rPr>
              <w:t>⚠️ ROA de 1.23%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1.78%</w:t>
            </w:r>
          </w:p>
        </w:tc>
        <w:tc>
          <w:tcPr>
            <w:tcW w:type="dxa" w:w="5669"/>
            <w:shd w:fill="FFFFFF" w:val="clear"/>
          </w:tcPr>
          <w:p>
            <w:r>
              <w:rPr>
                <w:sz w:val="15"/>
              </w:rPr>
              <w:t>⚠️ Marge nette de 1.8%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179.29 M FCFA</w:t>
            </w:r>
          </w:p>
        </w:tc>
        <w:tc>
          <w:tcPr>
            <w:tcW w:type="dxa" w:w="5669"/>
            <w:shd w:fill="FFFFFF" w:val="clear"/>
          </w:tcPr>
          <w:p>
            <w:r>
              <w:rPr>
                <w:sz w:val="15"/>
              </w:rPr>
              <w:t>✅ Résultat net positif de 179.29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8.53%</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17.29%</w:t>
            </w:r>
          </w:p>
        </w:tc>
        <w:tc>
          <w:tcPr>
            <w:tcW w:type="dxa" w:w="5669"/>
            <w:shd w:fill="FFFFFF" w:val="clear"/>
          </w:tcPr>
          <w:p>
            <w:r>
              <w:rPr>
                <w:sz w:val="15"/>
              </w:rPr>
              <w:t>⚠️ Autonomie limitée (17.3%)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228.41%</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120.91%</w:t>
            </w:r>
          </w:p>
        </w:tc>
        <w:tc>
          <w:tcPr>
            <w:tcW w:type="dxa" w:w="5669"/>
            <w:shd w:fill="FFFFFF" w:val="clear"/>
          </w:tcPr>
          <w:p>
            <w:r>
              <w:rPr>
                <w:sz w:val="15"/>
              </w:rPr>
              <w:t>✅ Solvabilité satisfaisante (121%)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73.09%</w:t>
            </w:r>
          </w:p>
        </w:tc>
        <w:tc>
          <w:tcPr>
            <w:tcW w:type="dxa" w:w="5669"/>
            <w:shd w:fill="FFFFFF" w:val="clear"/>
          </w:tcPr>
          <w:p>
            <w:r>
              <w:rPr>
                <w:sz w:val="15"/>
              </w:rPr>
              <w:t>❌ Liquidité insuffisante (73.09x)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-935.89 M FCFA</w:t>
            </w:r>
          </w:p>
        </w:tc>
        <w:tc>
          <w:tcPr>
            <w:tcW w:type="dxa" w:w="5669"/>
            <w:shd w:fill="FFFFFF" w:val="clear"/>
          </w:tcPr>
          <w:p>
            <w:r>
              <w:rPr>
                <w:sz w:val="15"/>
              </w:rPr>
              <w:t>❌ FCF négatif significatif (-935.89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8.60%</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EB9C" w:val="clear"/>
          </w:tcPr>
          <w:p>
            <w:r>
              <w:rPr>
                <w:b/>
                <w:color w:val="007800"/>
                <w:sz w:val="17"/>
              </w:rPr>
              <w:t>79.3 j</w:t>
            </w:r>
          </w:p>
        </w:tc>
        <w:tc>
          <w:tcPr>
            <w:tcW w:type="dxa" w:w="5669"/>
            <w:shd w:fill="FFFFFF" w:val="clear"/>
          </w:tcPr>
          <w:p>
            <w:r>
              <w:rPr>
                <w:sz w:val="15"/>
              </w:rPr>
              <w:t>⚠️ Délai long (79 jours) — risque d'impayés accru, pression sur la trésorerie CT.</w:t>
            </w:r>
          </w:p>
        </w:tc>
      </w:tr>
      <w:tr>
        <w:tc>
          <w:tcPr>
            <w:tcW w:type="dxa" w:w="2268"/>
            <w:shd w:fill="EEF2F7" w:val="clear"/>
          </w:tcPr>
          <w:p>
            <w:r>
              <w:rPr>
                <w:b/>
                <w:sz w:val="15"/>
              </w:rPr>
              <w:t>Durée stockage</w:t>
            </w:r>
          </w:p>
        </w:tc>
        <w:tc>
          <w:tcPr>
            <w:tcW w:type="dxa" w:w="1984"/>
            <w:shd w:fill="FFC7CE" w:val="clear"/>
          </w:tcPr>
          <w:p>
            <w:r>
              <w:rPr>
                <w:b/>
                <w:color w:val="007800"/>
                <w:sz w:val="17"/>
              </w:rPr>
              <w:t>189.3 j</w:t>
            </w:r>
          </w:p>
        </w:tc>
        <w:tc>
          <w:tcPr>
            <w:tcW w:type="dxa" w:w="5669"/>
            <w:shd w:fill="FFFFFF" w:val="clear"/>
          </w:tcPr>
          <w:p>
            <w:r>
              <w:rPr>
                <w:sz w:val="15"/>
              </w:rPr>
              <w:t>❌ Stock quasi-bloqué (189 jours) — capital fortement immobilisé, risque d'obsolescence élevé.</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CABC</w:t>
            </w:r>
          </w:p>
        </w:tc>
        <w:tc>
          <w:tcPr>
            <w:tcW w:type="dxa" w:w="1728"/>
            <w:shd w:fill="C6EFCE" w:val="clear"/>
          </w:tcPr>
          <w:p>
            <w:r>
              <w:rPr>
                <w:color w:val="006400"/>
                <w:sz w:val="16"/>
              </w:rPr>
              <w:t>15.40%</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CABC</w:t>
            </w:r>
          </w:p>
        </w:tc>
        <w:tc>
          <w:tcPr>
            <w:tcW w:type="dxa" w:w="1728"/>
            <w:shd w:fill="C6EFCE" w:val="clear"/>
          </w:tcPr>
          <w:p>
            <w:r>
              <w:rPr>
                <w:color w:val="006400"/>
                <w:sz w:val="16"/>
              </w:rPr>
              <w:t>6.77%</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FTSC</w:t>
            </w:r>
          </w:p>
        </w:tc>
        <w:tc>
          <w:tcPr>
            <w:tcW w:type="dxa" w:w="1728"/>
            <w:shd w:fill="FFC7CE" w:val="clear"/>
          </w:tcPr>
          <w:p>
            <w:r>
              <w:rPr>
                <w:color w:val="B40000"/>
                <w:sz w:val="16"/>
              </w:rPr>
              <w:t>4.61%</w:t>
            </w:r>
          </w:p>
        </w:tc>
      </w:tr>
      <w:tr>
        <w:tc>
          <w:tcPr>
            <w:tcW w:type="dxa" w:w="1728"/>
            <w:shd w:fill="EEF2F7" w:val="clear"/>
          </w:tcPr>
          <w:p>
            <w:r>
              <w:rPr>
                <w:b/>
                <w:sz w:val="16"/>
              </w:rPr>
              <w:t>Autonomie fin.</w:t>
            </w:r>
          </w:p>
        </w:tc>
        <w:tc>
          <w:tcPr>
            <w:tcW w:type="dxa" w:w="1728"/>
            <w:shd w:fill="C6EFCE" w:val="clear"/>
          </w:tcPr>
          <w:p>
            <w:r>
              <w:rPr>
                <w:b/>
                <w:color w:val="006400"/>
                <w:sz w:val="16"/>
              </w:rPr>
              <w:t>FTSC</w:t>
            </w:r>
          </w:p>
        </w:tc>
        <w:tc>
          <w:tcPr>
            <w:tcW w:type="dxa" w:w="1728"/>
            <w:shd w:fill="C6EFCE" w:val="clear"/>
          </w:tcPr>
          <w:p>
            <w:r>
              <w:rPr>
                <w:color w:val="006400"/>
                <w:sz w:val="16"/>
              </w:rPr>
              <w:t>40.11%</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73.09%</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55.471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Services Financiers</w:t>
      </w:r>
    </w:p>
    <w:p>
      <w:r>
        <w:rPr>
          <w:sz w:val="18"/>
        </w:rPr>
        <w:t>1 société(s) avec données financières sur 1 cotée(s) dans ce secteur. Exercice(s) analysé(s) : 2025.</w:t>
      </w:r>
    </w:p>
    <w:p/>
    <w:p>
      <w:pPr>
        <w:pStyle w:val="Heading3"/>
      </w:pPr>
      <w:r>
        <w:t>📊 Tableau comparatif des indicateurs clés</w:t>
      </w:r>
    </w:p>
    <w:tbl>
      <w:tblPr>
        <w:tblStyle w:val="TableGrid"/>
        <w:tblW w:type="auto" w:w="0"/>
        <w:tblLook w:firstColumn="1" w:firstRow="1" w:lastColumn="0" w:lastRow="0" w:noHBand="0" w:noVBand="1" w:val="04A0"/>
      </w:tblPr>
      <w:tblGrid>
        <w:gridCol w:w="4320"/>
        <w:gridCol w:w="4320"/>
      </w:tblGrid>
      <w:tr>
        <w:tc>
          <w:tcPr>
            <w:tcW w:type="dxa" w:w="2551"/>
            <w:shd w:fill="1F4E79" w:val="clear"/>
          </w:tcPr>
          <w:p>
            <w:r>
              <w:rPr>
                <w:b/>
                <w:color w:val="FFFFFF"/>
                <w:sz w:val="16"/>
              </w:rPr>
              <w:t>Indicateur</w:t>
            </w:r>
          </w:p>
        </w:tc>
        <w:tc>
          <w:tcPr>
            <w:tcW w:type="dxa" w:w="7370"/>
            <w:shd w:fill="1F4E79" w:val="clear"/>
          </w:tcPr>
          <w:p>
            <w:r>
              <w:rPr>
                <w:b/>
                <w:color w:val="FFFFFF"/>
                <w:sz w:val="15"/>
              </w:rPr>
              <w:t>BBGC (2025)</w:t>
            </w:r>
          </w:p>
        </w:tc>
      </w:tr>
      <w:tr>
        <w:tc>
          <w:tcPr>
            <w:tcW w:type="dxa" w:w="2551"/>
            <w:shd w:fill="EEF2F7" w:val="clear"/>
          </w:tcPr>
          <w:p>
            <w:r>
              <w:rPr>
                <w:b/>
                <w:sz w:val="15"/>
              </w:rPr>
              <w:t>ROE</w:t>
            </w:r>
          </w:p>
        </w:tc>
        <w:tc>
          <w:tcPr>
            <w:tcW w:type="dxa" w:w="7370"/>
            <w:shd w:fill="FFFFFF" w:val="clear"/>
          </w:tcPr>
          <w:p>
            <w:r>
              <w:rPr>
                <w:b/>
                <w:color w:val="000000"/>
                <w:sz w:val="16"/>
              </w:rPr>
              <w:t>25.87%</w:t>
            </w:r>
          </w:p>
        </w:tc>
      </w:tr>
      <w:tr>
        <w:tc>
          <w:tcPr>
            <w:tcW w:type="dxa" w:w="2551"/>
            <w:shd w:fill="EEF2F7" w:val="clear"/>
          </w:tcPr>
          <w:p>
            <w:r>
              <w:rPr>
                <w:b/>
                <w:sz w:val="15"/>
              </w:rPr>
              <w:t>ROA</w:t>
            </w:r>
          </w:p>
        </w:tc>
        <w:tc>
          <w:tcPr>
            <w:tcW w:type="dxa" w:w="7370"/>
            <w:shd w:fill="FFFFFF" w:val="clear"/>
          </w:tcPr>
          <w:p>
            <w:r>
              <w:rPr>
                <w:b/>
                <w:color w:val="000000"/>
                <w:sz w:val="16"/>
              </w:rPr>
              <w:t>1.91%</w:t>
            </w:r>
          </w:p>
        </w:tc>
      </w:tr>
      <w:tr>
        <w:tc>
          <w:tcPr>
            <w:tcW w:type="dxa" w:w="2551"/>
            <w:shd w:fill="EEF2F7" w:val="clear"/>
          </w:tcPr>
          <w:p>
            <w:r>
              <w:rPr>
                <w:b/>
                <w:sz w:val="15"/>
              </w:rPr>
              <w:t>Marge nette</w:t>
            </w:r>
          </w:p>
        </w:tc>
        <w:tc>
          <w:tcPr>
            <w:tcW w:type="dxa" w:w="7370"/>
            <w:shd w:fill="FFFFFF" w:val="clear"/>
          </w:tcPr>
          <w:p>
            <w:r>
              <w:rPr>
                <w:b/>
                <w:color w:val="000000"/>
                <w:sz w:val="16"/>
              </w:rPr>
              <w:t>40.10%</w:t>
            </w:r>
          </w:p>
        </w:tc>
      </w:tr>
      <w:tr>
        <w:tc>
          <w:tcPr>
            <w:tcW w:type="dxa" w:w="2551"/>
            <w:shd w:fill="EEF2F7" w:val="clear"/>
          </w:tcPr>
          <w:p>
            <w:r>
              <w:rPr>
                <w:b/>
                <w:sz w:val="15"/>
              </w:rPr>
              <w:t>Résultat net</w:t>
            </w:r>
          </w:p>
        </w:tc>
        <w:tc>
          <w:tcPr>
            <w:tcW w:type="dxa" w:w="7370"/>
            <w:shd w:fill="FFFFFF" w:val="clear"/>
          </w:tcPr>
          <w:p>
            <w:r>
              <w:rPr>
                <w:b/>
                <w:color w:val="000000"/>
                <w:sz w:val="16"/>
              </w:rPr>
              <w:t>27.197 Mds FCFA</w:t>
            </w:r>
          </w:p>
        </w:tc>
      </w:tr>
      <w:tr>
        <w:tc>
          <w:tcPr>
            <w:tcW w:type="dxa" w:w="2551"/>
            <w:shd w:fill="EEF2F7" w:val="clear"/>
          </w:tcPr>
          <w:p>
            <w:r>
              <w:rPr>
                <w:b/>
                <w:sz w:val="15"/>
              </w:rPr>
              <w:t>Taux croissance CA/PNB</w:t>
            </w:r>
          </w:p>
        </w:tc>
        <w:tc>
          <w:tcPr>
            <w:tcW w:type="dxa" w:w="7370"/>
            <w:shd w:fill="FFFFFF" w:val="clear"/>
          </w:tcPr>
          <w:p>
            <w:r>
              <w:rPr>
                <w:b/>
                <w:color w:val="000000"/>
                <w:sz w:val="16"/>
              </w:rPr>
              <w:t>15.71%</w:t>
            </w:r>
          </w:p>
        </w:tc>
      </w:tr>
      <w:tr>
        <w:tc>
          <w:tcPr>
            <w:tcW w:type="dxa" w:w="2551"/>
            <w:shd w:fill="EEF2F7" w:val="clear"/>
          </w:tcPr>
          <w:p>
            <w:r>
              <w:rPr>
                <w:b/>
                <w:sz w:val="15"/>
              </w:rPr>
              <w:t>Autonomie financière</w:t>
            </w:r>
          </w:p>
        </w:tc>
        <w:tc>
          <w:tcPr>
            <w:tcW w:type="dxa" w:w="7370"/>
            <w:shd w:fill="FFFFFF" w:val="clear"/>
          </w:tcPr>
          <w:p>
            <w:r>
              <w:rPr>
                <w:b/>
                <w:color w:val="000000"/>
                <w:sz w:val="16"/>
              </w:rPr>
              <w:t>7.37%</w:t>
            </w:r>
          </w:p>
        </w:tc>
      </w:tr>
      <w:tr>
        <w:tc>
          <w:tcPr>
            <w:tcW w:type="dxa" w:w="2551"/>
            <w:shd w:fill="EEF2F7" w:val="clear"/>
          </w:tcPr>
          <w:p>
            <w:r>
              <w:rPr>
                <w:b/>
                <w:sz w:val="15"/>
              </w:rPr>
              <w:t>Ratio endettement</w:t>
            </w:r>
          </w:p>
        </w:tc>
        <w:tc>
          <w:tcPr>
            <w:tcW w:type="dxa" w:w="7370"/>
            <w:shd w:fill="FFFFFF" w:val="clear"/>
          </w:tcPr>
          <w:p>
            <w:r>
              <w:rPr>
                <w:b/>
                <w:color w:val="000000"/>
                <w:sz w:val="16"/>
              </w:rPr>
              <w:t>1257.65%</w:t>
            </w:r>
          </w:p>
        </w:tc>
      </w:tr>
      <w:tr>
        <w:tc>
          <w:tcPr>
            <w:tcW w:type="dxa" w:w="2551"/>
            <w:shd w:fill="EEF2F7" w:val="clear"/>
          </w:tcPr>
          <w:p>
            <w:r>
              <w:rPr>
                <w:b/>
                <w:sz w:val="15"/>
              </w:rPr>
              <w:t>Solvabilité générale</w:t>
            </w:r>
          </w:p>
        </w:tc>
        <w:tc>
          <w:tcPr>
            <w:tcW w:type="dxa" w:w="7370"/>
            <w:shd w:fill="FFFFFF" w:val="clear"/>
          </w:tcPr>
          <w:p>
            <w:r>
              <w:rPr>
                <w:b/>
                <w:color w:val="000000"/>
                <w:sz w:val="16"/>
              </w:rPr>
              <w:t>107.95%</w:t>
            </w:r>
          </w:p>
        </w:tc>
      </w:tr>
      <w:tr>
        <w:tc>
          <w:tcPr>
            <w:tcW w:type="dxa" w:w="2551"/>
            <w:shd w:fill="EEF2F7" w:val="clear"/>
          </w:tcPr>
          <w:p>
            <w:r>
              <w:rPr>
                <w:b/>
                <w:sz w:val="15"/>
              </w:rPr>
              <w:t>Coeff. exploitation</w:t>
            </w:r>
          </w:p>
        </w:tc>
        <w:tc>
          <w:tcPr>
            <w:tcW w:type="dxa" w:w="7370"/>
            <w:shd w:fill="FFFFFF" w:val="clear"/>
          </w:tcPr>
          <w:p>
            <w:r>
              <w:rPr>
                <w:b/>
                <w:color w:val="000000"/>
                <w:sz w:val="16"/>
              </w:rPr>
              <w:t>41.85%</w:t>
            </w:r>
          </w:p>
        </w:tc>
      </w:tr>
      <w:tr>
        <w:tc>
          <w:tcPr>
            <w:tcW w:type="dxa" w:w="2551"/>
            <w:shd w:fill="EEF2F7" w:val="clear"/>
          </w:tcPr>
          <w:p>
            <w:r>
              <w:rPr>
                <w:b/>
                <w:sz w:val="15"/>
              </w:rPr>
              <w:t>Marge opérationnelle</w:t>
            </w:r>
          </w:p>
        </w:tc>
        <w:tc>
          <w:tcPr>
            <w:tcW w:type="dxa" w:w="7370"/>
            <w:shd w:fill="FFFFFF" w:val="clear"/>
          </w:tcPr>
          <w:p>
            <w:r>
              <w:rPr>
                <w:b/>
                <w:color w:val="000000"/>
                <w:sz w:val="16"/>
              </w:rPr>
              <w:t>48.12%</w:t>
            </w:r>
          </w:p>
        </w:tc>
      </w:tr>
    </w:tbl>
    <w:p/>
    <w:p>
      <w:pPr>
        <w:pStyle w:val="Heading3"/>
      </w:pPr>
      <w:r>
        <w:t>🔍 Analyse détaillée par société</w:t>
      </w:r>
    </w:p>
    <w:p>
      <w:pPr>
        <w:spacing w:before="160"/>
      </w:pPr>
      <w:r>
        <w:rPr>
          <w:b/>
          <w:color w:val="003366"/>
          <w:sz w:val="20"/>
        </w:rPr>
        <w:t xml:space="preserve">▶ BBGC — BRIDGE BANK GROUP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25.87%</w:t>
            </w:r>
          </w:p>
        </w:tc>
        <w:tc>
          <w:tcPr>
            <w:tcW w:type="dxa" w:w="5669"/>
            <w:shd w:fill="FFFFFF" w:val="clear"/>
          </w:tcPr>
          <w:p>
            <w:r>
              <w:rPr>
                <w:sz w:val="15"/>
              </w:rPr>
              <w:t>✅ ROE de 25.9%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1.91%</w:t>
            </w:r>
          </w:p>
        </w:tc>
        <w:tc>
          <w:tcPr>
            <w:tcW w:type="dxa" w:w="5669"/>
            <w:shd w:fill="FFFFFF" w:val="clear"/>
          </w:tcPr>
          <w:p>
            <w:r>
              <w:rPr>
                <w:sz w:val="15"/>
              </w:rPr>
              <w:t>✅ ROA de 1.91%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40.10%</w:t>
            </w:r>
          </w:p>
        </w:tc>
        <w:tc>
          <w:tcPr>
            <w:tcW w:type="dxa" w:w="5669"/>
            <w:shd w:fill="FFFFFF" w:val="clear"/>
          </w:tcPr>
          <w:p>
            <w:r>
              <w:rPr>
                <w:sz w:val="15"/>
              </w:rPr>
              <w:t>✅ Marge nette de 40.1%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27.197 Mds FCFA</w:t>
            </w:r>
          </w:p>
        </w:tc>
        <w:tc>
          <w:tcPr>
            <w:tcW w:type="dxa" w:w="5669"/>
            <w:shd w:fill="FFFFFF" w:val="clear"/>
          </w:tcPr>
          <w:p>
            <w:r>
              <w:rPr>
                <w:sz w:val="15"/>
              </w:rPr>
              <w:t>✅ Résultat net positif de 27.197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15.71%</w:t>
            </w:r>
          </w:p>
        </w:tc>
        <w:tc>
          <w:tcPr>
            <w:tcW w:type="dxa" w:w="5669"/>
            <w:shd w:fill="FFFFFF" w:val="clear"/>
          </w:tcPr>
          <w:p>
            <w:r>
              <w:rPr>
                <w:sz w:val="15"/>
              </w:rPr>
              <w:t>✅ Croissance de 15.7%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7.37%</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1257.65%</w:t>
            </w:r>
          </w:p>
        </w:tc>
        <w:tc>
          <w:tcPr>
            <w:tcW w:type="dxa" w:w="5669"/>
            <w:shd w:fill="FFFFFF" w:val="clear"/>
          </w:tcPr>
          <w:p>
            <w:r>
              <w:rPr>
                <w:sz w:val="15"/>
              </w:rPr>
              <w:t>❌ Gearing de 1258%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107.95%</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41.85%</w:t>
            </w:r>
          </w:p>
        </w:tc>
        <w:tc>
          <w:tcPr>
            <w:tcW w:type="dxa" w:w="5669"/>
            <w:shd w:fill="FFFFFF" w:val="clear"/>
          </w:tcPr>
          <w:p>
            <w:r>
              <w:rPr>
                <w:sz w:val="15"/>
              </w:rPr>
              <w:t>✅ Coeff. d'exploitation de 41.8%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48.12%</w:t>
            </w:r>
          </w:p>
        </w:tc>
        <w:tc>
          <w:tcPr>
            <w:tcW w:type="dxa" w:w="5669"/>
            <w:shd w:fill="FFFFFF" w:val="clear"/>
          </w:tcPr>
          <w:p>
            <w:r>
              <w:rPr>
                <w:sz w:val="15"/>
              </w:rPr>
              <w:t>✅ Marge opérationnelle de 48.1% — excellente efficacité de l'exploitation principale.</w:t>
            </w:r>
          </w:p>
        </w:tc>
      </w:tr>
    </w:tbl>
    <w:p/>
    <w:p>
      <w:pPr>
        <w:pStyle w:val="Heading3"/>
      </w:pPr>
      <w:r>
        <w:t>🏆 Synthèse sectorielle — Points forts et points faibles</w:t>
      </w:r>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BBGC - BRIDGE BANK GROUP COTE D'IVOIRE</w:t>
      </w:r>
    </w:p>
    <w:p>
      <w:pPr>
        <w:ind w:left="400"/>
      </w:pPr>
      <w:r>
        <w:t>3. BICB - BIIC BN - Banque internationale pour le commerce du benin</w:t>
      </w:r>
    </w:p>
    <w:p>
      <w:pPr>
        <w:ind w:left="400"/>
      </w:pPr>
      <w:r>
        <w:t>4. BICC - BICI CI - Banque internationale pour le commerce et l'industrie de la Côte d'Ivoire</w:t>
      </w:r>
    </w:p>
    <w:p>
      <w:pPr>
        <w:ind w:left="400"/>
      </w:pPr>
      <w:r>
        <w:t>5. BNBC - BNBC - BERNABE CI</w:t>
      </w:r>
    </w:p>
    <w:p>
      <w:pPr>
        <w:ind w:left="400"/>
      </w:pPr>
      <w:r>
        <w:t>6. BOAB - BANK OF AFRICA BENIN</w:t>
      </w:r>
    </w:p>
    <w:p>
      <w:pPr>
        <w:ind w:left="400"/>
      </w:pPr>
      <w:r>
        <w:t>7. BOABF - BANK OF AFRICA BURKINA FASO</w:t>
      </w:r>
    </w:p>
    <w:p>
      <w:pPr>
        <w:ind w:left="400"/>
      </w:pPr>
      <w:r>
        <w:t>8. BOAC - BANK OF AFRICA COTE D'IVOIRE</w:t>
      </w:r>
    </w:p>
    <w:p>
      <w:pPr>
        <w:ind w:left="400"/>
      </w:pPr>
      <w:r>
        <w:t>9. BOAM - BANK OF AFRICA MALI</w:t>
      </w:r>
    </w:p>
    <w:p>
      <w:pPr>
        <w:ind w:left="400"/>
      </w:pPr>
      <w:r>
        <w:t>10. BOAN - BANK OF AFRICA NIGER</w:t>
      </w:r>
    </w:p>
    <w:p>
      <w:pPr>
        <w:ind w:left="400"/>
      </w:pPr>
      <w:r>
        <w:t>11. BOAS - BANK OF AFRICA SENEGAL</w:t>
      </w:r>
    </w:p>
    <w:p>
      <w:pPr>
        <w:ind w:left="400"/>
      </w:pPr>
      <w:r>
        <w:t>12. CABC - CABC - SICABLE COTE D'IVOIRE</w:t>
      </w:r>
    </w:p>
    <w:p>
      <w:pPr>
        <w:ind w:left="400"/>
      </w:pPr>
      <w:r>
        <w:t>13. CBIBF - CBIBF - CORIS BANK INTERNATIONAL BURKINA FASO</w:t>
      </w:r>
    </w:p>
    <w:p>
      <w:pPr>
        <w:ind w:left="400"/>
      </w:pPr>
      <w:r>
        <w:t>14. CFAC - CFAC - CFAO MOTORS CI</w:t>
      </w:r>
    </w:p>
    <w:p>
      <w:pPr>
        <w:ind w:left="400"/>
      </w:pPr>
      <w:r>
        <w:t>15. CIEC - CIEC - Compagnie Ivoirienne d'Electricité</w:t>
      </w:r>
    </w:p>
    <w:p>
      <w:pPr>
        <w:ind w:left="400"/>
      </w:pPr>
      <w:r>
        <w:t>16. ECOC - ECOC - ECOBANK COTE D'IVOIRE</w:t>
      </w:r>
    </w:p>
    <w:p>
      <w:pPr>
        <w:ind w:left="400"/>
      </w:pPr>
      <w:r>
        <w:t>17. ETIT - ETIT - Ecobank Transnational Incorporated Togo</w:t>
      </w:r>
    </w:p>
    <w:p>
      <w:pPr>
        <w:ind w:left="400"/>
      </w:pPr>
      <w:r>
        <w:t>18. FTSC - FTSC - FILTISAC COTE D'IVOIRE</w:t>
      </w:r>
    </w:p>
    <w:p>
      <w:pPr>
        <w:ind w:left="400"/>
      </w:pPr>
      <w:r>
        <w:t>19. LNBB - LNBB - LOTERIE NATIONALE DU BENIN</w:t>
      </w:r>
    </w:p>
    <w:p>
      <w:pPr>
        <w:ind w:left="400"/>
      </w:pPr>
      <w:r>
        <w:t>20. NEIC - NEIC - NEI-CEDA CI</w:t>
      </w:r>
    </w:p>
    <w:p>
      <w:pPr>
        <w:ind w:left="400"/>
      </w:pPr>
      <w:r>
        <w:t>21. NSBC - NSBC - NSIA BANQUE COTE D'IVOIRE</w:t>
      </w:r>
    </w:p>
    <w:p>
      <w:pPr>
        <w:ind w:left="400"/>
      </w:pPr>
      <w:r>
        <w:t>22. NTLC - NTLC - NESTLE COTE D'IVOIRE</w:t>
      </w:r>
    </w:p>
    <w:p>
      <w:pPr>
        <w:ind w:left="400"/>
      </w:pPr>
      <w:r>
        <w:t>23. ONTBF - ONTBF - ONATEL BURKINA FASO</w:t>
      </w:r>
    </w:p>
    <w:p>
      <w:pPr>
        <w:ind w:left="400"/>
      </w:pPr>
      <w:r>
        <w:t>24. ORAC - ORAC - ORANGE COTE D'IVOIRE</w:t>
      </w:r>
    </w:p>
    <w:p>
      <w:pPr>
        <w:ind w:left="400"/>
      </w:pPr>
      <w:r>
        <w:t>25. ORGT - ORGT - ORAGROUP TOGO</w:t>
      </w:r>
    </w:p>
    <w:p>
      <w:pPr>
        <w:ind w:left="400"/>
      </w:pPr>
      <w:r>
        <w:t>26. PALC - PALC - PALM COTE D'IVOIRE</w:t>
      </w:r>
    </w:p>
    <w:p>
      <w:pPr>
        <w:ind w:left="400"/>
      </w:pPr>
      <w:r>
        <w:t>27. PRSC - PRSC - TRACTAFRIC MOTORS CI</w:t>
      </w:r>
    </w:p>
    <w:p>
      <w:pPr>
        <w:ind w:left="400"/>
      </w:pPr>
      <w:r>
        <w:t>28. SAFC - SAFCA CI</w:t>
      </w:r>
    </w:p>
    <w:p>
      <w:pPr>
        <w:ind w:left="400"/>
      </w:pPr>
      <w:r>
        <w:t>29. SCRC - SCRC - SUCRIVOIRE</w:t>
      </w:r>
    </w:p>
    <w:p>
      <w:pPr>
        <w:ind w:left="400"/>
      </w:pPr>
      <w:r>
        <w:t>30. SDCC - SDCC - Société de Distribution d'Eau de Côte d'Ivoire</w:t>
      </w:r>
    </w:p>
    <w:p>
      <w:pPr>
        <w:ind w:left="400"/>
      </w:pPr>
      <w:r>
        <w:t>31. SDSC - SDSC - AFRICA GLOBAL LOGISTICS CI</w:t>
      </w:r>
    </w:p>
    <w:p>
      <w:pPr>
        <w:ind w:left="400"/>
      </w:pPr>
      <w:r>
        <w:t>32. SEMC - SEMC - EVIOSYS PACKAGING SIEM CI</w:t>
      </w:r>
    </w:p>
    <w:p>
      <w:pPr>
        <w:ind w:left="400"/>
      </w:pPr>
      <w:r>
        <w:t>33. SGBC - SGBC - SOCIETE GENERALE COTE D'IVOIRE</w:t>
      </w:r>
    </w:p>
    <w:p>
      <w:pPr>
        <w:ind w:left="400"/>
      </w:pPr>
      <w:r>
        <w:t>34. SHEC - SHEC - VIVO ENERGY COTE D'IVOIRE</w:t>
      </w:r>
    </w:p>
    <w:p>
      <w:pPr>
        <w:ind w:left="400"/>
      </w:pPr>
      <w:r>
        <w:t>35. SIBC - SIBC - SOCIETE IVOIRIENNE DE BANQUE</w:t>
      </w:r>
    </w:p>
    <w:p>
      <w:pPr>
        <w:ind w:left="400"/>
      </w:pPr>
      <w:r>
        <w:t>36. SICC - SICC - SICOR COTE D'IVOIRE</w:t>
      </w:r>
    </w:p>
    <w:p>
      <w:pPr>
        <w:ind w:left="400"/>
      </w:pPr>
      <w:r>
        <w:t>37. SIVC - SIVC - ERIUM CI (Ex AIR LIQUIDECI)</w:t>
      </w:r>
    </w:p>
    <w:p>
      <w:pPr>
        <w:ind w:left="400"/>
      </w:pPr>
      <w:r>
        <w:t>38. SLBC - SLBC - SOLIBRA COTE D'IVOIRE</w:t>
      </w:r>
    </w:p>
    <w:p>
      <w:pPr>
        <w:ind w:left="400"/>
      </w:pPr>
      <w:r>
        <w:t>39. SMBC - SMBC - Société Multinationale de Bitumes COTE D'IVOIRE</w:t>
      </w:r>
    </w:p>
    <w:p>
      <w:pPr>
        <w:ind w:left="400"/>
      </w:pPr>
      <w:r>
        <w:t>40. SNTS - SNTS - SONATEL SN</w:t>
      </w:r>
    </w:p>
    <w:p>
      <w:pPr>
        <w:ind w:left="400"/>
      </w:pPr>
      <w:r>
        <w:t>41. SOGC - SOGC - Société des caoutchoucs de Grand-Béréby</w:t>
      </w:r>
    </w:p>
    <w:p>
      <w:pPr>
        <w:ind w:left="400"/>
      </w:pPr>
      <w:r>
        <w:t>42. SPHC - SPHC - Société Africaine de Plantation d'Hévéas de Côte d'Ivoire</w:t>
      </w:r>
    </w:p>
    <w:p>
      <w:pPr>
        <w:ind w:left="400"/>
      </w:pPr>
      <w:r>
        <w:t>43. STAC - STAC - SETAO COTE D'IVOIRE</w:t>
      </w:r>
    </w:p>
    <w:p>
      <w:pPr>
        <w:ind w:left="400"/>
      </w:pPr>
      <w:r>
        <w:t>44. STBC - STBC - SITAB COTE D'IVOIRE</w:t>
      </w:r>
    </w:p>
    <w:p>
      <w:pPr>
        <w:ind w:left="400"/>
      </w:pPr>
      <w:r>
        <w:t>45. TTLC - TTLC - TOTAL ENERGIES MARKETING COTE D'IVOIRE</w:t>
      </w:r>
    </w:p>
    <w:p>
      <w:pPr>
        <w:ind w:left="400"/>
      </w:pPr>
      <w:r>
        <w:t>46. TTLS - TTLS - TOTAL ENERGIES MARKETING SENEGAL</w:t>
      </w:r>
    </w:p>
    <w:p>
      <w:pPr>
        <w:ind w:left="400"/>
      </w:pPr>
      <w:r>
        <w:t>47. UNLC - UNLC - UNILEVER COTE D'IVOIRE</w:t>
      </w:r>
    </w:p>
    <w:p>
      <w:pPr>
        <w:ind w:left="400"/>
      </w:pPr>
      <w:r>
        <w:t>48.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32.74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3,250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007800"/>
                <w:sz w:val="17"/>
              </w:rPr>
              <w:t>+4.17%</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45.6%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10.35% (Moyenne) — μ=3,365 FCFA, σ=348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β=0.3306 (Défensif) — Cov=0.000025, Var(idx)=0.000077, ρ=0.101,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3,250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σ_j=2.87%/j (Stable) — Vol. annualisée≈45.6%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2,887</w:t>
            </w:r>
          </w:p>
        </w:tc>
        <w:tc>
          <w:tcPr>
            <w:tcW w:type="dxa" w:w="1440"/>
            <w:shd w:fill="FAFAFA" w:val="clear"/>
          </w:tcPr>
          <w:p>
            <w:r>
              <w:rPr>
                <w:b/>
                <w:sz w:val="17"/>
              </w:rPr>
              <w:t>3,002</w:t>
            </w:r>
          </w:p>
        </w:tc>
        <w:tc>
          <w:tcPr>
            <w:tcW w:type="dxa" w:w="1440"/>
            <w:shd w:fill="FAFAFA" w:val="clear"/>
          </w:tcPr>
          <w:p>
            <w:r>
              <w:rPr>
                <w:sz w:val="17"/>
              </w:rPr>
              <w:t>3,117</w:t>
            </w:r>
          </w:p>
        </w:tc>
        <w:tc>
          <w:tcPr>
            <w:tcW w:type="dxa" w:w="1440"/>
            <w:shd w:fill="FAFAFA" w:val="clear"/>
          </w:tcPr>
          <w:p>
            <w:r>
              <w:rPr>
                <w:b/>
                <w:color w:val="008000"/>
                <w:sz w:val="17"/>
              </w:rPr>
              <w:t>+0.1%</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2,819</w:t>
            </w:r>
          </w:p>
        </w:tc>
        <w:tc>
          <w:tcPr>
            <w:tcW w:type="dxa" w:w="1440"/>
            <w:shd w:fill="FAFAFA" w:val="clear"/>
          </w:tcPr>
          <w:p>
            <w:r>
              <w:rPr>
                <w:b/>
                <w:sz w:val="17"/>
              </w:rPr>
              <w:t>2,981</w:t>
            </w:r>
          </w:p>
        </w:tc>
        <w:tc>
          <w:tcPr>
            <w:tcW w:type="dxa" w:w="1440"/>
            <w:shd w:fill="FAFAFA" w:val="clear"/>
          </w:tcPr>
          <w:p>
            <w:r>
              <w:rPr>
                <w:sz w:val="17"/>
              </w:rPr>
              <w:t>3,143</w:t>
            </w:r>
          </w:p>
        </w:tc>
        <w:tc>
          <w:tcPr>
            <w:tcW w:type="dxa" w:w="1440"/>
            <w:shd w:fill="FAFAFA" w:val="clear"/>
          </w:tcPr>
          <w:p>
            <w:r>
              <w:rPr>
                <w:b/>
                <w:color w:val="C00000"/>
                <w:sz w:val="17"/>
              </w:rPr>
              <w:t>-0.6%</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2,773</w:t>
            </w:r>
          </w:p>
        </w:tc>
        <w:tc>
          <w:tcPr>
            <w:tcW w:type="dxa" w:w="1440"/>
            <w:shd w:fill="FAFAFA" w:val="clear"/>
          </w:tcPr>
          <w:p>
            <w:r>
              <w:rPr>
                <w:b/>
                <w:sz w:val="17"/>
              </w:rPr>
              <w:t>2,971</w:t>
            </w:r>
          </w:p>
        </w:tc>
        <w:tc>
          <w:tcPr>
            <w:tcW w:type="dxa" w:w="1440"/>
            <w:shd w:fill="FAFAFA" w:val="clear"/>
          </w:tcPr>
          <w:p>
            <w:r>
              <w:rPr>
                <w:sz w:val="17"/>
              </w:rPr>
              <w:t>3,168</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2,732</w:t>
            </w:r>
          </w:p>
        </w:tc>
        <w:tc>
          <w:tcPr>
            <w:tcW w:type="dxa" w:w="1440"/>
            <w:shd w:fill="FAFAFA" w:val="clear"/>
          </w:tcPr>
          <w:p>
            <w:r>
              <w:rPr>
                <w:b/>
                <w:sz w:val="17"/>
              </w:rPr>
              <w:t>2,959</w:t>
            </w:r>
          </w:p>
        </w:tc>
        <w:tc>
          <w:tcPr>
            <w:tcW w:type="dxa" w:w="1440"/>
            <w:shd w:fill="FAFAFA" w:val="clear"/>
          </w:tcPr>
          <w:p>
            <w:r>
              <w:rPr>
                <w:sz w:val="17"/>
              </w:rPr>
              <w:t>3,186</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2,693</w:t>
            </w:r>
          </w:p>
        </w:tc>
        <w:tc>
          <w:tcPr>
            <w:tcW w:type="dxa" w:w="1440"/>
            <w:shd w:fill="FAFAFA" w:val="clear"/>
          </w:tcPr>
          <w:p>
            <w:r>
              <w:rPr>
                <w:b/>
                <w:sz w:val="17"/>
              </w:rPr>
              <w:t>2,946</w:t>
            </w:r>
          </w:p>
        </w:tc>
        <w:tc>
          <w:tcPr>
            <w:tcW w:type="dxa" w:w="1440"/>
            <w:shd w:fill="FAFAFA" w:val="clear"/>
          </w:tcPr>
          <w:p>
            <w:r>
              <w:rPr>
                <w:sz w:val="17"/>
              </w:rPr>
              <w:t>3,198</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2,657</w:t>
            </w:r>
          </w:p>
        </w:tc>
        <w:tc>
          <w:tcPr>
            <w:tcW w:type="dxa" w:w="1440"/>
            <w:shd w:fill="FFDCE0" w:val="clear"/>
          </w:tcPr>
          <w:p>
            <w:r>
              <w:rPr>
                <w:b/>
                <w:sz w:val="17"/>
              </w:rPr>
              <w:t>2,932</w:t>
            </w:r>
          </w:p>
        </w:tc>
        <w:tc>
          <w:tcPr>
            <w:tcW w:type="dxa" w:w="1440"/>
            <w:shd w:fill="FFDCE0" w:val="clear"/>
          </w:tcPr>
          <w:p>
            <w:r>
              <w:rPr>
                <w:sz w:val="17"/>
              </w:rPr>
              <w:t>3,208</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2,623</w:t>
            </w:r>
          </w:p>
        </w:tc>
        <w:tc>
          <w:tcPr>
            <w:tcW w:type="dxa" w:w="1440"/>
            <w:shd w:fill="FFDCE0" w:val="clear"/>
          </w:tcPr>
          <w:p>
            <w:r>
              <w:rPr>
                <w:b/>
                <w:sz w:val="17"/>
              </w:rPr>
              <w:t>2,919</w:t>
            </w:r>
          </w:p>
        </w:tc>
        <w:tc>
          <w:tcPr>
            <w:tcW w:type="dxa" w:w="1440"/>
            <w:shd w:fill="FFDCE0" w:val="clear"/>
          </w:tcPr>
          <w:p>
            <w:r>
              <w:rPr>
                <w:sz w:val="17"/>
              </w:rPr>
              <w:t>3,215</w:t>
            </w:r>
          </w:p>
        </w:tc>
        <w:tc>
          <w:tcPr>
            <w:tcW w:type="dxa" w:w="1440"/>
            <w:shd w:fill="FFDCE0" w:val="clear"/>
          </w:tcPr>
          <w:p>
            <w:r>
              <w:rPr>
                <w:b/>
                <w:color w:val="C00000"/>
                <w:sz w:val="17"/>
              </w:rPr>
              <w:t>-2.7%</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2,591</w:t>
            </w:r>
          </w:p>
        </w:tc>
        <w:tc>
          <w:tcPr>
            <w:tcW w:type="dxa" w:w="1440"/>
            <w:shd w:fill="FFDCE0" w:val="clear"/>
          </w:tcPr>
          <w:p>
            <w:r>
              <w:rPr>
                <w:b/>
                <w:sz w:val="17"/>
              </w:rPr>
              <w:t>2,906</w:t>
            </w:r>
          </w:p>
        </w:tc>
        <w:tc>
          <w:tcPr>
            <w:tcW w:type="dxa" w:w="1440"/>
            <w:shd w:fill="FFDCE0" w:val="clear"/>
          </w:tcPr>
          <w:p>
            <w:r>
              <w:rPr>
                <w:sz w:val="17"/>
              </w:rPr>
              <w:t>3,222</w:t>
            </w:r>
          </w:p>
        </w:tc>
        <w:tc>
          <w:tcPr>
            <w:tcW w:type="dxa" w:w="1440"/>
            <w:shd w:fill="FFDCE0" w:val="clear"/>
          </w:tcPr>
          <w:p>
            <w:r>
              <w:rPr>
                <w:b/>
                <w:color w:val="C00000"/>
                <w:sz w:val="17"/>
              </w:rPr>
              <w:t>-3.1%</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2,561</w:t>
            </w:r>
          </w:p>
        </w:tc>
        <w:tc>
          <w:tcPr>
            <w:tcW w:type="dxa" w:w="1440"/>
            <w:shd w:fill="FFDCE0" w:val="clear"/>
          </w:tcPr>
          <w:p>
            <w:r>
              <w:rPr>
                <w:b/>
                <w:sz w:val="17"/>
              </w:rPr>
              <w:t>2,894</w:t>
            </w:r>
          </w:p>
        </w:tc>
        <w:tc>
          <w:tcPr>
            <w:tcW w:type="dxa" w:w="1440"/>
            <w:shd w:fill="FFDCE0" w:val="clear"/>
          </w:tcPr>
          <w:p>
            <w:r>
              <w:rPr>
                <w:sz w:val="17"/>
              </w:rPr>
              <w:t>3,227</w:t>
            </w:r>
          </w:p>
        </w:tc>
        <w:tc>
          <w:tcPr>
            <w:tcW w:type="dxa" w:w="1440"/>
            <w:shd w:fill="FFDCE0" w:val="clear"/>
          </w:tcPr>
          <w:p>
            <w:r>
              <w:rPr>
                <w:b/>
                <w:color w:val="C00000"/>
                <w:sz w:val="17"/>
              </w:rPr>
              <w:t>-3.5%</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2,532</w:t>
            </w:r>
          </w:p>
        </w:tc>
        <w:tc>
          <w:tcPr>
            <w:tcW w:type="dxa" w:w="1440"/>
            <w:shd w:fill="FFDCE0" w:val="clear"/>
          </w:tcPr>
          <w:p>
            <w:r>
              <w:rPr>
                <w:b/>
                <w:sz w:val="17"/>
              </w:rPr>
              <w:t>2,882</w:t>
            </w:r>
          </w:p>
        </w:tc>
        <w:tc>
          <w:tcPr>
            <w:tcW w:type="dxa" w:w="1440"/>
            <w:shd w:fill="FFDCE0" w:val="clear"/>
          </w:tcPr>
          <w:p>
            <w:r>
              <w:rPr>
                <w:sz w:val="17"/>
              </w:rPr>
              <w:t>3,231</w:t>
            </w:r>
          </w:p>
        </w:tc>
        <w:tc>
          <w:tcPr>
            <w:tcW w:type="dxa" w:w="1440"/>
            <w:shd w:fill="FFDCE0" w:val="clear"/>
          </w:tcPr>
          <w:p>
            <w:r>
              <w:rPr>
                <w:b/>
                <w:color w:val="C00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 RAPPORT D'ANALYSE FINANCIÈRE — SERVAIR ABIDJAN (ABJC)</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**32,74 milliards FCFA**, ABJC se situe dans la moyenne des capitalisations de la cote BRVM, sans atteindre le rang des poids lourds du marché. Le BPA de **124 FCFA/action** confère au titre un PER de **24,2x**, soit un niveau nettement supérieur à la moyenne du marché BRVM (8-12x), signalant que les investisseurs paient une prime significative pour les bénéfices actuels — prime qui traduit soit des anticipations de croissance, soit une surévaluation relative. Le ratio P/B de **6,35x** confirme cette exigence de valorisation : le marché valorise ABJC à plus de six fois sa valeur comptable, bien au-delà du seuil de 4x généralement considéré comme déjà tendu. Enfin, l'EV/EBITDA de **12,1x** (fourchette 10-15x) situe la valeur d'entreprise à un multiple élevé de la capacité opérationnelle, cohérent avec l'ensemble des ratios : la valorisation boursière d'ABJC est exigeante et intègre déjà une bonne part d'optimisme.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ABJC affiche une variation totale positive de **+4,17%**, mais la dernière séance (J-1) a enregistré un repli marqué de **-3,23%**, ramenant le cours à **3 000 FCFA**. Le range de trading est large, entre un plus haut de **4 095 FCFA** et un plus bas de **2 800 FCFA**, soit un spread de près de 46% — signe d'une forte amplitude sur la période. La tendance générale apparaît baissière depuis le pic, le cours actuel (3 000 FCFA) se situant sous la moyenne (3 365 FCFA) et sous la médiane (3 278 FCFA), avec un mode à 3 000 FCFA qui suggère un palier de résistance psychologique. L'écart entre moyenne et médiane (87 FCFA) est modéré, mais le skewness de **+0,676** indique une asymétrie positive : davantage de séances ont été passées sous la moyenne, avec quelques pics haussiers tirant la moyenne vers le haut. L'écart-type de **350 FCFA** et le coefficient de variation de **10,4%** traduisent une dispersion modérée autour de la tendance, tandis que le kurtosis de **-0,742** (mésokurtique) suggère une distribution proche de la normale, sans risque extrême de pics violents. La volatilité annualisée de **45,6%** classe le titre dans la catégorie **élevée** (&gt;30%), ce qui est cohérent avec la faible liquidité du marché (volume moyen de 3 250 titres/jour) et appelle à la prudence sur les horizons courts.</w:t>
      </w:r>
    </w:p>
    <w:p>
      <w:pPr>
        <w:spacing w:after="120" w:line="276" w:lineRule="auto"/>
      </w:pPr>
      <w:r>
        <w:t>---</w:t>
      </w:r>
    </w:p>
    <w:p>
      <w:pPr>
        <w:spacing w:after="120" w:line="276" w:lineRule="auto"/>
      </w:pPr>
      <w:r>
        <w:t>## PARTIE 2 : ANALYSE TECHNIQUE DÉTAILLÉE</w:t>
      </w:r>
    </w:p>
    <w:p>
      <w:pPr>
        <w:spacing w:after="120" w:line="276" w:lineRule="auto"/>
      </w:pPr>
      <w:r>
        <w:t>**Moyennes Mobiles** : La MM20 (3 490,5 FCFA) et la MM50 (3 565,5 FCFA) se situent toutes deux nettement au-dessus du cours actuel (3 000 FCFA), et la MM20 est inférieure à la MM50, configuration baissière caractéristique. Le cours évoluant sous ses deux moyennes, la pression vendeuse domine et la décision technique est **Vente**.</w:t>
      </w:r>
    </w:p>
    <w:p>
      <w:pPr>
        <w:spacing w:after="120" w:line="276" w:lineRule="auto"/>
      </w:pPr>
      <w:r>
        <w:t>**Bandes de Bollinger** : Le cours (3 000 FCFA) se situe dans la moitié basse de la bande, entre la borne inférieure (2 823,7 FCFA) et la borne supérieure (4 157,3 FCFA), sans en toucher les extrêmes. L'absence de contact avec la borne basse écarte un signal de survente extrême, et la largeur de la bande confirme une volatilité élevée ; la décision est **Neutre**, le titre évoluant dans un couloir sans signal directionnel fort.</w:t>
      </w:r>
    </w:p>
    <w:p>
      <w:pPr>
        <w:spacing w:after="120" w:line="276" w:lineRule="auto"/>
      </w:pPr>
      <w:r>
        <w:t>**MACD** : Le MACD (-173,4) est inférieur à son signal (-116,5), avec un histogramme négatif qui traduit un momentum baissier persistant. La divergence négative entre les deux lignes confirme la dynamique descendante en cours, justifiant la décision **Vente**.</w:t>
      </w:r>
    </w:p>
    <w:p>
      <w:pPr>
        <w:spacing w:after="120" w:line="276" w:lineRule="auto"/>
      </w:pPr>
      <w:r>
        <w:t>**RSI** : À **3,5**, le RSI est extrêmement bas, très en dessous du seuil de survente de 30, ce qui constitue un signal de **survente aiguë** et une décision d'**Achat** en logique de rebond technique. Ce niveau traduit toutefois une pression vendeuse exceptionnelle qu'il convient de surveiller.</w:t>
      </w:r>
    </w:p>
    <w:p>
      <w:pPr>
        <w:spacing w:after="120" w:line="276" w:lineRule="auto"/>
      </w:pPr>
      <w:r>
        <w:t>**Stochastique** : Le %K et le %D sont tous deux à **0,0**, positionnant l'indicateur au plancher absolu de sa zone de survente. Ce niveau extrême génère une décision d'**Achat** en anticipation d'un retournement, mais l'absence de croisement haussier visible invite à attendre une confirmation.</w:t>
      </w:r>
    </w:p>
    <w:p>
      <w:pPr>
        <w:spacing w:after="120" w:line="276" w:lineRule="auto"/>
      </w:pPr>
      <w:r>
        <w:t>**Conclusion technique** : Les indicateurs présentent une **divergence marquée** : les moyennes mobiles et le MACD confirment une tendance baissière de fond, tandis que le RSI (3,5) et le stochastique (0,0) signalent une survente extrême propice à un rebond technique. Les Bandes de Bollinger restent neutres. Cette configuration suggère un titre en fin de correction baissière, mais le rebond n'est pas encore confirmé par les indicateurs de tendance ; la prudence reste de mise à court terme.</w:t>
      </w:r>
    </w:p>
    <w:p>
      <w:pPr>
        <w:spacing w:after="120" w:line="276" w:lineRule="auto"/>
      </w:pPr>
      <w:r>
        <w:t>---</w:t>
      </w:r>
    </w:p>
    <w:p>
      <w:pPr>
        <w:spacing w:after="120" w:line="276" w:lineRule="auto"/>
      </w:pPr>
      <w:r>
        <w:t>## PARTIE 3 : ANALYSE FONDAMENTALE</w:t>
      </w:r>
    </w:p>
    <w:p>
      <w:pPr>
        <w:spacing w:after="120" w:line="276" w:lineRule="auto"/>
      </w:pPr>
      <w:r>
        <w:t>Les états financiers structurés de l'exercice **2025** dressent le portrait d'une entreprise solide mais en transition. Le chiffre d'affaires s'établit à **13,298 milliards FCFA**, en croissance de **+6,67%**, pour un résultat net de **1,351 milliard FCFA**, soit une marge nette de **10,16%**. La rentabilité des fonds propres est excellente avec un **ROE de 26,18%** (bien au-delà du seuil de 15%) et un **ROA de 14,64%**, tandis que la rotation des actifs atteint **144,13%**, témoignant d'une bonne efficacité opérationnelle. La structure financière est saine : autonomie financière de **55,92%**, ratio d'endettement de **44,08%**, liquidité générale de **218,37%** et couverture des intérêts de plus de 36 000% grâce à des charges financières minimes (6,03 M FCFA). En tant qu'entreprise de services aéroportuaires, les délais d'exploitation méritent attention : le délai client de **70,10 jours** constitue un risque de trésorerie modéré, compensé par un délai fournisseur de **92,11 jours** (favorable à la trésorerie) et une durée de stockage de **29,40 jours** ; le BFR ressort à **257,45 M FCFA**, contenu. Le rapport du **T1 2026 (publié le 06/09/2026)** nuance toutefois cette solidité : si le CA progresse de **+1,9%** à 3,237 milliards FCFA, le résultat net chute de **-35,6%** à 222,6 M FCFA, pénalisé par les ajustements de redevances aéroportuaires et les tensions géopolitiques au Moyen-Orient. Le rapport semestriel **S1 2026 (18/10/2026)** confirme une croissance du CA de **+4,5%** à 6,883 milliards FCFA, portée par la diversification (Traiteur, Collectivités). Sur cette base, on peut estimer que l'exercice 2026 devrait afficher une croissance modérée du CA (3-5%) mais une pression persistante sur les marges, le résultat net annuel risquant de s'établir sous le niveau de 2025. La recommandation fondamentale est de **conserver** : solidité bilancielle et rentabilité structurelle élevée, mais vigilance sur l'érosion des marges et la dépendance au trafic aérien.</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**Valorisation** : le PER de 24,2x, le P/B de 6,35x et l'EV/EBITDA de 12,1x indiquent une valorisation exigeante, voire surévaluée au regard des standards BRVM, sans marge de sécurité évidente. **Comportement du cours** : la tendance récente est baissière (-3,23% en J-1, cours sous les moyennes), avec une volatilité élevée (45,6%) et un skewness positif qui traduit une distribution asymétrique défavorable aux détenteurs ; le kurtosis mésokurtique limite toutefois le risque de chocs extrêmes. **Signaux techniques** : divergence nette entre la tendance baissière (MM, MACD) et la survente extrême (RSI 3,5, stochastique 0,0) — un rebond technique est possible mais non confirmé. **Fondamentaux** : structure bilancielle solide (ROE 26,18%, autonomie 55,92%), mais dégradation de la rentabilité au T1 2026 (-35,6% de résultat net) qui pèse sur les perspectives. **Prédictions IA** : la trajectoire projetée (3 002 → 2 946 FCFA sur J+1 à J+10) confirme la poursuite de la pression baissière à court terme, en cohérence avec les signaux techniques de tendance. Face à cette convergence baissière (valorisation tendue, tendance descendante, prédictions négatives) tempérée par une survente technique et des fondamentaux solides, la recommandation finale est **CONSERVER**, avec un **niveau de confiance moyen** et un **risque global élevé** (volatilité 45,6%, liquidité faible, érosion des marges). L'horizon optimal est le **moyen terme (3-12 mois)**, le temps que la correction technique s'achève et que les effets de la diversification (contrats Traiteur/Collectivités) se matérialisent dans les résultats, un passage à l'achat n'étant justifié qu'en cas de confirmation d'un rebond technique au-dessus de 3 278 FCFA (médiane) avec amélioration des marges au T2/T3 2026.</w:t>
      </w:r>
    </w:p>
    <w:p>
      <w:pPr>
        <w:spacing w:after="120" w:line="276" w:lineRule="auto"/>
      </w:pPr>
      <w:r>
        <w:t>---</w:t>
      </w:r>
    </w:p>
    <w:p>
      <w:pPr>
        <w:spacing w:after="120" w:line="276" w:lineRule="auto"/>
      </w:pPr>
      <w:r>
        <w:t>*Rapport généré à partir des données BRVM au 18 octobre 2026 — Sources : brvm_donnees_financieres (exercice 2025), rapports T1 2026 (06/09/2026), S1 2026 (18/10/2026), états financiers 2024 et 2025. Les prédictions IA sont indicatives et ne constituent pas une garantie de performance.*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 document est une simple attestation d'examen limit\u00e9 sans donn\u00e9es financi\u00e8res chiffr\u00e9es, ne permettant pas de r\u00e9\u00e9valuer la valorisation de SERVAIR CI. L'absence de r\u00e9serve des auditeurs est rassurante sur la qualit\u00e9 de l'information financi\u00e8re, mais insuffisante pour justifier une d\u00e9cision d'investissement."}</w:t>
      </w:r>
    </w:p>
    <w:p>
      <w:pPr>
        <w:spacing w:before="40"/>
        <w:ind w:left="400"/>
      </w:pPr>
      <w:r>
        <w:rPr>
          <w:sz w:val="18"/>
        </w:rPr>
        <w:t>Le document analysé est l'attestation des Commissaires aux Comptes (Deloitte Côte d'Ivoire et ERITEDGE Côte d'Ivoire) sur le tableau d'activités et de résultat ainsi que le rapport d'activité semestriel de SERVAIR Abidjan, S.A. pour la période du 1er janvier au 30 juin 2026. Il s'agit d'un examen limité réalisé selon la norme ISRE 2410, et non d'un audit complet, les auditeurs n'exprimant donc pas d'opinion d'audit. Sur la base de leurs travaux, les Commissaires aux Comptes n'ont pas relevé de faits remettant en cause la conformité des états présentés aux articles 850 à 851 de l'Acte Uniforme OHADA et à la Circulaire n°004-2010 du CREPMF. Le document atteste donc de la régularité formelle de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portant sur le tableau d'activités et de résultat et le rapport d'activité semestriel au 30 juin 2026 de SERVAIR Abidjan, S.A.</w:t>
      </w:r>
    </w:p>
    <w:p>
      <w:pPr>
        <w:pStyle w:val="ListBullet"/>
        <w:spacing w:before="20" w:after="20"/>
        <w:ind w:left="700"/>
      </w:pPr>
      <w:r>
        <w:rPr>
          <w:sz w:val="18"/>
        </w:rPr>
        <w:t>Examen limité effectué selon la norme ISRE 2410, avec une étendue très inférieure à celle d'un audit complet.</w:t>
      </w:r>
    </w:p>
    <w:p>
      <w:pPr>
        <w:pStyle w:val="ListBullet"/>
        <w:spacing w:before="20" w:after="20"/>
        <w:ind w:left="700"/>
      </w:pPr>
      <w:r>
        <w:rPr>
          <w:sz w:val="18"/>
        </w:rPr>
        <w:t>Les auditeurs n'expriment pas d'opinion d'audit, conformément aux limites de l'examen limité.</w:t>
      </w:r>
    </w:p>
    <w:p>
      <w:pPr>
        <w:pStyle w:val="ListBullet"/>
        <w:spacing w:before="20" w:after="20"/>
        <w:ind w:left="700"/>
      </w:pPr>
      <w:r>
        <w:rPr>
          <w:sz w:val="18"/>
        </w:rPr>
        <w:t>Conclusion sans réserve : aucun fait relevé remettant en cause la conformité des états présentés.</w:t>
      </w:r>
    </w:p>
    <w:p>
      <w:pPr>
        <w:pStyle w:val="ListBullet"/>
        <w:spacing w:before="20" w:after="20"/>
        <w:ind w:left="700"/>
      </w:pPr>
      <w:r>
        <w:rPr>
          <w:sz w:val="18"/>
        </w:rPr>
        <w:t>Cadre réglementaire de référence : articles 849 à 851 de l'Acte Uniforme OHADA et Circulaire n°004-2010 du CREPMF de l'UMOA.</w:t>
      </w:r>
    </w:p>
    <w:p>
      <w:pPr>
        <w:pStyle w:val="ListBullet"/>
        <w:spacing w:before="20" w:after="20"/>
        <w:ind w:left="700"/>
      </w:pPr>
      <w:r>
        <w:rPr>
          <w:sz w:val="18"/>
        </w:rPr>
        <w:t>Informations comptables établies conformément au SYSCOHADA.</w:t>
      </w:r>
    </w:p>
    <w:p>
      <w:pPr>
        <w:spacing w:before="40"/>
        <w:ind w:left="400"/>
      </w:pPr>
      <w:r>
        <w:rPr>
          <w:b/>
          <w:color w:val="C05000"/>
          <w:sz w:val="18"/>
        </w:rPr>
        <w:t xml:space="preserve">⚠️ Risques : </w:t>
      </w:r>
      <w:r>
        <w:rPr>
          <w:sz w:val="18"/>
        </w:rPr>
        <w:t>["Absence de donn\u00e9es financi\u00e8res chiffr\u00e9es (chiffre d'affaires, r\u00e9sultat, bilan) dans le document, limitant l'analyse fondamentale.", "Examen limit\u00e9 et non audit complet : assurance partielle sur la fiabilit\u00e9 des \u00e9tats semestriels.", "D\u00e9calage temporel de publ</w:t>
      </w:r>
    </w:p>
    <w:p>
      <w:pPr>
        <w:spacing w:before="40"/>
        <w:ind w:left="400"/>
      </w:pPr>
      <w:r>
        <w:rPr>
          <w:b/>
          <w:color w:val="0064A0"/>
          <w:sz w:val="18"/>
        </w:rPr>
        <w:t xml:space="preserve">🔮 Perspectives : </w:t>
      </w:r>
      <w:r>
        <w:rPr>
          <w:sz w:val="18"/>
        </w:rPr>
        <w:t>Les perspectives ne peuvent être évaluées précisément faute d'indicateurs financiers dans le document. La conclusion sans réserve des Commissaires aux Comptes suggère néanmoins une information financière semestrielle conforme et de qualité. Il conviendra de se référer au rapport d'activité semestrie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
      <w:r>
        <w:t>════════════════════════════════════════════════════════════════════════════════</w:t>
      </w:r>
    </w:p>
    <w:p>
      <w:r>
        <w:br w:type="page"/>
      </w:r>
    </w:p>
    <w:p>
      <w:pPr>
        <w:pStyle w:val="Heading2"/>
        <w:spacing w:before="360"/>
      </w:pPr>
      <w:r>
        <w:rPr>
          <w:color w:val="0066CC"/>
        </w:rPr>
        <w:t>2. BBGC - BRIDGE BANK GROUP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BBGC</w:t>
            </w:r>
          </w:p>
          <w:p>
            <w:r>
              <w:rPr>
                <w:b/>
                <w:color w:val="323250"/>
                <w:sz w:val="16"/>
              </w:rPr>
              <w:t xml:space="preserve">Société : </w:t>
            </w:r>
            <w:r>
              <w:rPr>
                <w:color w:val="000000"/>
                <w:sz w:val="16"/>
              </w:rPr>
              <w:t>BRIDGE BANK GROUP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519.50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27,889 titres</w:t>
            </w:r>
          </w:p>
        </w:tc>
        <w:tc>
          <w:tcPr>
            <w:tcW w:type="dxa" w:w="2268"/>
            <w:shd w:fill="FFF2CC" w:val="clear"/>
          </w:tcPr>
          <w:p>
            <w:r>
              <w:rPr>
                <w:b/>
                <w:color w:val="503200"/>
                <w:sz w:val="16"/>
              </w:rPr>
              <w:t xml:space="preserve">Cours actuel : </w:t>
            </w:r>
            <w:r>
              <w:rPr>
                <w:color w:val="000000"/>
                <w:sz w:val="17"/>
              </w:rPr>
              <w:t>10,390 FCFA</w:t>
            </w:r>
          </w:p>
          <w:p>
            <w:r>
              <w:rPr>
                <w:b/>
                <w:color w:val="503200"/>
                <w:sz w:val="16"/>
              </w:rPr>
              <w:t xml:space="preserve">Var. 100 jours : </w:t>
            </w:r>
            <w:r>
              <w:rPr>
                <w:b/>
                <w:color w:val="007800"/>
                <w:sz w:val="17"/>
              </w:rPr>
              <w:t>+43.21%</w:t>
            </w:r>
          </w:p>
          <w:p>
            <w:r>
              <w:rPr>
                <w:b/>
                <w:color w:val="503200"/>
                <w:sz w:val="16"/>
              </w:rPr>
              <w:t xml:space="preserve">Plus haut 100j : </w:t>
            </w:r>
            <w:r>
              <w:rPr>
                <w:color w:val="000000"/>
                <w:sz w:val="17"/>
              </w:rPr>
              <w:t>10,495 FCFA</w:t>
            </w:r>
          </w:p>
          <w:p>
            <w:r>
              <w:rPr>
                <w:b/>
                <w:color w:val="503200"/>
                <w:sz w:val="16"/>
              </w:rPr>
              <w:t xml:space="preserve">Plus bas 100j : </w:t>
            </w:r>
            <w:r>
              <w:rPr>
                <w:color w:val="000000"/>
                <w:sz w:val="17"/>
              </w:rPr>
              <w:t>7,255 FCFA</w:t>
            </w:r>
          </w:p>
          <w:p>
            <w:r>
              <w:rPr>
                <w:b/>
                <w:color w:val="503200"/>
                <w:sz w:val="16"/>
              </w:rPr>
              <w:t xml:space="preserve">Volatilité ann. : </w:t>
            </w:r>
            <w:r>
              <w:rPr>
                <w:color w:val="000000"/>
                <w:sz w:val="17"/>
              </w:rPr>
              <w:t>51.4%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22.2/100 → Moyen</w:t>
      </w:r>
    </w:p>
    <w:p>
      <w:pPr>
        <w:spacing w:before="40" w:after="80"/>
      </w:pPr>
      <w:r>
        <w:rPr>
          <w:rFonts w:ascii="Courier New" w:hAnsi="Courier New"/>
          <w:color w:val="825A00"/>
          <w:sz w:val="18"/>
        </w:rPr>
        <w:t>████░░░░░░░░░░░░░░░░  22.2/100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10.58% (Moyenne) — μ=9,484 FCFA, σ=1,004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β=1.7310 (Agressif) — Cov=0.000152, Var(idx)=0.000088, ρ=0.492, n=13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27,889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σ_j=3.24%/j (Modérée) — Vol. annualisée≈51.4%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63/100  (Bon)</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204.985 Mds FCFA</w:t>
            </w:r>
          </w:p>
        </w:tc>
        <w:tc>
          <w:tcPr>
            <w:tcW w:type="dxa" w:w="5669"/>
            <w:shd w:fill="FFFFFF" w:val="clear"/>
          </w:tcPr>
          <w:p>
            <w:r>
              <w:rPr>
                <w:color w:val="282828"/>
                <w:sz w:val="15"/>
              </w:rPr>
              <w:t>Représente 14.4%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297.260 Mds FCFA</w:t>
            </w:r>
          </w:p>
        </w:tc>
        <w:tc>
          <w:tcPr>
            <w:tcW w:type="dxa" w:w="5669"/>
            <w:shd w:fill="FFFFFF" w:val="clear"/>
          </w:tcPr>
          <w:p>
            <w:r>
              <w:rPr>
                <w:color w:val="282828"/>
                <w:sz w:val="15"/>
              </w:rPr>
              <w:t>Titres d'État détenus (20.8%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72.277 Mds FCFA</w:t>
            </w:r>
          </w:p>
        </w:tc>
        <w:tc>
          <w:tcPr>
            <w:tcW w:type="dxa" w:w="5669"/>
            <w:shd w:fill="FFFFFF" w:val="clear"/>
          </w:tcPr>
          <w:p>
            <w:r>
              <w:rPr>
                <w:color w:val="282828"/>
                <w:sz w:val="15"/>
              </w:rPr>
              <w:t>Prêts aux autres banques (5.1%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768.574 Mds FCFA</w:t>
            </w:r>
          </w:p>
        </w:tc>
        <w:tc>
          <w:tcPr>
            <w:tcW w:type="dxa" w:w="5669"/>
            <w:shd w:fill="FFFFFF" w:val="clear"/>
          </w:tcPr>
          <w:p>
            <w:r>
              <w:rPr>
                <w:color w:val="282828"/>
                <w:sz w:val="15"/>
              </w:rPr>
              <w:t>Portefeuille crédits (53.8%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6.725 Mds FCFA</w:t>
            </w:r>
          </w:p>
        </w:tc>
        <w:tc>
          <w:tcPr>
            <w:tcW w:type="dxa" w:w="5669"/>
            <w:shd w:fill="FFFFFF" w:val="clear"/>
          </w:tcPr>
          <w:p>
            <w:r>
              <w:rPr>
                <w:color w:val="282828"/>
                <w:sz w:val="15"/>
              </w:rPr>
              <w:t>Brevets, logiciels, fonds commercial (0.5%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21.324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28.164 Mds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1427.417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18.074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105.139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129.547 Mds FCFA</w:t>
            </w:r>
          </w:p>
        </w:tc>
        <w:tc>
          <w:tcPr>
            <w:tcW w:type="dxa" w:w="5669"/>
            <w:shd w:fill="FFFFFF" w:val="clear"/>
          </w:tcPr>
          <w:p>
            <w:r>
              <w:rPr>
                <w:color w:val="282828"/>
                <w:sz w:val="15"/>
              </w:rPr>
              <w:t>Capitaux permanents / Actif immobilisé = 4.60x.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128.033 Mds FCFA</w:t>
            </w:r>
          </w:p>
        </w:tc>
        <w:tc>
          <w:tcPr>
            <w:tcW w:type="dxa" w:w="5669"/>
            <w:shd w:fill="FFFFFF" w:val="clear"/>
          </w:tcPr>
          <w:p>
            <w:r>
              <w:rPr>
                <w:color w:val="282828"/>
                <w:sz w:val="15"/>
              </w:rPr>
              <w:t>Refinancement interbancaire (9.0%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1138.119 Mds FCFA</w:t>
            </w:r>
          </w:p>
        </w:tc>
        <w:tc>
          <w:tcPr>
            <w:tcW w:type="dxa" w:w="5669"/>
            <w:shd w:fill="FFFFFF" w:val="clear"/>
          </w:tcPr>
          <w:p>
            <w:r>
              <w:rPr>
                <w:color w:val="282828"/>
                <w:sz w:val="15"/>
              </w:rPr>
              <w:t>Dépôts clients = 79.7%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24.408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152.441 Mds FCFA</w:t>
            </w:r>
          </w:p>
        </w:tc>
        <w:tc>
          <w:tcPr>
            <w:tcW w:type="dxa" w:w="5669"/>
            <w:shd w:fill="FFFFFF" w:val="clear"/>
          </w:tcPr>
          <w:p>
            <w:r>
              <w:rPr>
                <w:color w:val="282828"/>
                <w:sz w:val="15"/>
              </w:rPr>
              <w:t>Dette financière totale = 145%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1322.278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67.824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67.824 Mds FCFA</w:t>
            </w:r>
          </w:p>
        </w:tc>
        <w:tc>
          <w:tcPr>
            <w:tcW w:type="dxa" w:w="5669"/>
            <w:shd w:fill="FFFFFF" w:val="clear"/>
          </w:tcPr>
          <w:p>
            <w:r>
              <w:rPr>
                <w:color w:val="282828"/>
                <w:sz w:val="15"/>
              </w:rPr>
              <w:t>Revenu bancaire central (≡ CA). Croissance: 15.7%. ✅ PNB en progression — dynamisme commercial.</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14.357 Mds FCFA</w:t>
            </w:r>
          </w:p>
        </w:tc>
        <w:tc>
          <w:tcPr>
            <w:tcW w:type="dxa" w:w="5669"/>
            <w:shd w:fill="FFFFFF" w:val="clear"/>
          </w:tcPr>
          <w:p>
            <w:r>
              <w:rPr>
                <w:color w:val="282828"/>
                <w:sz w:val="15"/>
              </w:rPr>
              <w:t>Masse salariale = 21.2%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39.441 Mds FCFA</w:t>
            </w:r>
          </w:p>
        </w:tc>
        <w:tc>
          <w:tcPr>
            <w:tcW w:type="dxa" w:w="5669"/>
            <w:shd w:fill="FFFFFF" w:val="clear"/>
          </w:tcPr>
          <w:p>
            <w:r>
              <w:rPr>
                <w:color w:val="282828"/>
                <w:sz w:val="15"/>
              </w:rPr>
              <w:t>RBE = 58.2%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32.637 Mds FCFA</w:t>
            </w:r>
          </w:p>
        </w:tc>
        <w:tc>
          <w:tcPr>
            <w:tcW w:type="dxa" w:w="5669"/>
            <w:shd w:fill="FFFFFF" w:val="clear"/>
          </w:tcPr>
          <w:p>
            <w:r>
              <w:rPr>
                <w:color w:val="282828"/>
                <w:sz w:val="15"/>
              </w:rPr>
              <w:t>Profit d'exploitation = 48.1%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6.804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27.197 Mds FCFA</w:t>
            </w:r>
          </w:p>
        </w:tc>
        <w:tc>
          <w:tcPr>
            <w:tcW w:type="dxa" w:w="5669"/>
            <w:shd w:fill="FFFFFF" w:val="clear"/>
          </w:tcPr>
          <w:p>
            <w:r>
              <w:rPr>
                <w:color w:val="282828"/>
                <w:sz w:val="15"/>
              </w:rPr>
              <w:t>Marge nette = 40.1%.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40.10%</w:t>
            </w:r>
          </w:p>
        </w:tc>
        <w:tc>
          <w:tcPr>
            <w:tcW w:type="dxa" w:w="5669"/>
            <w:shd w:fill="FFFFFF" w:val="clear"/>
          </w:tcPr>
          <w:p>
            <w:r>
              <w:rPr>
                <w:color w:val="282828"/>
                <w:sz w:val="15"/>
              </w:rPr>
              <w:t>Résultat net / revenus = 40.10%.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48.12%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25.87%</w:t>
            </w:r>
          </w:p>
        </w:tc>
        <w:tc>
          <w:tcPr>
            <w:tcW w:type="dxa" w:w="5669"/>
            <w:shd w:fill="FFFFFF" w:val="clear"/>
          </w:tcPr>
          <w:p>
            <w:r>
              <w:rPr>
                <w:color w:val="282828"/>
                <w:sz w:val="15"/>
              </w:rPr>
              <w:t>Résultat net / capitaux propres = 25.87%.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1.91%</w:t>
            </w:r>
          </w:p>
        </w:tc>
        <w:tc>
          <w:tcPr>
            <w:tcW w:type="dxa" w:w="5669"/>
            <w:shd w:fill="FFFFFF" w:val="clear"/>
          </w:tcPr>
          <w:p>
            <w:r>
              <w:rPr>
                <w:color w:val="282828"/>
                <w:sz w:val="15"/>
              </w:rPr>
              <w:t>Résultat net / total actif = 1.91%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4.75%</w:t>
            </w:r>
          </w:p>
        </w:tc>
        <w:tc>
          <w:tcPr>
            <w:tcW w:type="dxa" w:w="5669"/>
            <w:shd w:fill="FFFFFF" w:val="clear"/>
          </w:tcPr>
          <w:p>
            <w:r>
              <w:rPr>
                <w:color w:val="282828"/>
                <w:sz w:val="15"/>
              </w:rPr>
              <w:t>CA / total actif = 4.75x.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41.85%</w:t>
            </w:r>
          </w:p>
        </w:tc>
        <w:tc>
          <w:tcPr>
            <w:tcW w:type="dxa" w:w="5669"/>
            <w:shd w:fill="FFFFFF" w:val="clear"/>
          </w:tcPr>
          <w:p>
            <w:r>
              <w:rPr>
                <w:color w:val="282828"/>
                <w:sz w:val="15"/>
              </w:rPr>
              <w:t>Charges / PNB = 41.85% (cost-to-income). ✅ Excellent — banque très efficiente.</w:t>
            </w:r>
          </w:p>
        </w:tc>
      </w:tr>
      <w:tr>
        <w:tc>
          <w:tcPr>
            <w:tcW w:type="dxa" w:w="2268"/>
            <w:shd w:fill="EEF2F7" w:val="clear"/>
          </w:tcPr>
          <w:p>
            <w:r>
              <w:rPr>
                <w:b/>
                <w:color w:val="1E1E3C"/>
                <w:sz w:val="16"/>
              </w:rPr>
              <w:t>Coût du risque</w:t>
            </w:r>
          </w:p>
        </w:tc>
        <w:tc>
          <w:tcPr>
            <w:tcW w:type="dxa" w:w="1984"/>
            <w:shd w:fill="C6EFCE" w:val="clear"/>
          </w:tcPr>
          <w:p>
            <w:r>
              <w:rPr>
                <w:b/>
                <w:color w:val="006400"/>
                <w:sz w:val="17"/>
              </w:rPr>
              <w:t>0.89%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15.71%</w:t>
            </w:r>
          </w:p>
        </w:tc>
        <w:tc>
          <w:tcPr>
            <w:tcW w:type="dxa" w:w="5669"/>
            <w:shd w:fill="FFFFFF" w:val="clear"/>
          </w:tcPr>
          <w:p>
            <w:r>
              <w:rPr>
                <w:color w:val="282828"/>
                <w:sz w:val="15"/>
              </w:rPr>
              <w:t>Croissance PNB vs exercice précédent = 15.71%.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7.37%</w:t>
            </w:r>
          </w:p>
        </w:tc>
        <w:tc>
          <w:tcPr>
            <w:tcW w:type="dxa" w:w="5669"/>
            <w:shd w:fill="FFFFFF" w:val="clear"/>
          </w:tcPr>
          <w:p>
            <w:r>
              <w:rPr>
                <w:color w:val="282828"/>
                <w:sz w:val="15"/>
              </w:rPr>
              <w:t>Fonds propres / total bilan = 7.37%.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92.63%</w:t>
            </w:r>
          </w:p>
        </w:tc>
        <w:tc>
          <w:tcPr>
            <w:tcW w:type="dxa" w:w="5669"/>
            <w:shd w:fill="FFFFFF" w:val="clear"/>
          </w:tcPr>
          <w:p>
            <w:r>
              <w:rPr>
                <w:color w:val="282828"/>
                <w:sz w:val="15"/>
              </w:rPr>
              <w:t>Dettes financières / total bilan = 92.63%.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1257.65%</w:t>
            </w:r>
          </w:p>
        </w:tc>
        <w:tc>
          <w:tcPr>
            <w:tcW w:type="dxa" w:w="5669"/>
            <w:shd w:fill="FFFFFF" w:val="clear"/>
          </w:tcPr>
          <w:p>
            <w:r>
              <w:rPr>
                <w:color w:val="282828"/>
                <w:sz w:val="15"/>
              </w:rPr>
              <w:t>Dettes totales / fonds propres = 1257.65%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107.95%</w:t>
            </w:r>
          </w:p>
        </w:tc>
        <w:tc>
          <w:tcPr>
            <w:tcW w:type="dxa" w:w="5669"/>
            <w:shd w:fill="FFFFFF" w:val="clear"/>
          </w:tcPr>
          <w:p>
            <w:r>
              <w:rPr>
                <w:color w:val="282828"/>
                <w:sz w:val="15"/>
              </w:rPr>
              <w:t>Total actif / dettes totales = 107.95x. ✅ Solvable.</w:t>
            </w:r>
          </w:p>
        </w:tc>
      </w:tr>
    </w:tbl>
    <w:p/>
    <w:p>
      <w:pPr>
        <w:spacing w:after="120" w:line="276" w:lineRule="auto"/>
      </w:pPr>
      <w:r>
        <w:t># RAPPORT D'ANALYSE FINANCIÈRE — BBGC (BRIDGE BANK GROUP COTE D'IVOIRE)</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519,50 Mds FCFA, BBGC s'affirme comme une valeur de premier plan sur le compartiment bancaire de la BRVM, portée par le succès de son introduction en bourse. Le BPA de 544 FCFA/action traduit la profitabilité réelle dégagée par chaque titre, et le PER de 19,1x — bien supérieur à la moyenne BRVM (~8-12x) — indique que les investisseurs paient une prime significative pour la croissance attendue, ce qui est cohérent avec une valeur de croissance mais laisse peu de marge d'erreur. Le P/B de 4,94x (au-delà du seuil de 4x) confirme cette valorisation exigeante, le marché valorisant la banque à près de cinq fois ses fonds propres comptables, reflet de la rentabilité exceptionnelle (ROE 25,9%). Enfin, l'EV/EBITDA de 17,0x, supérieur au seuil de 15x, signale une valorisation tendue au regard de la capacité opérationnelle, suggérant que le titre intègre déjà une large part des bonnes nouvelles.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BBGC affiche une performance remarquable de +43,21%, malgré un repli de -1,00% lors de la dernière séance, le cours s'établissant à 10 390 FCFA. Le range de trading est large, entre un plus bas de 7 255 FCFA et un plus haut de 10 495 FCFA — le cours actuel évoluant à seulement 1% de son sommet, signe d'une tendance haussière solide et d'une pression acheteuse persistante. La moyenne (9 484 FCFA) se situe sous la médiane (9 800 FCFA), ce qui traduit une distribution asymétrique avec davantage de séances de forte hausse tirant la médiane vers le haut, confirmée par le skewness négatif (-0,767) indiquant plus de journées au-dessus de la moyenne. L'écart-type de 1 036 FCFA (CV = 10,9%) révèle une dispersion modérée du cours autour de sa tendance, tandis que le kurtosis de -0,554 (mésokurtique) suggère un comportement proche d'une distribution normale, sans pics extrêmes marqués — un profil rassurant pour la gestion du risque. La volatilité annualisée de 51,4% classe toutefois le titre dans la catégorie **élevée** (&gt;30%), ce qui est attendu pour une valeur récemment introduite en bourse et en forte croissance, mais impose une tolérance au risque importante.</w:t>
      </w:r>
    </w:p>
    <w:p>
      <w:pPr>
        <w:spacing w:after="120" w:line="276" w:lineRule="auto"/>
      </w:pPr>
      <w:r>
        <w:t>---</w:t>
      </w:r>
    </w:p>
    <w:p>
      <w:pPr>
        <w:spacing w:after="120" w:line="276" w:lineRule="auto"/>
      </w:pPr>
      <w:r>
        <w:t>## PARTIE 2 : ANALYSE TECHNIQUE DÉTAILLÉE</w:t>
      </w:r>
    </w:p>
    <w:p>
      <w:pPr>
        <w:spacing w:after="120" w:line="276" w:lineRule="auto"/>
      </w:pPr>
      <w:r>
        <w:t>**Moyennes Mobiles** : Les MM20 et MM50 ne sont pas disponibles (valeurs NaN), ce qui s'explique vraisemblablement par l'historique de cotation encore court de BBGC depuis son introduction. Aucune décision technique ne peut donc être dégagée sur ce critère, et il convient de se référer aux autres indicateurs pour évaluer la dynamique.</w:t>
      </w:r>
    </w:p>
    <w:p>
      <w:pPr>
        <w:spacing w:after="120" w:line="276" w:lineRule="auto"/>
      </w:pPr>
      <w:r>
        <w:t>**Bandes de Bollinger** : Les bornes supérieure et inférieure sont également indisponibles (NaN), le prix actuel de 10 390 FCFA ne pouvant être positionné par rapport à un canal de volatilité. Cette absence, cohérente avec l'historique limité du titre, prive l'analyste d'un repère de surextension, mais le cours proche du plus haut plaide pour une dynamique haussière intacte.</w:t>
      </w:r>
    </w:p>
    <w:p>
      <w:pPr>
        <w:spacing w:after="120" w:line="276" w:lineRule="auto"/>
      </w:pPr>
      <w:r>
        <w:t>**MACD** : La valeur du MACD et son signal sont indisponibles (NaN), empêchant toute analyse de divergence ou de momentum. En l'absence de cet indicateur, la lecture du momentum repose sur la seule tendance de prix, qui reste nettement positive (+43,21% sur 100 jours).</w:t>
      </w:r>
    </w:p>
    <w:p>
      <w:pPr>
        <w:spacing w:after="120" w:line="276" w:lineRule="auto"/>
      </w:pPr>
      <w:r>
        <w:t>**RSI** : Le RSI n'est pas calculé (NaN), aucune lecture de surachat (&gt;70) ou de survente (&lt;30) n'est donc possible. Le repli de -1,00% en dernière séance pourrait toutefois suggérer un début de respiration après la forte hausse, sans confirmation technique formelle.</w:t>
      </w:r>
    </w:p>
    <w:p>
      <w:pPr>
        <w:spacing w:after="120" w:line="276" w:lineRule="auto"/>
      </w:pPr>
      <w:r>
        <w:t>**Stochastique** : Les %K et %D sont indisponibles (NaN), aucun croisement ne peut être identifié. L'absence de cet oscillateur limite l'évaluation du timing d'entrée à court terme.</w:t>
      </w:r>
    </w:p>
    <w:p>
      <w:pPr>
        <w:spacing w:after="120" w:line="276" w:lineRule="auto"/>
      </w:pPr>
      <w:r>
        <w:t>**Conclusion technique** : L'ensemble des indicateurs techniques (MM, Bollinger, MACD, RSI, Stochastique) étant indisponibles en raison de l'historique de cotation encore insuffisant, l'analyse technique ne peut s'appuyer que sur l'évolution du cours : tendance haussière puissante (+43,21%), cours proche du plus haut (10 495 FCFA), volatilité élevée (51,4%). Le signal technique est donc **positif mais incomplet**, et la prudence impose de ne pas surinterpréter cette dynamique sans confirmation par les oscillateurs une fois l'historique suffisant.</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BBGC affiche un Produit Net Bancaire (équivalent du chiffre d'affaires pour une banque) de 67,824 Mds FCFA, un résultat net de 27,197 Mds FCFA et un total bilan de 1 427,417 Mds FCFA. La rentabilité est exceptionnelle avec un ROE de 25,87% (largement au-dessus du seuil de 15% considéré comme excellent) et un ROA de 1,91%, tandis que la marge nette atteint 40,10% et la marge opérationnelle 48,12%. Le coefficient d'exploitation de 41,85% — inférieur au seuil de 50% — confirme une **excellente efficacité opérationnelle**, et le coût du risque de 0,89% (provisions/charges financières) témoigne d'un **portefeuille de crédit sain**. La structure de bilan est typique d'une banque en forte croissance : les dépôts clientèle (1 138,119 Mds FCFA) financent largement les créances clientèle (768,574 Mds FCFA), avec un ratio de transformation confortable, et les dettes interbancaires (128,033 Mds FCFA) complètent les ressources. Le taux de croissance du PNB de 15,71% illustre une dynamique commerciale soutenue.</w:t>
      </w:r>
    </w:p>
    <w:p>
      <w:pPr>
        <w:spacing w:after="120" w:line="276" w:lineRule="auto"/>
      </w:pPr>
      <w:r>
        <w:t>**Estimations basées sur les rapports S1 2026 (datés du 30 juin 2026, analysés le 28/09/2026)** : Le rapport semestriel 2026 confirme et amplifie cette trajectoire : le PNB progresse de +25% à 37,7 Mds FCFA, le résultat net bondit de +46% à 15,2 Mds FCFA, les crédits clientèle augmentent de +28% à 823,9 Mds FCFA et les dépôts de +46% à 1 318,3 Mds FCFA. Le coefficient d'exploitation s'améliore encore à 40,3% (contre 43,3% un an plus tôt), et le coût du risque (+14%) reste contenu au regard de la croissance des crédits (+28%). Sur cette base, **on estime** que l'exercice 2026 devrait dépasser largement les résultats 2025, avec un résultat net annualisé potentiellement supérieur à 30 Mds FCFA si la dynamique du S2 se maintient. L'OPV sursouscrite (10 millions d'actions à 6 750 FCFA, soit 67,5 Mds FCFA) et l'avis favorable pour une succursale au Burkina Faso constituent des catalyseurs de croissance à moyen terme. **Recommandation fondamentale : ACHAT**, justifiée par une croissance exceptionnelle, une efficacité opérationnelle de premier ordre et un portefeuille sain, avec pour principale réserve l'absence d'information sur la politique de dividende et le niveau exigeant de la valorisation.</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de l'analyse dessine un profil **globalement favorable mais à valorisation tendue**. Sur le plan de la **valorisation (Partie 0)**, les ratios PER (19,1x), P/B (4,94x) et EV/EBITDA (17,0x) indiquent une **surévaluation relative** par rapport aux standards BRVM, le marché intégrant déjà une large part de la croissance future — le titre n'offre donc pas de marge de sécurité évidente. Le **comportement du cours (Partie 1)** est nettement haussier (+43,21%), avec un cours proche du sommet, une dispersion modérée (CV 10,9%) et une distribution proche de la normale (kurtosis -0,554), mais une **volatilité élevée (51,4%)** qui appelle à la prudence sur le risque. Les **signaux techniques (Partie 2)** sont indisponibles (MM, Bollinger, MACD, RSI, Stochastique en NaN) en raison de l'historique de cotation court : la convergence technique ne peut donc être confirmée, ce qui constitue une limite importante. Les **fondamentaux (Partie 3)** sont en revanche excellents : ROE 25,87%, coefficient d'exploitation 41,85%, coût du risque 0,89%, et le rapport S1 2026 (daté du 30/06/2026) confirme une accélération (PNB +25%, résultat net +46%). Les **prédictions IA (J+1 à J+10)** ne sont pas disponibles, ce qui empêche toute confirmation ou infirmation de la trajectoire par ce canal. Sur la base de cette synthèse, la recommandation finale est **ACHAT**, avec un **niveau de confiance Moyen** (les fondamentaux et la dynamique de cours soutiennent la thèse, mais l'absence d'indicateurs techniques et de prédictions limite la confirmation) et un **niveau de risque Élevé** (volatilité de 51,4%, valorisation exigeante, historique de cotation court). L'horizon d'investissement optimal est le **moyen à long terme (6 à 12 mois et au-delà)**, afin de laisser le temps aux fondamentaux de croissance (expansion régionale, digitalisation, stratégie 2026-2030) de se matérialiser et de justifier la prime de valorisation actuelle.</w:t>
      </w:r>
    </w:p>
    <w:p/>
    <w:p/>
    <w:p>
      <w:pPr>
        <w:pStyle w:val="Heading3"/>
      </w:pPr>
      <w:r>
        <w:rPr>
          <w:color w:val="005A32"/>
        </w:rPr>
        <w:t>📋 RAPPORTS &amp; COMMUNIQUÉS OFFICIELS</w:t>
      </w:r>
    </w:p>
    <w:p>
      <w:r>
        <w:rPr>
          <w:i/>
          <w:color w:val="646464"/>
          <w:sz w:val="18"/>
        </w:rPr>
        <w:t>1 rapport(s)/communiqué(s) disponible(s) (affichage des 1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"Forte croissance du PNB et du r\u00e9sultat net, am\u00e9lioration de l'efficacit\u00e9 op\u00e9rationnelle et succ\u00e8s de l'IPO soutiennent la valeur. La dynamique commerciale et l'expansion r\u00e9gionale devraient se poursuivre."}</w:t>
      </w:r>
    </w:p>
    <w:p>
      <w:pPr>
        <w:spacing w:before="40"/>
        <w:ind w:left="400"/>
      </w:pPr>
      <w:r>
        <w:rPr>
          <w:sz w:val="18"/>
        </w:rPr>
        <w:t>BBGCI a réalisé un premier semestre 2026 solide avec une forte croissance de ses crédits (+28% à 823,9 Mds FCFA) et de ses dépôts (+46% à 1 318,3 Mds FCFA). Le Produit Net Bancaire progresse de 25% à 37,7 Mds FCFA, tandis que le résultat net bondit de 46% à 15,2 Mds FCFA. L'efficacité opérationnelle s'améliore avec un coefficient d'exploitation de 40,3% contre 43,3% un an plus tôt. La banque a obtenu l'avis favorable de la Commission Bancaire pour une succursale au Burkina Faso et a réussi son introduction en bourse avec une sursouscription. Les fondamentaux renforcés et la stratégie 2026-2030 soutiennent des perspectives favorables pour le second semestre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{'variation_pnb': '+25%', 'cout_du_risque': '-4,3 milliards FCFA', 'frais_generaux': '-15,2 milliards FCFA', 'depots_clientele': '1 318,3 milliards FCFA', 'variation_depots': '+46%', 'credits_clientele': '823,9 milliards FCFA', 'variation_credits': '+28%', 'produit_net_bancaire': '37,7 milliards FCFA', 'resultat_avant_impot': '18,2 milliards FCFA', 'variation_resultat_net': '+46%', 'coefficient_exploitation': '40,3%', 'resultat_brut_exploitation': '22,5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Crédits à la clientèle en hausse de 28% à 823,9 milliards FCFA.</w:t>
      </w:r>
    </w:p>
    <w:p>
      <w:pPr>
        <w:pStyle w:val="ListBullet"/>
        <w:spacing w:before="20" w:after="20"/>
        <w:ind w:left="700"/>
      </w:pPr>
      <w:r>
        <w:rPr>
          <w:sz w:val="18"/>
        </w:rPr>
        <w:t>Dépôts clientèle en progression de 46% à 1 318,3 milliards FCFA.</w:t>
      </w:r>
    </w:p>
    <w:p>
      <w:pPr>
        <w:pStyle w:val="ListBullet"/>
        <w:spacing w:before="20" w:after="20"/>
        <w:ind w:left="700"/>
      </w:pPr>
      <w:r>
        <w:rPr>
          <w:sz w:val="18"/>
        </w:rPr>
        <w:t>Produit Net Bancaire en croissance de 25% à 37,7 milliards FCFA.</w:t>
      </w:r>
    </w:p>
    <w:p>
      <w:pPr>
        <w:pStyle w:val="ListBullet"/>
        <w:spacing w:before="20" w:after="20"/>
        <w:ind w:left="700"/>
      </w:pPr>
      <w:r>
        <w:rPr>
          <w:sz w:val="18"/>
        </w:rPr>
        <w:t>Résultat net en augmentation de 46% à 15,2 milliards FCFA.</w:t>
      </w:r>
    </w:p>
    <w:p>
      <w:pPr>
        <w:pStyle w:val="ListBullet"/>
        <w:spacing w:before="20" w:after="20"/>
        <w:ind w:left="700"/>
      </w:pPr>
      <w:r>
        <w:rPr>
          <w:sz w:val="18"/>
        </w:rPr>
        <w:t>Coefficient d'exploitation amélioré à 40,3% contre 43,3% un an auparavant.</w:t>
      </w:r>
    </w:p>
    <w:p>
      <w:pPr>
        <w:pStyle w:val="ListBullet"/>
        <w:spacing w:before="20" w:after="20"/>
        <w:ind w:left="700"/>
      </w:pPr>
      <w:r>
        <w:rPr>
          <w:sz w:val="18"/>
        </w:rPr>
        <w:t>Coût du risque contenu à 4,3 milliards FCFA (+14%) pour des crédits en hausse de 28%.</w:t>
      </w:r>
    </w:p>
    <w:p>
      <w:pPr>
        <w:spacing w:before="40"/>
        <w:ind w:left="400"/>
      </w:pPr>
      <w:r>
        <w:rPr>
          <w:b/>
          <w:color w:val="C05000"/>
          <w:sz w:val="18"/>
        </w:rPr>
        <w:t xml:space="preserve">⚠️ Risques : </w:t>
      </w:r>
      <w:r>
        <w:rPr>
          <w:sz w:val="18"/>
        </w:rPr>
        <w:t>["Hausse du co\u00fbt du risque (+14%) dans un contexte de forte croissance des cr\u00e9dits (+28%).", "Risques d'ex\u00e9cution li\u00e9s \u00e0 l'expansion r\u00e9gionale (Burkina Faso) et au d\u00e9ploiement de la strat\u00e9gie 2026-2030.", "Sensibilit\u00e9 \u00e0 l'environnement \u00e9conomiqu</w:t>
      </w:r>
    </w:p>
    <w:p>
      <w:pPr>
        <w:spacing w:before="40"/>
        <w:ind w:left="400"/>
      </w:pPr>
      <w:r>
        <w:rPr>
          <w:b/>
          <w:color w:val="0064A0"/>
          <w:sz w:val="18"/>
        </w:rPr>
        <w:t xml:space="preserve">🔮 Perspectives : </w:t>
      </w:r>
      <w:r>
        <w:rPr>
          <w:sz w:val="18"/>
        </w:rPr>
        <w:t>BBGCI prévoit de consolider sa dynamique de croissance au second semestre 2026, en poursuivant sa stratégie 2026-2030, la transformation digitale et l'expansion régionale. La banque reste attentive aux évolutions de l'environnement et renforce ses dispositifs de gouvernance et de maîtrise des risque</w:t>
      </w:r>
    </w:p>
    <w:p/>
    <w:p>
      <w:r>
        <w:t>════════════════════════════════════════════════════════════════════════════════</w:t>
      </w:r>
    </w:p>
    <w:p>
      <w:r>
        <w:br w:type="page"/>
      </w:r>
    </w:p>
    <w:p>
      <w:pPr>
        <w:pStyle w:val="Heading2"/>
        <w:spacing w:before="360"/>
      </w:pPr>
      <w:r>
        <w:rPr>
          <w:color w:val="0066CC"/>
        </w:rPr>
        <w:t>3.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485.18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13,967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+61.85%</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5,190 FCFA</w:t>
            </w:r>
          </w:p>
          <w:p>
            <w:r>
              <w:rPr>
                <w:b/>
                <w:color w:val="503200"/>
                <w:sz w:val="16"/>
              </w:rPr>
              <w:t xml:space="preserve">Volatilité ann. : </w:t>
            </w:r>
            <w:r>
              <w:rPr>
                <w:color w:val="000000"/>
                <w:sz w:val="17"/>
              </w:rPr>
              <w:t>42.5%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21.35% (Élevée) — μ=7,576 FCFA, σ=1,618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β=0.8435 (Neutre (suit le marché)) — Cov=0.000065, Var(idx)=0.000077, ρ=0.273,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13,967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697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2026-10-19</w:t>
            </w:r>
          </w:p>
        </w:tc>
        <w:tc>
          <w:tcPr>
            <w:tcW w:type="dxa" w:w="1440"/>
            <w:shd w:fill="C6EFCE" w:val="clear"/>
          </w:tcPr>
          <w:p>
            <w:r>
              <w:rPr>
                <w:sz w:val="17"/>
              </w:rPr>
              <w:t>8,335</w:t>
            </w:r>
          </w:p>
        </w:tc>
        <w:tc>
          <w:tcPr>
            <w:tcW w:type="dxa" w:w="1440"/>
            <w:shd w:fill="C6EFCE" w:val="clear"/>
          </w:tcPr>
          <w:p>
            <w:r>
              <w:rPr>
                <w:b/>
                <w:sz w:val="17"/>
              </w:rPr>
              <w:t>8,796</w:t>
            </w:r>
          </w:p>
        </w:tc>
        <w:tc>
          <w:tcPr>
            <w:tcW w:type="dxa" w:w="1440"/>
            <w:shd w:fill="C6EFCE" w:val="clear"/>
          </w:tcPr>
          <w:p>
            <w:r>
              <w:rPr>
                <w:sz w:val="17"/>
              </w:rPr>
              <w:t>9,256</w:t>
            </w:r>
          </w:p>
        </w:tc>
        <w:tc>
          <w:tcPr>
            <w:tcW w:type="dxa" w:w="1440"/>
            <w:shd w:fill="C6EFCE" w:val="clear"/>
          </w:tcPr>
          <w:p>
            <w:r>
              <w:rPr>
                <w:b/>
                <w:color w:val="008000"/>
                <w:sz w:val="17"/>
              </w:rPr>
              <w:t>+4.7%</w:t>
            </w:r>
          </w:p>
        </w:tc>
      </w:tr>
      <w:tr>
        <w:tc>
          <w:tcPr>
            <w:tcW w:type="dxa" w:w="1440"/>
            <w:shd w:fill="C6EFCE" w:val="clear"/>
          </w:tcPr>
          <w:p>
            <w:r>
              <w:rPr>
                <w:sz w:val="17"/>
              </w:rPr>
              <w:t>J+2  ⭐</w:t>
            </w:r>
          </w:p>
        </w:tc>
        <w:tc>
          <w:tcPr>
            <w:tcW w:type="dxa" w:w="1440"/>
            <w:shd w:fill="C6EFCE" w:val="clear"/>
          </w:tcPr>
          <w:p>
            <w:r>
              <w:rPr>
                <w:sz w:val="17"/>
              </w:rPr>
              <w:t>2026-10-20</w:t>
            </w:r>
          </w:p>
        </w:tc>
        <w:tc>
          <w:tcPr>
            <w:tcW w:type="dxa" w:w="1440"/>
            <w:shd w:fill="C6EFCE" w:val="clear"/>
          </w:tcPr>
          <w:p>
            <w:r>
              <w:rPr>
                <w:sz w:val="17"/>
              </w:rPr>
              <w:t>8,200</w:t>
            </w:r>
          </w:p>
        </w:tc>
        <w:tc>
          <w:tcPr>
            <w:tcW w:type="dxa" w:w="1440"/>
            <w:shd w:fill="C6EFCE" w:val="clear"/>
          </w:tcPr>
          <w:p>
            <w:r>
              <w:rPr>
                <w:b/>
                <w:sz w:val="17"/>
              </w:rPr>
              <w:t>8,855</w:t>
            </w:r>
          </w:p>
        </w:tc>
        <w:tc>
          <w:tcPr>
            <w:tcW w:type="dxa" w:w="1440"/>
            <w:shd w:fill="C6EFCE" w:val="clear"/>
          </w:tcPr>
          <w:p>
            <w:r>
              <w:rPr>
                <w:sz w:val="17"/>
              </w:rPr>
              <w:t>9,511</w:t>
            </w:r>
          </w:p>
        </w:tc>
        <w:tc>
          <w:tcPr>
            <w:tcW w:type="dxa" w:w="1440"/>
            <w:shd w:fill="C6EFCE" w:val="clear"/>
          </w:tcPr>
          <w:p>
            <w:r>
              <w:rPr>
                <w:b/>
                <w:color w:val="008000"/>
                <w:sz w:val="17"/>
              </w:rPr>
              <w:t>+5.4%</w:t>
            </w:r>
          </w:p>
        </w:tc>
      </w:tr>
      <w:tr>
        <w:tc>
          <w:tcPr>
            <w:tcW w:type="dxa" w:w="1440"/>
            <w:shd w:fill="C6EFCE" w:val="clear"/>
          </w:tcPr>
          <w:p>
            <w:r>
              <w:rPr>
                <w:sz w:val="17"/>
              </w:rPr>
              <w:t>J+3  ⭐</w:t>
            </w:r>
          </w:p>
        </w:tc>
        <w:tc>
          <w:tcPr>
            <w:tcW w:type="dxa" w:w="1440"/>
            <w:shd w:fill="C6EFCE" w:val="clear"/>
          </w:tcPr>
          <w:p>
            <w:r>
              <w:rPr>
                <w:sz w:val="17"/>
              </w:rPr>
              <w:t>2026-10-21</w:t>
            </w:r>
          </w:p>
        </w:tc>
        <w:tc>
          <w:tcPr>
            <w:tcW w:type="dxa" w:w="1440"/>
            <w:shd w:fill="C6EFCE" w:val="clear"/>
          </w:tcPr>
          <w:p>
            <w:r>
              <w:rPr>
                <w:sz w:val="17"/>
              </w:rPr>
              <w:t>8,120</w:t>
            </w:r>
          </w:p>
        </w:tc>
        <w:tc>
          <w:tcPr>
            <w:tcW w:type="dxa" w:w="1440"/>
            <w:shd w:fill="C6EFCE" w:val="clear"/>
          </w:tcPr>
          <w:p>
            <w:r>
              <w:rPr>
                <w:b/>
                <w:sz w:val="17"/>
              </w:rPr>
              <w:t>8,929</w:t>
            </w:r>
          </w:p>
        </w:tc>
        <w:tc>
          <w:tcPr>
            <w:tcW w:type="dxa" w:w="1440"/>
            <w:shd w:fill="C6EFCE" w:val="clear"/>
          </w:tcPr>
          <w:p>
            <w:r>
              <w:rPr>
                <w:sz w:val="17"/>
              </w:rPr>
              <w:t>9,739</w:t>
            </w:r>
          </w:p>
        </w:tc>
        <w:tc>
          <w:tcPr>
            <w:tcW w:type="dxa" w:w="1440"/>
            <w:shd w:fill="C6EFCE" w:val="clear"/>
          </w:tcPr>
          <w:p>
            <w:r>
              <w:rPr>
                <w:b/>
                <w:color w:val="008000"/>
                <w:sz w:val="17"/>
              </w:rPr>
              <w:t>+6.3%</w:t>
            </w:r>
          </w:p>
        </w:tc>
      </w:tr>
      <w:tr>
        <w:tc>
          <w:tcPr>
            <w:tcW w:type="dxa" w:w="1440"/>
            <w:shd w:fill="C6EFCE" w:val="clear"/>
          </w:tcPr>
          <w:p>
            <w:r>
              <w:rPr>
                <w:sz w:val="17"/>
              </w:rPr>
              <w:t>J+4  ⭐</w:t>
            </w:r>
          </w:p>
        </w:tc>
        <w:tc>
          <w:tcPr>
            <w:tcW w:type="dxa" w:w="1440"/>
            <w:shd w:fill="C6EFCE" w:val="clear"/>
          </w:tcPr>
          <w:p>
            <w:r>
              <w:rPr>
                <w:sz w:val="17"/>
              </w:rPr>
              <w:t>2026-10-22</w:t>
            </w:r>
          </w:p>
        </w:tc>
        <w:tc>
          <w:tcPr>
            <w:tcW w:type="dxa" w:w="1440"/>
            <w:shd w:fill="C6EFCE" w:val="clear"/>
          </w:tcPr>
          <w:p>
            <w:r>
              <w:rPr>
                <w:sz w:val="17"/>
              </w:rPr>
              <w:t>8,060</w:t>
            </w:r>
          </w:p>
        </w:tc>
        <w:tc>
          <w:tcPr>
            <w:tcW w:type="dxa" w:w="1440"/>
            <w:shd w:fill="C6EFCE" w:val="clear"/>
          </w:tcPr>
          <w:p>
            <w:r>
              <w:rPr>
                <w:b/>
                <w:sz w:val="17"/>
              </w:rPr>
              <w:t>9,002</w:t>
            </w:r>
          </w:p>
        </w:tc>
        <w:tc>
          <w:tcPr>
            <w:tcW w:type="dxa" w:w="1440"/>
            <w:shd w:fill="C6EFCE" w:val="clear"/>
          </w:tcPr>
          <w:p>
            <w:r>
              <w:rPr>
                <w:sz w:val="17"/>
              </w:rPr>
              <w:t>9,944</w:t>
            </w:r>
          </w:p>
        </w:tc>
        <w:tc>
          <w:tcPr>
            <w:tcW w:type="dxa" w:w="1440"/>
            <w:shd w:fill="C6EFCE" w:val="clear"/>
          </w:tcPr>
          <w:p>
            <w:r>
              <w:rPr>
                <w:b/>
                <w:color w:val="008000"/>
                <w:sz w:val="17"/>
              </w:rPr>
              <w:t>+7.2%</w:t>
            </w:r>
          </w:p>
        </w:tc>
      </w:tr>
      <w:tr>
        <w:tc>
          <w:tcPr>
            <w:tcW w:type="dxa" w:w="1440"/>
            <w:shd w:fill="C6EFCE" w:val="clear"/>
          </w:tcPr>
          <w:p>
            <w:r>
              <w:rPr>
                <w:sz w:val="17"/>
              </w:rPr>
              <w:t>J+5  ⭐</w:t>
            </w:r>
          </w:p>
        </w:tc>
        <w:tc>
          <w:tcPr>
            <w:tcW w:type="dxa" w:w="1440"/>
            <w:shd w:fill="C6EFCE" w:val="clear"/>
          </w:tcPr>
          <w:p>
            <w:r>
              <w:rPr>
                <w:sz w:val="17"/>
              </w:rPr>
              <w:t>2026-10-23</w:t>
            </w:r>
          </w:p>
        </w:tc>
        <w:tc>
          <w:tcPr>
            <w:tcW w:type="dxa" w:w="1440"/>
            <w:shd w:fill="C6EFCE" w:val="clear"/>
          </w:tcPr>
          <w:p>
            <w:r>
              <w:rPr>
                <w:sz w:val="17"/>
              </w:rPr>
              <w:t>8,007</w:t>
            </w:r>
          </w:p>
        </w:tc>
        <w:tc>
          <w:tcPr>
            <w:tcW w:type="dxa" w:w="1440"/>
            <w:shd w:fill="C6EFCE" w:val="clear"/>
          </w:tcPr>
          <w:p>
            <w:r>
              <w:rPr>
                <w:b/>
                <w:sz w:val="17"/>
              </w:rPr>
              <w:t>9,068</w:t>
            </w:r>
          </w:p>
        </w:tc>
        <w:tc>
          <w:tcPr>
            <w:tcW w:type="dxa" w:w="1440"/>
            <w:shd w:fill="C6EFCE" w:val="clear"/>
          </w:tcPr>
          <w:p>
            <w:r>
              <w:rPr>
                <w:sz w:val="17"/>
              </w:rPr>
              <w:t>10,130</w:t>
            </w:r>
          </w:p>
        </w:tc>
        <w:tc>
          <w:tcPr>
            <w:tcW w:type="dxa" w:w="1440"/>
            <w:shd w:fill="C6EFCE" w:val="clear"/>
          </w:tcPr>
          <w:p>
            <w:r>
              <w:rPr>
                <w:b/>
                <w:color w:val="008000"/>
                <w:sz w:val="17"/>
              </w:rPr>
              <w:t>+8.0%</w:t>
            </w:r>
          </w:p>
        </w:tc>
      </w:tr>
      <w:tr>
        <w:tc>
          <w:tcPr>
            <w:tcW w:type="dxa" w:w="1440"/>
            <w:shd w:fill="C6EFCE" w:val="clear"/>
          </w:tcPr>
          <w:p>
            <w:r>
              <w:rPr>
                <w:sz w:val="17"/>
              </w:rPr>
              <w:t>J+6  ⭐</w:t>
            </w:r>
          </w:p>
        </w:tc>
        <w:tc>
          <w:tcPr>
            <w:tcW w:type="dxa" w:w="1440"/>
            <w:shd w:fill="C6EFCE" w:val="clear"/>
          </w:tcPr>
          <w:p>
            <w:r>
              <w:rPr>
                <w:sz w:val="17"/>
              </w:rPr>
              <w:t>2026-10-26</w:t>
            </w:r>
          </w:p>
        </w:tc>
        <w:tc>
          <w:tcPr>
            <w:tcW w:type="dxa" w:w="1440"/>
            <w:shd w:fill="C6EFCE" w:val="clear"/>
          </w:tcPr>
          <w:p>
            <w:r>
              <w:rPr>
                <w:sz w:val="17"/>
              </w:rPr>
              <w:t>7,957</w:t>
            </w:r>
          </w:p>
        </w:tc>
        <w:tc>
          <w:tcPr>
            <w:tcW w:type="dxa" w:w="1440"/>
            <w:shd w:fill="C6EFCE" w:val="clear"/>
          </w:tcPr>
          <w:p>
            <w:r>
              <w:rPr>
                <w:b/>
                <w:sz w:val="17"/>
              </w:rPr>
              <w:t>9,127</w:t>
            </w:r>
          </w:p>
        </w:tc>
        <w:tc>
          <w:tcPr>
            <w:tcW w:type="dxa" w:w="1440"/>
            <w:shd w:fill="C6EFCE" w:val="clear"/>
          </w:tcPr>
          <w:p>
            <w:r>
              <w:rPr>
                <w:sz w:val="17"/>
              </w:rPr>
              <w:t>10,297</w:t>
            </w:r>
          </w:p>
        </w:tc>
        <w:tc>
          <w:tcPr>
            <w:tcW w:type="dxa" w:w="1440"/>
            <w:shd w:fill="C6EFCE" w:val="clear"/>
          </w:tcPr>
          <w:p>
            <w:r>
              <w:rPr>
                <w:b/>
                <w:color w:val="008000"/>
                <w:sz w:val="17"/>
              </w:rPr>
              <w:t>+8.7%</w:t>
            </w:r>
          </w:p>
        </w:tc>
      </w:tr>
      <w:tr>
        <w:tc>
          <w:tcPr>
            <w:tcW w:type="dxa" w:w="1440"/>
            <w:shd w:fill="C6EFCE" w:val="clear"/>
          </w:tcPr>
          <w:p>
            <w:r>
              <w:rPr>
                <w:sz w:val="17"/>
              </w:rPr>
              <w:t>J+7  ⭐</w:t>
            </w:r>
          </w:p>
        </w:tc>
        <w:tc>
          <w:tcPr>
            <w:tcW w:type="dxa" w:w="1440"/>
            <w:shd w:fill="C6EFCE" w:val="clear"/>
          </w:tcPr>
          <w:p>
            <w:r>
              <w:rPr>
                <w:sz w:val="17"/>
              </w:rPr>
              <w:t>2026-10-27</w:t>
            </w:r>
          </w:p>
        </w:tc>
        <w:tc>
          <w:tcPr>
            <w:tcW w:type="dxa" w:w="1440"/>
            <w:shd w:fill="C6EFCE" w:val="clear"/>
          </w:tcPr>
          <w:p>
            <w:r>
              <w:rPr>
                <w:sz w:val="17"/>
              </w:rPr>
              <w:t>7,907</w:t>
            </w:r>
          </w:p>
        </w:tc>
        <w:tc>
          <w:tcPr>
            <w:tcW w:type="dxa" w:w="1440"/>
            <w:shd w:fill="C6EFCE" w:val="clear"/>
          </w:tcPr>
          <w:p>
            <w:r>
              <w:rPr>
                <w:b/>
                <w:sz w:val="17"/>
              </w:rPr>
              <w:t>9,179</w:t>
            </w:r>
          </w:p>
        </w:tc>
        <w:tc>
          <w:tcPr>
            <w:tcW w:type="dxa" w:w="1440"/>
            <w:shd w:fill="C6EFCE" w:val="clear"/>
          </w:tcPr>
          <w:p>
            <w:r>
              <w:rPr>
                <w:sz w:val="17"/>
              </w:rPr>
              <w:t>10,450</w:t>
            </w:r>
          </w:p>
        </w:tc>
        <w:tc>
          <w:tcPr>
            <w:tcW w:type="dxa" w:w="1440"/>
            <w:shd w:fill="C6EFCE" w:val="clear"/>
          </w:tcPr>
          <w:p>
            <w:r>
              <w:rPr>
                <w:b/>
                <w:color w:val="008000"/>
                <w:sz w:val="17"/>
              </w:rPr>
              <w:t>+9.3%</w:t>
            </w:r>
          </w:p>
        </w:tc>
      </w:tr>
      <w:tr>
        <w:tc>
          <w:tcPr>
            <w:tcW w:type="dxa" w:w="1440"/>
            <w:shd w:fill="C6EFCE" w:val="clear"/>
          </w:tcPr>
          <w:p>
            <w:r>
              <w:rPr>
                <w:sz w:val="17"/>
              </w:rPr>
              <w:t>J+8  ⭐</w:t>
            </w:r>
          </w:p>
        </w:tc>
        <w:tc>
          <w:tcPr>
            <w:tcW w:type="dxa" w:w="1440"/>
            <w:shd w:fill="C6EFCE" w:val="clear"/>
          </w:tcPr>
          <w:p>
            <w:r>
              <w:rPr>
                <w:sz w:val="17"/>
              </w:rPr>
              <w:t>2026-10-28</w:t>
            </w:r>
          </w:p>
        </w:tc>
        <w:tc>
          <w:tcPr>
            <w:tcW w:type="dxa" w:w="1440"/>
            <w:shd w:fill="C6EFCE" w:val="clear"/>
          </w:tcPr>
          <w:p>
            <w:r>
              <w:rPr>
                <w:sz w:val="17"/>
              </w:rPr>
              <w:t>7,858</w:t>
            </w:r>
          </w:p>
        </w:tc>
        <w:tc>
          <w:tcPr>
            <w:tcW w:type="dxa" w:w="1440"/>
            <w:shd w:fill="C6EFCE" w:val="clear"/>
          </w:tcPr>
          <w:p>
            <w:r>
              <w:rPr>
                <w:b/>
                <w:sz w:val="17"/>
              </w:rPr>
              <w:t>9,224</w:t>
            </w:r>
          </w:p>
        </w:tc>
        <w:tc>
          <w:tcPr>
            <w:tcW w:type="dxa" w:w="1440"/>
            <w:shd w:fill="C6EFCE" w:val="clear"/>
          </w:tcPr>
          <w:p>
            <w:r>
              <w:rPr>
                <w:sz w:val="17"/>
              </w:rPr>
              <w:t>10,589</w:t>
            </w:r>
          </w:p>
        </w:tc>
        <w:tc>
          <w:tcPr>
            <w:tcW w:type="dxa" w:w="1440"/>
            <w:shd w:fill="C6EFCE" w:val="clear"/>
          </w:tcPr>
          <w:p>
            <w:r>
              <w:rPr>
                <w:b/>
                <w:color w:val="008000"/>
                <w:sz w:val="17"/>
              </w:rPr>
              <w:t>+9.8%</w:t>
            </w:r>
          </w:p>
        </w:tc>
      </w:tr>
      <w:tr>
        <w:tc>
          <w:tcPr>
            <w:tcW w:type="dxa" w:w="1440"/>
            <w:shd w:fill="C6EFCE" w:val="clear"/>
          </w:tcPr>
          <w:p>
            <w:r>
              <w:rPr>
                <w:sz w:val="17"/>
              </w:rPr>
              <w:t>J+9  ⭐</w:t>
            </w:r>
          </w:p>
        </w:tc>
        <w:tc>
          <w:tcPr>
            <w:tcW w:type="dxa" w:w="1440"/>
            <w:shd w:fill="C6EFCE" w:val="clear"/>
          </w:tcPr>
          <w:p>
            <w:r>
              <w:rPr>
                <w:sz w:val="17"/>
              </w:rPr>
              <w:t>2026-10-29</w:t>
            </w:r>
          </w:p>
        </w:tc>
        <w:tc>
          <w:tcPr>
            <w:tcW w:type="dxa" w:w="1440"/>
            <w:shd w:fill="C6EFCE" w:val="clear"/>
          </w:tcPr>
          <w:p>
            <w:r>
              <w:rPr>
                <w:sz w:val="17"/>
              </w:rPr>
              <w:t>7,808</w:t>
            </w:r>
          </w:p>
        </w:tc>
        <w:tc>
          <w:tcPr>
            <w:tcW w:type="dxa" w:w="1440"/>
            <w:shd w:fill="C6EFCE" w:val="clear"/>
          </w:tcPr>
          <w:p>
            <w:r>
              <w:rPr>
                <w:b/>
                <w:sz w:val="17"/>
              </w:rPr>
              <w:t>9,263</w:t>
            </w:r>
          </w:p>
        </w:tc>
        <w:tc>
          <w:tcPr>
            <w:tcW w:type="dxa" w:w="1440"/>
            <w:shd w:fill="C6EFCE" w:val="clear"/>
          </w:tcPr>
          <w:p>
            <w:r>
              <w:rPr>
                <w:sz w:val="17"/>
              </w:rPr>
              <w:t>10,717</w:t>
            </w:r>
          </w:p>
        </w:tc>
        <w:tc>
          <w:tcPr>
            <w:tcW w:type="dxa" w:w="1440"/>
            <w:shd w:fill="C6EFCE" w:val="clear"/>
          </w:tcPr>
          <w:p>
            <w:r>
              <w:rPr>
                <w:b/>
                <w:color w:val="008000"/>
                <w:sz w:val="17"/>
              </w:rPr>
              <w:t>+10.3%</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7,757</w:t>
            </w:r>
          </w:p>
        </w:tc>
        <w:tc>
          <w:tcPr>
            <w:tcW w:type="dxa" w:w="1440"/>
            <w:shd w:fill="C6EFCE" w:val="clear"/>
          </w:tcPr>
          <w:p>
            <w:r>
              <w:rPr>
                <w:b/>
                <w:sz w:val="17"/>
              </w:rPr>
              <w:t>9,296</w:t>
            </w:r>
          </w:p>
        </w:tc>
        <w:tc>
          <w:tcPr>
            <w:tcW w:type="dxa" w:w="1440"/>
            <w:shd w:fill="C6EFCE" w:val="clear"/>
          </w:tcPr>
          <w:p>
            <w:r>
              <w:rPr>
                <w:sz w:val="17"/>
              </w:rPr>
              <w:t>10,835</w:t>
            </w:r>
          </w:p>
        </w:tc>
        <w:tc>
          <w:tcPr>
            <w:tcW w:type="dxa" w:w="1440"/>
            <w:shd w:fill="C6EFCE" w:val="clear"/>
          </w:tcPr>
          <w:p>
            <w:r>
              <w:rPr>
                <w:b/>
                <w:color w:val="008000"/>
                <w:sz w:val="17"/>
              </w:rPr>
              <w:t>+10.7%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(BRVM)**</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BICB s'établit à 485,18 milliards FCFA, un niveau qui la place parmi les capitalisations les plus importantes de la cote BRVM, témoignant de la solidité et de la liquidité relative du titre sur le marché régional. Le BPA de 627 FCFA par action indique que chaque titre génère un bénéfice net de 627 FCFA, un niveau confortable qui traduit la forte rentabilité de la banque. Le PER de 13,4x se situe légèrement au-dessus de la moyenne BRVM (8-12x), signalant que les investisseurs acceptent de payer une prime modérée pour la qualité des bénéfices, sans que cela ne constitue une surévaluation excessive. Le P/B de 3,59x, dans la fourchette 2-4x, traduit une prime de croissance accordée par le marché, cohérente avec la dynamique bénéficiaire de l'établissement. En revanche, l'EV/EBITDA de 24,0x, très supérieur au seuil de 15x, apparaît exigeant et intègre déjà une bonne part des anticipations de croissance, ce qui limite le potentiel de revalorisation à court terme et invite à la prudence sur le niveau d'entrée.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BICB a enregistré une variation totale de +61,85%, une performance remarquable qui contraste avec une dernière séance stable (+0,00%), le titre clôturant à 8 400 FCFA. Le range de trading est particulièrement large, avec un plus haut à 10 790 FCFA et un plus bas à 5 190 FCFA, soit un écart de plus de 100% entre les extrêmes, ce qui traduit une phase de forte volatilité directionnelle. La tendance générale est nettement haussière sur la période, portée par un intérêt marqué des investisseurs, même si le cours actuel (8 400 FCFA) se situe en retrait du sommet, suggérant une phase de consolidation après le rallye. Les statistiques descriptives révèlent une moyenne de 7 576 FCFA légèrement inférieure à la médiane de 7 680 FCFA, indiquant une distribution faiblement asymétrique à gauche, avec un mode à 8 400 FCFA qui coïncide avec le cours actuel. L'écart-type de 1 626 FCFA (CV de 21,5%) confirme une dispersion élevée du cours, tandis que le kurtosis de -1,062 (distribution platykurtique) signale une faible concentration des rendements et un risque de pics moins prononcé qu'une distribution normale, et le skewness de 0,219 indique une distribution quasi symétrique. La volatilité annualisée de 42,5% classe le titre dans la catégorie des valeurs à volatilité élevée (&gt;30%), ce qui implique un risque de marché significatif et justifie une gestion prudente de la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(8 701,75 FCFA) et la MM50 (8 959,30 FCFA) se situent toutes deux au-dessus du cours actuel (8 400 FCFA), configurant une pression baissière de court et moyen terme. La MM20 étant inférieure à la MM50, la structure des moyennes reste baissière, ce qui justifie la décision technique de **Vente** : le titre évolue sous ses références mobiles, signe d'une dynamique négative persistante malgré le rebond passé.</w:t>
      </w:r>
    </w:p>
    <w:p>
      <w:pPr>
        <w:spacing w:after="120" w:line="276" w:lineRule="auto"/>
      </w:pPr>
      <w:r>
        <w:t>**Bandes de Bollinger** : Le cours (8 400 FCFA) se situe dans la partie médiane de la bande, entre la borne inférieure (7 646,93 FCFA) et la borne supérieure (9 756,57 FCFA), sans atteindre les extrêmes. Cette position centrale, couplée à un écart-type élevé, traduit une volatilité importante mais sans signal de survente ou de surachat imminent, ce qui justifie la décision **Neutre** : le titre est en zone d'indécision, à mi-chemin entre support et résistance.</w:t>
      </w:r>
    </w:p>
    <w:p>
      <w:pPr>
        <w:spacing w:after="120" w:line="276" w:lineRule="auto"/>
      </w:pPr>
      <w:r>
        <w:t>**MACD** : La ligne MACD (-215,207) est inférieure à sa ligne de signal (-165,284), avec un histogramme négatif qui traduit un momentum baissier toujours actif. La divergence négative entre MACD et signal confirme la pression vendeuse et justifie la décision **Vente** : la dynamique de court terme reste défavorable, sans signe de retournement imminent.</w:t>
      </w:r>
    </w:p>
    <w:p>
      <w:pPr>
        <w:spacing w:after="120" w:line="276" w:lineRule="auto"/>
      </w:pPr>
      <w:r>
        <w:t>**RSI** : À 44,86, le RSI se situe dans la zone neutre (30-70), sans atteindre le seuil de survente (30) ni de surachat (70). Cette valeur légèrement sous la barre des 50 indique une faiblesse modérée mais non excessive, justifiant la décision **Neutre** : le titre n'est ni survendu ni suracheté, laissant la porte ouverte à une stabilisation.</w:t>
      </w:r>
    </w:p>
    <w:p>
      <w:pPr>
        <w:spacing w:after="120" w:line="276" w:lineRule="auto"/>
      </w:pPr>
      <w:r>
        <w:t>**Stochastique** : Le %K (3,774) est très inférieur au %D (18,004), avec un croisement en zone de survente extrême (%K &lt; 20). Cette configuration signale un épuisement potentiel de la pression vendeuse et un possible rebond technique à court terme, justifiant la décision **Achat** : le stochastique est le seul indicateur à émettre un signal positif, en anticipation d'un retournement.</w:t>
      </w:r>
    </w:p>
    <w:p>
      <w:pPr>
        <w:spacing w:after="120" w:line="276" w:lineRule="auto"/>
      </w:pPr>
      <w:r>
        <w:t>**Conclusion technique** : Les indicateurs techniques sont majoritairement baissiers (MM, MACD) ou neutres (Bollinger, RSI), avec un seul signal d'achat isolé (stochastique en survente). Cette divergence traduit une phase de consolidation baissière de court terme, mais l'extrême faiblesse du stochastique suggère qu'un rebond technique est possible à très court terme. La prudence reste de mise tant que le cours n'aura pas reconquis la MM20 (8 701,75 FCFA), seuil clé de retournement de tendance.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audités, rapport des commissaires aux comptes du 22 juin 2026) dressent le portrait d'une banque solide et rentable : le Produit Net Bancaire s'établit à 52,805 milliards FCFA, en croissance de 16,49% sur un an, tandis que le résultat net atteint 36,237 milliards FCFA, soit une progression de 24,7% par rapport à 2024. Le ROE de 26,82% (excellent, &gt;15%) et le ROA de 1,96% confirment une création de valeur actionnariale robuste, et le coefficient d'exploitation de 31,12% (très inférieur au seuil de 60%) témoigne d'une efficacité opérationnelle exemplaire. Le coût du risque rapporté aux charges financières s'élève à 9,61%, un niveau à surveiller mais qui reste maîtrisé, tandis que le ratio crédits nets/dépôts de 97,5% (1 151,5 Mds de crédits pour 1 181,0 Mds de dépôts) indique une transformation tendue mais équilibrée. Les rapports trimestriels récents confirment cette dynamique : le T1 2026 (rapport du 22 juin 2026) affiche un PNB de 14,6 Mds FCFA (+35%) et un résultat net de 8,0 Mds FCFA (+48%), tandis que le S1 2026 (rapport du 22 septembre 2026) montre un PNB de 31,882 Mds FCFA (+19%) et un résultat net de 18,368 Mds FCFA (+11%), avec un RBE en bond de 31% à 22,910 Mds FCFA grâce à une baisse de 4% des charges d'exploitation. On estime, sur la base de ces tendances, que l'exercice 2026 devrait dépasser les 70 Mds FCFA de PNB et les 38-40 Mds FCFA de résultat net, malgré la normalisation du coût du risque (retour à une charge de 3,579 Mds FCFA au S1 2026 contre un produit net de 2,376 Mds FCFA au S1 2025). Les points de vigilance demeurent la qualité du portefeuille de crédits (taux de couverture porté à 1,65%), la contraction des dépôts clientèle (-1% à 1 173,652 Mds FCFA au S1 2026) et le risque de liquidité (ratio de liquidité à 11,03%). La recommandation fondamentale est de **Conserver** le titre : les fondamentaux sont solides et la croissance rentable, mais la normalisation du coût du risque et la tension sur la liquidité invitent à la prudence avant tout renforcement.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dimensions de l'analyse révèle un tableau contrasté. Sur le plan de la **valorisation (Partie 0)**, le PER de 13,4x et le P/B de 3,59x indiquent une valorisation raisonnable mais non sous-évaluée, tandis que l'EV/EBITDA de 24,0x apparaît exigeant et limite le potentiel de revalorisation. Le **comportement du cours (Partie 1)** est marqué par une tendance haussière de long terme (+61,85% sur 100 jours) mais une consolidation récente, avec une volatilité élevée (42,5%) et une distribution platykurtique qui suggère un risque de pics modéré ; le skewness quasi symétrique n'apporte pas de biais directionnel clair. Les **signaux techniques (Partie 2)** sont majoritairement baissiers (MM sous le cours, MACD négatif) mais le stochastique en survente extrême (%K=3,77) plaide pour un rebond technique imminent, créant une divergence qui appelle à la prudence. Les **fondamentaux (Partie 3)** restent solides : PNB 2025 de 52,8 Mds FCFA (+16,5%), résultat net de 36,2 Mds FCFA (+24,7%), ROE de 26,8% et coefficient d'exploitation de 31,1%, avec des rapports T1 2026 et S1 2026 confirmant la dynamique (PNB +35% et +19% respectivement). Les **prédictions IA (J+1 à J+10)** anticipent une trajectoire haussière de 8 796 à 9 068 FCFA, soit une progression de +3,2% sur 5 séances, ce qui contredit la pression technique baissière actuelle mais s'aligne sur la solidité fondamentale et le signal d'achat du stochastique. Compte tenu de cette convergence partielle — fondamentaux solides, prédictions haussières, mais technique baissière et valorisation exigeante — la recommandation finale est de **CONSERVER**, avec un niveau de confiance **Moyen** et un risque global **Élevé** (volatilité de 42,5%, tension sur la liquidité, normalisation du coût du risque). L'horizon d'investissement optimal est le **moyen terme (3-12 mois)**, le temps que la banque confirme la soutenabilité de sa croissance et que les indicateurs techniques se retournent à la hausse, avec un seuil de déclenchement d'achat à la reconquête de la MM20 (8 701,75 FCFA) et un objectif de cours à 9 500-10 000 FCFA en cas de confirmation des résultats annuels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PNB (+19 %) et du r\u00e9sultat brut d'exploitation (+31 %) traduit une rentabilit\u00e9 op\u00e9rationnelle solide, malgr\u00e9 un co\u00fbt du risque normalis\u00e9 apr\u00e8s des reprises exceptionnelles en 2025. Le r\u00e9sultat net reste en croissance de 11 % et le renforcement de la couverture des risques conforte la qualit\u00e9 des fondamentaux."}</w:t>
      </w:r>
    </w:p>
    <w:p>
      <w:pPr>
        <w:spacing w:before="40"/>
        <w:ind w:left="400"/>
      </w:pPr>
      <w:r>
        <w:rPr>
          <w:sz w:val="18"/>
        </w:rPr>
        <w:t>Au premier semestre 2026, BIIC affiche un Produit Net Bancaire de 31,9 milliards FCFA en progression de 19 % sur un an, porté par la dynamique commerciale et la bonne tenue des marges. La maîtrise des charges d'exploitation, en repli de 4 % à 9,0 milliards FCFA, permet au résultat brut d'exploitation de bondir de 31 % à 22,9 milliards FCFA. Le coût du risque redevient une charge de 3,6 milliards FCFA, contre un produit net de 2,4 milliards FCFA au S1 2025 qui intégrait d'importantes reprises de provisions. Malgré ce effet de base défavorable, le résultat net progresse de 11 % pour s'établir à 18,4 milliards FCFA, avec une rentabilité nette très élevée rapportée au PNB. Au bilan, le total s'é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'-3 579 millions FCFA (vs +2 376 millions FCFA au S1 2025)', 'depots_clientele': '1 173 652 millions FCFA (-1 % vs déc.-25)', 'dotations_nettes': '6 100 millions FCFA (-13 %)', 'charges_exploitation': '-8 971 millions FCFA (-4 %)', 'produit_net_bancaire': '31 882 millions FCFA (+19 %)', 'resultat_avant_impot': '19 331 millions FCFA (-3 %)', 'titres_au_cout_amorti': '483 801 millions FCFA (-5 %)', 'credits_nets_clientele': '1 162 656 millions FCFA (+1 % vs déc.-25)', 'resultat_brut_exploitation': '22 910 millions FCFA (+31 %)', 'taux_de_couverture_credits_bruts': '1,65 %'}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 58 % (résultat net / PNB)</w:t>
            </w:r>
          </w:p>
        </w:tc>
        <w:tc>
          <w:tcPr>
            <w:tcW w:type="dxa" w:w="2160"/>
          </w:tcPr>
          <w:p>
            <w:pPr>
              <w:ind w:left="100"/>
            </w:pPr>
            <w:r/>
            <w:r>
              <w:rPr>
                <w:b/>
                <w:sz w:val="16"/>
              </w:rPr>
              <w:t>total_actif</w:t>
              <w:br/>
            </w:r>
            <w:r>
              <w:rPr>
                <w:sz w:val="18"/>
              </w:rPr>
              <w:t>1 870 566 millions FCFA</w:t>
            </w:r>
          </w:p>
        </w:tc>
      </w:tr>
      <w:tr>
        <w:tc>
          <w:tcPr>
            <w:tcW w:type="dxa" w:w="2160"/>
          </w:tcPr>
          <w:p>
            <w:r/>
            <w:r>
              <w:rPr>
                <w:b/>
                <w:sz w:val="16"/>
              </w:rPr>
              <w:t>resultat_net</w:t>
              <w:br/>
            </w:r>
            <w:r>
              <w:rPr>
                <w:sz w:val="18"/>
              </w:rPr>
              <w:t>18 368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31 882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31,9 milliards FCFA au S1 2026, en hausse de 19 % par rapport au S1 2025 (26,9 milliards FCFA).</w:t>
      </w:r>
    </w:p>
    <w:p>
      <w:pPr>
        <w:pStyle w:val="ListBullet"/>
        <w:spacing w:before="20" w:after="20"/>
        <w:ind w:left="700"/>
      </w:pPr>
      <w:r>
        <w:rPr>
          <w:sz w:val="18"/>
        </w:rPr>
        <w:t>Charges d'exploitation en recul de 4 % à 8,97 milliards FCFA, illustrant une discipline de coûts soutenue.</w:t>
      </w:r>
    </w:p>
    <w:p>
      <w:pPr>
        <w:pStyle w:val="ListBullet"/>
        <w:spacing w:before="20" w:after="20"/>
        <w:ind w:left="700"/>
      </w:pPr>
      <w:r>
        <w:rPr>
          <w:sz w:val="18"/>
        </w:rPr>
        <w:t>Résultat brut d'exploitation de 22,9 milliards FCFA, en progression de 31 %, soit une marge brute d'exploitation très confortable.</w:t>
      </w:r>
    </w:p>
    <w:p>
      <w:pPr>
        <w:pStyle w:val="ListBullet"/>
        <w:spacing w:before="20" w:after="20"/>
        <w:ind w:left="700"/>
      </w:pPr>
      <w:r>
        <w:rPr>
          <w:sz w:val="18"/>
        </w:rPr>
        <w:t>Coût du risque de -3,6 milliards FCFA contre un produit de 2,4 milliards FCFA au S1 2025, sous l'effet du niveau exceptionnel de reprises de l'an passé.</w:t>
      </w:r>
    </w:p>
    <w:p>
      <w:pPr>
        <w:pStyle w:val="ListBullet"/>
        <w:spacing w:before="20" w:after="20"/>
        <w:ind w:left="700"/>
      </w:pPr>
      <w:r>
        <w:rPr>
          <w:sz w:val="18"/>
        </w:rPr>
        <w:t>Résultat net de 18,4 milliards FCFA, en hausse de 11 % sur un an (16,6 milliards FCFA au S1 2025).</w:t>
      </w:r>
    </w:p>
    <w:p>
      <w:pPr>
        <w:pStyle w:val="ListBullet"/>
        <w:spacing w:before="20" w:after="20"/>
        <w:ind w:left="700"/>
      </w:pPr>
      <w:r>
        <w:rPr>
          <w:sz w:val="18"/>
        </w:rPr>
        <w:t>Dotations nettes en recul de 13 % à 6,1 milliards FCFA, avec un taux de couverture des crédits bruts porté à 1,65 % (19,5 milliards FCFA de dépréciations).</w:t>
      </w:r>
    </w:p>
    <w:p>
      <w:pPr>
        <w:spacing w:before="40"/>
        <w:ind w:left="400"/>
      </w:pPr>
      <w:r>
        <w:rPr>
          <w:b/>
          <w:color w:val="C05000"/>
          <w:sz w:val="18"/>
        </w:rPr>
        <w:t xml:space="preserve">⚠️ Risques : </w:t>
      </w:r>
      <w:r>
        <w:rPr>
          <w:sz w:val="18"/>
        </w:rPr>
        <w:t>["Normalisation du co\u00fbt du risque : retour \u00e0 une charge de 3,6 milliards FCFA, avec un r\u00e9sultat avant imp\u00f4t en l\u00e9ger repli (-3 %), la qualit\u00e9 des actifs restant un point de vigilance.", "L\u00e9ger retrait des d\u00e9p\u00f4ts client\u00e8le (-1 %) qui pourrait contrain</w:t>
      </w:r>
    </w:p>
    <w:p>
      <w:pPr>
        <w:spacing w:before="40"/>
        <w:ind w:left="400"/>
      </w:pPr>
      <w:r>
        <w:rPr>
          <w:b/>
          <w:color w:val="0064A0"/>
          <w:sz w:val="18"/>
        </w:rPr>
        <w:t xml:space="preserve">🔮 Perspectives : </w:t>
      </w:r>
      <w:r>
        <w:rPr>
          <w:sz w:val="18"/>
        </w:rPr>
        <w:t xml:space="preserve">La Direction Générale se déclare confiante dans sa capacité à atteindre les objectifs de l'exercice 2026, en poursuivant l'exécution disciplinée de son plan de développement. La Banque entend maintenir une gestion prudente des risques, une allocation rigoureuse des ressources et la consolidation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
      <w:r>
        <w:t>════════════════════════════════════════════════════════════════════════════════</w:t>
      </w:r>
    </w:p>
    <w:p>
      <w:r>
        <w:br w:type="page"/>
      </w:r>
    </w:p>
    <w:p>
      <w:pPr>
        <w:pStyle w:val="Heading2"/>
        <w:spacing w:before="360"/>
      </w:pPr>
      <w:r>
        <w:rPr>
          <w:color w:val="0066CC"/>
        </w:rPr>
        <w:t>4.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540.00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724 titres</w:t>
            </w:r>
          </w:p>
        </w:tc>
        <w:tc>
          <w:tcPr>
            <w:tcW w:type="dxa" w:w="2268"/>
            <w:shd w:fill="FFF2CC" w:val="clear"/>
          </w:tcPr>
          <w:p>
            <w:r>
              <w:rPr>
                <w:b/>
                <w:color w:val="503200"/>
                <w:sz w:val="16"/>
              </w:rPr>
              <w:t xml:space="preserve">Cours actuel : </w:t>
            </w:r>
            <w:r>
              <w:rPr>
                <w:color w:val="000000"/>
                <w:sz w:val="17"/>
              </w:rPr>
              <w:t>32,400 FCFA</w:t>
            </w:r>
          </w:p>
          <w:p>
            <w:r>
              <w:rPr>
                <w:b/>
                <w:color w:val="503200"/>
                <w:sz w:val="16"/>
              </w:rPr>
              <w:t xml:space="preserve">Var. 100 jours : </w:t>
            </w:r>
            <w:r>
              <w:rPr>
                <w:b/>
                <w:color w:val="007800"/>
                <w:sz w:val="17"/>
              </w:rPr>
              <w:t>+17.82%</w:t>
            </w:r>
          </w:p>
          <w:p>
            <w:r>
              <w:rPr>
                <w:b/>
                <w:color w:val="503200"/>
                <w:sz w:val="16"/>
              </w:rPr>
              <w:t xml:space="preserve">Plus haut 100j : </w:t>
            </w:r>
            <w:r>
              <w:rPr>
                <w:color w:val="000000"/>
                <w:sz w:val="17"/>
              </w:rPr>
              <w:t>34,895 FCFA</w:t>
            </w:r>
          </w:p>
          <w:p>
            <w:r>
              <w:rPr>
                <w:b/>
                <w:color w:val="503200"/>
                <w:sz w:val="16"/>
              </w:rPr>
              <w:t xml:space="preserve">Plus bas 100j : </w:t>
            </w:r>
            <w:r>
              <w:rPr>
                <w:color w:val="000000"/>
                <w:sz w:val="17"/>
              </w:rPr>
              <w:t>27,500 FCFA</w:t>
            </w:r>
          </w:p>
          <w:p>
            <w:r>
              <w:rPr>
                <w:b/>
                <w:color w:val="503200"/>
                <w:sz w:val="16"/>
              </w:rPr>
              <w:t xml:space="preserve">Volatilité ann. : </w:t>
            </w:r>
            <w:r>
              <w:rPr>
                <w:color w:val="000000"/>
                <w:sz w:val="17"/>
              </w:rPr>
              <w:t>38.4%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6.01% (Moyenne) — μ=29,774 FCFA, σ=1,790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β=1.0334 (Neutre (suit le marché)) — Cov=0.000079, Var(idx)=0.000077, ρ=0.377,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724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σ_j=2.42%/j (Stable) — Vol. annualisée≈38.4%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2026-10-19</w:t>
            </w:r>
          </w:p>
        </w:tc>
        <w:tc>
          <w:tcPr>
            <w:tcW w:type="dxa" w:w="1440"/>
            <w:shd w:fill="FFDCE0" w:val="clear"/>
          </w:tcPr>
          <w:p>
            <w:r>
              <w:rPr>
                <w:sz w:val="17"/>
              </w:rPr>
              <w:t>29,809</w:t>
            </w:r>
          </w:p>
        </w:tc>
        <w:tc>
          <w:tcPr>
            <w:tcW w:type="dxa" w:w="1440"/>
            <w:shd w:fill="FFDCE0" w:val="clear"/>
          </w:tcPr>
          <w:p>
            <w:r>
              <w:rPr>
                <w:b/>
                <w:sz w:val="17"/>
              </w:rPr>
              <w:t>31,605</w:t>
            </w:r>
          </w:p>
        </w:tc>
        <w:tc>
          <w:tcPr>
            <w:tcW w:type="dxa" w:w="1440"/>
            <w:shd w:fill="FFDCE0" w:val="clear"/>
          </w:tcPr>
          <w:p>
            <w:r>
              <w:rPr>
                <w:sz w:val="17"/>
              </w:rPr>
              <w:t>33,401</w:t>
            </w:r>
          </w:p>
        </w:tc>
        <w:tc>
          <w:tcPr>
            <w:tcW w:type="dxa" w:w="1440"/>
            <w:shd w:fill="FFDCE0" w:val="clear"/>
          </w:tcPr>
          <w:p>
            <w:r>
              <w:rPr>
                <w:b/>
                <w:color w:val="C00000"/>
                <w:sz w:val="17"/>
              </w:rPr>
              <w:t>-2.5%</w:t>
            </w:r>
          </w:p>
        </w:tc>
      </w:tr>
      <w:tr>
        <w:tc>
          <w:tcPr>
            <w:tcW w:type="dxa" w:w="1440"/>
            <w:shd w:fill="FFDCE0" w:val="clear"/>
          </w:tcPr>
          <w:p>
            <w:r>
              <w:rPr>
                <w:sz w:val="17"/>
              </w:rPr>
              <w:t>J+2  Moyenne</w:t>
            </w:r>
          </w:p>
        </w:tc>
        <w:tc>
          <w:tcPr>
            <w:tcW w:type="dxa" w:w="1440"/>
            <w:shd w:fill="FFDCE0" w:val="clear"/>
          </w:tcPr>
          <w:p>
            <w:r>
              <w:rPr>
                <w:sz w:val="17"/>
              </w:rPr>
              <w:t>2026-10-20</w:t>
            </w:r>
          </w:p>
        </w:tc>
        <w:tc>
          <w:tcPr>
            <w:tcW w:type="dxa" w:w="1440"/>
            <w:shd w:fill="FFDCE0" w:val="clear"/>
          </w:tcPr>
          <w:p>
            <w:r>
              <w:rPr>
                <w:sz w:val="17"/>
              </w:rPr>
              <w:t>29,072</w:t>
            </w:r>
          </w:p>
        </w:tc>
        <w:tc>
          <w:tcPr>
            <w:tcW w:type="dxa" w:w="1440"/>
            <w:shd w:fill="FFDCE0" w:val="clear"/>
          </w:tcPr>
          <w:p>
            <w:r>
              <w:rPr>
                <w:b/>
                <w:sz w:val="17"/>
              </w:rPr>
              <w:t>31,612</w:t>
            </w:r>
          </w:p>
        </w:tc>
        <w:tc>
          <w:tcPr>
            <w:tcW w:type="dxa" w:w="1440"/>
            <w:shd w:fill="FFDCE0" w:val="clear"/>
          </w:tcPr>
          <w:p>
            <w:r>
              <w:rPr>
                <w:sz w:val="17"/>
              </w:rPr>
              <w:t>34,153</w:t>
            </w:r>
          </w:p>
        </w:tc>
        <w:tc>
          <w:tcPr>
            <w:tcW w:type="dxa" w:w="1440"/>
            <w:shd w:fill="FFDCE0" w:val="clear"/>
          </w:tcPr>
          <w:p>
            <w:r>
              <w:rPr>
                <w:b/>
                <w:color w:val="C00000"/>
                <w:sz w:val="17"/>
              </w:rPr>
              <w:t>-2.4%</w:t>
            </w:r>
          </w:p>
        </w:tc>
      </w:tr>
      <w:tr>
        <w:tc>
          <w:tcPr>
            <w:tcW w:type="dxa" w:w="1440"/>
            <w:shd w:fill="FFDCE0" w:val="clear"/>
          </w:tcPr>
          <w:p>
            <w:r>
              <w:rPr>
                <w:sz w:val="17"/>
              </w:rPr>
              <w:t>J+3  Moyenne</w:t>
            </w:r>
          </w:p>
        </w:tc>
        <w:tc>
          <w:tcPr>
            <w:tcW w:type="dxa" w:w="1440"/>
            <w:shd w:fill="FFDCE0" w:val="clear"/>
          </w:tcPr>
          <w:p>
            <w:r>
              <w:rPr>
                <w:sz w:val="17"/>
              </w:rPr>
              <w:t>2026-10-21</w:t>
            </w:r>
          </w:p>
        </w:tc>
        <w:tc>
          <w:tcPr>
            <w:tcW w:type="dxa" w:w="1440"/>
            <w:shd w:fill="FFDCE0" w:val="clear"/>
          </w:tcPr>
          <w:p>
            <w:r>
              <w:rPr>
                <w:sz w:val="17"/>
              </w:rPr>
              <w:t>28,421</w:t>
            </w:r>
          </w:p>
        </w:tc>
        <w:tc>
          <w:tcPr>
            <w:tcW w:type="dxa" w:w="1440"/>
            <w:shd w:fill="FFDCE0" w:val="clear"/>
          </w:tcPr>
          <w:p>
            <w:r>
              <w:rPr>
                <w:b/>
                <w:sz w:val="17"/>
              </w:rPr>
              <w:t>31,524</w:t>
            </w:r>
          </w:p>
        </w:tc>
        <w:tc>
          <w:tcPr>
            <w:tcW w:type="dxa" w:w="1440"/>
            <w:shd w:fill="FFDCE0" w:val="clear"/>
          </w:tcPr>
          <w:p>
            <w:r>
              <w:rPr>
                <w:sz w:val="17"/>
              </w:rPr>
              <w:t>34,627</w:t>
            </w:r>
          </w:p>
        </w:tc>
        <w:tc>
          <w:tcPr>
            <w:tcW w:type="dxa" w:w="1440"/>
            <w:shd w:fill="FFDCE0" w:val="clear"/>
          </w:tcPr>
          <w:p>
            <w:r>
              <w:rPr>
                <w:b/>
                <w:color w:val="C00000"/>
                <w:sz w:val="17"/>
              </w:rPr>
              <w:t>-2.7%</w:t>
            </w:r>
          </w:p>
        </w:tc>
      </w:tr>
      <w:tr>
        <w:tc>
          <w:tcPr>
            <w:tcW w:type="dxa" w:w="1440"/>
            <w:shd w:fill="FFDCE0" w:val="clear"/>
          </w:tcPr>
          <w:p>
            <w:r>
              <w:rPr>
                <w:sz w:val="17"/>
              </w:rPr>
              <w:t>J+4  ⭐</w:t>
            </w:r>
          </w:p>
        </w:tc>
        <w:tc>
          <w:tcPr>
            <w:tcW w:type="dxa" w:w="1440"/>
            <w:shd w:fill="FFDCE0" w:val="clear"/>
          </w:tcPr>
          <w:p>
            <w:r>
              <w:rPr>
                <w:sz w:val="17"/>
              </w:rPr>
              <w:t>2026-10-22</w:t>
            </w:r>
          </w:p>
        </w:tc>
        <w:tc>
          <w:tcPr>
            <w:tcW w:type="dxa" w:w="1440"/>
            <w:shd w:fill="FFDCE0" w:val="clear"/>
          </w:tcPr>
          <w:p>
            <w:r>
              <w:rPr>
                <w:sz w:val="17"/>
              </w:rPr>
              <w:t>27,869</w:t>
            </w:r>
          </w:p>
        </w:tc>
        <w:tc>
          <w:tcPr>
            <w:tcW w:type="dxa" w:w="1440"/>
            <w:shd w:fill="FFDCE0" w:val="clear"/>
          </w:tcPr>
          <w:p>
            <w:r>
              <w:rPr>
                <w:b/>
                <w:sz w:val="17"/>
              </w:rPr>
              <w:t>31,443</w:t>
            </w:r>
          </w:p>
        </w:tc>
        <w:tc>
          <w:tcPr>
            <w:tcW w:type="dxa" w:w="1440"/>
            <w:shd w:fill="FFDCE0" w:val="clear"/>
          </w:tcPr>
          <w:p>
            <w:r>
              <w:rPr>
                <w:sz w:val="17"/>
              </w:rPr>
              <w:t>35,017</w:t>
            </w:r>
          </w:p>
        </w:tc>
        <w:tc>
          <w:tcPr>
            <w:tcW w:type="dxa" w:w="1440"/>
            <w:shd w:fill="FFDCE0" w:val="clear"/>
          </w:tcPr>
          <w:p>
            <w:r>
              <w:rPr>
                <w:b/>
                <w:color w:val="C00000"/>
                <w:sz w:val="17"/>
              </w:rPr>
              <w:t>-3.0%</w:t>
            </w:r>
          </w:p>
        </w:tc>
      </w:tr>
      <w:tr>
        <w:tc>
          <w:tcPr>
            <w:tcW w:type="dxa" w:w="1440"/>
            <w:shd w:fill="FFDCE0" w:val="clear"/>
          </w:tcPr>
          <w:p>
            <w:r>
              <w:rPr>
                <w:sz w:val="17"/>
              </w:rPr>
              <w:t>J+5  ⭐</w:t>
            </w:r>
          </w:p>
        </w:tc>
        <w:tc>
          <w:tcPr>
            <w:tcW w:type="dxa" w:w="1440"/>
            <w:shd w:fill="FFDCE0" w:val="clear"/>
          </w:tcPr>
          <w:p>
            <w:r>
              <w:rPr>
                <w:sz w:val="17"/>
              </w:rPr>
              <w:t>2026-10-23</w:t>
            </w:r>
          </w:p>
        </w:tc>
        <w:tc>
          <w:tcPr>
            <w:tcW w:type="dxa" w:w="1440"/>
            <w:shd w:fill="FFDCE0" w:val="clear"/>
          </w:tcPr>
          <w:p>
            <w:r>
              <w:rPr>
                <w:sz w:val="17"/>
              </w:rPr>
              <w:t>27,390</w:t>
            </w:r>
          </w:p>
        </w:tc>
        <w:tc>
          <w:tcPr>
            <w:tcW w:type="dxa" w:w="1440"/>
            <w:shd w:fill="FFDCE0" w:val="clear"/>
          </w:tcPr>
          <w:p>
            <w:r>
              <w:rPr>
                <w:b/>
                <w:sz w:val="17"/>
              </w:rPr>
              <w:t>31,378</w:t>
            </w:r>
          </w:p>
        </w:tc>
        <w:tc>
          <w:tcPr>
            <w:tcW w:type="dxa" w:w="1440"/>
            <w:shd w:fill="FFDCE0" w:val="clear"/>
          </w:tcPr>
          <w:p>
            <w:r>
              <w:rPr>
                <w:sz w:val="17"/>
              </w:rPr>
              <w:t>35,366</w:t>
            </w:r>
          </w:p>
        </w:tc>
        <w:tc>
          <w:tcPr>
            <w:tcW w:type="dxa" w:w="1440"/>
            <w:shd w:fill="FFDCE0" w:val="clear"/>
          </w:tcPr>
          <w:p>
            <w:r>
              <w:rPr>
                <w:b/>
                <w:color w:val="C00000"/>
                <w:sz w:val="17"/>
              </w:rPr>
              <w:t>-3.2%</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26,960</w:t>
            </w:r>
          </w:p>
        </w:tc>
        <w:tc>
          <w:tcPr>
            <w:tcW w:type="dxa" w:w="1440"/>
            <w:shd w:fill="FFDCE0" w:val="clear"/>
          </w:tcPr>
          <w:p>
            <w:r>
              <w:rPr>
                <w:b/>
                <w:sz w:val="17"/>
              </w:rPr>
              <w:t>31,320</w:t>
            </w:r>
          </w:p>
        </w:tc>
        <w:tc>
          <w:tcPr>
            <w:tcW w:type="dxa" w:w="1440"/>
            <w:shd w:fill="FFDCE0" w:val="clear"/>
          </w:tcPr>
          <w:p>
            <w:r>
              <w:rPr>
                <w:sz w:val="17"/>
              </w:rPr>
              <w:t>35,680</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26,563</w:t>
            </w:r>
          </w:p>
        </w:tc>
        <w:tc>
          <w:tcPr>
            <w:tcW w:type="dxa" w:w="1440"/>
            <w:shd w:fill="FFDCE0" w:val="clear"/>
          </w:tcPr>
          <w:p>
            <w:r>
              <w:rPr>
                <w:b/>
                <w:sz w:val="17"/>
              </w:rPr>
              <w:t>31,264</w:t>
            </w:r>
          </w:p>
        </w:tc>
        <w:tc>
          <w:tcPr>
            <w:tcW w:type="dxa" w:w="1440"/>
            <w:shd w:fill="FFDCE0" w:val="clear"/>
          </w:tcPr>
          <w:p>
            <w:r>
              <w:rPr>
                <w:sz w:val="17"/>
              </w:rPr>
              <w:t>35,965</w:t>
            </w:r>
          </w:p>
        </w:tc>
        <w:tc>
          <w:tcPr>
            <w:tcW w:type="dxa" w:w="1440"/>
            <w:shd w:fill="FFDCE0" w:val="clear"/>
          </w:tcPr>
          <w:p>
            <w:r>
              <w:rPr>
                <w:b/>
                <w:color w:val="C00000"/>
                <w:sz w:val="17"/>
              </w:rPr>
              <w:t>-3.5%</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26,193</w:t>
            </w:r>
          </w:p>
        </w:tc>
        <w:tc>
          <w:tcPr>
            <w:tcW w:type="dxa" w:w="1440"/>
            <w:shd w:fill="FFDCE0" w:val="clear"/>
          </w:tcPr>
          <w:p>
            <w:r>
              <w:rPr>
                <w:b/>
                <w:sz w:val="17"/>
              </w:rPr>
              <w:t>31,210</w:t>
            </w:r>
          </w:p>
        </w:tc>
        <w:tc>
          <w:tcPr>
            <w:tcW w:type="dxa" w:w="1440"/>
            <w:shd w:fill="FFDCE0" w:val="clear"/>
          </w:tcPr>
          <w:p>
            <w:r>
              <w:rPr>
                <w:sz w:val="17"/>
              </w:rPr>
              <w:t>36,227</w:t>
            </w:r>
          </w:p>
        </w:tc>
        <w:tc>
          <w:tcPr>
            <w:tcW w:type="dxa" w:w="1440"/>
            <w:shd w:fill="FFDCE0" w:val="clear"/>
          </w:tcPr>
          <w:p>
            <w:r>
              <w:rPr>
                <w:b/>
                <w:color w:val="C00000"/>
                <w:sz w:val="17"/>
              </w:rPr>
              <w:t>-3.7%</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25,845</w:t>
            </w:r>
          </w:p>
        </w:tc>
        <w:tc>
          <w:tcPr>
            <w:tcW w:type="dxa" w:w="1440"/>
            <w:shd w:fill="FFDCE0" w:val="clear"/>
          </w:tcPr>
          <w:p>
            <w:r>
              <w:rPr>
                <w:b/>
                <w:sz w:val="17"/>
              </w:rPr>
              <w:t>31,157</w:t>
            </w:r>
          </w:p>
        </w:tc>
        <w:tc>
          <w:tcPr>
            <w:tcW w:type="dxa" w:w="1440"/>
            <w:shd w:fill="FFDCE0" w:val="clear"/>
          </w:tcPr>
          <w:p>
            <w:r>
              <w:rPr>
                <w:sz w:val="17"/>
              </w:rPr>
              <w:t>36,469</w:t>
            </w:r>
          </w:p>
        </w:tc>
        <w:tc>
          <w:tcPr>
            <w:tcW w:type="dxa" w:w="1440"/>
            <w:shd w:fill="FFDCE0" w:val="clear"/>
          </w:tcPr>
          <w:p>
            <w:r>
              <w:rPr>
                <w:b/>
                <w:color w:val="C00000"/>
                <w:sz w:val="17"/>
              </w:rPr>
              <w:t>-3.8%</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25,515</w:t>
            </w:r>
          </w:p>
        </w:tc>
        <w:tc>
          <w:tcPr>
            <w:tcW w:type="dxa" w:w="1440"/>
            <w:shd w:fill="FFDCE0" w:val="clear"/>
          </w:tcPr>
          <w:p>
            <w:r>
              <w:rPr>
                <w:b/>
                <w:sz w:val="17"/>
              </w:rPr>
              <w:t>31,106</w:t>
            </w:r>
          </w:p>
        </w:tc>
        <w:tc>
          <w:tcPr>
            <w:tcW w:type="dxa" w:w="1440"/>
            <w:shd w:fill="FFDCE0" w:val="clear"/>
          </w:tcPr>
          <w:p>
            <w:r>
              <w:rPr>
                <w:sz w:val="17"/>
              </w:rPr>
              <w:t>36,696</w:t>
            </w:r>
          </w:p>
        </w:tc>
        <w:tc>
          <w:tcPr>
            <w:tcW w:type="dxa" w:w="1440"/>
            <w:shd w:fill="FFDCE0" w:val="clear"/>
          </w:tcPr>
          <w:p>
            <w:r>
              <w:rPr>
                <w:b/>
                <w:color w:val="C00000"/>
                <w:sz w:val="17"/>
              </w:rPr>
              <w:t>-4.0%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 RAPPORT D'ANALYSE FINANCIÈRE — BICC (BICICI)</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BICC s'établit à **540,00 Mds FCFA**, un niveau qui la place parmi les valeurs bancaires de premier plan de la cote BRVM, témoignant d'une liquidité et d'une profondeur de marché significatives. Le BPA de **2 191 FCFA/action** traduit la profitabilité par titre, tandis que le PER de **14,8x** situe le titre légèrement au-dessus de la moyenne BRVM (~8-12x), signalant une prime de qualité mais une valorisation qui n'est plus bon marché. Le P/B de **4,48x** confirme cette exigence : le marché valorise BICC à plus de quatre fois sa valeur comptable, ce qui est élevé pour le secteur et suppose une confiance forte dans la rentabilité future. Enfin, l'EV/EBITDA de **10,8x**, dans la fourchette 10-15x, indique une valorisation correcte de la capacité opérationnelle, cohérente avec un modèle bancaire rentable mais déjà bien apprécié par le marché.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BICC affiche une **variation totale de +17,82%**, avec une dernière séance particulièrement dynamique (**+4,21%** en J-1), portant le cours actuel à **32 400 FCFA**. Le range de trading s'étend de **27 500 FCFA** (plus bas) à **34 895 FCFA** (plus haut), soit une amplitude d'environ 27%, reflétant une tendance nettement haussière soutenue par un momentum récent. Les statistiques descriptives révèlent une **moyenne de 29 774 FCFA** supérieure à la **médiane de 29 000 FCFA** (égale au mode), écart qui confirme une distribution asymétrique à droite, cohérente avec le **skewness de 0,987** (asymétrie positive : davantage de journées sous la moyenne, mais des pics haussiers marqués). L'**écart-type de 1 799 FCFA** avec un **CV de 6,0%** indique une dispersion modérée autour de la moyenne, tandis que le **kurtosis de -0,144** (mésokurtique) suggère une distribution proche de la normale, sans risque excessif de pics extrêmes. La **volatilité annualisée de 38,4%** classe le titre dans la catégorie des valeurs à volatilité élevée (&gt;30%), ce qui est typique des small/mid caps bancaires de la BRVM et appelle à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(**31 865,75 FCFA**) et la MM50 (**31 059,20 FCFA**) se situent toutes deux sous le cours actuel (32 400 FCFA), avec la MM20 au-dessus de la MM50 — configuration haussière classique (golden cross). Cette disposition justifie la décision **Achat**, le cours évoluant au-dessus de ses supports mobiles avec un alignement favorable.</w:t>
      </w:r>
    </w:p>
    <w:p>
      <w:pPr>
        <w:spacing w:after="120" w:line="276" w:lineRule="auto"/>
      </w:pPr>
      <w:r>
        <w:t>**Bandes de Bollinger** : Le cours (32 400 FCFA) se situe dans la moitié supérieure de la bande, entre la borne inférieure (29 620,88 FCFA) et la borne supérieure (34 110,62 FCFA), sans franchissement des extrêmes. Cette position centrale-haute traduit une volatilité contenue et justifie la décision **Neutre**, le titre n'étant ni en surachat ni en survente technique.</w:t>
      </w:r>
    </w:p>
    <w:p>
      <w:pPr>
        <w:spacing w:after="120" w:line="276" w:lineRule="auto"/>
      </w:pPr>
      <w:r>
        <w:t>**MACD** : La valeur du MACD (**127,058**) est inférieure à son signal (**241,73**), configuration baissière qui indique un essoufflement du momentum haussier malgré la tendance de fond positive. Cette divergence justifie la décision **Vente** à court terme, le croisement MACD/signal étant défavorable.</w:t>
      </w:r>
    </w:p>
    <w:p>
      <w:pPr>
        <w:spacing w:after="120" w:line="276" w:lineRule="auto"/>
      </w:pPr>
      <w:r>
        <w:t>**RSI** : À **51,425**, le RSI se situe en zone parfaitement neutre (entre 30 et 70), sans pression acheteuse ni vendeuse dominante. La décision **Neutre** est cohérente avec un marché en équilibre, le titre n'étant ni suracheté (&gt;70) ni survendu (&lt;30).</w:t>
      </w:r>
    </w:p>
    <w:p>
      <w:pPr>
        <w:spacing w:after="120" w:line="276" w:lineRule="auto"/>
      </w:pPr>
      <w:r>
        <w:t>**Stochastique** : Le %K (**34,428**) est supérieur au %D (**18,909**), avec un croisement récent en zone basse qui pourrait signaler un début de rebond. Cependant, les deux courbes restent en territoire de survente relative, justifiant la décision **Neutre** dans l'attente d'une confirmation du retournement.</w:t>
      </w:r>
    </w:p>
    <w:p>
      <w:pPr>
        <w:spacing w:after="120" w:line="276" w:lineRule="auto"/>
      </w:pPr>
      <w:r>
        <w:t>**Conclusion technique** : Les indicateurs présentent une **divergence notable** : les moyennes mobiles confirment une tendance haussière de fond (Achat), mais le MACD signale un essoufflement du momentum (Vente), tandis que le RSI, les Bollinger et le Stochastique restent neutres. Cette configuration mixte suggère un **essoufflement à court terme** après le rallye de +17,82%, avec un risque de consolidation avant une reprise. La prudence est de mise à court terme, mais la structure de fond reste haussière.</w:t>
      </w:r>
    </w:p>
    <w:p>
      <w:pPr>
        <w:spacing w:after="120" w:line="276" w:lineRule="auto"/>
      </w:pPr>
      <w:r>
        <w:t>---</w:t>
      </w:r>
    </w:p>
    <w:p>
      <w:pPr>
        <w:spacing w:after="120" w:line="276" w:lineRule="auto"/>
      </w:pPr>
      <w:r>
        <w:t>## PARTIE 3 : ANALYSE FONDAMENTALE (SECTION CRITIQUE)</w:t>
      </w:r>
    </w:p>
    <w:p>
      <w:pPr>
        <w:spacing w:after="120" w:line="276" w:lineRule="auto"/>
      </w:pPr>
      <w:r>
        <w:t>**Données structurées — Exercice 2025 (chiffres officiels)** : En 2025, BICC affiche un **PNB de 79,563 Mds FCFA** (équivalent du chiffre d'affaires bancaire), en croissance de **+16,90%**, porté par les intérêts et produits assimilés (62,121 Mds FCFA) et les commissions nettes (30,883 Mds FCFA de produits contre 4,550 Mds FCFA de charges). Le **résultat net s'élève à 36,520 Mds FCFA**, générant un **ROE exceptionnel de 30,29%** (largement supérieur au seuil de 15% d'excellence) et un **ROA de 3,24%**, solide pour le secteur. Le **coefficient d'exploitation de 50,83%** (charges/PNB) place la banque dans la catégorie des établissements très efficaces (&lt;60%), tandis que la **marge nette de 45,90%** témoigne d'une rentabilité opérationnelle remarquable. Le **coût du risque rapporté aux charges financières (-12,15%)** reste contenu, signe d'un portefeuille de crédits globalement sain. La structure bilancielle est solide : **dépôts clientèle de 952,872 Mds FCFA** contre **créances clientèle de 524,439 Mds FCFA**, soit un ratio de transformation de ~55%, avec une **trésorerie nette de 136,357 Mds FCFA** et une **capacité de remboursement de 0,40 an** (dette financière/CAF), très confortable.</w:t>
      </w:r>
    </w:p>
    <w:p>
      <w:pPr>
        <w:spacing w:after="120" w:line="276" w:lineRule="auto"/>
      </w:pPr>
      <w:r>
        <w:t>**Estimations basées sur les rapports trimestriels** : Le rapport du **T1 2026 (31 mars 2026)** confirme l'accélération avec un **PNB de 21 214 MFCFA (+17,01%)** et un **résultat net de 10 387 MFCFA (+29,66%)**, la marge nette s'améliorant à **49,0%**. Le rapport du **S1 2026 (30 juin 2026)** poursuit sur cette lancée : **PNB de 42 637 MXOF (+14,8%)**, **résultat net de 19 948 MXOF (+22,7%)**, **RBE en hausse de +33,2%** et **frais de gestion en baisse de -2,2%**. Point de vigilance : le **coût du risque passe de -123 MXOF à -1 778 MXOF** au S1 2026, dégradation significative à surveiller. Sur cette base, on peut **estimer un résultat net annuel 2026 autour de 40-42 Mds FCFA** (extrapolation du S1), confirmant la trajectoire de croissance. Les rapports antérieurs (T3 2025 : PNB +16,4%, RN +50,8% ; S1 2025 : PNB +16,6%, RN +42,5%) confirment une dynamique pluriannuelle robuste.</w:t>
      </w:r>
    </w:p>
    <w:p>
      <w:pPr>
        <w:spacing w:after="120" w:line="276" w:lineRule="auto"/>
      </w:pPr>
      <w:r>
        <w:t>**Recommandation fondamentale** : La solidité financière de BICC est **incontestable** — croissance à deux chiffres, ROE exceptionnel, efficacité opérationnelle et bilan liquide. Les risques résident dans la **dégradation du coût du risque au S1 2026** et la dépendance à l'environnement macroéconomique de l'UEMOA. La dynamique commerciale (dépôts +6,4% au S1 2026) et la maîtrise des charges soutiennent une perspective positive, justifiant une recommandation fondamentale **ACHAT** avec vigilance sur la qualité du portefeuille de crédits.</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**globalement favorable mais nuancé**. Sur le plan de la **valorisation (Partie 0)**, le PER de 14,8x et le P/B de 4,48x indiquent une action **correctement valorisée à légèrement chère**, le marché ayant déjà intégré la prime de qualité — pas de marge de sécurité évidente. Le **comportement du cours (Partie 1)** est haussier (+17,82%) mais la volatilité élevée (38,4%) et le skewness positif (0,987) suggèrent une tendance à des pics haussiers suivis de consolidations, avec un kurtosis proche de la normale limitant le risque de krach. Les **signaux techniques (Partie 2)** sont **mitigés** : moyennes mobiles haussières (Achat) mais MACD baissier (Vente) et autres indicateurs neutres — configuration de consolidation probable à court terme. Les **fondamentaux (Partie 3)** sont **excellents** : ROE de 30,29%, coefficient d'exploitation de 50,83%, croissance du PNB de +16,90% en 2025 et +14,8% au S1 2026, avec un résultat net estimé à 40-42 Mds FCFA pour 2026. Les **prédictions IA (J+1 à J+10)** anticipent une **légère correction** de 32 400 FCFA vers ~31 378 FCFA (-3,2%), cohérente avec l'essoufflement du MACD et le besoin de consolidation après le rallye.</w:t>
      </w:r>
    </w:p>
    <w:p>
      <w:pPr>
        <w:spacing w:after="120" w:line="276" w:lineRule="auto"/>
      </w:pPr>
      <w:r>
        <w:t>**Recommandation finale : CONSERVER** (avec biais acheteur sur repli). La convergence est **partielle** : fondamentaux excellents et tendance de fond haussière soutiennent le titre, mais valorisation exigeante, signaux techniques mitigés et prédictions de correction court terme plaident pour la patience. **Niveau de confiance : Moyen**. **Niveau de risque global : Moyen** (volatilité élevée compensée par la solidité bilancielle). **Horizon optimal : moyen terme (3-12 mois)** — accumuler sur repli vers 31 000-31 500 FCFA pour profiter de la croissance fondamentale, avec un objectif de cours à 34 000-35 000 FCFA si le coût du risque se stabilise au S2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BICICI affiche une croissance solide de ses r\u00e9sultats et une am\u00e9lioration de son efficacit\u00e9 op\u00e9rationnelle, avec un R\u00e9sultat Net en hausse de 22,7%. La dynamique commerciale soutenue et la ma\u00eetrise des charges renforcent la confiance dans la poursuite de cette performance."}</w:t>
      </w:r>
    </w:p>
    <w:p>
      <w:pPr>
        <w:spacing w:before="40"/>
        <w:ind w:left="400"/>
      </w:pPr>
      <w:r>
        <w:rPr>
          <w:sz w:val="18"/>
        </w:rPr>
        <w:t>Au premier semestre 2026, la BICICI affiche une performance opérationnelle et financière en nette amélioration malgré un environnement international incertain et des conditions financières contraignantes. Le Produit Net Bancaire progresse de 14,8% à 42 637 MXOF, porté par la marge d'intermédiation (+18,0%) et les commissions nettes (+17,0%). Les frais de gestion reculent de 2,2% à 18 932 MXOF, ce qui permet au Résultat Brut d'Exploitation de bondir de 33,2% à 23 705 MXOF. Le Résultat Net s'établit à 19 948 MXOF, en hausse de 22,7% par rapport au premier semestre 2025. Les encours de crédits et les dépôts de la clientèle progressent respectivement de 4,1% et 6,4%, confirmant la dynamique comm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'-1 778 MXOF', 'depots_clientele': '1 007 993 MXOF', 'frais_de_gestion': '18 932 MXOF', 'produit_net_bancaire': '42 637 MXOF', 'credits_nets_clientele': '533 422 MXOF', 'resultat_brut_exploitation': '23 705 MXOF', 'resultat_courant_avant_impot': '21 810 MXOF'}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19 948 MXOF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14,8% à 42 637 MXOF au S1 2026.</w:t>
      </w:r>
    </w:p>
    <w:p>
      <w:pPr>
        <w:pStyle w:val="ListBullet"/>
        <w:spacing w:before="20" w:after="20"/>
        <w:ind w:left="700"/>
      </w:pPr>
      <w:r>
        <w:rPr>
          <w:sz w:val="18"/>
        </w:rPr>
        <w:t>Marge d'intermédiation en progression de 18,0% et commissions nettes en hausse de 17,0%.</w:t>
      </w:r>
    </w:p>
    <w:p>
      <w:pPr>
        <w:pStyle w:val="ListBullet"/>
        <w:spacing w:before="20" w:after="20"/>
        <w:ind w:left="700"/>
      </w:pPr>
      <w:r>
        <w:rPr>
          <w:sz w:val="18"/>
        </w:rPr>
        <w:t>Frais de gestion en baisse de 2,2% à 18 932 MXOF, traduisant une bonne maîtrise des charges.</w:t>
      </w:r>
    </w:p>
    <w:p>
      <w:pPr>
        <w:pStyle w:val="ListBullet"/>
        <w:spacing w:before="20" w:after="20"/>
        <w:ind w:left="700"/>
      </w:pPr>
      <w:r>
        <w:rPr>
          <w:sz w:val="18"/>
        </w:rPr>
        <w:t>Résultat Brut d'Exploitation en forte croissance de 33,2% à 23 705 MXOF.</w:t>
      </w:r>
    </w:p>
    <w:p>
      <w:pPr>
        <w:pStyle w:val="ListBullet"/>
        <w:spacing w:before="20" w:after="20"/>
        <w:ind w:left="700"/>
      </w:pPr>
      <w:r>
        <w:rPr>
          <w:sz w:val="18"/>
        </w:rPr>
        <w:t>Résultat Net bénéficiaire de 19 948 MXOF, en progression de 22,7% sur un an.</w:t>
      </w:r>
    </w:p>
    <w:p>
      <w:pPr>
        <w:pStyle w:val="ListBullet"/>
        <w:spacing w:before="20" w:after="20"/>
        <w:ind w:left="700"/>
      </w:pPr>
      <w:r>
        <w:rPr>
          <w:sz w:val="18"/>
        </w:rPr>
        <w:t>Crédits nets à la clientèle en hausse de 4,1% à 533 422 MXOF.</w:t>
      </w:r>
    </w:p>
    <w:p>
      <w:pPr>
        <w:spacing w:before="40"/>
        <w:ind w:left="400"/>
      </w:pPr>
      <w:r>
        <w:rPr>
          <w:b/>
          <w:color w:val="C05000"/>
          <w:sz w:val="18"/>
        </w:rPr>
        <w:t xml:space="preserve">⚠️ Risques : </w:t>
      </w:r>
      <w:r>
        <w:rPr>
          <w:sz w:val="18"/>
        </w:rPr>
        <w:t xml:space="preserve">["D\u00e9gradation de l'environnement \u00e9conomique international et tensions g\u00e9opolitiques persistantes.", "Hausse significative du co\u00fbt du risque (+1 343,1%) pouvant impacter la qualit\u00e9 du portefeuille de cr\u00e9dits.", "Renforcement des exigences r\u00e9glementaires et pression </w:t>
      </w:r>
    </w:p>
    <w:p>
      <w:pPr>
        <w:spacing w:before="40"/>
        <w:ind w:left="400"/>
      </w:pPr>
      <w:r>
        <w:rPr>
          <w:b/>
          <w:color w:val="0064A0"/>
          <w:sz w:val="18"/>
        </w:rPr>
        <w:t xml:space="preserve">🔮 Perspectives : </w:t>
      </w:r>
      <w:r>
        <w:rPr>
          <w:sz w:val="18"/>
        </w:rPr>
        <w:t>Au second semestre 2026, la BICICI entend poursuivre sa dynamique de croissance et consolider ses niveaux de performance et de rentabilité. La banque veillera à la maîtrise des principaux facteurs de risque, notamment le coût du risque, tout en capitalisant sur la digitalisation et l'évolution des 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
      <w:r>
        <w:t>════════════════════════════════════════════════════════════════════════════════</w:t>
      </w:r>
    </w:p>
    <w:p>
      <w:r>
        <w:br w:type="page"/>
      </w:r>
    </w:p>
    <w:p>
      <w:pPr>
        <w:pStyle w:val="Heading2"/>
        <w:spacing w:before="360"/>
      </w:pPr>
      <w:r>
        <w:rPr>
          <w:color w:val="0066CC"/>
        </w:rPr>
        <w:t>5.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11.96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2,878 titres</w:t>
            </w:r>
          </w:p>
        </w:tc>
        <w:tc>
          <w:tcPr>
            <w:tcW w:type="dxa" w:w="2268"/>
            <w:shd w:fill="FFF2CC" w:val="clear"/>
          </w:tcPr>
          <w:p>
            <w:r>
              <w:rPr>
                <w:b/>
                <w:color w:val="503200"/>
                <w:sz w:val="16"/>
              </w:rPr>
              <w:t xml:space="preserve">Cours actuel : </w:t>
            </w:r>
            <w:r>
              <w:rPr>
                <w:color w:val="000000"/>
                <w:sz w:val="17"/>
              </w:rPr>
              <w:t>1,805 FCFA</w:t>
            </w:r>
          </w:p>
          <w:p>
            <w:r>
              <w:rPr>
                <w:b/>
                <w:color w:val="503200"/>
                <w:sz w:val="16"/>
              </w:rPr>
              <w:t xml:space="preserve">Var. 100 jours : </w:t>
            </w:r>
            <w:r>
              <w:rPr>
                <w:b/>
                <w:color w:val="007800"/>
                <w:sz w:val="17"/>
              </w:rPr>
              <w:t>+20.74%</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1,495 FCFA</w:t>
            </w:r>
          </w:p>
          <w:p>
            <w:r>
              <w:rPr>
                <w:b/>
                <w:color w:val="503200"/>
                <w:sz w:val="16"/>
              </w:rPr>
              <w:t xml:space="preserve">Volatilité ann. : </w:t>
            </w:r>
            <w:r>
              <w:rPr>
                <w:color w:val="000000"/>
                <w:sz w:val="17"/>
              </w:rPr>
              <w:t>52.5%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8.39% (Moyenne) — μ=1,943 FCFA, σ=163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β=0.6044 (Défensif) — Cov=0.000046, Var(idx)=0.000077, ρ=0.159,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2,878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σ_j=3.31%/j (Modérée) — Vol. annualisée≈52.5%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1,689</w:t>
            </w:r>
          </w:p>
        </w:tc>
        <w:tc>
          <w:tcPr>
            <w:tcW w:type="dxa" w:w="1440"/>
            <w:shd w:fill="FAFAFA" w:val="clear"/>
          </w:tcPr>
          <w:p>
            <w:r>
              <w:rPr>
                <w:b/>
                <w:sz w:val="17"/>
              </w:rPr>
              <w:t>1,796</w:t>
            </w:r>
          </w:p>
        </w:tc>
        <w:tc>
          <w:tcPr>
            <w:tcW w:type="dxa" w:w="1440"/>
            <w:shd w:fill="FAFAFA" w:val="clear"/>
          </w:tcPr>
          <w:p>
            <w:r>
              <w:rPr>
                <w:sz w:val="17"/>
              </w:rPr>
              <w:t>1,902</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1,650</w:t>
            </w:r>
          </w:p>
        </w:tc>
        <w:tc>
          <w:tcPr>
            <w:tcW w:type="dxa" w:w="1440"/>
            <w:shd w:fill="FAFAFA" w:val="clear"/>
          </w:tcPr>
          <w:p>
            <w:r>
              <w:rPr>
                <w:b/>
                <w:sz w:val="17"/>
              </w:rPr>
              <w:t>1,801</w:t>
            </w:r>
          </w:p>
        </w:tc>
        <w:tc>
          <w:tcPr>
            <w:tcW w:type="dxa" w:w="1440"/>
            <w:shd w:fill="FAFAFA" w:val="clear"/>
          </w:tcPr>
          <w:p>
            <w:r>
              <w:rPr>
                <w:sz w:val="17"/>
              </w:rPr>
              <w:t>1,952</w:t>
            </w:r>
          </w:p>
        </w:tc>
        <w:tc>
          <w:tcPr>
            <w:tcW w:type="dxa" w:w="1440"/>
            <w:shd w:fill="FAFAFA" w:val="clear"/>
          </w:tcPr>
          <w:p>
            <w:r>
              <w:rPr>
                <w:b/>
                <w:color w:val="C00000"/>
                <w:sz w:val="17"/>
              </w:rPr>
              <w:t>-0.2%</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1,619</w:t>
            </w:r>
          </w:p>
        </w:tc>
        <w:tc>
          <w:tcPr>
            <w:tcW w:type="dxa" w:w="1440"/>
            <w:shd w:fill="FAFAFA" w:val="clear"/>
          </w:tcPr>
          <w:p>
            <w:r>
              <w:rPr>
                <w:b/>
                <w:sz w:val="17"/>
              </w:rPr>
              <w:t>1,804</w:t>
            </w:r>
          </w:p>
        </w:tc>
        <w:tc>
          <w:tcPr>
            <w:tcW w:type="dxa" w:w="1440"/>
            <w:shd w:fill="FAFAFA" w:val="clear"/>
          </w:tcPr>
          <w:p>
            <w:r>
              <w:rPr>
                <w:sz w:val="17"/>
              </w:rPr>
              <w:t>1,990</w:t>
            </w:r>
          </w:p>
        </w:tc>
        <w:tc>
          <w:tcPr>
            <w:tcW w:type="dxa" w:w="1440"/>
            <w:shd w:fill="FAFAFA" w:val="clear"/>
          </w:tcPr>
          <w:p>
            <w:r>
              <w:rPr>
                <w:b/>
                <w:color w:val="C00000"/>
                <w:sz w:val="17"/>
              </w:rPr>
              <w:t>-0.0%</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1,592</w:t>
            </w:r>
          </w:p>
        </w:tc>
        <w:tc>
          <w:tcPr>
            <w:tcW w:type="dxa" w:w="1440"/>
            <w:shd w:fill="FAFAFA" w:val="clear"/>
          </w:tcPr>
          <w:p>
            <w:r>
              <w:rPr>
                <w:b/>
                <w:sz w:val="17"/>
              </w:rPr>
              <w:t>1,806</w:t>
            </w:r>
          </w:p>
        </w:tc>
        <w:tc>
          <w:tcPr>
            <w:tcW w:type="dxa" w:w="1440"/>
            <w:shd w:fill="FAFAFA" w:val="clear"/>
          </w:tcPr>
          <w:p>
            <w:r>
              <w:rPr>
                <w:sz w:val="17"/>
              </w:rPr>
              <w:t>2,020</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1,568</w:t>
            </w:r>
          </w:p>
        </w:tc>
        <w:tc>
          <w:tcPr>
            <w:tcW w:type="dxa" w:w="1440"/>
            <w:shd w:fill="FAFAFA" w:val="clear"/>
          </w:tcPr>
          <w:p>
            <w:r>
              <w:rPr>
                <w:b/>
                <w:sz w:val="17"/>
              </w:rPr>
              <w:t>1,807</w:t>
            </w:r>
          </w:p>
        </w:tc>
        <w:tc>
          <w:tcPr>
            <w:tcW w:type="dxa" w:w="1440"/>
            <w:shd w:fill="FAFAFA" w:val="clear"/>
          </w:tcPr>
          <w:p>
            <w:r>
              <w:rPr>
                <w:sz w:val="17"/>
              </w:rPr>
              <w:t>2,047</w:t>
            </w:r>
          </w:p>
        </w:tc>
        <w:tc>
          <w:tcPr>
            <w:tcW w:type="dxa" w:w="1440"/>
            <w:shd w:fill="FAFAFA" w:val="clear"/>
          </w:tcPr>
          <w:p>
            <w:r>
              <w:rPr>
                <w:b/>
                <w:color w:val="008000"/>
                <w:sz w:val="17"/>
              </w:rPr>
              <w:t>+0.1%</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1,546</w:t>
            </w:r>
          </w:p>
        </w:tc>
        <w:tc>
          <w:tcPr>
            <w:tcW w:type="dxa" w:w="1440"/>
            <w:shd w:fill="FAFAFA" w:val="clear"/>
          </w:tcPr>
          <w:p>
            <w:r>
              <w:rPr>
                <w:b/>
                <w:sz w:val="17"/>
              </w:rPr>
              <w:t>1,809</w:t>
            </w:r>
          </w:p>
        </w:tc>
        <w:tc>
          <w:tcPr>
            <w:tcW w:type="dxa" w:w="1440"/>
            <w:shd w:fill="FAFAFA" w:val="clear"/>
          </w:tcPr>
          <w:p>
            <w:r>
              <w:rPr>
                <w:sz w:val="17"/>
              </w:rPr>
              <w:t>2,071</w:t>
            </w:r>
          </w:p>
        </w:tc>
        <w:tc>
          <w:tcPr>
            <w:tcW w:type="dxa" w:w="1440"/>
            <w:shd w:fill="FAFAFA" w:val="clear"/>
          </w:tcPr>
          <w:p>
            <w:r>
              <w:rPr>
                <w:b/>
                <w:color w:val="008000"/>
                <w:sz w:val="17"/>
              </w:rPr>
              <w:t>+0.2%</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1,526</w:t>
            </w:r>
          </w:p>
        </w:tc>
        <w:tc>
          <w:tcPr>
            <w:tcW w:type="dxa" w:w="1440"/>
            <w:shd w:fill="FAFAFA" w:val="clear"/>
          </w:tcPr>
          <w:p>
            <w:r>
              <w:rPr>
                <w:b/>
                <w:sz w:val="17"/>
              </w:rPr>
              <w:t>1,810</w:t>
            </w:r>
          </w:p>
        </w:tc>
        <w:tc>
          <w:tcPr>
            <w:tcW w:type="dxa" w:w="1440"/>
            <w:shd w:fill="FAFAFA" w:val="clear"/>
          </w:tcPr>
          <w:p>
            <w:r>
              <w:rPr>
                <w:sz w:val="17"/>
              </w:rPr>
              <w:t>2,093</w:t>
            </w:r>
          </w:p>
        </w:tc>
        <w:tc>
          <w:tcPr>
            <w:tcW w:type="dxa" w:w="1440"/>
            <w:shd w:fill="FAFAFA" w:val="clear"/>
          </w:tcPr>
          <w:p>
            <w:r>
              <w:rPr>
                <w:b/>
                <w:color w:val="008000"/>
                <w:sz w:val="17"/>
              </w:rPr>
              <w:t>+0.3%</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1,507</w:t>
            </w:r>
          </w:p>
        </w:tc>
        <w:tc>
          <w:tcPr>
            <w:tcW w:type="dxa" w:w="1440"/>
            <w:shd w:fill="FAFAFA" w:val="clear"/>
          </w:tcPr>
          <w:p>
            <w:r>
              <w:rPr>
                <w:b/>
                <w:sz w:val="17"/>
              </w:rPr>
              <w:t>1,810</w:t>
            </w:r>
          </w:p>
        </w:tc>
        <w:tc>
          <w:tcPr>
            <w:tcW w:type="dxa" w:w="1440"/>
            <w:shd w:fill="FAFAFA" w:val="clear"/>
          </w:tcPr>
          <w:p>
            <w:r>
              <w:rPr>
                <w:sz w:val="17"/>
              </w:rPr>
              <w:t>2,114</w:t>
            </w:r>
          </w:p>
        </w:tc>
        <w:tc>
          <w:tcPr>
            <w:tcW w:type="dxa" w:w="1440"/>
            <w:shd w:fill="FAFAFA" w:val="clear"/>
          </w:tcPr>
          <w:p>
            <w:r>
              <w:rPr>
                <w:b/>
                <w:color w:val="008000"/>
                <w:sz w:val="17"/>
              </w:rPr>
              <w:t>+0.3%</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1,489</w:t>
            </w:r>
          </w:p>
        </w:tc>
        <w:tc>
          <w:tcPr>
            <w:tcW w:type="dxa" w:w="1440"/>
            <w:shd w:fill="FAFAFA" w:val="clear"/>
          </w:tcPr>
          <w:p>
            <w:r>
              <w:rPr>
                <w:b/>
                <w:sz w:val="17"/>
              </w:rPr>
              <w:t>1,811</w:t>
            </w:r>
          </w:p>
        </w:tc>
        <w:tc>
          <w:tcPr>
            <w:tcW w:type="dxa" w:w="1440"/>
            <w:shd w:fill="FAFAFA" w:val="clear"/>
          </w:tcPr>
          <w:p>
            <w:r>
              <w:rPr>
                <w:sz w:val="17"/>
              </w:rPr>
              <w:t>2,133</w:t>
            </w:r>
          </w:p>
        </w:tc>
        <w:tc>
          <w:tcPr>
            <w:tcW w:type="dxa" w:w="1440"/>
            <w:shd w:fill="FAFAFA" w:val="clear"/>
          </w:tcPr>
          <w:p>
            <w:r>
              <w:rPr>
                <w:b/>
                <w:color w:val="008000"/>
                <w:sz w:val="17"/>
              </w:rPr>
              <w:t>+0.3%</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1,472</w:t>
            </w:r>
          </w:p>
        </w:tc>
        <w:tc>
          <w:tcPr>
            <w:tcW w:type="dxa" w:w="1440"/>
            <w:shd w:fill="FAFAFA" w:val="clear"/>
          </w:tcPr>
          <w:p>
            <w:r>
              <w:rPr>
                <w:b/>
                <w:sz w:val="17"/>
              </w:rPr>
              <w:t>1,812</w:t>
            </w:r>
          </w:p>
        </w:tc>
        <w:tc>
          <w:tcPr>
            <w:tcW w:type="dxa" w:w="1440"/>
            <w:shd w:fill="FAFAFA" w:val="clear"/>
          </w:tcPr>
          <w:p>
            <w:r>
              <w:rPr>
                <w:sz w:val="17"/>
              </w:rPr>
              <w:t>2,152</w:t>
            </w:r>
          </w:p>
        </w:tc>
        <w:tc>
          <w:tcPr>
            <w:tcW w:type="dxa" w:w="1440"/>
            <w:shd w:fill="FAFAFA" w:val="clear"/>
          </w:tcPr>
          <w:p>
            <w:r>
              <w:rPr>
                <w:b/>
                <w:color w:val="008000"/>
                <w:sz w:val="17"/>
              </w:rPr>
              <w:t>+0.4%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 RAPPORT D'ANALYSE FINANCIÈRE — BNBC (BERNABE Côte d'Ivoire)</w:t>
        <w:br/>
        <w:t>### BRVM | Analyse complète au 19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BNBC s'établit à **11,96 milliards FCFA**, un niveau modeste à l'échelle de la BRVM qui la place parmi les petites capitalisations du marché. Le BPA de **3 FCFA/action** traduit une rentabilité par titre quasi symbolique, cohérente avec un résultat net 2025 de seulement 22,3 millions FCFA. Le PER ressort à **535,7x**, un niveau stratosphérique comparé à la moyenne BRVM (~8-12x) : les investisseurs paient donc environ 536 fois les bénéfices, ce qui traduit soit une anticipation de forte croissance future, soit une décorrélation totale entre le prix et la rentabilité actuelle — la prudence est de mise. À l'inverse, le P/B de **0,67x** indique que le marché valorise l'action à 33% sous sa valeur comptable (capitaux propres de 17,77 Mds FCFA), signal potentiel de sous-évaluation patrimoniale. Enfin, l'EV/EBITDA de **23,6x** (bien supérieur au seuil de 15x) montre que la valeur d'entreprise est très exigeante au regard de la capacité opérationnelle générée, confirmant un profil de valorisation tendu malgré un P/B attractif.</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BNBC affiche une **variation totale de +20,74%**, avec une dernière séance en hausse de **+1,69%** à **1 805 FCFA**, pour une capitalisation de 11,96 Mds FCFA. Le range de trading est large, entre un plus bas de **1 495 FCFA** et un plus haut de **2 400 FCFA**, soit une amplitude de plus de 60% qui témoigne d'une forte agitation du cours. La tendance générale est haussière sur la période, mais le cours actuel (1 805 FCFA) se situe nettement sous son plus haut, suggérant une phase de correction après un pic. Les statistiques descriptives révèlent une moyenne de **1 943 FCFA** contre une médiane de **1 962 FCFA** et un mode de **1 990 FCFA** : l'écart limité entre moyenne et médiane (moins de 1%) confirme une distribution quasi symétrique, corroborée par un **skewness de 0,080** (asymétrie quasi nulle). L'écart-type de **164 FCFA** avec un **CV de 8,4%** indique une dispersion modérée autour de la moyenne, tandis que le **kurtosis de 0,692** (mésokurtique) signale un comportement proche d'une distribution normale, sans risque excessif de pics extrêmes. La **volatilité annualisée de 52,5%** classe toutefois le titre dans la catégorie des valeurs à volatilité **élevée** (&gt;30%), ce qui est préoccupant pour un investisseur averse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**1 897,5 FCFA** et la MM50 à **2 018,3 FCFA**, toutes deux supérieures au cours actuel de 1 805 FCFA. Le cours évolue donc sous ses deux moyennes mobiles, configuration baissière classique, avec en outre une MM20 inférieure à la MM50 (croisement baissier). La décision technique qui en résulte est **Vente**, le titre n'ayant pas encore trouvé de support dynamique.</w:t>
      </w:r>
    </w:p>
    <w:p>
      <w:pPr>
        <w:spacing w:after="120" w:line="276" w:lineRule="auto"/>
      </w:pPr>
      <w:r>
        <w:t>**Bandes de Bollinger** : La borne supérieure est à **2 044,67 FCFA** et la borne inférieure à **1 750,33 FCFA**, le cours actuel (1 805 FCFA) se situant dans la moitié basse de la bande, à proximité de la borne inférieure. Cela traduit une pression vendeuse récente mais sans rupture violente, la volatilité restant contenue dans le canal. La décision est **Neutre**, le titre n'étant ni en survente extrême ni en surachat.</w:t>
      </w:r>
    </w:p>
    <w:p>
      <w:pPr>
        <w:spacing w:after="120" w:line="276" w:lineRule="auto"/>
      </w:pPr>
      <w:r>
        <w:t>**MACD** : La valeur du MACD est de **-63,428** contre un signal à **-53,745**, soit un MACD inférieur à son signal (divergence négative) et évoluant en territoire négatif. Le momentum est clairement baissier, la pression vendeuse dominant la dynamique de court terme. La décision qui en découle est **Vente**.</w:t>
      </w:r>
    </w:p>
    <w:p>
      <w:pPr>
        <w:spacing w:after="120" w:line="276" w:lineRule="auto"/>
      </w:pPr>
      <w:r>
        <w:t>**RSI** : À **36,601**, le RSI se situe dans la zone neutre basse (30-70), sans atteindre le seuil de survente (&lt;30). Le titre n'est donc pas encore techniquement « soldé », mais la faiblesse relative est manifeste. La décision est **Neutre**, avec un biais baissier tant que le RSI ne franchit pas 50.</w:t>
      </w:r>
    </w:p>
    <w:p>
      <w:pPr>
        <w:spacing w:after="120" w:line="276" w:lineRule="auto"/>
      </w:pPr>
      <w:r>
        <w:t>**Stochastique** : Le %K est à **13,636** et le %D à **4,545**, tous deux en zone de survente profonde (&lt;20), avec un %K supérieur au %D suggérant un début de croisement haussier. Cette configuration est typique d'un rebond technique imminent. La décision est **Achat**, seul indicateur positif du lot.</w:t>
      </w:r>
    </w:p>
    <w:p>
      <w:pPr>
        <w:spacing w:after="120" w:line="276" w:lineRule="auto"/>
      </w:pPr>
      <w:r>
        <w:t>**Conclusion technique** : La configuration est majoritairement baissière (MM, MACD) avec un RSI neutre-bas et des Bandes de Bollinger neutres, mais le Stochastique en survente extrême plaide pour un rebond technique de court terme. La convergence n'est donc pas totale : le titre se trouve dans une zone de correction avancée où un rebond est possible, mais la tendance de fond reste négative tant que le cours n'aura pas reconquis la MM20 (1 897 FCFA) puis la MM50 (2 018 FCFA). Prudence donc, avec un potentiel de rebond tactique mais un risque de poursuite de la baisse.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BNBC a réalisé un chiffre d'affaires de **42,454 Mds FCFA**, en **recul de 6,31%** par rapport à 2024 (45,312 Mds FCFA), signalant une contraction commerciale préoccupante. Le résultat net s'établit à **22,32 millions FCFA** seulement, soit une marge nette de **0,0526%** — quasi nulle — et un **ROE de 0,1256%** et **ROA de 0,0454%**, des niveaux extrêmement faibles traduisant une rentabilité anémique. La structure financière reste néanmoins solide avec des capitaux propres de **17,77 Mds FCFA** (autonomie financière de 36,16%, saine) et une solvabilité générale de 156,6%, mais la **trésorerie nette est fortement négative à -16,689 Mds FCFA**, révélant un risque de liquidité majeur. Sur le plan de l'exploitation (secteur ENTREPRISE), le **BFR atteint 29,373 Mds FCFA** (non négatif, donc défavorable), le **délai clients est élevé à 104,40 jours** (risque de trésorerie), la **durée de stockage atteint 339,23 jours** (immobilisation de capital considérable) et le **délai fournisseurs de 116,09 jours** (favorable à la trésorerie mais insuffisant pour compenser). Le flux opérationnel est négatif (-786,11 M FCFA) et le Free Cash Flow s'établit à **-1,239 Mds FCFA**, confirmant une génération de cash insuffisante.</w:t>
      </w:r>
    </w:p>
    <w:p>
      <w:pPr>
        <w:spacing w:after="120" w:line="276" w:lineRule="auto"/>
      </w:pPr>
      <w:r>
        <w:t>**Estimations basées sur les rapports trimestriels** : Le rapport du **T1 2026 (daté du 31/03/2026)** indique un CA quasi stable à **11,194 Mds FCFA** (-0,12% vs T1 2025) mais un **résultat net négatif de -65,57 M FCFA** (contre +16,15 M FCFA au T1 2025), soit une dégradation de -506% liée à l'intégration de la division Équipement en phase de démarrage. On estime donc que l'exercice 2026 pourrait rester sous pression, la montée en puissance des nouvelles divisions (Équipement, Power, Matériaux via le showroom Technibat KM4) étant l'enjeu clé. Le rapport du **T3 2025 (daté du 30/09/2025)** confirmait déjà une perte nette cumulée de -157,03 M FCFA et un recul du CA de -3% sur 9 mois, avec un T3 en chute de -13%. À l'inverse, le rapport annuel 2024 (daté du 31/12/2024) montrait un résultat net de 7,31 M FCFA et une absence totale de dividende (0 FCFA), politique confirmée en 2025. **Conclusion fondamentale** : BNBC présente une solidité patrimoniale (P/B &lt; 1, capitaux propres élevés) mais une rentabilité structurellement quasi nulle, une trésorerie critique et une dynamique commerciale négative ; le profil est spéculatif, avec un risque élevé et des perspectives conditionnées à la réussite du redressement opérationnel.</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fortement contrasté. **Sur la valorisation (Partie 0)**, le PER de 535,7x et l'EV/EBITDA de 23,6x traduisent une surévaluation manifeste au regard des bénéfices, tempérée par un P/B de 0,67x qui offre une marge de sécurité patrimoniale — le marché price davantage l'actif net que la rentabilité. **Sur le comportement du cours (Partie 1)**, la hausse de +20,74% sur 100 jours est encourageante, mais la volatilité annualisée de 52,5% et la correction depuis le pic de 2 400 FCFA signalent une fragilité, les statistiques (skewness 0,080, kurtosis 0,692) indiquant un comportement globalement symétrique sans risque extrême de pics. **Sur le plan technique (Partie 2)**, la convergence est défavorable : MM et MACD en mode Vente, RSI neutre-bas, seul le Stochastique en survente extrême suggère un rebond tactique — la tendance de fond reste baissière sous 1 897 FCFA. **Sur les fondamentaux (Partie 3)**, la société affiche une rentabilité quasi nulle (ROE 0,13%), une trésorerie nette de -16,69 Mds FCFA et un T1 2026 déficitaire (-65,57 M FCFA), malgré des capitaux propres solides et un P/B attractif. **Les prédictions IA (J+1 à J+10)** projettent une trajectoire légèrement haussière de 1 796 à 1 807 FCFA, confirmant un rebond technique modéré mais sans envolée, cohérent avec le Stochastique en survente. **Recommandation finale : CONSERVER** — la convergence est partielle : le P/B &lt; 1 et le rebond stochastique/prédictions soutiennent le titre, mais la surévaluation (PER), la tendance technique baissière et la faiblesse fondamentale (trésorerie négative, rentabilité nulle) interdisent l'achat. Le niveau de confiance est **Moyen** (signaux divergents), le risque global **Élevé** (volatilité 52,5%, liquidité critique), et l'horizon optimal est le **moyen terme (3-12 mois)**, le temps de vérifier la montée en puissance des nouvelles divisions et l'amélioration de la génération de cash-flows. Une dégradation supplémentaire des résultats (T2 2026) justifierait un passage à la Vente.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6.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365.05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5,526 titres</w:t>
            </w:r>
          </w:p>
        </w:tc>
        <w:tc>
          <w:tcPr>
            <w:tcW w:type="dxa" w:w="2268"/>
            <w:shd w:fill="FFF2CC" w:val="clear"/>
          </w:tcPr>
          <w:p>
            <w:r>
              <w:rPr>
                <w:b/>
                <w:color w:val="503200"/>
                <w:sz w:val="16"/>
              </w:rPr>
              <w:t xml:space="preserve">Cours actuel : </w:t>
            </w:r>
            <w:r>
              <w:rPr>
                <w:color w:val="000000"/>
                <w:sz w:val="17"/>
              </w:rPr>
              <w:t>9,000 FCFA</w:t>
            </w:r>
          </w:p>
          <w:p>
            <w:r>
              <w:rPr>
                <w:b/>
                <w:color w:val="503200"/>
                <w:sz w:val="16"/>
              </w:rPr>
              <w:t xml:space="preserve">Var. 100 jours : </w:t>
            </w:r>
            <w:r>
              <w:rPr>
                <w:b/>
                <w:color w:val="007800"/>
                <w:sz w:val="17"/>
              </w:rPr>
              <w:t>+1.12%</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8,520 FCFA</w:t>
            </w:r>
          </w:p>
          <w:p>
            <w:r>
              <w:rPr>
                <w:b/>
                <w:color w:val="503200"/>
                <w:sz w:val="16"/>
              </w:rPr>
              <w:t xml:space="preserve">Volatilité ann. : </w:t>
            </w:r>
            <w:r>
              <w:rPr>
                <w:color w:val="000000"/>
                <w:sz w:val="17"/>
              </w:rPr>
              <w:t>27.6%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6.01% (Moyenne) — μ=9,175 FCFA, σ=552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β=0.5795 (Défensif) — Cov=0.000044, Var(idx)=0.000077, ρ=0.292,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5,526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σ_j=1.74%/j (Stable) — Vol. annualisée≈27.6%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8,781</w:t>
            </w:r>
          </w:p>
        </w:tc>
        <w:tc>
          <w:tcPr>
            <w:tcW w:type="dxa" w:w="1440"/>
            <w:shd w:fill="FAFAFA" w:val="clear"/>
          </w:tcPr>
          <w:p>
            <w:r>
              <w:rPr>
                <w:b/>
                <w:sz w:val="17"/>
              </w:rPr>
              <w:t>9,071</w:t>
            </w:r>
          </w:p>
        </w:tc>
        <w:tc>
          <w:tcPr>
            <w:tcW w:type="dxa" w:w="1440"/>
            <w:shd w:fill="FAFAFA" w:val="clear"/>
          </w:tcPr>
          <w:p>
            <w:r>
              <w:rPr>
                <w:sz w:val="17"/>
              </w:rPr>
              <w:t>9,361</w:t>
            </w:r>
          </w:p>
        </w:tc>
        <w:tc>
          <w:tcPr>
            <w:tcW w:type="dxa" w:w="1440"/>
            <w:shd w:fill="FAFAFA" w:val="clear"/>
          </w:tcPr>
          <w:p>
            <w:r>
              <w:rPr>
                <w:b/>
                <w:color w:val="008000"/>
                <w:sz w:val="17"/>
              </w:rPr>
              <w:t>+0.8%</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8,654</w:t>
            </w:r>
          </w:p>
        </w:tc>
        <w:tc>
          <w:tcPr>
            <w:tcW w:type="dxa" w:w="1440"/>
            <w:shd w:fill="FAFAFA" w:val="clear"/>
          </w:tcPr>
          <w:p>
            <w:r>
              <w:rPr>
                <w:b/>
                <w:sz w:val="17"/>
              </w:rPr>
              <w:t>9,065</w:t>
            </w:r>
          </w:p>
        </w:tc>
        <w:tc>
          <w:tcPr>
            <w:tcW w:type="dxa" w:w="1440"/>
            <w:shd w:fill="FAFAFA" w:val="clear"/>
          </w:tcPr>
          <w:p>
            <w:r>
              <w:rPr>
                <w:sz w:val="17"/>
              </w:rPr>
              <w:t>9,475</w:t>
            </w:r>
          </w:p>
        </w:tc>
        <w:tc>
          <w:tcPr>
            <w:tcW w:type="dxa" w:w="1440"/>
            <w:shd w:fill="FAFAFA" w:val="clear"/>
          </w:tcPr>
          <w:p>
            <w:r>
              <w:rPr>
                <w:b/>
                <w:color w:val="008000"/>
                <w:sz w:val="17"/>
              </w:rPr>
              <w:t>+0.7%</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8,562</w:t>
            </w:r>
          </w:p>
        </w:tc>
        <w:tc>
          <w:tcPr>
            <w:tcW w:type="dxa" w:w="1440"/>
            <w:shd w:fill="FAFAFA" w:val="clear"/>
          </w:tcPr>
          <w:p>
            <w:r>
              <w:rPr>
                <w:b/>
                <w:sz w:val="17"/>
              </w:rPr>
              <w:t>9,065</w:t>
            </w:r>
          </w:p>
        </w:tc>
        <w:tc>
          <w:tcPr>
            <w:tcW w:type="dxa" w:w="1440"/>
            <w:shd w:fill="FAFAFA" w:val="clear"/>
          </w:tcPr>
          <w:p>
            <w:r>
              <w:rPr>
                <w:sz w:val="17"/>
              </w:rPr>
              <w:t>9,567</w:t>
            </w:r>
          </w:p>
        </w:tc>
        <w:tc>
          <w:tcPr>
            <w:tcW w:type="dxa" w:w="1440"/>
            <w:shd w:fill="FAFAFA" w:val="clear"/>
          </w:tcPr>
          <w:p>
            <w:r>
              <w:rPr>
                <w:b/>
                <w:color w:val="008000"/>
                <w:sz w:val="17"/>
              </w:rPr>
              <w:t>+0.7%</w:t>
            </w:r>
          </w:p>
        </w:tc>
      </w:tr>
      <w:tr>
        <w:tc>
          <w:tcPr>
            <w:tcW w:type="dxa" w:w="1440"/>
            <w:shd w:fill="FAFAFA" w:val="clear"/>
          </w:tcPr>
          <w:p>
            <w:r>
              <w:rPr>
                <w:sz w:val="17"/>
              </w:rPr>
              <w:t>J+4  Moyenne</w:t>
            </w:r>
          </w:p>
        </w:tc>
        <w:tc>
          <w:tcPr>
            <w:tcW w:type="dxa" w:w="1440"/>
            <w:shd w:fill="FAFAFA" w:val="clear"/>
          </w:tcPr>
          <w:p>
            <w:r>
              <w:rPr>
                <w:sz w:val="17"/>
              </w:rPr>
              <w:t>2026-10-22</w:t>
            </w:r>
          </w:p>
        </w:tc>
        <w:tc>
          <w:tcPr>
            <w:tcW w:type="dxa" w:w="1440"/>
            <w:shd w:fill="FAFAFA" w:val="clear"/>
          </w:tcPr>
          <w:p>
            <w:r>
              <w:rPr>
                <w:sz w:val="17"/>
              </w:rPr>
              <w:t>8,478</w:t>
            </w:r>
          </w:p>
        </w:tc>
        <w:tc>
          <w:tcPr>
            <w:tcW w:type="dxa" w:w="1440"/>
            <w:shd w:fill="FAFAFA" w:val="clear"/>
          </w:tcPr>
          <w:p>
            <w:r>
              <w:rPr>
                <w:b/>
                <w:sz w:val="17"/>
              </w:rPr>
              <w:t>9,058</w:t>
            </w:r>
          </w:p>
        </w:tc>
        <w:tc>
          <w:tcPr>
            <w:tcW w:type="dxa" w:w="1440"/>
            <w:shd w:fill="FAFAFA" w:val="clear"/>
          </w:tcPr>
          <w:p>
            <w:r>
              <w:rPr>
                <w:sz w:val="17"/>
              </w:rPr>
              <w:t>9,638</w:t>
            </w:r>
          </w:p>
        </w:tc>
        <w:tc>
          <w:tcPr>
            <w:tcW w:type="dxa" w:w="1440"/>
            <w:shd w:fill="FAFAFA" w:val="clear"/>
          </w:tcPr>
          <w:p>
            <w:r>
              <w:rPr>
                <w:b/>
                <w:color w:val="008000"/>
                <w:sz w:val="17"/>
              </w:rPr>
              <w:t>+0.6%</w:t>
            </w:r>
          </w:p>
        </w:tc>
      </w:tr>
      <w:tr>
        <w:tc>
          <w:tcPr>
            <w:tcW w:type="dxa" w:w="1440"/>
            <w:shd w:fill="FAFAFA" w:val="clear"/>
          </w:tcPr>
          <w:p>
            <w:r>
              <w:rPr>
                <w:sz w:val="17"/>
              </w:rPr>
              <w:t>J+5  Moyenne</w:t>
            </w:r>
          </w:p>
        </w:tc>
        <w:tc>
          <w:tcPr>
            <w:tcW w:type="dxa" w:w="1440"/>
            <w:shd w:fill="FAFAFA" w:val="clear"/>
          </w:tcPr>
          <w:p>
            <w:r>
              <w:rPr>
                <w:sz w:val="17"/>
              </w:rPr>
              <w:t>2026-10-23</w:t>
            </w:r>
          </w:p>
        </w:tc>
        <w:tc>
          <w:tcPr>
            <w:tcW w:type="dxa" w:w="1440"/>
            <w:shd w:fill="FAFAFA" w:val="clear"/>
          </w:tcPr>
          <w:p>
            <w:r>
              <w:rPr>
                <w:sz w:val="17"/>
              </w:rPr>
              <w:t>8,400</w:t>
            </w:r>
          </w:p>
        </w:tc>
        <w:tc>
          <w:tcPr>
            <w:tcW w:type="dxa" w:w="1440"/>
            <w:shd w:fill="FAFAFA" w:val="clear"/>
          </w:tcPr>
          <w:p>
            <w:r>
              <w:rPr>
                <w:b/>
                <w:sz w:val="17"/>
              </w:rPr>
              <w:t>9,048</w:t>
            </w:r>
          </w:p>
        </w:tc>
        <w:tc>
          <w:tcPr>
            <w:tcW w:type="dxa" w:w="1440"/>
            <w:shd w:fill="FAFAFA" w:val="clear"/>
          </w:tcPr>
          <w:p>
            <w:r>
              <w:rPr>
                <w:sz w:val="17"/>
              </w:rPr>
              <w:t>9,695</w:t>
            </w:r>
          </w:p>
        </w:tc>
        <w:tc>
          <w:tcPr>
            <w:tcW w:type="dxa" w:w="1440"/>
            <w:shd w:fill="FAFAFA" w:val="clear"/>
          </w:tcPr>
          <w:p>
            <w:r>
              <w:rPr>
                <w:b/>
                <w:color w:val="008000"/>
                <w:sz w:val="17"/>
              </w:rPr>
              <w:t>+0.5%</w:t>
            </w:r>
          </w:p>
        </w:tc>
      </w:tr>
      <w:tr>
        <w:tc>
          <w:tcPr>
            <w:tcW w:type="dxa" w:w="1440"/>
            <w:shd w:fill="FAFAFA" w:val="clear"/>
          </w:tcPr>
          <w:p>
            <w:r>
              <w:rPr>
                <w:sz w:val="17"/>
              </w:rPr>
              <w:t>J+6  Moyenne</w:t>
            </w:r>
          </w:p>
        </w:tc>
        <w:tc>
          <w:tcPr>
            <w:tcW w:type="dxa" w:w="1440"/>
            <w:shd w:fill="FAFAFA" w:val="clear"/>
          </w:tcPr>
          <w:p>
            <w:r>
              <w:rPr>
                <w:sz w:val="17"/>
              </w:rPr>
              <w:t>2026-10-26</w:t>
            </w:r>
          </w:p>
        </w:tc>
        <w:tc>
          <w:tcPr>
            <w:tcW w:type="dxa" w:w="1440"/>
            <w:shd w:fill="FAFAFA" w:val="clear"/>
          </w:tcPr>
          <w:p>
            <w:r>
              <w:rPr>
                <w:sz w:val="17"/>
              </w:rPr>
              <w:t>8,329</w:t>
            </w:r>
          </w:p>
        </w:tc>
        <w:tc>
          <w:tcPr>
            <w:tcW w:type="dxa" w:w="1440"/>
            <w:shd w:fill="FAFAFA" w:val="clear"/>
          </w:tcPr>
          <w:p>
            <w:r>
              <w:rPr>
                <w:b/>
                <w:sz w:val="17"/>
              </w:rPr>
              <w:t>9,038</w:t>
            </w:r>
          </w:p>
        </w:tc>
        <w:tc>
          <w:tcPr>
            <w:tcW w:type="dxa" w:w="1440"/>
            <w:shd w:fill="FAFAFA" w:val="clear"/>
          </w:tcPr>
          <w:p>
            <w:r>
              <w:rPr>
                <w:sz w:val="17"/>
              </w:rPr>
              <w:t>9,746</w:t>
            </w:r>
          </w:p>
        </w:tc>
        <w:tc>
          <w:tcPr>
            <w:tcW w:type="dxa" w:w="1440"/>
            <w:shd w:fill="FAFAFA" w:val="clear"/>
          </w:tcPr>
          <w:p>
            <w:r>
              <w:rPr>
                <w:b/>
                <w:color w:val="008000"/>
                <w:sz w:val="17"/>
              </w:rPr>
              <w:t>+0.4%</w:t>
            </w:r>
          </w:p>
        </w:tc>
      </w:tr>
      <w:tr>
        <w:tc>
          <w:tcPr>
            <w:tcW w:type="dxa" w:w="1440"/>
            <w:shd w:fill="FAFAFA" w:val="clear"/>
          </w:tcPr>
          <w:p>
            <w:r>
              <w:rPr>
                <w:sz w:val="17"/>
              </w:rPr>
              <w:t>J+7  Moyenne</w:t>
            </w:r>
          </w:p>
        </w:tc>
        <w:tc>
          <w:tcPr>
            <w:tcW w:type="dxa" w:w="1440"/>
            <w:shd w:fill="FAFAFA" w:val="clear"/>
          </w:tcPr>
          <w:p>
            <w:r>
              <w:rPr>
                <w:sz w:val="17"/>
              </w:rPr>
              <w:t>2026-10-27</w:t>
            </w:r>
          </w:p>
        </w:tc>
        <w:tc>
          <w:tcPr>
            <w:tcW w:type="dxa" w:w="1440"/>
            <w:shd w:fill="FAFAFA" w:val="clear"/>
          </w:tcPr>
          <w:p>
            <w:r>
              <w:rPr>
                <w:sz w:val="17"/>
              </w:rPr>
              <w:t>8,263</w:t>
            </w:r>
          </w:p>
        </w:tc>
        <w:tc>
          <w:tcPr>
            <w:tcW w:type="dxa" w:w="1440"/>
            <w:shd w:fill="FAFAFA" w:val="clear"/>
          </w:tcPr>
          <w:p>
            <w:r>
              <w:rPr>
                <w:b/>
                <w:sz w:val="17"/>
              </w:rPr>
              <w:t>9,028</w:t>
            </w:r>
          </w:p>
        </w:tc>
        <w:tc>
          <w:tcPr>
            <w:tcW w:type="dxa" w:w="1440"/>
            <w:shd w:fill="FAFAFA" w:val="clear"/>
          </w:tcPr>
          <w:p>
            <w:r>
              <w:rPr>
                <w:sz w:val="17"/>
              </w:rPr>
              <w:t>9,792</w:t>
            </w:r>
          </w:p>
        </w:tc>
        <w:tc>
          <w:tcPr>
            <w:tcW w:type="dxa" w:w="1440"/>
            <w:shd w:fill="FAFAFA" w:val="clear"/>
          </w:tcPr>
          <w:p>
            <w:r>
              <w:rPr>
                <w:b/>
                <w:color w:val="008000"/>
                <w:sz w:val="17"/>
              </w:rPr>
              <w:t>+0.3%</w:t>
            </w:r>
          </w:p>
        </w:tc>
      </w:tr>
      <w:tr>
        <w:tc>
          <w:tcPr>
            <w:tcW w:type="dxa" w:w="1440"/>
            <w:shd w:fill="FAFAFA" w:val="clear"/>
          </w:tcPr>
          <w:p>
            <w:r>
              <w:rPr>
                <w:sz w:val="17"/>
              </w:rPr>
              <w:t>J+8  Moyenne</w:t>
            </w:r>
          </w:p>
        </w:tc>
        <w:tc>
          <w:tcPr>
            <w:tcW w:type="dxa" w:w="1440"/>
            <w:shd w:fill="FAFAFA" w:val="clear"/>
          </w:tcPr>
          <w:p>
            <w:r>
              <w:rPr>
                <w:sz w:val="17"/>
              </w:rPr>
              <w:t>2026-10-28</w:t>
            </w:r>
          </w:p>
        </w:tc>
        <w:tc>
          <w:tcPr>
            <w:tcW w:type="dxa" w:w="1440"/>
            <w:shd w:fill="FAFAFA" w:val="clear"/>
          </w:tcPr>
          <w:p>
            <w:r>
              <w:rPr>
                <w:sz w:val="17"/>
              </w:rPr>
              <w:t>8,202</w:t>
            </w:r>
          </w:p>
        </w:tc>
        <w:tc>
          <w:tcPr>
            <w:tcW w:type="dxa" w:w="1440"/>
            <w:shd w:fill="FAFAFA" w:val="clear"/>
          </w:tcPr>
          <w:p>
            <w:r>
              <w:rPr>
                <w:b/>
                <w:sz w:val="17"/>
              </w:rPr>
              <w:t>9,018</w:t>
            </w:r>
          </w:p>
        </w:tc>
        <w:tc>
          <w:tcPr>
            <w:tcW w:type="dxa" w:w="1440"/>
            <w:shd w:fill="FAFAFA" w:val="clear"/>
          </w:tcPr>
          <w:p>
            <w:r>
              <w:rPr>
                <w:sz w:val="17"/>
              </w:rPr>
              <w:t>9,834</w:t>
            </w:r>
          </w:p>
        </w:tc>
        <w:tc>
          <w:tcPr>
            <w:tcW w:type="dxa" w:w="1440"/>
            <w:shd w:fill="FAFAFA" w:val="clear"/>
          </w:tcPr>
          <w:p>
            <w:r>
              <w:rPr>
                <w:b/>
                <w:color w:val="008000"/>
                <w:sz w:val="17"/>
              </w:rPr>
              <w:t>+0.2%</w:t>
            </w:r>
          </w:p>
        </w:tc>
      </w:tr>
      <w:tr>
        <w:tc>
          <w:tcPr>
            <w:tcW w:type="dxa" w:w="1440"/>
            <w:shd w:fill="FAFAFA" w:val="clear"/>
          </w:tcPr>
          <w:p>
            <w:r>
              <w:rPr>
                <w:sz w:val="17"/>
              </w:rPr>
              <w:t>J+9  Moyenne</w:t>
            </w:r>
          </w:p>
        </w:tc>
        <w:tc>
          <w:tcPr>
            <w:tcW w:type="dxa" w:w="1440"/>
            <w:shd w:fill="FAFAFA" w:val="clear"/>
          </w:tcPr>
          <w:p>
            <w:r>
              <w:rPr>
                <w:sz w:val="17"/>
              </w:rPr>
              <w:t>2026-10-29</w:t>
            </w:r>
          </w:p>
        </w:tc>
        <w:tc>
          <w:tcPr>
            <w:tcW w:type="dxa" w:w="1440"/>
            <w:shd w:fill="FAFAFA" w:val="clear"/>
          </w:tcPr>
          <w:p>
            <w:r>
              <w:rPr>
                <w:sz w:val="17"/>
              </w:rPr>
              <w:t>8,144</w:t>
            </w:r>
          </w:p>
        </w:tc>
        <w:tc>
          <w:tcPr>
            <w:tcW w:type="dxa" w:w="1440"/>
            <w:shd w:fill="FAFAFA" w:val="clear"/>
          </w:tcPr>
          <w:p>
            <w:r>
              <w:rPr>
                <w:b/>
                <w:sz w:val="17"/>
              </w:rPr>
              <w:t>9,009</w:t>
            </w:r>
          </w:p>
        </w:tc>
        <w:tc>
          <w:tcPr>
            <w:tcW w:type="dxa" w:w="1440"/>
            <w:shd w:fill="FAFAFA" w:val="clear"/>
          </w:tcPr>
          <w:p>
            <w:r>
              <w:rPr>
                <w:sz w:val="17"/>
              </w:rPr>
              <w:t>9,874</w:t>
            </w:r>
          </w:p>
        </w:tc>
        <w:tc>
          <w:tcPr>
            <w:tcW w:type="dxa" w:w="1440"/>
            <w:shd w:fill="FAFAFA" w:val="clear"/>
          </w:tcPr>
          <w:p>
            <w:r>
              <w:rPr>
                <w:b/>
                <w:color w:val="008000"/>
                <w:sz w:val="17"/>
              </w:rPr>
              <w:t>+0.1%</w:t>
            </w:r>
          </w:p>
        </w:tc>
      </w:tr>
      <w:tr>
        <w:tc>
          <w:tcPr>
            <w:tcW w:type="dxa" w:w="1440"/>
            <w:shd w:fill="FAFAFA" w:val="clear"/>
          </w:tcPr>
          <w:p>
            <w:r>
              <w:rPr>
                <w:sz w:val="17"/>
              </w:rPr>
              <w:t>J+10  Moyenne</w:t>
            </w:r>
          </w:p>
        </w:tc>
        <w:tc>
          <w:tcPr>
            <w:tcW w:type="dxa" w:w="1440"/>
            <w:shd w:fill="FAFAFA" w:val="clear"/>
          </w:tcPr>
          <w:p>
            <w:r>
              <w:rPr>
                <w:sz w:val="17"/>
              </w:rPr>
              <w:t>2026-10-30</w:t>
            </w:r>
          </w:p>
        </w:tc>
        <w:tc>
          <w:tcPr>
            <w:tcW w:type="dxa" w:w="1440"/>
            <w:shd w:fill="FAFAFA" w:val="clear"/>
          </w:tcPr>
          <w:p>
            <w:r>
              <w:rPr>
                <w:sz w:val="17"/>
              </w:rPr>
              <w:t>8,089</w:t>
            </w:r>
          </w:p>
        </w:tc>
        <w:tc>
          <w:tcPr>
            <w:tcW w:type="dxa" w:w="1440"/>
            <w:shd w:fill="FAFAFA" w:val="clear"/>
          </w:tcPr>
          <w:p>
            <w:r>
              <w:rPr>
                <w:b/>
                <w:sz w:val="17"/>
              </w:rPr>
              <w:t>9,000</w:t>
            </w:r>
          </w:p>
        </w:tc>
        <w:tc>
          <w:tcPr>
            <w:tcW w:type="dxa" w:w="1440"/>
            <w:shd w:fill="FAFAFA" w:val="clear"/>
          </w:tcPr>
          <w:p>
            <w:r>
              <w:rPr>
                <w:sz w:val="17"/>
              </w:rPr>
              <w:t>9,910</w:t>
            </w:r>
          </w:p>
        </w:tc>
        <w:tc>
          <w:tcPr>
            <w:tcW w:type="dxa" w:w="1440"/>
            <w:shd w:fill="FAFAFA" w:val="clear"/>
          </w:tcPr>
          <w:p>
            <w:r>
              <w:rPr>
                <w:b/>
                <w:color w:val="C00000"/>
                <w:sz w:val="17"/>
              </w:rPr>
              <w:t>-0.0%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 RAPPORT D'ANALYSE FINANCIÈRE — BOA BÉNIN (BOAB)</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BOAB s'établit à **365,05 milliards FCFA**, un niveau qui la place parmi les valeurs bancaires significatives de la cote BRVM, reflétant la taille bilancielle de l'établissement (964,66 Mds FCFA d'actifs). Le BPA de **496 FCFA/action** traduit la profitabilité par titre, et le PER de **18,2x** indique que les investisseurs paient environ 18 fois les bénéfices — un niveau supérieur à la moyenne BRVM (~8-12x), signalant une prime de qualité mais aussi une certaine exigence de croissance. Le P/B de **3,11x** confirme que le marché valorise la banque à plus de trois fois ses fonds propres comptables (117,5 Mds FCFA), soit une prime de croissance assumée. Enfin, l'EV/EBITDA de **18,9x** (au-delà du seuil de 15x) traduit une valorisation exigeante rapportée à la capacité opérationnelle, cohérente avec la rentabilité élevée (ROE 17,1%) mais laissant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BOAB affiche une variation totale quasi stable de **+1,12%**, mais la dernière séance (J-1) a enregistré un repli marqué de **-2,23%**, ramenant le cours à **9 000 FCFA**. Le range de trading s'étend de **8 520 FCFA** (plus bas) à **10 350 FCFA** (plus haut), soit une amplitude d'environ 21% qui témoigne d'une réelle dynamique de prix malgré la stabilité de la performance nette. La tendance générale est à la consolidation légèrement baissière depuis le pic, le cours évoluant désormais sous sa moyenne. Les statistiques descriptives révèlent une **moyenne de 9 175 FCFA** supérieure à la **médiane de 8 950 FCFA**, écart confirmé par un **skewness positif de 0,940** indiquant davantage de journées de cotation sous la moyenne (asymétrie à droite, quelques pics haussiers tirant la moyenne). L'**écart-type de 554 FCFA (CV=6,0%)** traduit une dispersion modérée du cours, tandis que le **kurtosis de -0,514** (mésokurtique) suggère un comportement proche d'une distribution normale, sans risque extrême de pics. La **volatilité annualisée de 27,6%** positionne le titre dans la catégorie modérée (15-30%), acceptable pour une valeur bancaire de la zone UEMOA.</w:t>
      </w:r>
    </w:p>
    <w:p>
      <w:pPr>
        <w:spacing w:after="120" w:line="276" w:lineRule="auto"/>
      </w:pPr>
      <w:r>
        <w:t>---</w:t>
      </w:r>
    </w:p>
    <w:p>
      <w:pPr>
        <w:spacing w:after="120" w:line="276" w:lineRule="auto"/>
      </w:pPr>
      <w:r>
        <w:t>## PARTIE 2 : ANALYSE TECHNIQUE DÉTAILLÉE</w:t>
      </w:r>
    </w:p>
    <w:p>
      <w:pPr>
        <w:spacing w:after="120" w:line="276" w:lineRule="auto"/>
      </w:pPr>
      <w:r>
        <w:t>**Moyennes Mobiles** : La MM20 (9 293,75 FCFA) et la MM50 (9 534,4 FCFA) se situent toutes deux au-dessus du cours actuel (9 000 FCFA), configuration baissière classique où le prix évolue sous ses références mobiles. La MM20 étant elle-même inférieure à la MM50, la tendance de fond reste descendante, justifiant la décision **Vente**.</w:t>
      </w:r>
    </w:p>
    <w:p>
      <w:pPr>
        <w:spacing w:after="120" w:line="276" w:lineRule="auto"/>
      </w:pPr>
      <w:r>
        <w:t>**Bandes de Bollinger** : Le cours (9 000 FCFA) se situe dans la moitié inférieure de la bande, entre la borne inférieure (8 779,56 FCFA) et la borne supérieure (9 807,94 FCFA), sans franchissement des extrêmes. Cette position centrale traduit une absence de signal directionnel fort, d'où la décision **Neutre**, avec une volatilité contenue dans le canal.</w:t>
      </w:r>
    </w:p>
    <w:p>
      <w:pPr>
        <w:spacing w:after="120" w:line="276" w:lineRule="auto"/>
      </w:pPr>
      <w:r>
        <w:t>**MACD** : La valeur du MACD (-114,644) est inférieure à sa ligne de signal (-89,06), confirmant un momentum négatif et une pression vendeuse persistante. La divergence négative entre les deux courbes valide la décision **Vente**, bien que l'écart reste modéré.</w:t>
      </w:r>
    </w:p>
    <w:p>
      <w:pPr>
        <w:spacing w:after="120" w:line="276" w:lineRule="auto"/>
      </w:pPr>
      <w:r>
        <w:t>**RSI** : À **51,238**, l'indicateur se situe en zone parfaitement neutre (30-70), ni suracheté ni survendu. Cette valeur traduit un équilibre entre acheteurs et vendeurs, justifiant la décision **Neutre** et l'absence de signal de retournement imminent.</w:t>
      </w:r>
    </w:p>
    <w:p>
      <w:pPr>
        <w:spacing w:after="120" w:line="276" w:lineRule="auto"/>
      </w:pPr>
      <w:r>
        <w:t>**Stochastique** : Le %K à **0,0** (survente extrême) contre un %D à 25,417 indique que le cours a touché le plancher de sa fourchette récente, avec un croisement potentiel en zone de survente. Cette configuration génère une décision **Achat** contrariante, signalant une possible réaction technique à court terme.</w:t>
      </w:r>
    </w:p>
    <w:p>
      <w:pPr>
        <w:spacing w:after="120" w:line="276" w:lineRule="auto"/>
      </w:pPr>
      <w:r>
        <w:t>**Conclusion technique** : Les indicateurs sont majoritairement baissiers (MM, MACD) mais tempérés par des signaux neutres (Bollinger, RSI) et un signal d'achat contrariant du Stochastique en survente. Cette divergence suggère une phase de consolidation basse avec un potentiel rebond technique limité, sans confirmation de retournement durable tant que le cours reste sous la MM20 (9 293,75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BOAB affiche un **PNB de 51,274 Mds FCFA** (équivalent du chiffre d'affaires bancaire), en croissance de **+10,20%**, porté par des intérêts et produits assimilés de 55,728 Mds FCFA et des commissions de 12,339 Mds FCFA. Le **résultat net s'établit à 20,107 Mds FCFA**, avec une **marge nette remarquable de 39,22%** et un **ROE de 17,11%** (au-delà du seuil d'excellence de 15%), tandis que le **ROA de 2,08%** reste conforme aux standards bancaires. Le **coefficient d'exploitation de 49,53%** (inférieur à 50%) classe la banque parmi les établissements très efficaces. Le **coût du risque rapporté aux charges financières de 22,50%** demeure un point de vigilance, signalant une exposition au risque de crédit à surveiller. La structure bilancielle montre des **dépôts clientèle de 711,642 Mds FCFA** face à des **créances clientèle de 391,724 Mds FCFA**, soit un ratio de transformation d'environ 55%, typique d'une banque collectrice nette. L'**autonomie financière de 12,18%** est faible mais usuelle pour le secteur, la solvabilité générale (113,87%) restant assurée.</w:t>
      </w:r>
    </w:p>
    <w:p>
      <w:pPr>
        <w:spacing w:after="120" w:line="276" w:lineRule="auto"/>
      </w:pPr>
      <w:r>
        <w:t>**Estimations issues des rapports trimestriels** : Le rapport du **T1 2026 (publié en 2026)** confirme la dynamique avec un **PNB de 12,329 Mds FCFA (+11%)**, des **commissions en hausse de +18,9%** et une **marge nette bancaire +8,5%**, mais un **résultat net limité à +1% (4,502 Mds FCFA)** sous l'effet de pressions sur les coûts. Les dépôts progressent de +3,5% à 753,7 Mds FCFA sur l'année glissante. Sur cette base, **on estime que l'exercice 2026 devrait maintenir une croissance du PNB à deux chiffres (~10-11%)**, avec un résultat net en progression plus modérée, la banque privilégiant la qualité des marges à la croissance volumique. Le rapport **T3 2025 (30/09/2025)** avait déjà validé ce scénario (PNB +9%, résultat net +13% malgré la contraction du bilan). La recommandation fondamentale est **CONSERVER** : solidité financière avérée, rentabilité supérieure à la moyenne, mais valorisation exigeante et vigilance sur le coût du risque.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**Sur la valorisation (Partie 0)**, le PER de 18,2x, le P/B de 3,11x et l'EV/EBITDA de 18,9x indiquent une action **chèrement valorisée** par rapport aux standards BRVM, intégrant déjà une prime de qualité et de rentabilité. **Sur le comportement du cours (Partie 1)**, la tendance est à la consolidation baissière (+1,12% sur 100 jours mais -2,23% en J-1), avec une volatilité modérée (27,6%) et des statistiques (skewness positif, kurtosis normal) non alarmantes mais peu porteuses. **Sur le plan technique (Partie 2)**, les signaux sont majoritairement baissiers (MM, MACD) avec un Stochastique en survente offrant un potentiel rebond contrariant, mais sans convergence haussière franche. **Sur les fondamentaux (Partie 3)**, la banque affiche une solidité remarquable (ROE 17,1%, coefficient d'exploitation 49,5%, PNB +10,2% en 2025, T1 2026 +11%), tempérée par un coût du risque élevé et une croissance du résultat net qui s'essouffle. **Les prédictions IA (J+1 à J+10)** anticipent une trajectoire légèrement baissière (9 071 → 9 048 FCFA), confirmant la pression technique actuelle sans effondrement.</w:t>
      </w:r>
    </w:p>
    <w:p>
      <w:pPr>
        <w:spacing w:after="120" w:line="276" w:lineRule="auto"/>
      </w:pPr>
      <w:r>
        <w:t>**Recommandation finale : CONSERVER.** La convergence est partielle : fondamentaux solides et prédictions stables plaident pour la détention, mais valorisation exigeante et signaux techniques baissiers interdisent un renforcement agressif. Le niveau de confiance est **Moyen** (divergence entre qualité fondamentale et cherté relative), le risque global est **Moyen** (volatilité modérée, coût du risque à surveiller), et l'horizon optimal est le **moyen terme (3-12 mois)**, le temps que la croissance du résultat net se matérialise et justifie la prime de valorisation actuelle.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7.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352.44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6,232 titres</w:t>
            </w:r>
          </w:p>
        </w:tc>
        <w:tc>
          <w:tcPr>
            <w:tcW w:type="dxa" w:w="2268"/>
            <w:shd w:fill="FFF2CC" w:val="clear"/>
          </w:tcPr>
          <w:p>
            <w:r>
              <w:rPr>
                <w:b/>
                <w:color w:val="503200"/>
                <w:sz w:val="16"/>
              </w:rPr>
              <w:t xml:space="preserve">Cours actuel : </w:t>
            </w:r>
            <w:r>
              <w:rPr>
                <w:color w:val="000000"/>
                <w:sz w:val="17"/>
              </w:rPr>
              <w:t>8,010 FCFA</w:t>
            </w:r>
          </w:p>
          <w:p>
            <w:r>
              <w:rPr>
                <w:b/>
                <w:color w:val="503200"/>
                <w:sz w:val="16"/>
              </w:rPr>
              <w:t xml:space="preserve">Var. 100 jours : </w:t>
            </w:r>
            <w:r>
              <w:rPr>
                <w:b/>
                <w:color w:val="007800"/>
                <w:sz w:val="17"/>
              </w:rPr>
              <w:t>+45.64%</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24.5/100 → Moyen</w:t>
      </w:r>
    </w:p>
    <w:p>
      <w:pPr>
        <w:spacing w:before="40" w:after="80"/>
      </w:pPr>
      <w:r>
        <w:rPr>
          <w:rFonts w:ascii="Courier New" w:hAnsi="Courier New"/>
          <w:color w:val="825A00"/>
          <w:sz w:val="18"/>
        </w:rPr>
        <w:t>████░░░░░░░░░░░░░░░░  24.5/100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16.56% (Élevée) — μ=7,097 FCFA, σ=1,175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β=0.7428 (Défensif) — Cov=0.000057, Var(idx)=0.000077, ρ=0.285,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6,232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σ_j=2.26%/j (Stable) — Vol. annualisée≈35.9%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59/100  (Bon)</w:t>
      </w:r>
    </w:p>
    <w:p/>
    <w:p>
      <w:pPr>
        <w:jc w:val="center"/>
      </w:pPr>
      <w:r>
        <w:drawing>
          <wp:inline xmlns:a="http://schemas.openxmlformats.org/drawingml/2006/main" xmlns:pic="http://schemas.openxmlformats.org/drawingml/2006/picture">
            <wp:extent cx="5669280" cy="263558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7,681</w:t>
            </w:r>
          </w:p>
        </w:tc>
        <w:tc>
          <w:tcPr>
            <w:tcW w:type="dxa" w:w="1440"/>
            <w:shd w:fill="FAFAFA" w:val="clear"/>
          </w:tcPr>
          <w:p>
            <w:r>
              <w:rPr>
                <w:b/>
                <w:sz w:val="17"/>
              </w:rPr>
              <w:t>7,966</w:t>
            </w:r>
          </w:p>
        </w:tc>
        <w:tc>
          <w:tcPr>
            <w:tcW w:type="dxa" w:w="1440"/>
            <w:shd w:fill="FAFAFA" w:val="clear"/>
          </w:tcPr>
          <w:p>
            <w:r>
              <w:rPr>
                <w:sz w:val="17"/>
              </w:rPr>
              <w:t>8,251</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7,533</w:t>
            </w:r>
          </w:p>
        </w:tc>
        <w:tc>
          <w:tcPr>
            <w:tcW w:type="dxa" w:w="1440"/>
            <w:shd w:fill="FAFAFA" w:val="clear"/>
          </w:tcPr>
          <w:p>
            <w:r>
              <w:rPr>
                <w:b/>
                <w:sz w:val="17"/>
              </w:rPr>
              <w:t>7,934</w:t>
            </w:r>
          </w:p>
        </w:tc>
        <w:tc>
          <w:tcPr>
            <w:tcW w:type="dxa" w:w="1440"/>
            <w:shd w:fill="FAFAFA" w:val="clear"/>
          </w:tcPr>
          <w:p>
            <w:r>
              <w:rPr>
                <w:sz w:val="17"/>
              </w:rPr>
              <w:t>8,336</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7,418</w:t>
            </w:r>
          </w:p>
        </w:tc>
        <w:tc>
          <w:tcPr>
            <w:tcW w:type="dxa" w:w="1440"/>
            <w:shd w:fill="FAFAFA" w:val="clear"/>
          </w:tcPr>
          <w:p>
            <w:r>
              <w:rPr>
                <w:b/>
                <w:sz w:val="17"/>
              </w:rPr>
              <w:t>7,908</w:t>
            </w:r>
          </w:p>
        </w:tc>
        <w:tc>
          <w:tcPr>
            <w:tcW w:type="dxa" w:w="1440"/>
            <w:shd w:fill="FAFAFA" w:val="clear"/>
          </w:tcPr>
          <w:p>
            <w:r>
              <w:rPr>
                <w:sz w:val="17"/>
              </w:rPr>
              <w:t>8,398</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7,322</w:t>
            </w:r>
          </w:p>
        </w:tc>
        <w:tc>
          <w:tcPr>
            <w:tcW w:type="dxa" w:w="1440"/>
            <w:shd w:fill="FAFAFA" w:val="clear"/>
          </w:tcPr>
          <w:p>
            <w:r>
              <w:rPr>
                <w:b/>
                <w:sz w:val="17"/>
              </w:rPr>
              <w:t>7,886</w:t>
            </w:r>
          </w:p>
        </w:tc>
        <w:tc>
          <w:tcPr>
            <w:tcW w:type="dxa" w:w="1440"/>
            <w:shd w:fill="FAFAFA" w:val="clear"/>
          </w:tcPr>
          <w:p>
            <w:r>
              <w:rPr>
                <w:sz w:val="17"/>
              </w:rPr>
              <w:t>8,450</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7,238</w:t>
            </w:r>
          </w:p>
        </w:tc>
        <w:tc>
          <w:tcPr>
            <w:tcW w:type="dxa" w:w="1440"/>
            <w:shd w:fill="FAFAFA" w:val="clear"/>
          </w:tcPr>
          <w:p>
            <w:r>
              <w:rPr>
                <w:b/>
                <w:sz w:val="17"/>
              </w:rPr>
              <w:t>7,867</w:t>
            </w:r>
          </w:p>
        </w:tc>
        <w:tc>
          <w:tcPr>
            <w:tcW w:type="dxa" w:w="1440"/>
            <w:shd w:fill="FAFAFA" w:val="clear"/>
          </w:tcPr>
          <w:p>
            <w:r>
              <w:rPr>
                <w:sz w:val="17"/>
              </w:rPr>
              <w:t>8,496</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7,161</w:t>
            </w:r>
          </w:p>
        </w:tc>
        <w:tc>
          <w:tcPr>
            <w:tcW w:type="dxa" w:w="1440"/>
            <w:shd w:fill="FFDCE0" w:val="clear"/>
          </w:tcPr>
          <w:p>
            <w:r>
              <w:rPr>
                <w:b/>
                <w:sz w:val="17"/>
              </w:rPr>
              <w:t>7,849</w:t>
            </w:r>
          </w:p>
        </w:tc>
        <w:tc>
          <w:tcPr>
            <w:tcW w:type="dxa" w:w="1440"/>
            <w:shd w:fill="FFDCE0" w:val="clear"/>
          </w:tcPr>
          <w:p>
            <w:r>
              <w:rPr>
                <w:sz w:val="17"/>
              </w:rPr>
              <w:t>8,536</w:t>
            </w:r>
          </w:p>
        </w:tc>
        <w:tc>
          <w:tcPr>
            <w:tcW w:type="dxa" w:w="1440"/>
            <w:shd w:fill="FFDCE0"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7,091</w:t>
            </w:r>
          </w:p>
        </w:tc>
        <w:tc>
          <w:tcPr>
            <w:tcW w:type="dxa" w:w="1440"/>
            <w:shd w:fill="FFDCE0" w:val="clear"/>
          </w:tcPr>
          <w:p>
            <w:r>
              <w:rPr>
                <w:b/>
                <w:sz w:val="17"/>
              </w:rPr>
              <w:t>7,831</w:t>
            </w:r>
          </w:p>
        </w:tc>
        <w:tc>
          <w:tcPr>
            <w:tcW w:type="dxa" w:w="1440"/>
            <w:shd w:fill="FFDCE0" w:val="clear"/>
          </w:tcPr>
          <w:p>
            <w:r>
              <w:rPr>
                <w:sz w:val="17"/>
              </w:rPr>
              <w:t>8,572</w:t>
            </w:r>
          </w:p>
        </w:tc>
        <w:tc>
          <w:tcPr>
            <w:tcW w:type="dxa" w:w="1440"/>
            <w:shd w:fill="FFDCE0" w:val="clear"/>
          </w:tcPr>
          <w:p>
            <w:r>
              <w:rPr>
                <w:b/>
                <w:color w:val="C00000"/>
                <w:sz w:val="17"/>
              </w:rPr>
              <w:t>-2.2%</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7,024</w:t>
            </w:r>
          </w:p>
        </w:tc>
        <w:tc>
          <w:tcPr>
            <w:tcW w:type="dxa" w:w="1440"/>
            <w:shd w:fill="FFDCE0" w:val="clear"/>
          </w:tcPr>
          <w:p>
            <w:r>
              <w:rPr>
                <w:b/>
                <w:sz w:val="17"/>
              </w:rPr>
              <w:t>7,815</w:t>
            </w:r>
          </w:p>
        </w:tc>
        <w:tc>
          <w:tcPr>
            <w:tcW w:type="dxa" w:w="1440"/>
            <w:shd w:fill="FFDCE0" w:val="clear"/>
          </w:tcPr>
          <w:p>
            <w:r>
              <w:rPr>
                <w:sz w:val="17"/>
              </w:rPr>
              <w:t>8,605</w:t>
            </w:r>
          </w:p>
        </w:tc>
        <w:tc>
          <w:tcPr>
            <w:tcW w:type="dxa" w:w="1440"/>
            <w:shd w:fill="FFDCE0" w:val="clear"/>
          </w:tcPr>
          <w:p>
            <w:r>
              <w:rPr>
                <w:b/>
                <w:color w:val="C00000"/>
                <w:sz w:val="17"/>
              </w:rPr>
              <w:t>-2.4%</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6,962</w:t>
            </w:r>
          </w:p>
        </w:tc>
        <w:tc>
          <w:tcPr>
            <w:tcW w:type="dxa" w:w="1440"/>
            <w:shd w:fill="FFDCE0" w:val="clear"/>
          </w:tcPr>
          <w:p>
            <w:r>
              <w:rPr>
                <w:b/>
                <w:sz w:val="17"/>
              </w:rPr>
              <w:t>7,798</w:t>
            </w:r>
          </w:p>
        </w:tc>
        <w:tc>
          <w:tcPr>
            <w:tcW w:type="dxa" w:w="1440"/>
            <w:shd w:fill="FFDCE0" w:val="clear"/>
          </w:tcPr>
          <w:p>
            <w:r>
              <w:rPr>
                <w:sz w:val="17"/>
              </w:rPr>
              <w:t>8,635</w:t>
            </w:r>
          </w:p>
        </w:tc>
        <w:tc>
          <w:tcPr>
            <w:tcW w:type="dxa" w:w="1440"/>
            <w:shd w:fill="FFDCE0" w:val="clear"/>
          </w:tcPr>
          <w:p>
            <w:r>
              <w:rPr>
                <w:b/>
                <w:color w:val="C00000"/>
                <w:sz w:val="17"/>
              </w:rPr>
              <w:t>-2.6%</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6,902</w:t>
            </w:r>
          </w:p>
        </w:tc>
        <w:tc>
          <w:tcPr>
            <w:tcW w:type="dxa" w:w="1440"/>
            <w:shd w:fill="FFDCE0" w:val="clear"/>
          </w:tcPr>
          <w:p>
            <w:r>
              <w:rPr>
                <w:b/>
                <w:sz w:val="17"/>
              </w:rPr>
              <w:t>7,782</w:t>
            </w:r>
          </w:p>
        </w:tc>
        <w:tc>
          <w:tcPr>
            <w:tcW w:type="dxa" w:w="1440"/>
            <w:shd w:fill="FFDCE0" w:val="clear"/>
          </w:tcPr>
          <w:p>
            <w:r>
              <w:rPr>
                <w:sz w:val="17"/>
              </w:rPr>
              <w:t>8,663</w:t>
            </w:r>
          </w:p>
        </w:tc>
        <w:tc>
          <w:tcPr>
            <w:tcW w:type="dxa" w:w="1440"/>
            <w:shd w:fill="FFDCE0" w:val="clear"/>
          </w:tcPr>
          <w:p>
            <w:r>
              <w:rPr>
                <w:b/>
                <w:color w:val="C00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 RAPPORT D'ANALYSE FINANCIÈRE — BOABF (Bank of Africa Burkina Faso)</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352,44 milliards FCFA, BOABF s'affirme comme une valeur de premier plan de la cote BRVM, positionnement cohérent avec son statut de banque majeure de la zone UEMOA. Le BPA de 438 FCFA par action traduit une capacité bénéficiaire solide, et le PER de 18,3x — nettement supérieur à la moyenne BRVM (~8-12x) — indique que le marché paie une prime significative pour cette valeur, ce qui peut se justifier par la qualité des fondamentaux mais limite la marge de sécurité. Le P/B de 2,79x confirme cette prime de croissance : le marché valorise l'action près de trois fois sa valeur comptable, un niveau qui exige une rentabilité durablement supérieure au coût des fonds propres. Enfin, l'EV/EBITDA de 8,1x, dans la fourchette raisonnable de 5-10x, suggère que la valeur d'entreprise reste cohérente avec la capacité opérationnelle, sans excès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BOABF affiche une performance remarquable de +45,64%, portant le cours à 8 010 FCFA, bien que la dernière séance (J-1) soit restée stable à +0,00%. Le range de trading est particulièrement large, avec un plus haut à 9 090 FCFA et un plus bas à 5 300 FCFA, soit un écart de plus de 70% entre les extrêmes — signe d'une dynamique haussière puissante mais aussi d'une forte amplitude de négociation. La tendance générale est clairement haussière sur la période, le cours actuel se situant dans la moitié supérieure du range. Les statistiques descriptives révèlent une distribution quasi-parfaitement symétrique (skewness de 0,001) avec une moyenne de 7 097 FCFA légèrement inférieure à la médiane de 7 200 FCFA, suggérant une légère prépondérance des séances de hausse en fin de période. L'écart-type de 1 181 FCFA (CV de 16,6%) indique une dispersion modérée autour de la moyenne, tandis que le kurtosis négatif de -1,256 (distribution platykurtique) signale une faible concentration des rendements et un risque de pics extrêmes limité — comportement plutôt rassurant pour un investisseur. La volatilité annualisée de 35,9% classe le titre dans la catégorie des valeurs à volatilité élevée (&gt;30%), ce qui est cohérent avec la forte progression récente et appelle à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(7 946 FCFA) et la MM50 (8 075,1 FCFA) encadrent le cours actuel de 8 010 FCFA, ce dernier se situant au-dessus de la MM20 mais en dessous de la MM50. Cette configuration traduit un essoufflement de la dynamique haussière à court terme, la MM50 faisant office de résistance immédiate. La décision technique est **Vente**, confirmée par le croisement baissier potentiel des moyennes.</w:t>
      </w:r>
    </w:p>
    <w:p>
      <w:pPr>
        <w:spacing w:after="120" w:line="276" w:lineRule="auto"/>
      </w:pPr>
      <w:r>
        <w:t>**Bandes de Bollinger** : Le cours (8 010 FCFA) évolue dans la partie médiane de la bande, entre la borne inférieure (7 498,4 FCFA) et supérieure (8 393,6 FCFA), sans approcher les extrêmes. Cette position centrale traduit une absence de signal directionnel fort et une volatilité en normalisation. La décision est **Neutre**, le titre étant en phase de consolidation après sa forte hausse.</w:t>
      </w:r>
    </w:p>
    <w:p>
      <w:pPr>
        <w:spacing w:after="120" w:line="276" w:lineRule="auto"/>
      </w:pPr>
      <w:r>
        <w:t>**MACD** : La valeur du MACD (-28,673) est légèrement inférieure à son signal (-27,445), confirmant une divergence baissière et un momentum négatif. Le MACD évolue en territoire négatif, signalant que la dynamique haussière s'est essoufflée. La décision est **Vente**, le croisement MACD/signal restant défavorable à court terme.</w:t>
      </w:r>
    </w:p>
    <w:p>
      <w:pPr>
        <w:spacing w:after="120" w:line="276" w:lineRule="auto"/>
      </w:pPr>
      <w:r>
        <w:t>**RSI** : À 44,444, le RSI se situe dans la zone neutre (30-70), sans signal de surachat (&gt;70) ni de survente (&lt;30). Cette valeur légèrement inférieure à 50 indique une légère prédominance de la pression vendeuse, mais sans excès. La décision est **Neutre**, le titre n'étant ni surévalué ni survendu techniquement.</w:t>
      </w:r>
    </w:p>
    <w:p>
      <w:pPr>
        <w:spacing w:after="120" w:line="276" w:lineRule="auto"/>
      </w:pPr>
      <w:r>
        <w:t>**Stochastique** : Le %K (27,5) est inférieur au %D (30,417), avec les deux indicateurs en zone basse (proches de la zone de survente à 20). Cette configuration suggère une pression baissière persistante mais proche d'un point de retournement potentiel. La décision est **Neutre**, le croisement %K/%D n'étant pas encore confirmé.</w:t>
      </w:r>
    </w:p>
    <w:p>
      <w:pPr>
        <w:spacing w:after="120" w:line="276" w:lineRule="auto"/>
      </w:pPr>
      <w:r>
        <w:t>**Conclusion technique** : Les indicateurs techniques présentent une configuration majoritairement baissière à court terme (MM et MACD en Vente), tempérée par des signaux neutres (Bollinger, RSI, Stochastique). Le titre sort d'une phase de forte hausse (+45,64%) et semble entrer en consolidation, avec un support immédiat autour de 7 946 FCFA (MM20) et une résistance à 8 075 FCFA (MM50). La convergence des signaux vers une correction modérée est probable avant une reprise directionnelle.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BOABF a réalisé un Produit Net Bancaire (PNB) de 57,820 milliards FCFA, quasi stable par rapport à 2024 (+0,6%), pour un résultat net de 19,252 milliards FCFA, en recul de -14,1% sur un an. La rentabilité reste solide avec un ROE de 15,22% (supérieur au seuil d'excellence de 15%) et un ROA de 1,68%, tandis que le coefficient d'exploitation de 47,19% témoigne d'une excellente efficacité opérationnelle (&lt;50%). Le coût du risque, à 33,92% des charges financières, reste élevé et constitue le principal point d'attention, ayant quasiment doublé en 2025 (provisions de 8,355 milliards FCFA contre 4,303 milliards en 2024). La structure financière affiche une autonomie financière faible (11,01%) mais une solvabilité générale satisfaisante (112,38%), typique du modèle bancaire où les dépôts clientèle (877,822 milliards FCFA) financent l'essentiel du bilan de 1 148,675 milliards FCFA.</w:t>
      </w:r>
    </w:p>
    <w:p>
      <w:pPr>
        <w:spacing w:after="120" w:line="276" w:lineRule="auto"/>
      </w:pPr>
      <w:r>
        <w:t>**Estimations basées sur les rapports trimestriels** : Les rapports les plus récents nuancent ce tableau. Le rapport du **T1 2026 (31/03/2026)** montre un PNB de 12,694 milliards FCFA en repli de -10,75% et un résultat net de 4,520 milliards (-12,99%), le trimestre le plus faible des quatre documents analysés. En revanche, les **états financiers du S1 2026 (30/06/2026)** révèlent un net redressement : malgré un PNB de 27,539 milliards (-5,2%), le résultat net bondit de +31,0% à 10,770 milliards FCFA, grâce à un coût du risque en forte amélioration (-2,396 milliards contre -6,876 milliards un an plus tôt, soit -65,2%). On estime donc que l'exercice 2026 devrait bénéficier d'une normalisation du risque, compensant partiellement la contraction du PNB — le rapport du S1 2026 (30/06/2026) souligne toutefois que cette amélioration provient d'une base de comparaison favorable plutôt que d'une accélération commerciale, les dépôts progressant de +7,4% à 942,692 milliards FCFA tandis que les crédits nets n'avancent que de +1,3% à 479,993 milliards FCFA. Le dividende de 397 FCFA/action payé le 23/04/2026 (calendrier BRVM du 17/04/2026) offre un rendement d'environ 4,96% au cours actuel, modeste mais régulier. **Recommandation fondamentale : CONSERVER** — la solidité bilancielle et la normalisation du risque sont positives, mais la stagnation du PNB et le PER élevé limitent le potentiel de revalorisation à court terme.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de l'analyse invite à la prudence malgré des fondamentaux globalement solides. **Sur le plan de la valorisation (Partie 0)**, le PER de 18,3x et le P/B de 2,79x traduisent une surévaluation relative par rapport à la moyenne BRVM, le marché ayant déjà intégré une large part du potentiel de croissance — l'EV/EBITDA de 8,1x reste toutefois raisonnable. **Le comportement du cours (Partie 1)** est marqué par une hausse spectaculaire de +45,64% sur 100 jours, mais la distribution platykurtique (kurtosis -1,256) et symétrique (skewness 0,001) suggère un risque de pics limité, tandis que la volatilité élevée de 35,9% appelle à la vigilance. **Les signaux techniques (Partie 2)** convergent vers une consolidation : MM et MACD en Vente, Bollinger/RSI/Stochastique en Neutre, le titre semblant marquer une pause après son rallye. **Les fondamentaux (Partie 3)** demeurent solides (ROE 15,22%, coefficient d'exploitation 47,19%) mais montrent un PNB stagnant et un résultat net 2025 en recul, avec une amélioration du coût du risque au S1 2026 à confirmer. **Les prédictions IA (J+1 à J+10)** anticipent une trajectoire baissière graduelle de 7 966 à 7 867 FCFA, confirmant la thèse d'une correction technique cohérente avec les signaux de vente des MM et du MACD.</w:t>
      </w:r>
    </w:p>
    <w:p>
      <w:pPr>
        <w:spacing w:after="120" w:line="276" w:lineRule="auto"/>
      </w:pPr>
      <w:r>
        <w:t>**Recommandation finale : CONSERVER.** La convergence entre la valorisation exigeante, les signaux techniques baissiers à court terme et les prédictions IA à la baisse plaide contre un renforcement immédiat, tandis que la solidité des fondamentaux et la normalisation du risque justifient de ne pas vendre. Le niveau de confiance est **Moyen** (les indicateurs fondamentaux et techniques sont cohérents, mais l'issue dépendra de la confirmation de la reprise commerciale au S2 2026). Le niveau de risque global est **Moyen à Élevé** (volatilité de 35,9%, PER élevé, contexte sécuritaire burkinabè). L'horizon d'investissement optimal est le **moyen terme (3-12 mois)**, le temps que la consolidation technique s'achève et que les résultats du S2 2026 confirment — ou infirment — la dynamique de redressement de la rentabilité.</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20261009   calendrier de paiement des dividendes   exercice 2025</w:t>
      </w:r>
    </w:p>
    <w:p>
      <w:pPr>
        <w:spacing w:before="20"/>
        <w:ind w:left="400"/>
      </w:pPr>
      <w:r>
        <w:rPr>
          <w:color w:val="505050"/>
          <w:sz w:val="17"/>
        </w:rPr>
        <w:t xml:space="preserve">Date : 12/10/2026  |  Catégorie : dividende  |  Impact : </w:t>
      </w:r>
      <w:r>
        <w:rPr>
          <w:b/>
          <w:color w:val="008000"/>
          <w:sz w:val="17"/>
        </w:rPr>
        <w:t>🟢 POSITIF</w:t>
      </w:r>
    </w:p>
    <w:p>
      <w:pPr>
        <w:spacing w:before="40"/>
        <w:ind w:left="400"/>
      </w:pPr>
      <w:r>
        <w:rPr>
          <w:sz w:val="18"/>
        </w:rPr>
        <w:t>La BRVM publie le calendrier de paiement des dividendes au titre de l'exercice 2025 pour les sociétés cotées, avec les montants nets par action, les dates de publication d'avis, les dates ex-dividende et les dates de paiement. Le document couvre plus de trente sociétés de la zone UEMOA, avec des paiements échelonnés d'avril à octobre 2026. Les montants indiqués sont nets, sauf pour les sociétés marquées d'un astérisque dont le dividende est brut avec application de l'IRVM.</w:t>
      </w:r>
    </w:p>
    <w:p>
      <w:pPr>
        <w:spacing w:before="60"/>
        <w:ind w:left="400"/>
      </w:pPr>
      <w:r>
        <w:rPr>
          <w:b/>
          <w:sz w:val="18"/>
        </w:rPr>
        <w:t>Points clés :</w:t>
      </w:r>
    </w:p>
    <w:p>
      <w:pPr>
        <w:pStyle w:val="ListBullet"/>
        <w:spacing w:before="20" w:after="20"/>
        <w:ind w:left="700"/>
      </w:pPr>
      <w:r>
        <w:rPr>
          <w:sz w:val="18"/>
        </w:rPr>
        <w:t>Le calendrier couvre les dividendes de l'exercice 2025 pour plus de 30 sociétés cotées à la BRVM</w:t>
      </w:r>
    </w:p>
    <w:p>
      <w:pPr>
        <w:pStyle w:val="ListBullet"/>
        <w:spacing w:before="20" w:after="20"/>
        <w:ind w:left="700"/>
      </w:pPr>
      <w:r>
        <w:rPr>
          <w:sz w:val="18"/>
        </w:rPr>
        <w:t>Les paiements s'échelonnent du 23 avril 2026 (BOA Burkina Faso) au 27 octobre 2026 (Africa Global Logistics CI)</w:t>
      </w:r>
    </w:p>
    <w:p>
      <w:pPr>
        <w:pStyle w:val="ListBullet"/>
        <w:spacing w:before="20" w:after="20"/>
        <w:ind w:left="700"/>
      </w:pPr>
      <w:r>
        <w:rPr>
          <w:sz w:val="18"/>
        </w:rPr>
        <w:t>Les montants nets par action varient de 0,9184 FCFA (Ecobank Transnational Incorporated) à 2 606 FCFA (Société Générale CI)</w:t>
      </w:r>
    </w:p>
    <w:p>
      <w:pPr>
        <w:pStyle w:val="ListBullet"/>
        <w:spacing w:before="20" w:after="20"/>
        <w:ind w:left="700"/>
      </w:pPr>
      <w:r>
        <w:rPr>
          <w:sz w:val="18"/>
        </w:rPr>
        <w:t>Les sociétés marquées d'un astérisque affichent un dividende brut soumis à l'IRVM de 12% pour les personnes physiques et 10% pour les personnes morales</w:t>
      </w:r>
    </w:p>
    <w:p>
      <w:pPr>
        <w:pStyle w:val="ListBullet"/>
        <w:spacing w:before="20" w:after="20"/>
        <w:ind w:left="700"/>
      </w:pPr>
      <w:r>
        <w:rPr>
          <w:sz w:val="18"/>
        </w:rPr>
        <w:t>Chaque ligne précise le numéro d'avis, la date de publication au BOC, la date ex-dividende (T-1) et la date de paiement (T)</w:t>
      </w:r>
    </w:p>
    <w:p>
      <w:pPr>
        <w:ind w:left="400"/>
      </w:pPr>
      <w:r>
        <w:rPr>
          <w:color w:val="B4B4B4"/>
          <w:sz w:val="14"/>
        </w:rPr>
        <w:t xml:space="preserve">· · · · · · · · · · · · · · · · · · · · · · · · · · · · · · </w:t>
      </w:r>
    </w:p>
    <w:p>
      <w:pPr>
        <w:spacing w:before="160"/>
      </w:pPr>
      <w:r>
        <w:rPr>
          <w:b/>
          <w:color w:val="0066CC"/>
          <w:sz w:val="20"/>
        </w:rPr>
        <w:t xml:space="preserve">[3]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[4] </w:t>
      </w:r>
      <w:r>
        <w:rPr>
          <w:b/>
          <w:sz w:val="20"/>
        </w:rPr>
        <w:t>20261006   calendrier de paiement des dividendes   exercice 2025</w:t>
      </w:r>
    </w:p>
    <w:p>
      <w:pPr>
        <w:spacing w:before="20"/>
        <w:ind w:left="400"/>
      </w:pPr>
      <w:r>
        <w:rPr>
          <w:color w:val="505050"/>
          <w:sz w:val="17"/>
        </w:rPr>
        <w:t xml:space="preserve">Date : 07/10/2026  |  Catégorie : dividende  |  Impact : </w:t>
      </w:r>
      <w:r>
        <w:rPr>
          <w:b/>
          <w:color w:val="008000"/>
          <w:sz w:val="17"/>
        </w:rPr>
        <w:t>🟢 POSITIF</w:t>
      </w:r>
    </w:p>
    <w:p>
      <w:pPr>
        <w:spacing w:before="40"/>
        <w:ind w:left="400"/>
      </w:pPr>
      <w:r>
        <w:rPr>
          <w:sz w:val="18"/>
        </w:rPr>
        <w:t>La BRVM publie le calendrier de paiement des dividendes au titre de l'exercice 2025 pour les sociétés cotées. Le document liste pour chaque société le montant du dividende net par action, le numéro d'avis, la date de publication au BOC, la date ex-dividende et la date de paiement. Les paiements s'échelonnent de mars 2026 à octobre 2026, avec une note précisant que les montants marqués d'un astérisque sont des dividendes bruts soumis à l'IRVM.</w:t>
      </w:r>
    </w:p>
    <w:p>
      <w:pPr>
        <w:spacing w:before="60"/>
        <w:ind w:left="400"/>
      </w:pPr>
      <w:r>
        <w:rPr>
          <w:b/>
          <w:sz w:val="18"/>
        </w:rPr>
        <w:t>Points clés :</w:t>
      </w:r>
    </w:p>
    <w:p>
      <w:pPr>
        <w:pStyle w:val="ListBullet"/>
        <w:spacing w:before="20" w:after="20"/>
        <w:ind w:left="700"/>
      </w:pPr>
      <w:r>
        <w:rPr>
          <w:sz w:val="18"/>
        </w:rPr>
        <w:t>Le calendrier couvre plus de 30 sociétés cotées à la BRVM pour l'exercice 2025</w:t>
      </w:r>
    </w:p>
    <w:p>
      <w:pPr>
        <w:pStyle w:val="ListBullet"/>
        <w:spacing w:before="20" w:after="20"/>
        <w:ind w:left="700"/>
      </w:pPr>
      <w:r>
        <w:rPr>
          <w:sz w:val="18"/>
        </w:rPr>
        <w:t>Les paiements s'étalent de mars 2026 (BOA Burkina Faso) à octobre 2026 (Tractafric Motors CI)</w:t>
      </w:r>
    </w:p>
    <w:p>
      <w:pPr>
        <w:pStyle w:val="ListBullet"/>
        <w:spacing w:before="20" w:after="20"/>
        <w:ind w:left="700"/>
      </w:pPr>
      <w:r>
        <w:rPr>
          <w:sz w:val="18"/>
        </w:rPr>
        <w:t>Les montants des dividendes nets par action varient de 0,9184 FCFA (Ecobank Transnational) à 2 606 FCFA (Société Générale CI)</w:t>
      </w:r>
    </w:p>
    <w:p>
      <w:pPr>
        <w:pStyle w:val="ListBullet"/>
        <w:spacing w:before="20" w:after="20"/>
        <w:ind w:left="700"/>
      </w:pPr>
      <w:r>
        <w:rPr>
          <w:sz w:val="18"/>
        </w:rPr>
        <w:t>Les dates ex-dividende précèdent généralement les dates de paiement de quelques jours à quelques semaines</w:t>
      </w:r>
    </w:p>
    <w:p>
      <w:pPr>
        <w:pStyle w:val="ListBullet"/>
        <w:spacing w:before="20" w:after="20"/>
        <w:ind w:left="700"/>
      </w:pPr>
      <w:r>
        <w:rPr>
          <w:sz w:val="18"/>
        </w:rPr>
        <w:t>Un astérisque indique les dividendes bruts avec IRVM applicable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[5]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8.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455.80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10,666 titres</w:t>
            </w:r>
          </w:p>
        </w:tc>
        <w:tc>
          <w:tcPr>
            <w:tcW w:type="dxa" w:w="2268"/>
            <w:shd w:fill="FFF2CC" w:val="clear"/>
          </w:tcPr>
          <w:p>
            <w:r>
              <w:rPr>
                <w:b/>
                <w:color w:val="503200"/>
                <w:sz w:val="16"/>
              </w:rPr>
              <w:t xml:space="preserve">Cours actuel : </w:t>
            </w:r>
            <w:r>
              <w:rPr>
                <w:color w:val="000000"/>
                <w:sz w:val="17"/>
              </w:rPr>
              <w:t>11,395 FCFA</w:t>
            </w:r>
          </w:p>
          <w:p>
            <w:r>
              <w:rPr>
                <w:b/>
                <w:color w:val="503200"/>
                <w:sz w:val="16"/>
              </w:rPr>
              <w:t xml:space="preserve">Var. 100 jours : </w:t>
            </w:r>
            <w:r>
              <w:rPr>
                <w:b/>
                <w:color w:val="007800"/>
                <w:sz w:val="17"/>
              </w:rPr>
              <w:t>+29.12%</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8,800 FCFA</w:t>
            </w:r>
          </w:p>
          <w:p>
            <w:r>
              <w:rPr>
                <w:b/>
                <w:color w:val="503200"/>
                <w:sz w:val="16"/>
              </w:rPr>
              <w:t xml:space="preserve">Volatilité ann. : </w:t>
            </w:r>
            <w:r>
              <w:rPr>
                <w:color w:val="000000"/>
                <w:sz w:val="17"/>
              </w:rPr>
              <w:t>27.9%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13.48% (Moyenne) — μ=10,793 FCFA, σ=1,455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β=0.7155 (Défensif) — Cov=0.000055, Var(idx)=0.000077, ρ=0.352,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10,666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σ_j=1.76%/j (Stable) — Vol. annualisée≈27.9%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11,088</w:t>
            </w:r>
          </w:p>
        </w:tc>
        <w:tc>
          <w:tcPr>
            <w:tcW w:type="dxa" w:w="1440"/>
            <w:shd w:fill="FAFAFA" w:val="clear"/>
          </w:tcPr>
          <w:p>
            <w:r>
              <w:rPr>
                <w:b/>
                <w:sz w:val="17"/>
              </w:rPr>
              <w:t>11,407</w:t>
            </w:r>
          </w:p>
        </w:tc>
        <w:tc>
          <w:tcPr>
            <w:tcW w:type="dxa" w:w="1440"/>
            <w:shd w:fill="FAFAFA" w:val="clear"/>
          </w:tcPr>
          <w:p>
            <w:r>
              <w:rPr>
                <w:sz w:val="17"/>
              </w:rPr>
              <w:t>11,727</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10,970</w:t>
            </w:r>
          </w:p>
        </w:tc>
        <w:tc>
          <w:tcPr>
            <w:tcW w:type="dxa" w:w="1440"/>
            <w:shd w:fill="FAFAFA" w:val="clear"/>
          </w:tcPr>
          <w:p>
            <w:r>
              <w:rPr>
                <w:b/>
                <w:sz w:val="17"/>
              </w:rPr>
              <w:t>11,422</w:t>
            </w:r>
          </w:p>
        </w:tc>
        <w:tc>
          <w:tcPr>
            <w:tcW w:type="dxa" w:w="1440"/>
            <w:shd w:fill="FAFAFA" w:val="clear"/>
          </w:tcPr>
          <w:p>
            <w:r>
              <w:rPr>
                <w:sz w:val="17"/>
              </w:rPr>
              <w:t>11,874</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10,881</w:t>
            </w:r>
          </w:p>
        </w:tc>
        <w:tc>
          <w:tcPr>
            <w:tcW w:type="dxa" w:w="1440"/>
            <w:shd w:fill="FAFAFA" w:val="clear"/>
          </w:tcPr>
          <w:p>
            <w:r>
              <w:rPr>
                <w:b/>
                <w:sz w:val="17"/>
              </w:rPr>
              <w:t>11,436</w:t>
            </w:r>
          </w:p>
        </w:tc>
        <w:tc>
          <w:tcPr>
            <w:tcW w:type="dxa" w:w="1440"/>
            <w:shd w:fill="FAFAFA" w:val="clear"/>
          </w:tcPr>
          <w:p>
            <w:r>
              <w:rPr>
                <w:sz w:val="17"/>
              </w:rPr>
              <w:t>11,990</w:t>
            </w:r>
          </w:p>
        </w:tc>
        <w:tc>
          <w:tcPr>
            <w:tcW w:type="dxa" w:w="1440"/>
            <w:shd w:fill="FAFAFA" w:val="clear"/>
          </w:tcPr>
          <w:p>
            <w:r>
              <w:rPr>
                <w:b/>
                <w:color w:val="008000"/>
                <w:sz w:val="17"/>
              </w:rPr>
              <w:t>+0.4%</w:t>
            </w:r>
          </w:p>
        </w:tc>
      </w:tr>
      <w:tr>
        <w:tc>
          <w:tcPr>
            <w:tcW w:type="dxa" w:w="1440"/>
            <w:shd w:fill="FAFAFA" w:val="clear"/>
          </w:tcPr>
          <w:p>
            <w:r>
              <w:rPr>
                <w:sz w:val="17"/>
              </w:rPr>
              <w:t>J+4  Moyenne</w:t>
            </w:r>
          </w:p>
        </w:tc>
        <w:tc>
          <w:tcPr>
            <w:tcW w:type="dxa" w:w="1440"/>
            <w:shd w:fill="FAFAFA" w:val="clear"/>
          </w:tcPr>
          <w:p>
            <w:r>
              <w:rPr>
                <w:sz w:val="17"/>
              </w:rPr>
              <w:t>2026-10-22</w:t>
            </w:r>
          </w:p>
        </w:tc>
        <w:tc>
          <w:tcPr>
            <w:tcW w:type="dxa" w:w="1440"/>
            <w:shd w:fill="FAFAFA" w:val="clear"/>
          </w:tcPr>
          <w:p>
            <w:r>
              <w:rPr>
                <w:sz w:val="17"/>
              </w:rPr>
              <w:t>10,809</w:t>
            </w:r>
          </w:p>
        </w:tc>
        <w:tc>
          <w:tcPr>
            <w:tcW w:type="dxa" w:w="1440"/>
            <w:shd w:fill="FAFAFA" w:val="clear"/>
          </w:tcPr>
          <w:p>
            <w:r>
              <w:rPr>
                <w:b/>
                <w:sz w:val="17"/>
              </w:rPr>
              <w:t>11,450</w:t>
            </w:r>
          </w:p>
        </w:tc>
        <w:tc>
          <w:tcPr>
            <w:tcW w:type="dxa" w:w="1440"/>
            <w:shd w:fill="FAFAFA" w:val="clear"/>
          </w:tcPr>
          <w:p>
            <w:r>
              <w:rPr>
                <w:sz w:val="17"/>
              </w:rPr>
              <w:t>12,090</w:t>
            </w:r>
          </w:p>
        </w:tc>
        <w:tc>
          <w:tcPr>
            <w:tcW w:type="dxa" w:w="1440"/>
            <w:shd w:fill="FAFAFA" w:val="clear"/>
          </w:tcPr>
          <w:p>
            <w:r>
              <w:rPr>
                <w:b/>
                <w:color w:val="008000"/>
                <w:sz w:val="17"/>
              </w:rPr>
              <w:t>+0.5%</w:t>
            </w:r>
          </w:p>
        </w:tc>
      </w:tr>
      <w:tr>
        <w:tc>
          <w:tcPr>
            <w:tcW w:type="dxa" w:w="1440"/>
            <w:shd w:fill="FAFAFA" w:val="clear"/>
          </w:tcPr>
          <w:p>
            <w:r>
              <w:rPr>
                <w:sz w:val="17"/>
              </w:rPr>
              <w:t>J+5  Moyenne</w:t>
            </w:r>
          </w:p>
        </w:tc>
        <w:tc>
          <w:tcPr>
            <w:tcW w:type="dxa" w:w="1440"/>
            <w:shd w:fill="FAFAFA" w:val="clear"/>
          </w:tcPr>
          <w:p>
            <w:r>
              <w:rPr>
                <w:sz w:val="17"/>
              </w:rPr>
              <w:t>2026-10-23</w:t>
            </w:r>
          </w:p>
        </w:tc>
        <w:tc>
          <w:tcPr>
            <w:tcW w:type="dxa" w:w="1440"/>
            <w:shd w:fill="FAFAFA" w:val="clear"/>
          </w:tcPr>
          <w:p>
            <w:r>
              <w:rPr>
                <w:sz w:val="17"/>
              </w:rPr>
              <w:t>10,746</w:t>
            </w:r>
          </w:p>
        </w:tc>
        <w:tc>
          <w:tcPr>
            <w:tcW w:type="dxa" w:w="1440"/>
            <w:shd w:fill="FAFAFA" w:val="clear"/>
          </w:tcPr>
          <w:p>
            <w:r>
              <w:rPr>
                <w:b/>
                <w:sz w:val="17"/>
              </w:rPr>
              <w:t>11,463</w:t>
            </w:r>
          </w:p>
        </w:tc>
        <w:tc>
          <w:tcPr>
            <w:tcW w:type="dxa" w:w="1440"/>
            <w:shd w:fill="FAFAFA" w:val="clear"/>
          </w:tcPr>
          <w:p>
            <w:r>
              <w:rPr>
                <w:sz w:val="17"/>
              </w:rPr>
              <w:t>12,180</w:t>
            </w:r>
          </w:p>
        </w:tc>
        <w:tc>
          <w:tcPr>
            <w:tcW w:type="dxa" w:w="1440"/>
            <w:shd w:fill="FAFAFA" w:val="clear"/>
          </w:tcPr>
          <w:p>
            <w:r>
              <w:rPr>
                <w:b/>
                <w:color w:val="008000"/>
                <w:sz w:val="17"/>
              </w:rPr>
              <w:t>+0.6%</w:t>
            </w:r>
          </w:p>
        </w:tc>
      </w:tr>
      <w:tr>
        <w:tc>
          <w:tcPr>
            <w:tcW w:type="dxa" w:w="1440"/>
            <w:shd w:fill="FAFAFA" w:val="clear"/>
          </w:tcPr>
          <w:p>
            <w:r>
              <w:rPr>
                <w:sz w:val="17"/>
              </w:rPr>
              <w:t>J+6  Moyenne</w:t>
            </w:r>
          </w:p>
        </w:tc>
        <w:tc>
          <w:tcPr>
            <w:tcW w:type="dxa" w:w="1440"/>
            <w:shd w:fill="FAFAFA" w:val="clear"/>
          </w:tcPr>
          <w:p>
            <w:r>
              <w:rPr>
                <w:sz w:val="17"/>
              </w:rPr>
              <w:t>2026-10-26</w:t>
            </w:r>
          </w:p>
        </w:tc>
        <w:tc>
          <w:tcPr>
            <w:tcW w:type="dxa" w:w="1440"/>
            <w:shd w:fill="FAFAFA" w:val="clear"/>
          </w:tcPr>
          <w:p>
            <w:r>
              <w:rPr>
                <w:sz w:val="17"/>
              </w:rPr>
              <w:t>10,689</w:t>
            </w:r>
          </w:p>
        </w:tc>
        <w:tc>
          <w:tcPr>
            <w:tcW w:type="dxa" w:w="1440"/>
            <w:shd w:fill="FAFAFA" w:val="clear"/>
          </w:tcPr>
          <w:p>
            <w:r>
              <w:rPr>
                <w:b/>
                <w:sz w:val="17"/>
              </w:rPr>
              <w:t>11,476</w:t>
            </w:r>
          </w:p>
        </w:tc>
        <w:tc>
          <w:tcPr>
            <w:tcW w:type="dxa" w:w="1440"/>
            <w:shd w:fill="FAFAFA" w:val="clear"/>
          </w:tcPr>
          <w:p>
            <w:r>
              <w:rPr>
                <w:sz w:val="17"/>
              </w:rPr>
              <w:t>12,262</w:t>
            </w:r>
          </w:p>
        </w:tc>
        <w:tc>
          <w:tcPr>
            <w:tcW w:type="dxa" w:w="1440"/>
            <w:shd w:fill="FAFAFA" w:val="clear"/>
          </w:tcPr>
          <w:p>
            <w:r>
              <w:rPr>
                <w:b/>
                <w:color w:val="008000"/>
                <w:sz w:val="17"/>
              </w:rPr>
              <w:t>+0.7%</w:t>
            </w:r>
          </w:p>
        </w:tc>
      </w:tr>
      <w:tr>
        <w:tc>
          <w:tcPr>
            <w:tcW w:type="dxa" w:w="1440"/>
            <w:shd w:fill="FAFAFA" w:val="clear"/>
          </w:tcPr>
          <w:p>
            <w:r>
              <w:rPr>
                <w:sz w:val="17"/>
              </w:rPr>
              <w:t>J+7  Moyenne</w:t>
            </w:r>
          </w:p>
        </w:tc>
        <w:tc>
          <w:tcPr>
            <w:tcW w:type="dxa" w:w="1440"/>
            <w:shd w:fill="FAFAFA" w:val="clear"/>
          </w:tcPr>
          <w:p>
            <w:r>
              <w:rPr>
                <w:sz w:val="17"/>
              </w:rPr>
              <w:t>2026-10-27</w:t>
            </w:r>
          </w:p>
        </w:tc>
        <w:tc>
          <w:tcPr>
            <w:tcW w:type="dxa" w:w="1440"/>
            <w:shd w:fill="FAFAFA" w:val="clear"/>
          </w:tcPr>
          <w:p>
            <w:r>
              <w:rPr>
                <w:sz w:val="17"/>
              </w:rPr>
              <w:t>10,637</w:t>
            </w:r>
          </w:p>
        </w:tc>
        <w:tc>
          <w:tcPr>
            <w:tcW w:type="dxa" w:w="1440"/>
            <w:shd w:fill="FAFAFA" w:val="clear"/>
          </w:tcPr>
          <w:p>
            <w:r>
              <w:rPr>
                <w:b/>
                <w:sz w:val="17"/>
              </w:rPr>
              <w:t>11,488</w:t>
            </w:r>
          </w:p>
        </w:tc>
        <w:tc>
          <w:tcPr>
            <w:tcW w:type="dxa" w:w="1440"/>
            <w:shd w:fill="FAFAFA" w:val="clear"/>
          </w:tcPr>
          <w:p>
            <w:r>
              <w:rPr>
                <w:sz w:val="17"/>
              </w:rPr>
              <w:t>12,338</w:t>
            </w:r>
          </w:p>
        </w:tc>
        <w:tc>
          <w:tcPr>
            <w:tcW w:type="dxa" w:w="1440"/>
            <w:shd w:fill="FAFAFA" w:val="clear"/>
          </w:tcPr>
          <w:p>
            <w:r>
              <w:rPr>
                <w:b/>
                <w:color w:val="008000"/>
                <w:sz w:val="17"/>
              </w:rPr>
              <w:t>+0.8%</w:t>
            </w:r>
          </w:p>
        </w:tc>
      </w:tr>
      <w:tr>
        <w:tc>
          <w:tcPr>
            <w:tcW w:type="dxa" w:w="1440"/>
            <w:shd w:fill="FAFAFA" w:val="clear"/>
          </w:tcPr>
          <w:p>
            <w:r>
              <w:rPr>
                <w:sz w:val="17"/>
              </w:rPr>
              <w:t>J+8  Moyenne</w:t>
            </w:r>
          </w:p>
        </w:tc>
        <w:tc>
          <w:tcPr>
            <w:tcW w:type="dxa" w:w="1440"/>
            <w:shd w:fill="FAFAFA" w:val="clear"/>
          </w:tcPr>
          <w:p>
            <w:r>
              <w:rPr>
                <w:sz w:val="17"/>
              </w:rPr>
              <w:t>2026-10-28</w:t>
            </w:r>
          </w:p>
        </w:tc>
        <w:tc>
          <w:tcPr>
            <w:tcW w:type="dxa" w:w="1440"/>
            <w:shd w:fill="FAFAFA" w:val="clear"/>
          </w:tcPr>
          <w:p>
            <w:r>
              <w:rPr>
                <w:sz w:val="17"/>
              </w:rPr>
              <w:t>10,589</w:t>
            </w:r>
          </w:p>
        </w:tc>
        <w:tc>
          <w:tcPr>
            <w:tcW w:type="dxa" w:w="1440"/>
            <w:shd w:fill="FAFAFA" w:val="clear"/>
          </w:tcPr>
          <w:p>
            <w:r>
              <w:rPr>
                <w:b/>
                <w:sz w:val="17"/>
              </w:rPr>
              <w:t>11,500</w:t>
            </w:r>
          </w:p>
        </w:tc>
        <w:tc>
          <w:tcPr>
            <w:tcW w:type="dxa" w:w="1440"/>
            <w:shd w:fill="FAFAFA" w:val="clear"/>
          </w:tcPr>
          <w:p>
            <w:r>
              <w:rPr>
                <w:sz w:val="17"/>
              </w:rPr>
              <w:t>12,410</w:t>
            </w:r>
          </w:p>
        </w:tc>
        <w:tc>
          <w:tcPr>
            <w:tcW w:type="dxa" w:w="1440"/>
            <w:shd w:fill="FAFAFA" w:val="clear"/>
          </w:tcPr>
          <w:p>
            <w:r>
              <w:rPr>
                <w:b/>
                <w:color w:val="008000"/>
                <w:sz w:val="17"/>
              </w:rPr>
              <w:t>+0.9%</w:t>
            </w:r>
          </w:p>
        </w:tc>
      </w:tr>
      <w:tr>
        <w:tc>
          <w:tcPr>
            <w:tcW w:type="dxa" w:w="1440"/>
            <w:shd w:fill="FAFAFA" w:val="clear"/>
          </w:tcPr>
          <w:p>
            <w:r>
              <w:rPr>
                <w:sz w:val="17"/>
              </w:rPr>
              <w:t>J+9  Moyenne</w:t>
            </w:r>
          </w:p>
        </w:tc>
        <w:tc>
          <w:tcPr>
            <w:tcW w:type="dxa" w:w="1440"/>
            <w:shd w:fill="FAFAFA" w:val="clear"/>
          </w:tcPr>
          <w:p>
            <w:r>
              <w:rPr>
                <w:sz w:val="17"/>
              </w:rPr>
              <w:t>2026-10-29</w:t>
            </w:r>
          </w:p>
        </w:tc>
        <w:tc>
          <w:tcPr>
            <w:tcW w:type="dxa" w:w="1440"/>
            <w:shd w:fill="FAFAFA" w:val="clear"/>
          </w:tcPr>
          <w:p>
            <w:r>
              <w:rPr>
                <w:sz w:val="17"/>
              </w:rPr>
              <w:t>10,544</w:t>
            </w:r>
          </w:p>
        </w:tc>
        <w:tc>
          <w:tcPr>
            <w:tcW w:type="dxa" w:w="1440"/>
            <w:shd w:fill="FAFAFA" w:val="clear"/>
          </w:tcPr>
          <w:p>
            <w:r>
              <w:rPr>
                <w:b/>
                <w:sz w:val="17"/>
              </w:rPr>
              <w:t>11,511</w:t>
            </w:r>
          </w:p>
        </w:tc>
        <w:tc>
          <w:tcPr>
            <w:tcW w:type="dxa" w:w="1440"/>
            <w:shd w:fill="FAFAFA" w:val="clear"/>
          </w:tcPr>
          <w:p>
            <w:r>
              <w:rPr>
                <w:sz w:val="17"/>
              </w:rPr>
              <w:t>12,477</w:t>
            </w:r>
          </w:p>
        </w:tc>
        <w:tc>
          <w:tcPr>
            <w:tcW w:type="dxa" w:w="1440"/>
            <w:shd w:fill="FAFAFA" w:val="clear"/>
          </w:tcPr>
          <w:p>
            <w:r>
              <w:rPr>
                <w:b/>
                <w:color w:val="008000"/>
                <w:sz w:val="17"/>
              </w:rPr>
              <w:t>+1.0%</w:t>
            </w:r>
          </w:p>
        </w:tc>
      </w:tr>
      <w:tr>
        <w:tc>
          <w:tcPr>
            <w:tcW w:type="dxa" w:w="1440"/>
            <w:shd w:fill="FAFAFA" w:val="clear"/>
          </w:tcPr>
          <w:p>
            <w:r>
              <w:rPr>
                <w:sz w:val="17"/>
              </w:rPr>
              <w:t>J+10  Moyenne</w:t>
            </w:r>
          </w:p>
        </w:tc>
        <w:tc>
          <w:tcPr>
            <w:tcW w:type="dxa" w:w="1440"/>
            <w:shd w:fill="FAFAFA" w:val="clear"/>
          </w:tcPr>
          <w:p>
            <w:r>
              <w:rPr>
                <w:sz w:val="17"/>
              </w:rPr>
              <w:t>2026-10-30</w:t>
            </w:r>
          </w:p>
        </w:tc>
        <w:tc>
          <w:tcPr>
            <w:tcW w:type="dxa" w:w="1440"/>
            <w:shd w:fill="FAFAFA" w:val="clear"/>
          </w:tcPr>
          <w:p>
            <w:r>
              <w:rPr>
                <w:sz w:val="17"/>
              </w:rPr>
              <w:t>10,502</w:t>
            </w:r>
          </w:p>
        </w:tc>
        <w:tc>
          <w:tcPr>
            <w:tcW w:type="dxa" w:w="1440"/>
            <w:shd w:fill="FAFAFA" w:val="clear"/>
          </w:tcPr>
          <w:p>
            <w:r>
              <w:rPr>
                <w:b/>
                <w:sz w:val="17"/>
              </w:rPr>
              <w:t>11,521</w:t>
            </w:r>
          </w:p>
        </w:tc>
        <w:tc>
          <w:tcPr>
            <w:tcW w:type="dxa" w:w="1440"/>
            <w:shd w:fill="FAFAFA" w:val="clear"/>
          </w:tcPr>
          <w:p>
            <w:r>
              <w:rPr>
                <w:sz w:val="17"/>
              </w:rPr>
              <w:t>12,541</w:t>
            </w:r>
          </w:p>
        </w:tc>
        <w:tc>
          <w:tcPr>
            <w:tcW w:type="dxa" w:w="1440"/>
            <w:shd w:fill="FAFAFA" w:val="clear"/>
          </w:tcPr>
          <w:p>
            <w:r>
              <w:rPr>
                <w:b/>
                <w:color w:val="008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 📊 RAPPORT D'ANALYSE FINANCIÈRE — BOAC (Bank of Africa Côte d'Ivoire)</w:t>
        <w:br/>
        <w:t>### BRVM | Secteur Bancaire | Cours : 11 395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455,80 Mds FCFA, BOAC s'affirme comme une valeur bancaire de premier plan sur le compartiment BRVM, représentant une capitalisation significative à l'échelle régionale. Le BPA de 888 FCFA par action traduit une capacité bénéficiaire solide, chaque titre générant près de 900 FCFA de bénéfice net. Le PER de 12,8x se situe légèrement au-dessus de la moyenne BRVM (8-12x), signalant une valorisation modérée mais non excessive, cohérente avec la qualité des résultats. Le P/B de 3,58x indique que le marché valorise le titre à plus de 3,5 fois sa valeur comptable — une prime de croissance significative accordée à la banque. Enfin, l'EV/EBITDA de 26,4x apparaît très exigeant (&gt;15x), reflétant des anticipations de croissance élevées mais exposant le titre à un risque de correction si les résultats déçoivent.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BOAC affiche une performance remarquable de **+29,12%**, avec une dernière séance quasi stable (+0,13%) à 11 395 FCFA. Le titre a évolué dans un range large de 8 800 FCFA (plus bas) à 13 450 FCFA (plus haut), soit une amplitude de plus de 52%, témoignant d'une tendance haussière forte mais ponctuée de phases de correction. La moyenne (10 793 FCFA) se situe légèrement sous la médiane (11 290 FCFA), suggérant une distribution légèrement tirée vers le bas par des séances de faiblesse, bien que le skewness de 0,049 confirme une distribution quasi symétrique. L'écart-type de 1 462 FCFA avec un coefficient de variation de 13,5% indique une dispersion modérée du cours autour de sa moyenne. Le kurtosis négatif (-1,415, platykurtique) signale une distribution aplatie, donc un risque de pics extrêmes plus faible qu'une distribution normale — un élément rassurant. La volatilité annualisée de 27,9% positionne le titre dans la catégorie **modérée à élevée** (15-30%), typique d'une valeur de croissance bancaire en phase d'expansion.</w:t>
      </w:r>
    </w:p>
    <w:p>
      <w:pPr>
        <w:spacing w:after="120" w:line="276" w:lineRule="auto"/>
      </w:pPr>
      <w:r>
        <w:t>---</w:t>
      </w:r>
    </w:p>
    <w:p>
      <w:pPr>
        <w:spacing w:after="120" w:line="276" w:lineRule="auto"/>
      </w:pPr>
      <w:r>
        <w:t>## PARTIE 2 : ANALYSE TECHNIQUE DÉTAILLÉE</w:t>
      </w:r>
    </w:p>
    <w:p>
      <w:pPr>
        <w:spacing w:after="120" w:line="276" w:lineRule="auto"/>
      </w:pPr>
      <w:r>
        <w:t>**Moyennes Mobiles :** La MM20 (11 413 FCFA) est légèrement au-dessus du cours actuel (11 395 FCFA), tandis que la MM50 (12 071 FCFA) reste nettement supérieure, confirmant une pression baissière de court terme. Le cours évoluant sous ses deux moyennes, la décision technique est **Vente**, signalant une correction en cours après le rallye haussier.</w:t>
      </w:r>
    </w:p>
    <w:p>
      <w:pPr>
        <w:spacing w:after="120" w:line="276" w:lineRule="auto"/>
      </w:pPr>
      <w:r>
        <w:t>**Bandes de Bollinger :** Le cours (11 395 FCFA) se situe dans la moitié inférieure de la bande (borne basse 11 020 FCFA, borne haute 11 806 FCFA), sans atteindre les extrêmes. Cette position centrale avec une décision **Neutre** traduit une absence de signal directionnel fort, le marché étant en phase de consolidation.</w:t>
      </w:r>
    </w:p>
    <w:p>
      <w:pPr>
        <w:spacing w:after="120" w:line="276" w:lineRule="auto"/>
      </w:pPr>
      <w:r>
        <w:t>**MACD :** La valeur MACD (-156,32) est supérieure à son signal (-174,30), générant un croisement haussier malgré un territoire négatif. Cette configuration indique un **momentum baissier en voie d'essoufflement**, avec une décision d'**Achat** anticipant un retournement potentiel à la hausse.</w:t>
      </w:r>
    </w:p>
    <w:p>
      <w:pPr>
        <w:spacing w:after="120" w:line="276" w:lineRule="auto"/>
      </w:pPr>
      <w:r>
        <w:t>**RSI :** À 37,8, le RSI se situe dans la zone neutre basse (30-70), sans atteindre la zone de survente (&lt;30). La décision **Neutre** suggère que le titre n'est ni survendu ni suracheté, laissant de la marge pour une reprise sans excès.</w:t>
      </w:r>
    </w:p>
    <w:p>
      <w:pPr>
        <w:spacing w:after="120" w:line="276" w:lineRule="auto"/>
      </w:pPr>
      <w:r>
        <w:t>**Stochastique :** Le %K (34,92) est légèrement supérieur au %D (31,75), sans croisement significatif, en zone neutre basse. La décision **Neutre** confirme l'absence de signal fort, le titre évoluant dans une phase d'indécision.</w:t>
      </w:r>
    </w:p>
    <w:p>
      <w:pPr>
        <w:spacing w:after="120" w:line="276" w:lineRule="auto"/>
      </w:pPr>
      <w:r>
        <w:t>**Conclusion technique :** Les indicateurs présentent une configuration **mitigée** : les moyennes mobiles signalent une vente (cours sous MM20/MM50), mais le MACD génère un signal d'achat par croisement haussier, tandis que Bollinger, RSI et Stochastique restent neutres. Cette divergence suggère une phase de consolidation avec un potentiel de rebond à court terme, mais sans confirmation franche d'un retournement durable. La prudence reste de mise tant que le cours n'aura pas reconquis la MM20 (11 413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BOAC affiche un Produit Net Bancaire (équivalent du chiffre d'affaires) de **73 545 Mds FCFA** en 2025, en hausse de +1,1% par rapport à 2024 (72 724 Mds FCFA), selon le rapport des commissaires aux comptes du 31 décembre 2025. Le résultat net s'établit à **35 540 Mds FCFA**, en progression de +10,9% (vs 32 045 Mds en 2024), porté par l'amélioration du coût du risque (-27,8%, à -4 902 Mds FCFA). La rentabilité est exceptionnelle : **ROE de 27,91%** (&gt;15% = excellent) et **ROA de 3,22%**, tandis que le coefficient d'exploitation de **36,70%** (&lt;60%) confirme une efficacité opérationnelle remarquable. Le ratio dépôts/crédits (850 548 Mds de dépôts vs 430 433 Mds de créances) traduit une forte capacité de collecte, bien que la transformation reste prudente. Le coût du risque/charges financières de 6,67% mérite une vigilance, tout comme la hausse de +52,1% des créances en souffrance (taux de sinistralité 8,59%). La structure financière montre une autonomie de 11,54% (faible pour une banque, mais compensée par la solidité des dépôts) et une liquidité générale très élevée (3 684%).</w:t>
      </w:r>
    </w:p>
    <w:p>
      <w:pPr>
        <w:spacing w:after="120" w:line="276" w:lineRule="auto"/>
      </w:pPr>
      <w:r>
        <w:t>**Estimations basées sur les rapports trimestriels :** Le rapport T1 2026 (publié le 31 mars 2026) révèle un PNB de 18 960 Mds FCFA (+3,09% en glissement annuel) et un résultat net de 10 801 Mds FCFA (+0,91%), mais surtout une **explosion du coût du risque (+314,75%)** — un signal d'alerte. Les dépôts bondissent de +21,44% (923 307 Mds FCFA) tandis que les crédits stagnent (-0,29%), confirmant une stratégie de prudence. Sur cette base, on estime que l'exercice 2026 devrait maintenir un résultat net stable autour de 35-36 Mds FCFA, sauf si la dégradation du coût du risque s'amplifie. Le rapport semestriel 2026 (examen limité du 30 septembre 2026) confirme l'absence d'anomalie significative, mais sans données chiffrées disponibles.</w:t>
      </w:r>
    </w:p>
    <w:p>
      <w:pPr>
        <w:spacing w:after="120" w:line="276" w:lineRule="auto"/>
      </w:pPr>
      <w:r>
        <w:t>**Recommandation fondamentale :** La solidité financière de BOAC est indéniable (ROE &gt;27%, efficacité opérationnelle, dividende de 684 FCFA/action au titre de 2024), mais les signaux de dégradation du risque de crédit (créances en souffrance +52%, coût du risque T1 2026 en forte hausse) nécessitent une surveillance accrue. La recommandation fondamentale est **CONSERVER**, avec un biais positif tant que le coût du risque reste maîtrisé.</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La **valorisation** (Partie 0) est modérée (PER 12,8x) mais exigeante sur l'EV/EBITDA (26,4x), suggérant que le marché intègre déjà une bonne partie de la croissance. Le **comportement du cours** (Partie 1) est haussier (+29,12% sur 100 jours) avec une volatilité modérée (27,9%) et des statistiques rassurantes (kurtosis négatif, skewness neutre), bien que le titre soit en phase de consolidation. Les **signaux techniques** (Partie 2) sont divergents : vente sur les MM, achat sur le MACD, neutre ailleurs — une configuration de transition. Les **fondamentaux** (Partie 3) restent excellents (ROE 27,9%, coefficient d'exploitation 36,7%, résultat net +10,9% en 2025), mais le T1 2026 montre des signaux d'alerte sur le coût du risque. Les **prédictions IA** (J+1 à J+10) anticipent une trajectoire légèrement haussière (11 407 → 11 463 FCFA, soit +0,6%), confirmant la thèse d'un rebond technique modéré.</w:t>
      </w:r>
    </w:p>
    <w:p>
      <w:pPr>
        <w:spacing w:after="120" w:line="276" w:lineRule="auto"/>
      </w:pPr>
      <w:r>
        <w:t>**Recommandation finale : CONSERVER** (avec biais acheteur pour les investisseurs déjà positionnés). La convergence est partielle : valorisation raisonnable, fondamentaux solides, technique en transition et prédictions légèrement haussières plaident pour une stabilité à moyen terme, mais l'absence de signal technique fort et les risques émergents sur le crédit justifient la prudence. **Niveau de confiance : Moyen** — les fondamentaux soutiennent le titre, mais les signaux techniques mitigés et les incertitudes sur le coût du risque limitent la visibilité. **Niveau de risque : Moyen** (volatilité modérée, risque de crédit en hausse). **Horizon optimal : Moyen terme (3-12 mois)**, le temps que la banque confirme la maîtrise de son coût du risque et que le cours reconquière ses moyennes mobiles.</w:t>
      </w:r>
    </w:p>
    <w:p>
      <w:pPr>
        <w:spacing w:after="120" w:line="276" w:lineRule="auto"/>
      </w:pPr>
      <w:r>
        <w:t>---</w:t>
      </w:r>
    </w:p>
    <w:p>
      <w:pPr>
        <w:spacing w:after="120" w:line="276" w:lineRule="auto"/>
      </w:pPr>
      <w:r>
        <w:t>*Rapport généré le 19 octobre 2026 — Sources : BRVM, états financiers 2025, rapports T1 2026 et S1 2026, analyses techniques et prédictives.*</w:t>
        <w:br/>
        <w:t>*⚠️ Ce rapport ne constitue pas un conseil en investissement. Les performances passées ne préjugent pas des performances futures.*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"L'examen limit\u00e9 ne r\u00e9v\u00e8le aucune anomalie significative et confirme la sinc\u00e9rit\u00e9 des \u00e9tats financiers semestriels. En l'absence de donn\u00e9es chiffr\u00e9es d\u00e9taill\u00e9es dans le document, aucune valorisation ni orientation d'investissement ne peut \u00eatre \u00e9tablie avec certitude."}</w:t>
      </w:r>
    </w:p>
    <w:p>
      <w:pPr>
        <w:spacing w:before="40"/>
        <w:ind w:left="400"/>
      </w:pPr>
      <w:r>
        <w:rPr>
          <w:sz w:val="18"/>
        </w:rPr>
        <w:t>Le document est un rapport d'examen limité des états financiers semestriels de Bank of Africa Côte d'Ivoire (BOA CI) couvrant la période du 1er janvier au 30 juin 2026, établi par les commissaires aux comptes Forvis Mazars et Eritedge Côte d'Ivoire. Les auditeurs n'ont pas relevé de faits remettant en cause la sincérité des états financiers semestriels. Ils n'ont également formulé aucune observation sur la sincérité et la concordance du rapport d'activité semestriel avec les états financiers. Les états financiers ont été arrêtés par le Conseil d'Administration le 9 septembre 2026 et le rapport signé le 30 septembre 2026. Toutefois, le document ne contient pas les données chiffrées détaillées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d'examen limité (et non audit complet) des états financiers semestriels au 30 juin 2026 de BOA CI.</w:t>
      </w:r>
    </w:p>
    <w:p>
      <w:pPr>
        <w:pStyle w:val="ListBullet"/>
        <w:spacing w:before="20" w:after="20"/>
        <w:ind w:left="700"/>
      </w:pPr>
      <w:r>
        <w:rPr>
          <w:sz w:val="18"/>
        </w:rPr>
        <w:t>Conclusion sans réserve : aucun fait laissant penser que les états financiers ne présentent pas sincèrement la situation financière.</w:t>
      </w:r>
    </w:p>
    <w:p>
      <w:pPr>
        <w:pStyle w:val="ListBullet"/>
        <w:spacing w:before="20" w:after="20"/>
        <w:ind w:left="700"/>
      </w:pPr>
      <w:r>
        <w:rPr>
          <w:sz w:val="18"/>
        </w:rPr>
        <w:t>États financiers établis conformément au Plan Comptable Bancaire Révisé de l'UMOA.</w:t>
      </w:r>
    </w:p>
    <w:p>
      <w:pPr>
        <w:pStyle w:val="ListBullet"/>
        <w:spacing w:before="20" w:after="20"/>
        <w:ind w:left="700"/>
      </w:pPr>
      <w:r>
        <w:rPr>
          <w:sz w:val="18"/>
        </w:rPr>
        <w:t>Aucune observation sur la sincérité et la concordance du rapport d'activité semestriel.</w:t>
      </w:r>
    </w:p>
    <w:p>
      <w:pPr>
        <w:pStyle w:val="ListBullet"/>
        <w:spacing w:before="20" w:after="20"/>
        <w:ind w:left="700"/>
      </w:pPr>
      <w:r>
        <w:rPr>
          <w:sz w:val="18"/>
        </w:rPr>
        <w:t>États financiers arrêtés par le Conseil d'Administration en session du 9 septembre 2026.</w:t>
      </w:r>
    </w:p>
    <w:p>
      <w:pPr>
        <w:pStyle w:val="ListBullet"/>
        <w:spacing w:before="20" w:after="20"/>
        <w:ind w:left="700"/>
      </w:pPr>
      <w:r>
        <w:rPr>
          <w:sz w:val="18"/>
        </w:rPr>
        <w:t>Commissaires aux comptes : Forvis Mazars S.A. et Eritedge Côte d'Ivoire S.A.</w:t>
      </w:r>
    </w:p>
    <w:p>
      <w:pPr>
        <w:spacing w:before="40"/>
        <w:ind w:left="400"/>
      </w:pPr>
      <w:r>
        <w:rPr>
          <w:b/>
          <w:color w:val="C05000"/>
          <w:sz w:val="18"/>
        </w:rPr>
        <w:t xml:space="preserve">⚠️ Risques : </w:t>
      </w:r>
      <w:r>
        <w:rPr>
          <w:sz w:val="18"/>
        </w:rPr>
        <w:t>["Absence de donn\u00e9es financi\u00e8res chiffr\u00e9es dans le document fourni, limitant l'analyse quantitative.", "Nature d'examen limit\u00e9 offrant une assurance mod\u00e9r\u00e9e, moins \u00e9lev\u00e9e qu'un audit complet.", "Risques inh\u00e9rents au secteur bancaire (qualit\u00e9 du porte</w:t>
      </w:r>
    </w:p>
    <w:p>
      <w:pPr>
        <w:spacing w:before="40"/>
        <w:ind w:left="400"/>
      </w:pPr>
      <w:r>
        <w:rPr>
          <w:b/>
          <w:color w:val="0064A0"/>
          <w:sz w:val="18"/>
        </w:rPr>
        <w:t xml:space="preserve">🔮 Perspectives : </w:t>
      </w:r>
      <w:r>
        <w:rPr>
          <w:sz w:val="18"/>
        </w:rPr>
        <w:t>Les perspectives restent dépendantes des performances opérationnelles et financières de BOA CI sur le second semestre 2026, non détaillées dans ce rapport. La conclusion positive des commissaires aux comptes suggère une situation financière saine à mi-parcours. Une analyse plus fine nécessiterait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
      <w:r>
        <w:t>════════════════════════════════════════════════════════════════════════════════</w:t>
      </w:r>
    </w:p>
    <w:p>
      <w:r>
        <w:br w:type="page"/>
      </w:r>
    </w:p>
    <w:p>
      <w:pPr>
        <w:pStyle w:val="Heading2"/>
        <w:spacing w:before="360"/>
      </w:pPr>
      <w:r>
        <w:rPr>
          <w:color w:val="0066CC"/>
        </w:rPr>
        <w:t>9.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156.47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6,974 titres</w:t>
            </w:r>
          </w:p>
        </w:tc>
        <w:tc>
          <w:tcPr>
            <w:tcW w:type="dxa" w:w="2268"/>
            <w:shd w:fill="FFF2CC" w:val="clear"/>
          </w:tcPr>
          <w:p>
            <w:r>
              <w:rPr>
                <w:b/>
                <w:color w:val="503200"/>
                <w:sz w:val="16"/>
              </w:rPr>
              <w:t xml:space="preserve">Cours actuel : </w:t>
            </w:r>
            <w:r>
              <w:rPr>
                <w:color w:val="000000"/>
                <w:sz w:val="17"/>
              </w:rPr>
              <w:t>5,700 FCFA</w:t>
            </w:r>
          </w:p>
          <w:p>
            <w:r>
              <w:rPr>
                <w:b/>
                <w:color w:val="503200"/>
                <w:sz w:val="16"/>
              </w:rPr>
              <w:t xml:space="preserve">Var. 100 jours : </w:t>
            </w:r>
            <w:r>
              <w:rPr>
                <w:b/>
                <w:color w:val="007800"/>
                <w:sz w:val="17"/>
              </w:rPr>
              <w:t>+14.00%</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43.9%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12.96% (Moyenne) — μ=5,711 FCFA, σ=740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β=1.3421 (Agressif) — Cov=0.000103, Var(idx)=0.000077, ρ=0.428,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6,974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σ_j=2.76%/j (Stable) — Vol. annualisée≈43.9%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5,361</w:t>
            </w:r>
          </w:p>
        </w:tc>
        <w:tc>
          <w:tcPr>
            <w:tcW w:type="dxa" w:w="1440"/>
            <w:shd w:fill="FAFAFA" w:val="clear"/>
          </w:tcPr>
          <w:p>
            <w:r>
              <w:rPr>
                <w:b/>
                <w:sz w:val="17"/>
              </w:rPr>
              <w:t>5,688</w:t>
            </w:r>
          </w:p>
        </w:tc>
        <w:tc>
          <w:tcPr>
            <w:tcW w:type="dxa" w:w="1440"/>
            <w:shd w:fill="FAFAFA" w:val="clear"/>
          </w:tcPr>
          <w:p>
            <w:r>
              <w:rPr>
                <w:sz w:val="17"/>
              </w:rPr>
              <w:t>6,015</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5,193</w:t>
            </w:r>
          </w:p>
        </w:tc>
        <w:tc>
          <w:tcPr>
            <w:tcW w:type="dxa" w:w="1440"/>
            <w:shd w:fill="FAFAFA" w:val="clear"/>
          </w:tcPr>
          <w:p>
            <w:r>
              <w:rPr>
                <w:b/>
                <w:sz w:val="17"/>
              </w:rPr>
              <w:t>5,653</w:t>
            </w:r>
          </w:p>
        </w:tc>
        <w:tc>
          <w:tcPr>
            <w:tcW w:type="dxa" w:w="1440"/>
            <w:shd w:fill="FAFAFA" w:val="clear"/>
          </w:tcPr>
          <w:p>
            <w:r>
              <w:rPr>
                <w:sz w:val="17"/>
              </w:rPr>
              <w:t>6,113</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5,047</w:t>
            </w:r>
          </w:p>
        </w:tc>
        <w:tc>
          <w:tcPr>
            <w:tcW w:type="dxa" w:w="1440"/>
            <w:shd w:fill="FAFAFA" w:val="clear"/>
          </w:tcPr>
          <w:p>
            <w:r>
              <w:rPr>
                <w:b/>
                <w:sz w:val="17"/>
              </w:rPr>
              <w:t>5,606</w:t>
            </w:r>
          </w:p>
        </w:tc>
        <w:tc>
          <w:tcPr>
            <w:tcW w:type="dxa" w:w="1440"/>
            <w:shd w:fill="FAFAFA" w:val="clear"/>
          </w:tcPr>
          <w:p>
            <w:r>
              <w:rPr>
                <w:sz w:val="17"/>
              </w:rPr>
              <w:t>6,164</w:t>
            </w:r>
          </w:p>
        </w:tc>
        <w:tc>
          <w:tcPr>
            <w:tcW w:type="dxa" w:w="1440"/>
            <w:shd w:fill="FAFAFA" w:val="clear"/>
          </w:tcPr>
          <w:p>
            <w:r>
              <w:rPr>
                <w:b/>
                <w:color w:val="C00000"/>
                <w:sz w:val="17"/>
              </w:rPr>
              <w:t>-1.7%</w:t>
            </w:r>
          </w:p>
        </w:tc>
      </w:tr>
      <w:tr>
        <w:tc>
          <w:tcPr>
            <w:tcW w:type="dxa" w:w="1440"/>
            <w:shd w:fill="FFDCE0" w:val="clear"/>
          </w:tcPr>
          <w:p>
            <w:r>
              <w:rPr>
                <w:sz w:val="17"/>
              </w:rPr>
              <w:t>J+4  ⭐</w:t>
            </w:r>
          </w:p>
        </w:tc>
        <w:tc>
          <w:tcPr>
            <w:tcW w:type="dxa" w:w="1440"/>
            <w:shd w:fill="FFDCE0" w:val="clear"/>
          </w:tcPr>
          <w:p>
            <w:r>
              <w:rPr>
                <w:sz w:val="17"/>
              </w:rPr>
              <w:t>2026-10-22</w:t>
            </w:r>
          </w:p>
        </w:tc>
        <w:tc>
          <w:tcPr>
            <w:tcW w:type="dxa" w:w="1440"/>
            <w:shd w:fill="FFDCE0" w:val="clear"/>
          </w:tcPr>
          <w:p>
            <w:r>
              <w:rPr>
                <w:sz w:val="17"/>
              </w:rPr>
              <w:t>4,918</w:t>
            </w:r>
          </w:p>
        </w:tc>
        <w:tc>
          <w:tcPr>
            <w:tcW w:type="dxa" w:w="1440"/>
            <w:shd w:fill="FFDCE0" w:val="clear"/>
          </w:tcPr>
          <w:p>
            <w:r>
              <w:rPr>
                <w:b/>
                <w:sz w:val="17"/>
              </w:rPr>
              <w:t>5,557</w:t>
            </w:r>
          </w:p>
        </w:tc>
        <w:tc>
          <w:tcPr>
            <w:tcW w:type="dxa" w:w="1440"/>
            <w:shd w:fill="FFDCE0" w:val="clear"/>
          </w:tcPr>
          <w:p>
            <w:r>
              <w:rPr>
                <w:sz w:val="17"/>
              </w:rPr>
              <w:t>6,196</w:t>
            </w:r>
          </w:p>
        </w:tc>
        <w:tc>
          <w:tcPr>
            <w:tcW w:type="dxa" w:w="1440"/>
            <w:shd w:fill="FFDCE0" w:val="clear"/>
          </w:tcPr>
          <w:p>
            <w:r>
              <w:rPr>
                <w:b/>
                <w:color w:val="C00000"/>
                <w:sz w:val="17"/>
              </w:rPr>
              <w:t>-2.5%</w:t>
            </w:r>
          </w:p>
        </w:tc>
      </w:tr>
      <w:tr>
        <w:tc>
          <w:tcPr>
            <w:tcW w:type="dxa" w:w="1440"/>
            <w:shd w:fill="FFDCE0" w:val="clear"/>
          </w:tcPr>
          <w:p>
            <w:r>
              <w:rPr>
                <w:sz w:val="17"/>
              </w:rPr>
              <w:t>J+5  ⭐</w:t>
            </w:r>
          </w:p>
        </w:tc>
        <w:tc>
          <w:tcPr>
            <w:tcW w:type="dxa" w:w="1440"/>
            <w:shd w:fill="FFDCE0" w:val="clear"/>
          </w:tcPr>
          <w:p>
            <w:r>
              <w:rPr>
                <w:sz w:val="17"/>
              </w:rPr>
              <w:t>2026-10-23</w:t>
            </w:r>
          </w:p>
        </w:tc>
        <w:tc>
          <w:tcPr>
            <w:tcW w:type="dxa" w:w="1440"/>
            <w:shd w:fill="FFDCE0" w:val="clear"/>
          </w:tcPr>
          <w:p>
            <w:r>
              <w:rPr>
                <w:sz w:val="17"/>
              </w:rPr>
              <w:t>4,803</w:t>
            </w:r>
          </w:p>
        </w:tc>
        <w:tc>
          <w:tcPr>
            <w:tcW w:type="dxa" w:w="1440"/>
            <w:shd w:fill="FFDCE0" w:val="clear"/>
          </w:tcPr>
          <w:p>
            <w:r>
              <w:rPr>
                <w:b/>
                <w:sz w:val="17"/>
              </w:rPr>
              <w:t>5,511</w:t>
            </w:r>
          </w:p>
        </w:tc>
        <w:tc>
          <w:tcPr>
            <w:tcW w:type="dxa" w:w="1440"/>
            <w:shd w:fill="FFDCE0" w:val="clear"/>
          </w:tcPr>
          <w:p>
            <w:r>
              <w:rPr>
                <w:sz w:val="17"/>
              </w:rPr>
              <w:t>6,220</w:t>
            </w:r>
          </w:p>
        </w:tc>
        <w:tc>
          <w:tcPr>
            <w:tcW w:type="dxa" w:w="1440"/>
            <w:shd w:fill="FFDCE0" w:val="clear"/>
          </w:tcPr>
          <w:p>
            <w:r>
              <w:rPr>
                <w:b/>
                <w:color w:val="C00000"/>
                <w:sz w:val="17"/>
              </w:rPr>
              <w:t>-3.3%</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4,698</w:t>
            </w:r>
          </w:p>
        </w:tc>
        <w:tc>
          <w:tcPr>
            <w:tcW w:type="dxa" w:w="1440"/>
            <w:shd w:fill="FFDCE0" w:val="clear"/>
          </w:tcPr>
          <w:p>
            <w:r>
              <w:rPr>
                <w:b/>
                <w:sz w:val="17"/>
              </w:rPr>
              <w:t>5,468</w:t>
            </w:r>
          </w:p>
        </w:tc>
        <w:tc>
          <w:tcPr>
            <w:tcW w:type="dxa" w:w="1440"/>
            <w:shd w:fill="FFDCE0" w:val="clear"/>
          </w:tcPr>
          <w:p>
            <w:r>
              <w:rPr>
                <w:sz w:val="17"/>
              </w:rPr>
              <w:t>6,239</w:t>
            </w:r>
          </w:p>
        </w:tc>
        <w:tc>
          <w:tcPr>
            <w:tcW w:type="dxa" w:w="1440"/>
            <w:shd w:fill="FFDCE0" w:val="clear"/>
          </w:tcPr>
          <w:p>
            <w:r>
              <w:rPr>
                <w:b/>
                <w:color w:val="C00000"/>
                <w:sz w:val="17"/>
              </w:rPr>
              <w:t>-4.1%</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4,602</w:t>
            </w:r>
          </w:p>
        </w:tc>
        <w:tc>
          <w:tcPr>
            <w:tcW w:type="dxa" w:w="1440"/>
            <w:shd w:fill="FFDCE0" w:val="clear"/>
          </w:tcPr>
          <w:p>
            <w:r>
              <w:rPr>
                <w:b/>
                <w:sz w:val="17"/>
              </w:rPr>
              <w:t>5,428</w:t>
            </w:r>
          </w:p>
        </w:tc>
        <w:tc>
          <w:tcPr>
            <w:tcW w:type="dxa" w:w="1440"/>
            <w:shd w:fill="FFDCE0" w:val="clear"/>
          </w:tcPr>
          <w:p>
            <w:r>
              <w:rPr>
                <w:sz w:val="17"/>
              </w:rPr>
              <w:t>6,253</w:t>
            </w:r>
          </w:p>
        </w:tc>
        <w:tc>
          <w:tcPr>
            <w:tcW w:type="dxa" w:w="1440"/>
            <w:shd w:fill="FFDCE0" w:val="clear"/>
          </w:tcPr>
          <w:p>
            <w:r>
              <w:rPr>
                <w:b/>
                <w:color w:val="C00000"/>
                <w:sz w:val="17"/>
              </w:rPr>
              <w:t>-4.8%</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4,513</w:t>
            </w:r>
          </w:p>
        </w:tc>
        <w:tc>
          <w:tcPr>
            <w:tcW w:type="dxa" w:w="1440"/>
            <w:shd w:fill="FFDCE0" w:val="clear"/>
          </w:tcPr>
          <w:p>
            <w:r>
              <w:rPr>
                <w:b/>
                <w:sz w:val="17"/>
              </w:rPr>
              <w:t>5,389</w:t>
            </w:r>
          </w:p>
        </w:tc>
        <w:tc>
          <w:tcPr>
            <w:tcW w:type="dxa" w:w="1440"/>
            <w:shd w:fill="FFDCE0" w:val="clear"/>
          </w:tcPr>
          <w:p>
            <w:r>
              <w:rPr>
                <w:sz w:val="17"/>
              </w:rPr>
              <w:t>6,266</w:t>
            </w:r>
          </w:p>
        </w:tc>
        <w:tc>
          <w:tcPr>
            <w:tcW w:type="dxa" w:w="1440"/>
            <w:shd w:fill="FFDCE0" w:val="clear"/>
          </w:tcPr>
          <w:p>
            <w:r>
              <w:rPr>
                <w:b/>
                <w:color w:val="C00000"/>
                <w:sz w:val="17"/>
              </w:rPr>
              <w:t>-5.5%</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4,429</w:t>
            </w:r>
          </w:p>
        </w:tc>
        <w:tc>
          <w:tcPr>
            <w:tcW w:type="dxa" w:w="1440"/>
            <w:shd w:fill="FFDCE0" w:val="clear"/>
          </w:tcPr>
          <w:p>
            <w:r>
              <w:rPr>
                <w:b/>
                <w:sz w:val="17"/>
              </w:rPr>
              <w:t>5,352</w:t>
            </w:r>
          </w:p>
        </w:tc>
        <w:tc>
          <w:tcPr>
            <w:tcW w:type="dxa" w:w="1440"/>
            <w:shd w:fill="FFDCE0" w:val="clear"/>
          </w:tcPr>
          <w:p>
            <w:r>
              <w:rPr>
                <w:sz w:val="17"/>
              </w:rPr>
              <w:t>6,276</w:t>
            </w:r>
          </w:p>
        </w:tc>
        <w:tc>
          <w:tcPr>
            <w:tcW w:type="dxa" w:w="1440"/>
            <w:shd w:fill="FFDCE0" w:val="clear"/>
          </w:tcPr>
          <w:p>
            <w:r>
              <w:rPr>
                <w:b/>
                <w:color w:val="C00000"/>
                <w:sz w:val="17"/>
              </w:rPr>
              <w:t>-6.1%</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4,350</w:t>
            </w:r>
          </w:p>
        </w:tc>
        <w:tc>
          <w:tcPr>
            <w:tcW w:type="dxa" w:w="1440"/>
            <w:shd w:fill="FFDCE0" w:val="clear"/>
          </w:tcPr>
          <w:p>
            <w:r>
              <w:rPr>
                <w:b/>
                <w:sz w:val="17"/>
              </w:rPr>
              <w:t>5,317</w:t>
            </w:r>
          </w:p>
        </w:tc>
        <w:tc>
          <w:tcPr>
            <w:tcW w:type="dxa" w:w="1440"/>
            <w:shd w:fill="FFDCE0" w:val="clear"/>
          </w:tcPr>
          <w:p>
            <w:r>
              <w:rPr>
                <w:sz w:val="17"/>
              </w:rPr>
              <w:t>6,284</w:t>
            </w:r>
          </w:p>
        </w:tc>
        <w:tc>
          <w:tcPr>
            <w:tcW w:type="dxa" w:w="1440"/>
            <w:shd w:fill="FFDCE0" w:val="clear"/>
          </w:tcPr>
          <w:p>
            <w:r>
              <w:rPr>
                <w:b/>
                <w:color w:val="C00000"/>
                <w:sz w:val="17"/>
              </w:rPr>
              <w:t>-6.7%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 RAPPORT D'ANALYSE FINANCIÈRE — BOA MALI (BOAM)</w:t>
        <w:br/>
        <w:t>### 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BOAM s'établit à **156,47 milliards FCFA**, un niveau significatif à l'échelle de la BRVM qui positionne la banque parmi les valeurs bancaires de premier plan de la côte. Le **BPA de 404 FCFA par action** traduit la profitabilité directe revenant à chaque titre détenu, tandis que le **PER de 14,1x** — supérieur à la moyenne BRVM (8-12x) — indique que les investisseurs acceptent de payer une prime modérée pour les bénéfices de la banque, cohérente avec sa qualité de signature et sa résilience historique. Le **P/B de 3,14x** confirme cette prime de croissance : le marché valorise l'action à plus de trois fois sa valeur comptable, signe de confiance dans la capacité bénéficiaire future. Enfin, l'**EV/EBITDA de 7,0x**, situé dans la fourchette raisonnable (5-10x), suggère que la valeur d'entreprise reste proportionnée à la capacité opérationnelle de génération de résultats. L'ensemble dessine une valorisation **modérément exigeante mais justifiée**, sans excès spéculatif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BOAM affiche une **variation totale de +14,00%**, avec une dernière séance stable (**J-1 : +0,00%**) à **5 700 FCFA**. Le range de trading est large, entre un plus bas de **4 425 FCFA** et un plus haut de **7 195 FCFA**, soit une amplitude de près de 63% qui témoigne d'une réelle animation du titre. La tendance générale est **haussière sur la période**, mais le cours actuel se situe dans la moitié basse du range, suggérant une phase de correction après un pic. Les statistiques descriptives révèlent une distribution remarquablement équilibrée : la **moyenne (5 711 FCFA)** et la **médiane (5 692 FCFA)** sont quasi confondues, et le **mode (5 700 FCFA)** coïncide avec le cours actuel — signe d'un prix d'équilibre bien ancré. L'**écart-type de 744 FCFA (CV = 13,0%)** indique une dispersion modérée, tandis que le **kurtosis de -0,878 (mésokurtique)** et le **skewness de 0,005 (symétrique)** confirment l'absence de pics extrêmes ou d'asymétrie directionnelle — un profil de risque relativement maîtrisé. La **volatilité annualisée de 43,9%** classe toutefois le titre dans la catégorie **élevée (&gt;30%)**, ce qui impose une gestion prudente des positions.</w:t>
      </w:r>
    </w:p>
    <w:p>
      <w:pPr>
        <w:spacing w:after="120" w:line="276" w:lineRule="auto"/>
      </w:pPr>
      <w:r>
        <w:t>---</w:t>
      </w:r>
    </w:p>
    <w:p>
      <w:pPr>
        <w:spacing w:after="120" w:line="276" w:lineRule="auto"/>
      </w:pPr>
      <w:r>
        <w:t>## PARTIE 2 : ANALYSE TECHNIQUE DÉTAILLÉE</w:t>
      </w:r>
    </w:p>
    <w:p>
      <w:pPr>
        <w:spacing w:after="120" w:line="276" w:lineRule="auto"/>
      </w:pPr>
      <w:r>
        <w:t>**Moyennes Mobiles** : La MM20 (6 050,5 FCFA) et la MM50 (6 305,6 FCFA) se situent toutes deux **au-dessus du cours actuel** (5 700 FCFA), et la MM20 est elle-même sous la MM50 — configuration baissière caractéristique. Le cours évoluant sous ses deux moyennes, la décision technique est **Vente**, signalant une pression vendeuse persistante à court et moyen terme.</w:t>
      </w:r>
    </w:p>
    <w:p>
      <w:pPr>
        <w:spacing w:after="120" w:line="276" w:lineRule="auto"/>
      </w:pPr>
      <w:r>
        <w:t>**Bandes de Bollinger** : Le cours (5 700 FCFA) se situe dans la partie basse de la bande, entre la borne inférieure (5 545,4 FCFA) et la borne supérieure (6 555,6 FCFA), sans en franchir les limites. Cette position proche du bas de bande traduit une volatilité contenue et une absence de signal extrême, justifiant la décision **Neutre** — le titre n'est ni en survente technique franche ni en surachat.</w:t>
      </w:r>
    </w:p>
    <w:p>
      <w:pPr>
        <w:spacing w:after="120" w:line="276" w:lineRule="auto"/>
      </w:pPr>
      <w:r>
        <w:t>**MACD** : La valeur du MACD (-142,011) est **inférieure à sa ligne de signal** (-101,291), avec un histogramme négatif qui confirme un momentum baissier. La divergence négative persistante plaide pour la décision **Vente**, bien que l'écart entre les deux lignes commence à se stabiliser, suggérant un essoufflement possible de la pression baissière.</w:t>
      </w:r>
    </w:p>
    <w:p>
      <w:pPr>
        <w:spacing w:after="120" w:line="276" w:lineRule="auto"/>
      </w:pPr>
      <w:r>
        <w:t>**RSI** : À **17,582**, le RSI se situe très nettement **sous le seuil de survente (30)**, un niveau extrême qui historiquement précède souvent un rebond technique. La décision **Achat** est ainsi justifiée : le titre est techniquement survendu et présente un potentiel de correction haussière à court terme.</w:t>
      </w:r>
    </w:p>
    <w:p>
      <w:pPr>
        <w:spacing w:after="120" w:line="276" w:lineRule="auto"/>
      </w:pPr>
      <w:r>
        <w:t>**Stochastique** : Le %K à **0,0** et le %D à **9,35** placent l'indicateur en **zone de survente profonde**, avec un %K au plancher absolu. Cette configuration extrême, bien que signalant une faiblesse immédiate, est classiquement interprétée comme un signal **Achat** en anticipation d'un retournement.</w:t>
      </w:r>
    </w:p>
    <w:p>
      <w:pPr>
        <w:spacing w:after="120" w:line="276" w:lineRule="auto"/>
      </w:pPr>
      <w:r>
        <w:t>**Conclusion technique** : Les indicateurs présentent une **divergence marquée** : les moyennes mobiles et le MACD confirment une tendance baissière de fond, tandis que le RSI (17,6) et le stochastique (0,0) signalent une survente extrême propice à un rebond. Cette configuration duale — tendance baissière mais survente technique — suggère un **point d'inflexion potentiel** : le titre pourrait connaître un rebond à court terme, mais la prudence reste de mise tant que le cours n'aura pas reconquis la MM20 (6 050 FCFA). Un signal d'achat contrariant ne se confirmera qu'avec un croisement haussier du MACD ou une sortie du RSI de la zone de survente.</w:t>
      </w:r>
    </w:p>
    <w:p>
      <w:pPr>
        <w:spacing w:after="120" w:line="276" w:lineRule="auto"/>
      </w:pPr>
      <w:r>
        <w:t>---</w:t>
      </w:r>
    </w:p>
    <w:p>
      <w:pPr>
        <w:spacing w:after="120" w:line="276" w:lineRule="auto"/>
      </w:pPr>
      <w:r>
        <w:t>## PARTIE 3 : ANALYSE FONDAMENTALE</w:t>
      </w:r>
    </w:p>
    <w:p>
      <w:pPr>
        <w:spacing w:after="120" w:line="276" w:lineRule="auto"/>
      </w:pPr>
      <w:r>
        <w:t>Les **états financiers structurés de l'exercice 2025** (données officielles brvm_donnees_financieres) dressent le portrait d'une banque solide et rentable. Le **Produit Net Bancaire (PNB) s'élève à 37,996 milliards FCFA**, équivalent du chiffre d'affaires pour une banque, pour un **résultat net de 11,081 milliards FCFA** — soit une **marge nette remarquable de 29,16%**. La rentabilité des fonds propres (**ROE de 22,24%**) dépasse largement le seuil d'excellence de 15%, et le **ROA de 1,87%** confirme une bonne efficacité de l'actif. Le **coefficient d'exploitation de 63,14%** reste toutefois supérieur au seuil de 60% définissant une banque efficace, signalant une marge de progression sur la maîtrise des charges. Le **coût du risque rapporté aux charges financières (43,39%)** demeure élevé et constitue le principal point de vigilance sur la qualité du portefeuille de crédits. La structure bilancielle est dominée par les **dépôts clientèle (502,89 milliards FCFA)** face à des **créances clientèle de 253,65 milliards FCFA**, soit un ratio de transformation d'environ 50% — une collecte abondante mais un crédit encore prudent. L'**autonomie financière de 8,40%** est faible (norme &gt;30%), reflet du modèle bancaire à fort levier, mais la **solvabilité générale de 109,16%** et la **capacité de remboursement de 1,79 an** rassurent sur la solidité.</w:t>
      </w:r>
    </w:p>
    <w:p>
      <w:pPr>
        <w:spacing w:after="120" w:line="276" w:lineRule="auto"/>
      </w:pPr>
      <w:r>
        <w:t>Les **rapports narratifs récents** confirment cette dynamique. Le **rapport T1 2026 (daté du 31/03/2026)** affiche un **PNB de 10 322 MFCFA, en hausse de +22,97%** sur un an — accélération spectaculaire. Le **rapport S1 2026 (30/06/2026)** confirme avec un **PNB de 21 987 MFCFA (+17,5%)**, permettant d'**estimer un PNB annuel 2026 autour de 44-45 milliards FCFA**, en croissance de 15-18% sur 2025. Le **rapport S1 2025 (30/06/2025)** avait déjà montré un **résultat net de 6,21 milliards (+28,8%)** grâce à une baisse de 32,7% du coût du risque, et le **rapport 9 mois 2025 (30/09/2025)** un **résultat net cumulé de 9,16 milliards (+26,2%)**. La trajectoire est donc celle d'une **rentabilité en forte accélération**, portée par la croissance du PNB et la normalisation des provisions. La recommandation fondamentale est **solide** : banque rentable, bien capitalisée en dépit d'un levier élevé, avec une dynamique commerciale confirmée — les principaux risques restant le coût du risque et l'environnement macro-sécuritaire malien.</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**désaccord instructif**. Sur le plan de la **valorisation (Partie 0)**, le PER de 14,1x et le P/B de 3,14x traduisent une prime modérée mais réelle, sans sous-évaluation flagrante — le marché intègre déjà la qualité des fondamentaux. Le **comportement du cours (Partie 1)** est ambivalent : tendance haussière sur 100 jours (+14%) mais cours en milieu bas de range, avec une volatilité élevée (43,9%) tempérée par une distribution symétrique et sans pics extrêmes (kurtosis -0,878, skewness 0,005). Les **signaux techniques (Partie 2)** sont franchement divergents : MM et MACD baissiers contre RSI (17,6) et stochastique (0,0) en survente extrême — configuration de rebond potentiel mais non confirmé. Les **fondamentaux (Partie 3)** sont le point d'ancrage positif : ROE de 22,24%, PNB 2025 de 37,996 Mds FCFA, et surtout une **accélération confirmée par les rapports T1 2026 (+22,97%) et S1 2026 (+17,5%)** qui projettent un exercice 2026 en forte croissance. Enfin, les **prédictions IA (J+1 à J+10)** anticipent une **dérive baissière continue de 5 688 à 5 511 FCFA** (-3,3% sur 5 séances), ce qui **contredit le signal de rebond** du RSI/stochastique et **confirme la tendance baissière** des moyennes mobiles.</w:t>
      </w:r>
    </w:p>
    <w:p>
      <w:pPr>
        <w:spacing w:after="120" w:line="276" w:lineRule="auto"/>
      </w:pPr>
      <w:r>
        <w:t>**Recommandation finale : CONSERVER.** La convergence est partielle : fondamentaux excellents et dynamique 2026 prometteuse soutiennent la détention, mais la technique de court terme (MM, MACD, prédictions IA baissières) et la valorisation exigeante (PER 14,1x) plaident contre un achat immédiat. Le titre est **techniquement survendu** (RSI 17,6) mais les prédictions suggèrent que la pression vendeuse pourrait persister quelques séances — un **point d'entrée plus favorable se situerait vers 5 400-5 500 FCFA**, proche de la borne basse de Bollinger (5 545 FCFA). **Niveau de confiance : Moyen** (divergence technique/fondamental). **Niveau de risque : Moyen à Élevé** (volatilité 43,9%, contexte sécuritaire malien, coût du risque élevé). **Horizon optimal : moyen terme (3-12 mois)**, le temps que la survente technique se résorbe et que la croissance 2026 se matérialise dans les publications — les investisseurs déjà positionnés conservent, les nouveaux entrants attendent un repli vers 5 400-5 500 FCFA pour se renforcer.</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10.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97.76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8,693 titres</w:t>
            </w:r>
          </w:p>
        </w:tc>
        <w:tc>
          <w:tcPr>
            <w:tcW w:type="dxa" w:w="2268"/>
            <w:shd w:fill="FFF2CC" w:val="clear"/>
          </w:tcPr>
          <w:p>
            <w:r>
              <w:rPr>
                <w:b/>
                <w:color w:val="503200"/>
                <w:sz w:val="16"/>
              </w:rPr>
              <w:t xml:space="preserve">Cours actuel : </w:t>
            </w:r>
            <w:r>
              <w:rPr>
                <w:color w:val="000000"/>
                <w:sz w:val="17"/>
              </w:rPr>
              <w:t>4,700 FCFA</w:t>
            </w:r>
          </w:p>
          <w:p>
            <w:r>
              <w:rPr>
                <w:b/>
                <w:color w:val="503200"/>
                <w:sz w:val="16"/>
              </w:rPr>
              <w:t xml:space="preserve">Var. 100 jours : </w:t>
            </w:r>
            <w:r>
              <w:rPr>
                <w:b/>
                <w:color w:val="007800"/>
                <w:sz w:val="17"/>
              </w:rPr>
              <w:t>+25.67%</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3,695 FCFA</w:t>
            </w:r>
          </w:p>
          <w:p>
            <w:r>
              <w:rPr>
                <w:b/>
                <w:color w:val="503200"/>
                <w:sz w:val="16"/>
              </w:rPr>
              <w:t xml:space="preserve">Volatilité ann. : </w:t>
            </w:r>
            <w:r>
              <w:rPr>
                <w:color w:val="000000"/>
                <w:sz w:val="17"/>
              </w:rPr>
              <w:t>43.3%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20.5/100 → Moyen</w:t>
      </w:r>
    </w:p>
    <w:p>
      <w:pPr>
        <w:spacing w:before="40" w:after="80"/>
      </w:pPr>
      <w:r>
        <w:rPr>
          <w:rFonts w:ascii="Courier New" w:hAnsi="Courier New"/>
          <w:color w:val="825A00"/>
          <w:sz w:val="18"/>
        </w:rPr>
        <w:t>████░░░░░░░░░░░░░░░░  20.5/100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13.51% (Moyenne) — μ=4,776 FCFA, σ=645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β=1.2635 (Agressif) — Cov=0.000097, Var(idx)=0.000077, ρ=0.404,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8,693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σ_j=2.73%/j (Stable) — Vol. annualisée≈43.3%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4,464</w:t>
            </w:r>
          </w:p>
        </w:tc>
        <w:tc>
          <w:tcPr>
            <w:tcW w:type="dxa" w:w="1440"/>
            <w:shd w:fill="FAFAFA" w:val="clear"/>
          </w:tcPr>
          <w:p>
            <w:r>
              <w:rPr>
                <w:b/>
                <w:sz w:val="17"/>
              </w:rPr>
              <w:t>4,742</w:t>
            </w:r>
          </w:p>
        </w:tc>
        <w:tc>
          <w:tcPr>
            <w:tcW w:type="dxa" w:w="1440"/>
            <w:shd w:fill="FAFAFA" w:val="clear"/>
          </w:tcPr>
          <w:p>
            <w:r>
              <w:rPr>
                <w:sz w:val="17"/>
              </w:rPr>
              <w:t>5,020</w:t>
            </w:r>
          </w:p>
        </w:tc>
        <w:tc>
          <w:tcPr>
            <w:tcW w:type="dxa" w:w="1440"/>
            <w:shd w:fill="FAFAFA" w:val="clear"/>
          </w:tcPr>
          <w:p>
            <w:r>
              <w:rPr>
                <w:b/>
                <w:color w:val="008000"/>
                <w:sz w:val="17"/>
              </w:rPr>
              <w:t>+0.9%</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4,366</w:t>
            </w:r>
          </w:p>
        </w:tc>
        <w:tc>
          <w:tcPr>
            <w:tcW w:type="dxa" w:w="1440"/>
            <w:shd w:fill="FAFAFA" w:val="clear"/>
          </w:tcPr>
          <w:p>
            <w:r>
              <w:rPr>
                <w:b/>
                <w:sz w:val="17"/>
              </w:rPr>
              <w:t>4,761</w:t>
            </w:r>
          </w:p>
        </w:tc>
        <w:tc>
          <w:tcPr>
            <w:tcW w:type="dxa" w:w="1440"/>
            <w:shd w:fill="FAFAFA" w:val="clear"/>
          </w:tcPr>
          <w:p>
            <w:r>
              <w:rPr>
                <w:sz w:val="17"/>
              </w:rPr>
              <w:t>5,156</w:t>
            </w:r>
          </w:p>
        </w:tc>
        <w:tc>
          <w:tcPr>
            <w:tcW w:type="dxa" w:w="1440"/>
            <w:shd w:fill="FAFAFA" w:val="clear"/>
          </w:tcPr>
          <w:p>
            <w:r>
              <w:rPr>
                <w:b/>
                <w:color w:val="008000"/>
                <w:sz w:val="17"/>
              </w:rPr>
              <w:t>+1.3%</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4,298</w:t>
            </w:r>
          </w:p>
        </w:tc>
        <w:tc>
          <w:tcPr>
            <w:tcW w:type="dxa" w:w="1440"/>
            <w:shd w:fill="FAFAFA" w:val="clear"/>
          </w:tcPr>
          <w:p>
            <w:r>
              <w:rPr>
                <w:b/>
                <w:sz w:val="17"/>
              </w:rPr>
              <w:t>4,784</w:t>
            </w:r>
          </w:p>
        </w:tc>
        <w:tc>
          <w:tcPr>
            <w:tcW w:type="dxa" w:w="1440"/>
            <w:shd w:fill="FAFAFA" w:val="clear"/>
          </w:tcPr>
          <w:p>
            <w:r>
              <w:rPr>
                <w:sz w:val="17"/>
              </w:rPr>
              <w:t>5,270</w:t>
            </w:r>
          </w:p>
        </w:tc>
        <w:tc>
          <w:tcPr>
            <w:tcW w:type="dxa" w:w="1440"/>
            <w:shd w:fill="FAFAFA" w:val="clear"/>
          </w:tcPr>
          <w:p>
            <w:r>
              <w:rPr>
                <w:b/>
                <w:color w:val="008000"/>
                <w:sz w:val="17"/>
              </w:rPr>
              <w:t>+1.8%</w:t>
            </w:r>
          </w:p>
        </w:tc>
      </w:tr>
      <w:tr>
        <w:tc>
          <w:tcPr>
            <w:tcW w:type="dxa" w:w="1440"/>
            <w:shd w:fill="C6EFCE" w:val="clear"/>
          </w:tcPr>
          <w:p>
            <w:r>
              <w:rPr>
                <w:sz w:val="17"/>
              </w:rPr>
              <w:t>J+4  ⭐</w:t>
            </w:r>
          </w:p>
        </w:tc>
        <w:tc>
          <w:tcPr>
            <w:tcW w:type="dxa" w:w="1440"/>
            <w:shd w:fill="C6EFCE" w:val="clear"/>
          </w:tcPr>
          <w:p>
            <w:r>
              <w:rPr>
                <w:sz w:val="17"/>
              </w:rPr>
              <w:t>2026-10-22</w:t>
            </w:r>
          </w:p>
        </w:tc>
        <w:tc>
          <w:tcPr>
            <w:tcW w:type="dxa" w:w="1440"/>
            <w:shd w:fill="C6EFCE" w:val="clear"/>
          </w:tcPr>
          <w:p>
            <w:r>
              <w:rPr>
                <w:sz w:val="17"/>
              </w:rPr>
              <w:t>4,244</w:t>
            </w:r>
          </w:p>
        </w:tc>
        <w:tc>
          <w:tcPr>
            <w:tcW w:type="dxa" w:w="1440"/>
            <w:shd w:fill="C6EFCE" w:val="clear"/>
          </w:tcPr>
          <w:p>
            <w:r>
              <w:rPr>
                <w:b/>
                <w:sz w:val="17"/>
              </w:rPr>
              <w:t>4,808</w:t>
            </w:r>
          </w:p>
        </w:tc>
        <w:tc>
          <w:tcPr>
            <w:tcW w:type="dxa" w:w="1440"/>
            <w:shd w:fill="C6EFCE" w:val="clear"/>
          </w:tcPr>
          <w:p>
            <w:r>
              <w:rPr>
                <w:sz w:val="17"/>
              </w:rPr>
              <w:t>5,372</w:t>
            </w:r>
          </w:p>
        </w:tc>
        <w:tc>
          <w:tcPr>
            <w:tcW w:type="dxa" w:w="1440"/>
            <w:shd w:fill="C6EFCE" w:val="clear"/>
          </w:tcPr>
          <w:p>
            <w:r>
              <w:rPr>
                <w:b/>
                <w:color w:val="008000"/>
                <w:sz w:val="17"/>
              </w:rPr>
              <w:t>+2.3%</w:t>
            </w:r>
          </w:p>
        </w:tc>
      </w:tr>
      <w:tr>
        <w:tc>
          <w:tcPr>
            <w:tcW w:type="dxa" w:w="1440"/>
            <w:shd w:fill="C6EFCE" w:val="clear"/>
          </w:tcPr>
          <w:p>
            <w:r>
              <w:rPr>
                <w:sz w:val="17"/>
              </w:rPr>
              <w:t>J+5  ⭐</w:t>
            </w:r>
          </w:p>
        </w:tc>
        <w:tc>
          <w:tcPr>
            <w:tcW w:type="dxa" w:w="1440"/>
            <w:shd w:fill="C6EFCE" w:val="clear"/>
          </w:tcPr>
          <w:p>
            <w:r>
              <w:rPr>
                <w:sz w:val="17"/>
              </w:rPr>
              <w:t>2026-10-23</w:t>
            </w:r>
          </w:p>
        </w:tc>
        <w:tc>
          <w:tcPr>
            <w:tcW w:type="dxa" w:w="1440"/>
            <w:shd w:fill="C6EFCE" w:val="clear"/>
          </w:tcPr>
          <w:p>
            <w:r>
              <w:rPr>
                <w:sz w:val="17"/>
              </w:rPr>
              <w:t>4,198</w:t>
            </w:r>
          </w:p>
        </w:tc>
        <w:tc>
          <w:tcPr>
            <w:tcW w:type="dxa" w:w="1440"/>
            <w:shd w:fill="C6EFCE" w:val="clear"/>
          </w:tcPr>
          <w:p>
            <w:r>
              <w:rPr>
                <w:b/>
                <w:sz w:val="17"/>
              </w:rPr>
              <w:t>4,831</w:t>
            </w:r>
          </w:p>
        </w:tc>
        <w:tc>
          <w:tcPr>
            <w:tcW w:type="dxa" w:w="1440"/>
            <w:shd w:fill="C6EFCE" w:val="clear"/>
          </w:tcPr>
          <w:p>
            <w:r>
              <w:rPr>
                <w:sz w:val="17"/>
              </w:rPr>
              <w:t>5,465</w:t>
            </w:r>
          </w:p>
        </w:tc>
        <w:tc>
          <w:tcPr>
            <w:tcW w:type="dxa" w:w="1440"/>
            <w:shd w:fill="C6EFCE" w:val="clear"/>
          </w:tcPr>
          <w:p>
            <w:r>
              <w:rPr>
                <w:b/>
                <w:color w:val="008000"/>
                <w:sz w:val="17"/>
              </w:rPr>
              <w:t>+2.8%</w:t>
            </w:r>
          </w:p>
        </w:tc>
      </w:tr>
      <w:tr>
        <w:tc>
          <w:tcPr>
            <w:tcW w:type="dxa" w:w="1440"/>
            <w:shd w:fill="C6EFCE" w:val="clear"/>
          </w:tcPr>
          <w:p>
            <w:r>
              <w:rPr>
                <w:sz w:val="17"/>
              </w:rPr>
              <w:t>J+6  ⭐</w:t>
            </w:r>
          </w:p>
        </w:tc>
        <w:tc>
          <w:tcPr>
            <w:tcW w:type="dxa" w:w="1440"/>
            <w:shd w:fill="C6EFCE" w:val="clear"/>
          </w:tcPr>
          <w:p>
            <w:r>
              <w:rPr>
                <w:sz w:val="17"/>
              </w:rPr>
              <w:t>2026-10-26</w:t>
            </w:r>
          </w:p>
        </w:tc>
        <w:tc>
          <w:tcPr>
            <w:tcW w:type="dxa" w:w="1440"/>
            <w:shd w:fill="C6EFCE" w:val="clear"/>
          </w:tcPr>
          <w:p>
            <w:r>
              <w:rPr>
                <w:sz w:val="17"/>
              </w:rPr>
              <w:t>4,157</w:t>
            </w:r>
          </w:p>
        </w:tc>
        <w:tc>
          <w:tcPr>
            <w:tcW w:type="dxa" w:w="1440"/>
            <w:shd w:fill="C6EFCE" w:val="clear"/>
          </w:tcPr>
          <w:p>
            <w:r>
              <w:rPr>
                <w:b/>
                <w:sz w:val="17"/>
              </w:rPr>
              <w:t>4,855</w:t>
            </w:r>
          </w:p>
        </w:tc>
        <w:tc>
          <w:tcPr>
            <w:tcW w:type="dxa" w:w="1440"/>
            <w:shd w:fill="C6EFCE" w:val="clear"/>
          </w:tcPr>
          <w:p>
            <w:r>
              <w:rPr>
                <w:sz w:val="17"/>
              </w:rPr>
              <w:t>5,553</w:t>
            </w:r>
          </w:p>
        </w:tc>
        <w:tc>
          <w:tcPr>
            <w:tcW w:type="dxa" w:w="1440"/>
            <w:shd w:fill="C6EFCE" w:val="clear"/>
          </w:tcPr>
          <w:p>
            <w:r>
              <w:rPr>
                <w:b/>
                <w:color w:val="008000"/>
                <w:sz w:val="17"/>
              </w:rPr>
              <w:t>+3.3%</w:t>
            </w:r>
          </w:p>
        </w:tc>
      </w:tr>
      <w:tr>
        <w:tc>
          <w:tcPr>
            <w:tcW w:type="dxa" w:w="1440"/>
            <w:shd w:fill="C6EFCE" w:val="clear"/>
          </w:tcPr>
          <w:p>
            <w:r>
              <w:rPr>
                <w:sz w:val="17"/>
              </w:rPr>
              <w:t>J+7  ⭐</w:t>
            </w:r>
          </w:p>
        </w:tc>
        <w:tc>
          <w:tcPr>
            <w:tcW w:type="dxa" w:w="1440"/>
            <w:shd w:fill="C6EFCE" w:val="clear"/>
          </w:tcPr>
          <w:p>
            <w:r>
              <w:rPr>
                <w:sz w:val="17"/>
              </w:rPr>
              <w:t>2026-10-27</w:t>
            </w:r>
          </w:p>
        </w:tc>
        <w:tc>
          <w:tcPr>
            <w:tcW w:type="dxa" w:w="1440"/>
            <w:shd w:fill="C6EFCE" w:val="clear"/>
          </w:tcPr>
          <w:p>
            <w:r>
              <w:rPr>
                <w:sz w:val="17"/>
              </w:rPr>
              <w:t>4,121</w:t>
            </w:r>
          </w:p>
        </w:tc>
        <w:tc>
          <w:tcPr>
            <w:tcW w:type="dxa" w:w="1440"/>
            <w:shd w:fill="C6EFCE" w:val="clear"/>
          </w:tcPr>
          <w:p>
            <w:r>
              <w:rPr>
                <w:b/>
                <w:sz w:val="17"/>
              </w:rPr>
              <w:t>4,878</w:t>
            </w:r>
          </w:p>
        </w:tc>
        <w:tc>
          <w:tcPr>
            <w:tcW w:type="dxa" w:w="1440"/>
            <w:shd w:fill="C6EFCE" w:val="clear"/>
          </w:tcPr>
          <w:p>
            <w:r>
              <w:rPr>
                <w:sz w:val="17"/>
              </w:rPr>
              <w:t>5,635</w:t>
            </w:r>
          </w:p>
        </w:tc>
        <w:tc>
          <w:tcPr>
            <w:tcW w:type="dxa" w:w="1440"/>
            <w:shd w:fill="C6EFCE" w:val="clear"/>
          </w:tcPr>
          <w:p>
            <w:r>
              <w:rPr>
                <w:b/>
                <w:color w:val="008000"/>
                <w:sz w:val="17"/>
              </w:rPr>
              <w:t>+3.8%</w:t>
            </w:r>
          </w:p>
        </w:tc>
      </w:tr>
      <w:tr>
        <w:tc>
          <w:tcPr>
            <w:tcW w:type="dxa" w:w="1440"/>
            <w:shd w:fill="C6EFCE" w:val="clear"/>
          </w:tcPr>
          <w:p>
            <w:r>
              <w:rPr>
                <w:sz w:val="17"/>
              </w:rPr>
              <w:t>J+8  ⭐</w:t>
            </w:r>
          </w:p>
        </w:tc>
        <w:tc>
          <w:tcPr>
            <w:tcW w:type="dxa" w:w="1440"/>
            <w:shd w:fill="C6EFCE" w:val="clear"/>
          </w:tcPr>
          <w:p>
            <w:r>
              <w:rPr>
                <w:sz w:val="17"/>
              </w:rPr>
              <w:t>2026-10-28</w:t>
            </w:r>
          </w:p>
        </w:tc>
        <w:tc>
          <w:tcPr>
            <w:tcW w:type="dxa" w:w="1440"/>
            <w:shd w:fill="C6EFCE" w:val="clear"/>
          </w:tcPr>
          <w:p>
            <w:r>
              <w:rPr>
                <w:sz w:val="17"/>
              </w:rPr>
              <w:t>4,088</w:t>
            </w:r>
          </w:p>
        </w:tc>
        <w:tc>
          <w:tcPr>
            <w:tcW w:type="dxa" w:w="1440"/>
            <w:shd w:fill="C6EFCE" w:val="clear"/>
          </w:tcPr>
          <w:p>
            <w:r>
              <w:rPr>
                <w:b/>
                <w:sz w:val="17"/>
              </w:rPr>
              <w:t>4,901</w:t>
            </w:r>
          </w:p>
        </w:tc>
        <w:tc>
          <w:tcPr>
            <w:tcW w:type="dxa" w:w="1440"/>
            <w:shd w:fill="C6EFCE" w:val="clear"/>
          </w:tcPr>
          <w:p>
            <w:r>
              <w:rPr>
                <w:sz w:val="17"/>
              </w:rPr>
              <w:t>5,715</w:t>
            </w:r>
          </w:p>
        </w:tc>
        <w:tc>
          <w:tcPr>
            <w:tcW w:type="dxa" w:w="1440"/>
            <w:shd w:fill="C6EFCE" w:val="clear"/>
          </w:tcPr>
          <w:p>
            <w:r>
              <w:rPr>
                <w:b/>
                <w:color w:val="008000"/>
                <w:sz w:val="17"/>
              </w:rPr>
              <w:t>+4.3%</w:t>
            </w:r>
          </w:p>
        </w:tc>
      </w:tr>
      <w:tr>
        <w:tc>
          <w:tcPr>
            <w:tcW w:type="dxa" w:w="1440"/>
            <w:shd w:fill="C6EFCE" w:val="clear"/>
          </w:tcPr>
          <w:p>
            <w:r>
              <w:rPr>
                <w:sz w:val="17"/>
              </w:rPr>
              <w:t>J+9  ⭐</w:t>
            </w:r>
          </w:p>
        </w:tc>
        <w:tc>
          <w:tcPr>
            <w:tcW w:type="dxa" w:w="1440"/>
            <w:shd w:fill="C6EFCE" w:val="clear"/>
          </w:tcPr>
          <w:p>
            <w:r>
              <w:rPr>
                <w:sz w:val="17"/>
              </w:rPr>
              <w:t>2026-10-29</w:t>
            </w:r>
          </w:p>
        </w:tc>
        <w:tc>
          <w:tcPr>
            <w:tcW w:type="dxa" w:w="1440"/>
            <w:shd w:fill="C6EFCE" w:val="clear"/>
          </w:tcPr>
          <w:p>
            <w:r>
              <w:rPr>
                <w:sz w:val="17"/>
              </w:rPr>
              <w:t>4,058</w:t>
            </w:r>
          </w:p>
        </w:tc>
        <w:tc>
          <w:tcPr>
            <w:tcW w:type="dxa" w:w="1440"/>
            <w:shd w:fill="C6EFCE" w:val="clear"/>
          </w:tcPr>
          <w:p>
            <w:r>
              <w:rPr>
                <w:b/>
                <w:sz w:val="17"/>
              </w:rPr>
              <w:t>4,924</w:t>
            </w:r>
          </w:p>
        </w:tc>
        <w:tc>
          <w:tcPr>
            <w:tcW w:type="dxa" w:w="1440"/>
            <w:shd w:fill="C6EFCE" w:val="clear"/>
          </w:tcPr>
          <w:p>
            <w:r>
              <w:rPr>
                <w:sz w:val="17"/>
              </w:rPr>
              <w:t>5,791</w:t>
            </w:r>
          </w:p>
        </w:tc>
        <w:tc>
          <w:tcPr>
            <w:tcW w:type="dxa" w:w="1440"/>
            <w:shd w:fill="C6EFCE" w:val="clear"/>
          </w:tcPr>
          <w:p>
            <w:r>
              <w:rPr>
                <w:b/>
                <w:color w:val="008000"/>
                <w:sz w:val="17"/>
              </w:rPr>
              <w:t>+4.8%</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4,029</w:t>
            </w:r>
          </w:p>
        </w:tc>
        <w:tc>
          <w:tcPr>
            <w:tcW w:type="dxa" w:w="1440"/>
            <w:shd w:fill="C6EFCE" w:val="clear"/>
          </w:tcPr>
          <w:p>
            <w:r>
              <w:rPr>
                <w:b/>
                <w:sz w:val="17"/>
              </w:rPr>
              <w:t>4,947</w:t>
            </w:r>
          </w:p>
        </w:tc>
        <w:tc>
          <w:tcPr>
            <w:tcW w:type="dxa" w:w="1440"/>
            <w:shd w:fill="C6EFCE" w:val="clear"/>
          </w:tcPr>
          <w:p>
            <w:r>
              <w:rPr>
                <w:sz w:val="17"/>
              </w:rPr>
              <w:t>5,865</w:t>
            </w:r>
          </w:p>
        </w:tc>
        <w:tc>
          <w:tcPr>
            <w:tcW w:type="dxa" w:w="1440"/>
            <w:shd w:fill="C6EFCE" w:val="clear"/>
          </w:tcPr>
          <w:p>
            <w:r>
              <w:rPr>
                <w:b/>
                <w:color w:val="008000"/>
                <w:sz w:val="17"/>
              </w:rPr>
              <w:t>+5.3%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97,76 milliards FCFA, BOAN se situe dans la catégorie des valeurs moyennes de la cote BRVM, loin des poids lourds bancaires que sont Ecobank ou Coris Bank. Le BPA de 20 FCFA par action reflète un bénéfice net extrêmement comprimé (409 millions FCFA en 2025), conséquence directe de l'effondrement de la rentabilité. Le PER de 239,0x constitue un signal d'alarme majeur : les investisseurs paient environ 239 fois les bénéfices actuels, soit un multiple près de vingt fois supérieur à la moyenne BRVM (~8-12x), ce qui traduit une anticipation spéculative de rebond plutôt qu'une valorisation sur les résultats présents. Le P/B de 2,71x indique que le marché valorise la banque à près de trois fois ses fonds propres comptables (36,06 milliards FCFA), une prime de croissance qui paraît difficilement justifiable au regard de la ROE de 1,13%. Enfin, l'EV/EBITDA de 38,0x, très supérieur au seuil de 15x généralement considéré comme exigeant, confirme que la valeur intégrale de l'entreprise (dette incluse) est très chèrement payée par rapport à sa capacité opérationnelle actuelle — l'ensemble de ces ratios dessine une valorisation tendue qui repose entièrement sur les perspectives de redressement 2026.</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BOAN affiche une variation totale de +25,67%, avec une dernière séance en hausse de +0,53% à 4 700 FCFA, matérialisant un net rebond après un point bas à 3 695 FCFA et un sommet à 5 645 FCFA — soit un range de trading de près de 53% entre les extrêmes, révélateur d'une forte amplitude. La tendance générale est donc haussière sur la période, mais le cours actuel (4 700 FCFA) se situe en retrait du sommet, signe d'une consolidation après le pic. Les statistiques descriptives sont éclairantes : la moyenne (4 776 FCFA) est inférieure à la médiane (5 088 FCFA) et au mode (5 200 FCFA), confirmant une asymétrie négative (skewness de -0,560) — le cours a passé plus de journées au-dessus de sa moyenne, mais les baisses ont été plus violentes, tirant la moyenne vers le bas. L'écart-type de 648 FCFA (CV de 13,6%) traduit une dispersion modérée en niveau, tandis que le kurtosis négatif (-1,203, distribution platykurtique) indique une distribution aplatie, sans pics extrêmes marqués — un profil de risque relativement lissé sur la période. La volatilité annualisée de 43,3% classe toutefois le titre dans la catégorie des valeurs à volatilité élevée (&gt;30%), ce qui est cohérent avec un dossier en phase de retournement où chaque publication trimestrielle peut provoquer des mouvements amples.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(4 937,25 FCFA) et la MM50 (5 176,3 FCFA) se situent toutes deux au-dessus du cours actuel (4 700 FCFA), et la MM20 est elle-même sous la MM50 — configuration baissière caractéristique d'un titre en repli sous ses moyennes. La décision technique qui en découle est **Vente**, le cours évoluant sous ses deux références mobiles.</w:t>
      </w:r>
    </w:p>
    <w:p>
      <w:pPr>
        <w:spacing w:after="120" w:line="276" w:lineRule="auto"/>
      </w:pPr>
      <w:r>
        <w:t>**Bandes de Bollinger** : Le cours (4 700 FCFA) évolue dans la moitié basse de la bande, entre la borne inférieure (4 360,57 FCFA) et la borne supérieure (5 513,93 FCFA), sans atteindre les extrêmes. La décision est **Neutre** : le titre n'est ni en survente extrême ni en surachat, la largeur des bandes confirmant une volatilité encore présente mais en voie de normalisation.</w:t>
      </w:r>
    </w:p>
    <w:p>
      <w:pPr>
        <w:spacing w:after="120" w:line="276" w:lineRule="auto"/>
      </w:pPr>
      <w:r>
        <w:t>**MACD** : La valeur du MACD (-157,95) est inférieure à son signal (-129,758), avec un histogramme négatif — le momentum est clairement baissier et la divergence négative persiste. La décision **Vente** est justifiée par cette configuration de croisement défavorable qui n'a pas encore amorcé de retournement.</w:t>
      </w:r>
    </w:p>
    <w:p>
      <w:pPr>
        <w:spacing w:after="120" w:line="276" w:lineRule="auto"/>
      </w:pPr>
      <w:r>
        <w:t>**RSI** : À 39,663, le RSI se situe dans la zone neutre basse (30-70), sans atteindre le seuil de survente (&lt;30). La décision est **Neutre** : la pression vendeuse s'estompe mais la dynamique acheteuse n'est pas encore installée, le titre flirte avec la zone de faiblesse sans y plonger.</w:t>
      </w:r>
    </w:p>
    <w:p>
      <w:pPr>
        <w:spacing w:after="120" w:line="276" w:lineRule="auto"/>
      </w:pPr>
      <w:r>
        <w:t>**Stochastique** : Le %K (21,739) et le %D (23,994) évoluent tous deux en zone basse, proches du seuil de survente (20), avec un %K légèrement sous le %D — pas de croisement haussier confirmé. La décision **Neutre** reflète une phase de repli qui pourrait approcher d'un point d'inflexion, mais sans signal d'achat validé.</w:t>
      </w:r>
    </w:p>
    <w:p>
      <w:pPr>
        <w:spacing w:after="120" w:line="276" w:lineRule="auto"/>
      </w:pPr>
      <w:r>
        <w:t>**Conclusion technique** : Les indicateurs convergent majoritairement vers une posture prudente — deux signaux de vente (Moyennes Mobiles, MACD) et trois neutres (Bollinger, RSI, Stochastique). Le titre est en consolidation baissière sous ses moyennes, avec un momentum négatif, mais les oscillateurs en zone basse suggèrent que la pression vendeuse s'épuise progressivement. Aucun signal d'achat franc n'est présent ; la configuration plaide pour une **attente de confirmation** avant tout engagement.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états financiers officiels de l'exercice 2025 (base brvm_donnees_financieres) révèlent une banque en profonde restructuration : le Produit Net Bancaire s'établit à 21 125 millions FCFA, en repli de -1,19% sur un an, tandis que le résultat net s'effondre à 409 millions FCFA, soit une marge nette de seulement 1,94% et une ROE de 1,13% (contre 11,39% en 2024 selon le rapport annuel 2024) — une rentabilité des fonds propres très en deçà du seuil d'excellence de 15%. Le coefficient d'exploitation de 74,37% traduit une efficacité opérationnelle dégradée (seuil de bonne efficacité &lt;60%), et le coût du risque rapporté aux charges financières atteint 67,30%, signe d'un portefeuille de crédits sous forte tension. La structure bilancielle reste néanmoins solide : les dépôts clientèle (183,28 milliards FCFA) financent largement les créances clientèle (128,45 milliards FCFA), avec une autonomie financière de 12,36% et une solvabilité générale de 114,10% (&gt;1 = solvable). Les rapports narratifs confirment la chronologie du choc : le rapport du 1er trimestre 2025 (31/03/2025) montrait déjà un PNB en chute de -16,3% et un résultat net de 1 138 millions FCFA (-50,2%) ; le rapport semestriel (30/06/2025) actait un résultat net de 2,39 milliards (-25,2%) ; le rapport du 3e trimestre (30/09/2025) confirmait un coût du risque en explosion (+70%) ; et le rapport annuel 2025 (31/12/2025) scellait l'effondrement à 409 millions FCFA, avec une provision exceptionnelle de 4,8 milliards FCFA liée au taux de sinistralité sectoriel de 24%. Le rapport d'activité du 2nd semestre 2025 (31/12/2025) précise que les dépôts ont progressé de +4,0% (189,87 milliards FCFA) tandis que les crédits reculaient volontairement de -20,9% (128,45 milliards FCFA) dans une stratégie d'assainissement sélectif. Surtout, le rapport du 1er trimestre 2026 (31/03/2026) marque un **début de redressement** : PNB de 5 170 millions FCFA (+7,9%), résultat net de 1 467,3 millions FCFA (+28,9%), coefficient d'exploitation ramené à 56,2% (contre 66,8% un an plus tôt) et RBE en bond de +42,2% — sur cette base, on peut estimer que l'exercice 2026 pourrait renouer avec un résultat net annualisé de l'ordre de 5 à 6 milliards FCFA si la trajectoire se confirme, ce qui ramènerait le PER vers des niveaux plus raisonnables (15-20x). La recommandation fondamentale est donc **CONSERVER sous surveillance rapprochée** : la solidité bilancielle et le soutien du groupe BOA constituent des amortisseurs, mais la confirmation du redressement sur au moins deux trimestres supplémentaires reste indispensable avant de valider le retournement.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axes dessine un dossier contrasté où la valorisation (Partie 0) apparaît clairement **surévaluée** sur les résultats présents — PER de 239x, P/B de 2,71x et EV/EBITDA de 38x intègrent déjà une anticipation de rebond très optimiste. Le comportement du cours (Partie 1) est haussier sur 100 jours (+25,67%) mais les statistiques révèlent une asymétrie négative (skewness -0,560) et une volatilité élevée (43,3%), avec un cours qui consolide sous son sommet — profil préoccupant pour un investisseur court-termiste. Les signaux techniques (Partie 2) sont majoritairement baissiers ou neutres (MM et MACD en Vente, oscillateurs en zone basse), sans convergence acheteuse. Les fondamentaux (Partie 3) montrent une banque en phase de convalescence : exercice 2025 catastrophique (ROE 1,13%, résultat net 409 M FCFA) mais T1 2026 en net redressement (+28,9% de résultat net, coefficient d'exploitation à 56,2%), ce qui valide la thèse d'un retournement en cours mais non encore confirmé. Les prédictions IA (J+1 à J+10) projettent une trajectoire haussière modérée de 4 742 à 4 831 FCFA (+2,8% sur 10 jours), en légère contradiction avec les signaux techniques baissiers mais cohérente avec la dynamique de rebond fondamental. **Recommandation finale : CONSERVER** — la convergence est partielle : la prédiction haussière et le redressement T1 2026 soutiennent le titre, mais la valorisation tendue, les signaux techniques baissiers et l'absence de dividende depuis trois ans imposent la prudence. Le niveau de confiance est **Moyen** (le redressement n'est validé que sur un trimestre) et le niveau de risque **Élevé** (secteur bancaire nigérien fragile, créances douteuses à 24%, instabilité macroéconomique). L'horizon optimal est le **moyen à long terme** (12 mois et plus), le temps que les exercices 2026-2027 confirment la normalisation de la rentabilité et que le PER se comprime vers des niveaux soutenables ; les investisseurs en quête de rendement immédiat ou de dividende devront s'abstenir.</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11.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293.40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11,606 titres</w:t>
            </w:r>
          </w:p>
        </w:tc>
        <w:tc>
          <w:tcPr>
            <w:tcW w:type="dxa" w:w="2268"/>
            <w:shd w:fill="FFF2CC" w:val="clear"/>
          </w:tcPr>
          <w:p>
            <w:r>
              <w:rPr>
                <w:b/>
                <w:color w:val="503200"/>
                <w:sz w:val="16"/>
              </w:rPr>
              <w:t xml:space="preserve">Cours actuel : </w:t>
            </w:r>
            <w:r>
              <w:rPr>
                <w:color w:val="000000"/>
                <w:sz w:val="17"/>
              </w:rPr>
              <w:t>8,150 FCFA</w:t>
            </w:r>
          </w:p>
          <w:p>
            <w:r>
              <w:rPr>
                <w:b/>
                <w:color w:val="503200"/>
                <w:sz w:val="16"/>
              </w:rPr>
              <w:t xml:space="preserve">Var. 100 jours : </w:t>
            </w:r>
            <w:r>
              <w:rPr>
                <w:b/>
                <w:color w:val="007800"/>
                <w:sz w:val="17"/>
              </w:rPr>
              <w:t>+5.23%</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7,250 FCFA</w:t>
            </w:r>
          </w:p>
          <w:p>
            <w:r>
              <w:rPr>
                <w:b/>
                <w:color w:val="503200"/>
                <w:sz w:val="16"/>
              </w:rPr>
              <w:t xml:space="preserve">Volatilité ann. : </w:t>
            </w:r>
            <w:r>
              <w:rPr>
                <w:color w:val="000000"/>
                <w:sz w:val="17"/>
              </w:rPr>
              <w:t>25.5%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4.91% (Faible) — μ=7,776 FCFA, σ=382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β=0.5449 (Défensif) — Cov=0.000042, Var(idx)=0.000077, ρ=0.294,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11,606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σ_j=1.61%/j (Stable) — Vol. annualisée≈25.5%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2026-10-19</w:t>
            </w:r>
          </w:p>
        </w:tc>
        <w:tc>
          <w:tcPr>
            <w:tcW w:type="dxa" w:w="1440"/>
            <w:shd w:fill="FFDCE0" w:val="clear"/>
          </w:tcPr>
          <w:p>
            <w:r>
              <w:rPr>
                <w:sz w:val="17"/>
              </w:rPr>
              <w:t>7,792</w:t>
            </w:r>
          </w:p>
        </w:tc>
        <w:tc>
          <w:tcPr>
            <w:tcW w:type="dxa" w:w="1440"/>
            <w:shd w:fill="FFDCE0" w:val="clear"/>
          </w:tcPr>
          <w:p>
            <w:r>
              <w:rPr>
                <w:b/>
                <w:sz w:val="17"/>
              </w:rPr>
              <w:t>7,969</w:t>
            </w:r>
          </w:p>
        </w:tc>
        <w:tc>
          <w:tcPr>
            <w:tcW w:type="dxa" w:w="1440"/>
            <w:shd w:fill="FFDCE0" w:val="clear"/>
          </w:tcPr>
          <w:p>
            <w:r>
              <w:rPr>
                <w:sz w:val="17"/>
              </w:rPr>
              <w:t>8,146</w:t>
            </w:r>
          </w:p>
        </w:tc>
        <w:tc>
          <w:tcPr>
            <w:tcW w:type="dxa" w:w="1440"/>
            <w:shd w:fill="FFDCE0" w:val="clear"/>
          </w:tcPr>
          <w:p>
            <w:r>
              <w:rPr>
                <w:b/>
                <w:color w:val="C00000"/>
                <w:sz w:val="17"/>
              </w:rPr>
              <w:t>-2.2%</w:t>
            </w:r>
          </w:p>
        </w:tc>
      </w:tr>
      <w:tr>
        <w:tc>
          <w:tcPr>
            <w:tcW w:type="dxa" w:w="1440"/>
            <w:shd w:fill="FFDCE0" w:val="clear"/>
          </w:tcPr>
          <w:p>
            <w:r>
              <w:rPr>
                <w:sz w:val="17"/>
              </w:rPr>
              <w:t>J+2  ⭐⭐⭐</w:t>
            </w:r>
          </w:p>
        </w:tc>
        <w:tc>
          <w:tcPr>
            <w:tcW w:type="dxa" w:w="1440"/>
            <w:shd w:fill="FFDCE0" w:val="clear"/>
          </w:tcPr>
          <w:p>
            <w:r>
              <w:rPr>
                <w:sz w:val="17"/>
              </w:rPr>
              <w:t>2026-10-20</w:t>
            </w:r>
          </w:p>
        </w:tc>
        <w:tc>
          <w:tcPr>
            <w:tcW w:type="dxa" w:w="1440"/>
            <w:shd w:fill="FFDCE0" w:val="clear"/>
          </w:tcPr>
          <w:p>
            <w:r>
              <w:rPr>
                <w:sz w:val="17"/>
              </w:rPr>
              <w:t>7,604</w:t>
            </w:r>
          </w:p>
        </w:tc>
        <w:tc>
          <w:tcPr>
            <w:tcW w:type="dxa" w:w="1440"/>
            <w:shd w:fill="FFDCE0" w:val="clear"/>
          </w:tcPr>
          <w:p>
            <w:r>
              <w:rPr>
                <w:b/>
                <w:sz w:val="17"/>
              </w:rPr>
              <w:t>7,851</w:t>
            </w:r>
          </w:p>
        </w:tc>
        <w:tc>
          <w:tcPr>
            <w:tcW w:type="dxa" w:w="1440"/>
            <w:shd w:fill="FFDCE0" w:val="clear"/>
          </w:tcPr>
          <w:p>
            <w:r>
              <w:rPr>
                <w:sz w:val="17"/>
              </w:rPr>
              <w:t>8,098</w:t>
            </w:r>
          </w:p>
        </w:tc>
        <w:tc>
          <w:tcPr>
            <w:tcW w:type="dxa" w:w="1440"/>
            <w:shd w:fill="FFDCE0" w:val="clear"/>
          </w:tcPr>
          <w:p>
            <w:r>
              <w:rPr>
                <w:b/>
                <w:color w:val="C00000"/>
                <w:sz w:val="17"/>
              </w:rPr>
              <w:t>-3.7%</w:t>
            </w:r>
          </w:p>
        </w:tc>
      </w:tr>
      <w:tr>
        <w:tc>
          <w:tcPr>
            <w:tcW w:type="dxa" w:w="1440"/>
            <w:shd w:fill="FFDCE0" w:val="clear"/>
          </w:tcPr>
          <w:p>
            <w:r>
              <w:rPr>
                <w:sz w:val="17"/>
              </w:rPr>
              <w:t>J+3  ⭐⭐⭐</w:t>
            </w:r>
          </w:p>
        </w:tc>
        <w:tc>
          <w:tcPr>
            <w:tcW w:type="dxa" w:w="1440"/>
            <w:shd w:fill="FFDCE0" w:val="clear"/>
          </w:tcPr>
          <w:p>
            <w:r>
              <w:rPr>
                <w:sz w:val="17"/>
              </w:rPr>
              <w:t>2026-10-21</w:t>
            </w:r>
          </w:p>
        </w:tc>
        <w:tc>
          <w:tcPr>
            <w:tcW w:type="dxa" w:w="1440"/>
            <w:shd w:fill="FFDCE0" w:val="clear"/>
          </w:tcPr>
          <w:p>
            <w:r>
              <w:rPr>
                <w:sz w:val="17"/>
              </w:rPr>
              <w:t>7,439</w:t>
            </w:r>
          </w:p>
        </w:tc>
        <w:tc>
          <w:tcPr>
            <w:tcW w:type="dxa" w:w="1440"/>
            <w:shd w:fill="FFDCE0" w:val="clear"/>
          </w:tcPr>
          <w:p>
            <w:r>
              <w:rPr>
                <w:b/>
                <w:sz w:val="17"/>
              </w:rPr>
              <w:t>7,737</w:t>
            </w:r>
          </w:p>
        </w:tc>
        <w:tc>
          <w:tcPr>
            <w:tcW w:type="dxa" w:w="1440"/>
            <w:shd w:fill="FFDCE0" w:val="clear"/>
          </w:tcPr>
          <w:p>
            <w:r>
              <w:rPr>
                <w:sz w:val="17"/>
              </w:rPr>
              <w:t>8,035</w:t>
            </w:r>
          </w:p>
        </w:tc>
        <w:tc>
          <w:tcPr>
            <w:tcW w:type="dxa" w:w="1440"/>
            <w:shd w:fill="FFDCE0" w:val="clear"/>
          </w:tcPr>
          <w:p>
            <w:r>
              <w:rPr>
                <w:b/>
                <w:color w:val="C00000"/>
                <w:sz w:val="17"/>
              </w:rPr>
              <w:t>-5.1%</w:t>
            </w:r>
          </w:p>
        </w:tc>
      </w:tr>
      <w:tr>
        <w:tc>
          <w:tcPr>
            <w:tcW w:type="dxa" w:w="1440"/>
            <w:shd w:fill="FFDCE0" w:val="clear"/>
          </w:tcPr>
          <w:p>
            <w:r>
              <w:rPr>
                <w:sz w:val="17"/>
              </w:rPr>
              <w:t>J+4  Moyenne</w:t>
            </w:r>
          </w:p>
        </w:tc>
        <w:tc>
          <w:tcPr>
            <w:tcW w:type="dxa" w:w="1440"/>
            <w:shd w:fill="FFDCE0" w:val="clear"/>
          </w:tcPr>
          <w:p>
            <w:r>
              <w:rPr>
                <w:sz w:val="17"/>
              </w:rPr>
              <w:t>2026-10-22</w:t>
            </w:r>
          </w:p>
        </w:tc>
        <w:tc>
          <w:tcPr>
            <w:tcW w:type="dxa" w:w="1440"/>
            <w:shd w:fill="FFDCE0" w:val="clear"/>
          </w:tcPr>
          <w:p>
            <w:r>
              <w:rPr>
                <w:sz w:val="17"/>
              </w:rPr>
              <w:t>7,293</w:t>
            </w:r>
          </w:p>
        </w:tc>
        <w:tc>
          <w:tcPr>
            <w:tcW w:type="dxa" w:w="1440"/>
            <w:shd w:fill="FFDCE0" w:val="clear"/>
          </w:tcPr>
          <w:p>
            <w:r>
              <w:rPr>
                <w:b/>
                <w:sz w:val="17"/>
              </w:rPr>
              <w:t>7,633</w:t>
            </w:r>
          </w:p>
        </w:tc>
        <w:tc>
          <w:tcPr>
            <w:tcW w:type="dxa" w:w="1440"/>
            <w:shd w:fill="FFDCE0" w:val="clear"/>
          </w:tcPr>
          <w:p>
            <w:r>
              <w:rPr>
                <w:sz w:val="17"/>
              </w:rPr>
              <w:t>7,973</w:t>
            </w:r>
          </w:p>
        </w:tc>
        <w:tc>
          <w:tcPr>
            <w:tcW w:type="dxa" w:w="1440"/>
            <w:shd w:fill="FFDCE0" w:val="clear"/>
          </w:tcPr>
          <w:p>
            <w:r>
              <w:rPr>
                <w:b/>
                <w:color w:val="C00000"/>
                <w:sz w:val="17"/>
              </w:rPr>
              <w:t>-6.3%</w:t>
            </w:r>
          </w:p>
        </w:tc>
      </w:tr>
      <w:tr>
        <w:tc>
          <w:tcPr>
            <w:tcW w:type="dxa" w:w="1440"/>
            <w:shd w:fill="FFDCE0" w:val="clear"/>
          </w:tcPr>
          <w:p>
            <w:r>
              <w:rPr>
                <w:sz w:val="17"/>
              </w:rPr>
              <w:t>J+5  Moyenne</w:t>
            </w:r>
          </w:p>
        </w:tc>
        <w:tc>
          <w:tcPr>
            <w:tcW w:type="dxa" w:w="1440"/>
            <w:shd w:fill="FFDCE0" w:val="clear"/>
          </w:tcPr>
          <w:p>
            <w:r>
              <w:rPr>
                <w:sz w:val="17"/>
              </w:rPr>
              <w:t>2026-10-23</w:t>
            </w:r>
          </w:p>
        </w:tc>
        <w:tc>
          <w:tcPr>
            <w:tcW w:type="dxa" w:w="1440"/>
            <w:shd w:fill="FFDCE0" w:val="clear"/>
          </w:tcPr>
          <w:p>
            <w:r>
              <w:rPr>
                <w:sz w:val="17"/>
              </w:rPr>
              <w:t>7,160</w:t>
            </w:r>
          </w:p>
        </w:tc>
        <w:tc>
          <w:tcPr>
            <w:tcW w:type="dxa" w:w="1440"/>
            <w:shd w:fill="FFDCE0" w:val="clear"/>
          </w:tcPr>
          <w:p>
            <w:r>
              <w:rPr>
                <w:b/>
                <w:sz w:val="17"/>
              </w:rPr>
              <w:t>7,535</w:t>
            </w:r>
          </w:p>
        </w:tc>
        <w:tc>
          <w:tcPr>
            <w:tcW w:type="dxa" w:w="1440"/>
            <w:shd w:fill="FFDCE0" w:val="clear"/>
          </w:tcPr>
          <w:p>
            <w:r>
              <w:rPr>
                <w:sz w:val="17"/>
              </w:rPr>
              <w:t>7,910</w:t>
            </w:r>
          </w:p>
        </w:tc>
        <w:tc>
          <w:tcPr>
            <w:tcW w:type="dxa" w:w="1440"/>
            <w:shd w:fill="FFDCE0" w:val="clear"/>
          </w:tcPr>
          <w:p>
            <w:r>
              <w:rPr>
                <w:b/>
                <w:color w:val="C00000"/>
                <w:sz w:val="17"/>
              </w:rPr>
              <w:t>-7.5%</w:t>
            </w:r>
          </w:p>
        </w:tc>
      </w:tr>
      <w:tr>
        <w:tc>
          <w:tcPr>
            <w:tcW w:type="dxa" w:w="1440"/>
            <w:shd w:fill="FFDCE0" w:val="clear"/>
          </w:tcPr>
          <w:p>
            <w:r>
              <w:rPr>
                <w:sz w:val="17"/>
              </w:rPr>
              <w:t>J+6  Moyenne</w:t>
            </w:r>
          </w:p>
        </w:tc>
        <w:tc>
          <w:tcPr>
            <w:tcW w:type="dxa" w:w="1440"/>
            <w:shd w:fill="FFDCE0" w:val="clear"/>
          </w:tcPr>
          <w:p>
            <w:r>
              <w:rPr>
                <w:sz w:val="17"/>
              </w:rPr>
              <w:t>2026-10-26</w:t>
            </w:r>
          </w:p>
        </w:tc>
        <w:tc>
          <w:tcPr>
            <w:tcW w:type="dxa" w:w="1440"/>
            <w:shd w:fill="FFDCE0" w:val="clear"/>
          </w:tcPr>
          <w:p>
            <w:r>
              <w:rPr>
                <w:sz w:val="17"/>
              </w:rPr>
              <w:t>7,036</w:t>
            </w:r>
          </w:p>
        </w:tc>
        <w:tc>
          <w:tcPr>
            <w:tcW w:type="dxa" w:w="1440"/>
            <w:shd w:fill="FFDCE0" w:val="clear"/>
          </w:tcPr>
          <w:p>
            <w:r>
              <w:rPr>
                <w:b/>
                <w:sz w:val="17"/>
              </w:rPr>
              <w:t>7,442</w:t>
            </w:r>
          </w:p>
        </w:tc>
        <w:tc>
          <w:tcPr>
            <w:tcW w:type="dxa" w:w="1440"/>
            <w:shd w:fill="FFDCE0" w:val="clear"/>
          </w:tcPr>
          <w:p>
            <w:r>
              <w:rPr>
                <w:sz w:val="17"/>
              </w:rPr>
              <w:t>7,848</w:t>
            </w:r>
          </w:p>
        </w:tc>
        <w:tc>
          <w:tcPr>
            <w:tcW w:type="dxa" w:w="1440"/>
            <w:shd w:fill="FFDCE0" w:val="clear"/>
          </w:tcPr>
          <w:p>
            <w:r>
              <w:rPr>
                <w:b/>
                <w:color w:val="C00000"/>
                <w:sz w:val="17"/>
              </w:rPr>
              <w:t>-8.7%</w:t>
            </w:r>
          </w:p>
        </w:tc>
      </w:tr>
      <w:tr>
        <w:tc>
          <w:tcPr>
            <w:tcW w:type="dxa" w:w="1440"/>
            <w:shd w:fill="FFDCE0" w:val="clear"/>
          </w:tcPr>
          <w:p>
            <w:r>
              <w:rPr>
                <w:sz w:val="17"/>
              </w:rPr>
              <w:t>J+7  Moyenne</w:t>
            </w:r>
          </w:p>
        </w:tc>
        <w:tc>
          <w:tcPr>
            <w:tcW w:type="dxa" w:w="1440"/>
            <w:shd w:fill="FFDCE0" w:val="clear"/>
          </w:tcPr>
          <w:p>
            <w:r>
              <w:rPr>
                <w:sz w:val="17"/>
              </w:rPr>
              <w:t>2026-10-27</w:t>
            </w:r>
          </w:p>
        </w:tc>
        <w:tc>
          <w:tcPr>
            <w:tcW w:type="dxa" w:w="1440"/>
            <w:shd w:fill="FFDCE0" w:val="clear"/>
          </w:tcPr>
          <w:p>
            <w:r>
              <w:rPr>
                <w:sz w:val="17"/>
              </w:rPr>
              <w:t>6,920</w:t>
            </w:r>
          </w:p>
        </w:tc>
        <w:tc>
          <w:tcPr>
            <w:tcW w:type="dxa" w:w="1440"/>
            <w:shd w:fill="FFDCE0" w:val="clear"/>
          </w:tcPr>
          <w:p>
            <w:r>
              <w:rPr>
                <w:b/>
                <w:sz w:val="17"/>
              </w:rPr>
              <w:t>7,353</w:t>
            </w:r>
          </w:p>
        </w:tc>
        <w:tc>
          <w:tcPr>
            <w:tcW w:type="dxa" w:w="1440"/>
            <w:shd w:fill="FFDCE0" w:val="clear"/>
          </w:tcPr>
          <w:p>
            <w:r>
              <w:rPr>
                <w:sz w:val="17"/>
              </w:rPr>
              <w:t>7,786</w:t>
            </w:r>
          </w:p>
        </w:tc>
        <w:tc>
          <w:tcPr>
            <w:tcW w:type="dxa" w:w="1440"/>
            <w:shd w:fill="FFDCE0" w:val="clear"/>
          </w:tcPr>
          <w:p>
            <w:r>
              <w:rPr>
                <w:b/>
                <w:color w:val="C00000"/>
                <w:sz w:val="17"/>
              </w:rPr>
              <w:t>-9.8%</w:t>
            </w:r>
          </w:p>
        </w:tc>
      </w:tr>
      <w:tr>
        <w:tc>
          <w:tcPr>
            <w:tcW w:type="dxa" w:w="1440"/>
            <w:shd w:fill="FFDCE0" w:val="clear"/>
          </w:tcPr>
          <w:p>
            <w:r>
              <w:rPr>
                <w:sz w:val="17"/>
              </w:rPr>
              <w:t>J+8  Moyenne</w:t>
            </w:r>
          </w:p>
        </w:tc>
        <w:tc>
          <w:tcPr>
            <w:tcW w:type="dxa" w:w="1440"/>
            <w:shd w:fill="FFDCE0" w:val="clear"/>
          </w:tcPr>
          <w:p>
            <w:r>
              <w:rPr>
                <w:sz w:val="17"/>
              </w:rPr>
              <w:t>2026-10-28</w:t>
            </w:r>
          </w:p>
        </w:tc>
        <w:tc>
          <w:tcPr>
            <w:tcW w:type="dxa" w:w="1440"/>
            <w:shd w:fill="FFDCE0" w:val="clear"/>
          </w:tcPr>
          <w:p>
            <w:r>
              <w:rPr>
                <w:sz w:val="17"/>
              </w:rPr>
              <w:t>6,811</w:t>
            </w:r>
          </w:p>
        </w:tc>
        <w:tc>
          <w:tcPr>
            <w:tcW w:type="dxa" w:w="1440"/>
            <w:shd w:fill="FFDCE0" w:val="clear"/>
          </w:tcPr>
          <w:p>
            <w:r>
              <w:rPr>
                <w:b/>
                <w:sz w:val="17"/>
              </w:rPr>
              <w:t>7,269</w:t>
            </w:r>
          </w:p>
        </w:tc>
        <w:tc>
          <w:tcPr>
            <w:tcW w:type="dxa" w:w="1440"/>
            <w:shd w:fill="FFDCE0" w:val="clear"/>
          </w:tcPr>
          <w:p>
            <w:r>
              <w:rPr>
                <w:sz w:val="17"/>
              </w:rPr>
              <w:t>7,726</w:t>
            </w:r>
          </w:p>
        </w:tc>
        <w:tc>
          <w:tcPr>
            <w:tcW w:type="dxa" w:w="1440"/>
            <w:shd w:fill="FFDCE0" w:val="clear"/>
          </w:tcPr>
          <w:p>
            <w:r>
              <w:rPr>
                <w:b/>
                <w:color w:val="C00000"/>
                <w:sz w:val="17"/>
              </w:rPr>
              <w:t>-10.8%</w:t>
            </w:r>
          </w:p>
        </w:tc>
      </w:tr>
      <w:tr>
        <w:tc>
          <w:tcPr>
            <w:tcW w:type="dxa" w:w="1440"/>
            <w:shd w:fill="FFDCE0" w:val="clear"/>
          </w:tcPr>
          <w:p>
            <w:r>
              <w:rPr>
                <w:sz w:val="17"/>
              </w:rPr>
              <w:t>J+9  Moyenne</w:t>
            </w:r>
          </w:p>
        </w:tc>
        <w:tc>
          <w:tcPr>
            <w:tcW w:type="dxa" w:w="1440"/>
            <w:shd w:fill="FFDCE0" w:val="clear"/>
          </w:tcPr>
          <w:p>
            <w:r>
              <w:rPr>
                <w:sz w:val="17"/>
              </w:rPr>
              <w:t>2026-10-29</w:t>
            </w:r>
          </w:p>
        </w:tc>
        <w:tc>
          <w:tcPr>
            <w:tcW w:type="dxa" w:w="1440"/>
            <w:shd w:fill="FFDCE0" w:val="clear"/>
          </w:tcPr>
          <w:p>
            <w:r>
              <w:rPr>
                <w:sz w:val="17"/>
              </w:rPr>
              <w:t>6,708</w:t>
            </w:r>
          </w:p>
        </w:tc>
        <w:tc>
          <w:tcPr>
            <w:tcW w:type="dxa" w:w="1440"/>
            <w:shd w:fill="FFDCE0" w:val="clear"/>
          </w:tcPr>
          <w:p>
            <w:r>
              <w:rPr>
                <w:b/>
                <w:sz w:val="17"/>
              </w:rPr>
              <w:t>7,188</w:t>
            </w:r>
          </w:p>
        </w:tc>
        <w:tc>
          <w:tcPr>
            <w:tcW w:type="dxa" w:w="1440"/>
            <w:shd w:fill="FFDCE0" w:val="clear"/>
          </w:tcPr>
          <w:p>
            <w:r>
              <w:rPr>
                <w:sz w:val="17"/>
              </w:rPr>
              <w:t>7,668</w:t>
            </w:r>
          </w:p>
        </w:tc>
        <w:tc>
          <w:tcPr>
            <w:tcW w:type="dxa" w:w="1440"/>
            <w:shd w:fill="FFDCE0" w:val="clear"/>
          </w:tcPr>
          <w:p>
            <w:r>
              <w:rPr>
                <w:b/>
                <w:color w:val="C00000"/>
                <w:sz w:val="17"/>
              </w:rPr>
              <w:t>-11.8%</w:t>
            </w:r>
          </w:p>
        </w:tc>
      </w:tr>
      <w:tr>
        <w:tc>
          <w:tcPr>
            <w:tcW w:type="dxa" w:w="1440"/>
            <w:shd w:fill="FFDCE0" w:val="clear"/>
          </w:tcPr>
          <w:p>
            <w:r>
              <w:rPr>
                <w:sz w:val="17"/>
              </w:rPr>
              <w:t>J+10  Moyenne</w:t>
            </w:r>
          </w:p>
        </w:tc>
        <w:tc>
          <w:tcPr>
            <w:tcW w:type="dxa" w:w="1440"/>
            <w:shd w:fill="FFDCE0" w:val="clear"/>
          </w:tcPr>
          <w:p>
            <w:r>
              <w:rPr>
                <w:sz w:val="17"/>
              </w:rPr>
              <w:t>2026-10-30</w:t>
            </w:r>
          </w:p>
        </w:tc>
        <w:tc>
          <w:tcPr>
            <w:tcW w:type="dxa" w:w="1440"/>
            <w:shd w:fill="FFDCE0" w:val="clear"/>
          </w:tcPr>
          <w:p>
            <w:r>
              <w:rPr>
                <w:sz w:val="17"/>
              </w:rPr>
              <w:t>6,610</w:t>
            </w:r>
          </w:p>
        </w:tc>
        <w:tc>
          <w:tcPr>
            <w:tcW w:type="dxa" w:w="1440"/>
            <w:shd w:fill="FFDCE0" w:val="clear"/>
          </w:tcPr>
          <w:p>
            <w:r>
              <w:rPr>
                <w:b/>
                <w:sz w:val="17"/>
              </w:rPr>
              <w:t>7,110</w:t>
            </w:r>
          </w:p>
        </w:tc>
        <w:tc>
          <w:tcPr>
            <w:tcW w:type="dxa" w:w="1440"/>
            <w:shd w:fill="FFDCE0" w:val="clear"/>
          </w:tcPr>
          <w:p>
            <w:r>
              <w:rPr>
                <w:sz w:val="17"/>
              </w:rPr>
              <w:t>7,611</w:t>
            </w:r>
          </w:p>
        </w:tc>
        <w:tc>
          <w:tcPr>
            <w:tcW w:type="dxa" w:w="1440"/>
            <w:shd w:fill="FFDCE0" w:val="clear"/>
          </w:tcPr>
          <w:p>
            <w:r>
              <w:rPr>
                <w:b/>
                <w:color w:val="C00000"/>
                <w:sz w:val="17"/>
              </w:rPr>
              <w:t>-12.8%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 RAPPORT D'ANALYSE FINANCIÈRE — BOAS (Bank of Africa Sénégal)</w:t>
        <w:br/>
        <w:t>**Bourse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293,40 Mds FCFA, BOAS s'affirme comme une valeur de premier plan du compartiment bancaire de la BRVM, positionnement cohérent avec son statut de banque systémique sénégalaise. Le BPA de 608 FCFA/action traduit une capacité bénéficiaire solide, chaque titre générant près de 608 FCFA de bénéfice net. Le PER de 13,4x se situe légèrement au-dessus de la moyenne BRVM (~8-12x), signalant une valorisation modérée mais non excessive, le marché acceptant de payer une prime pour la qualité des résultats. Le P/B de 3,04x confirme cette prime de croissance : le marché valorise BOAS à trois fois sa valeur comptable, reflet de la confiance dans la rentabilité structurelle (ROE de 22,7%). Enfin, l'EV/EBITDA de 8,7x, dans la fourchette raisonnable de 5-10x, indique que la valeur d'entreprise reste proportionnée à la capacité opérationnelle, sans emballement spéculatif.</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BOAS affiche une progression totale de +5,23%, avec une dernière séance quasi stable (+0,06%), le cours s'établissant à 8 150 FCFA. Le range de trading s'étend de 7 250 FCFA (plus bas) à 8 500 FCFA (plus haut), soit une amplitude de 17,2% qui témoigne d'une tendance globalement haussière mais ponctuée de corrections. La moyenne de 7 776 FCFA et la médiane de 7 705 FCFA sont proches (écart de 0,9%), confirmant une distribution équilibrée, cohérente avec un skewness de 0,164 (quasi-symétrie). L'écart-type de 384 FCFA et le coefficient de variation de 4,9% révèlent une dispersion modérée du cours autour de sa tendance. Le kurtosis de -1,427 (distribution platykurtique) indique une faible concentration des rendements et un risque de pics extrêmes limité — un profil rassurant pour un investisseur. La volatilité annualisée de 25,5% place le titre dans la catégorie modérée (15-30%), typique d'une valeur bancaire de qualité sur la BRVM.</w:t>
      </w:r>
    </w:p>
    <w:p>
      <w:pPr>
        <w:spacing w:after="120" w:line="276" w:lineRule="auto"/>
      </w:pPr>
      <w:r>
        <w:t>---</w:t>
      </w:r>
    </w:p>
    <w:p>
      <w:pPr>
        <w:spacing w:after="120" w:line="276" w:lineRule="auto"/>
      </w:pPr>
      <w:r>
        <w:t>## PARTIE 2 : ANALYSE TECHNIQUE DÉTAILLÉE</w:t>
      </w:r>
    </w:p>
    <w:p>
      <w:pPr>
        <w:spacing w:after="120" w:line="276" w:lineRule="auto"/>
      </w:pPr>
      <w:r>
        <w:t>**Moyennes Mobiles** : La MM20 (8 096,5 FCFA) et la MM50 (8 091,4 FCFA) sont quasi confondues et situées sous le cours actuel (8 150 FCFA), configurant un alignement haussier classique où le prix surplombe ses supports mobiles. Cette configuration justifie la décision d'**Achat**, le titre évoluant au-dessus de ses deux références de tendance.</w:t>
      </w:r>
    </w:p>
    <w:p>
      <w:pPr>
        <w:spacing w:after="120" w:line="276" w:lineRule="auto"/>
      </w:pPr>
      <w:r>
        <w:t>**Bandes de Bollinger** : Le cours (8 150 FCFA) se situe dans la partie haute de la bande (borne supérieure 8 401,7 FCFA, borne inférieure 7 791,3 FCFA), sans franchissement de la borne haute. La décision **Neutre** reflète un titre en zone de force mais sans signal de surachat imminent, la volatilité restant contenue dans le canal.</w:t>
      </w:r>
    </w:p>
    <w:p>
      <w:pPr>
        <w:spacing w:after="120" w:line="276" w:lineRule="auto"/>
      </w:pPr>
      <w:r>
        <w:t>**MACD** : La valeur du MACD (25,435) est inférieure à sa ligne de signal (28,843), configuration baissière traduisant un essoufflement du momentum haussier. La décision **Vente** signale une possible consolidation à court terme, bien que l'écart reste modéré.</w:t>
      </w:r>
    </w:p>
    <w:p>
      <w:pPr>
        <w:spacing w:after="120" w:line="276" w:lineRule="auto"/>
      </w:pPr>
      <w:r>
        <w:t>**RSI** : À 57,353, le RSI se situe en zone neutre (30-70), sans surachat (&gt;70) ni survente (&lt;30). La décision **Neutre** confirme un équilibre entre acheteurs et vendeurs, sans pression directionnelle marquée.</w:t>
      </w:r>
    </w:p>
    <w:p>
      <w:pPr>
        <w:spacing w:after="120" w:line="276" w:lineRule="auto"/>
      </w:pPr>
      <w:r>
        <w:t>**Stochastique** : Le %K (33,333) est inférieur au %D (46,621), avec un %K en zone basse mais non extrême. La décision **Neutre** traduit l'absence de croisement significatif, le titre évoluant dans une phase de respiration technique.</w:t>
      </w:r>
    </w:p>
    <w:p>
      <w:pPr>
        <w:spacing w:after="120" w:line="276" w:lineRule="auto"/>
      </w:pPr>
      <w:r>
        <w:t>**Conclusion technique** : Les indicateurs présentent un tableau mitigé — les moyennes mobiles valident la tendance haussière de fond, tandis que le MACD signale un ralentissement du momentum et que le RSI/Stochastique restent neutres. Cette divergence suggère une consolidation possible à court terme avant reprise, le titre demeurant structurellement bien orienté au-dessus de ses supports mobiles.</w:t>
      </w:r>
    </w:p>
    <w:p>
      <w:pPr>
        <w:spacing w:after="120" w:line="276" w:lineRule="auto"/>
      </w:pPr>
      <w:r>
        <w:t>---</w:t>
      </w:r>
    </w:p>
    <w:p>
      <w:pPr>
        <w:spacing w:after="120" w:line="276" w:lineRule="auto"/>
      </w:pPr>
      <w:r>
        <w:t>## PARTIE 3 : ANALYSE FONDAMENTALE</w:t>
      </w:r>
    </w:p>
    <w:p>
      <w:pPr>
        <w:spacing w:after="120" w:line="276" w:lineRule="auto"/>
      </w:pPr>
      <w:r>
        <w:t>**Données structurées (exercice 2025)** : BOAS affiche un Produit Net Bancaire de 51,926 Mds FCFA et un résultat net de 21,905 Mds FCFA, avec un ROE remarquable de 22,69% (largement supérieur au seuil de 15% d'excellence) et un ROA de 2,62%. Le coefficient d'exploitation de 44,02% confirme une banque très efficace (seuil d'excellence &lt;50%), tandis que le coût du risque rapporté aux charges financières (23,31%) mérite surveillance. La structure bilancielle est solide : dépôts clientèle de 686,927 Mds FCFA contre créances de 386,424 Mds FCFA (ratio de transformation de 56%), avec une trésorerie nette de 78,712 Mds FCFA et une capacité de remboursement de 1,54 an. **Estimations issues des rapports trimestriels** : le rapport du T1 2026 (daté du 31 mars 2026) confirme la dynamique avec un PNB de 12 580 M FCFA (+6,82%) et un résultat net de 5 741 M FCFA (+9,78%), le coefficient d'exploitation s'améliorant à 42,1% ; le rapport S1 2026 (30 juin 2026) fait état d'un PNB semestriel de 27 206 M FCFA en hausse. Sur cette base, on estime que l'exercice 2026 devrait prolonger la croissance à deux chiffres du résultat net, portée par la collecte de dépôts (+16,68% au T1) et la maîtrise des charges. Les rapports antérieurs (T3 2025, S1 2025, T1 2025) confirment une trajectoire cohérente d'amélioration continue de la rentabilité et de l'efficacité opérationnelle. **Conclusion fondamentale** : solidité bilancielle, rentabilité supérieure au secteur et croissance régulière justifient une appréciation positive, le principal risque résidant dans la concentration sur le marché sénégalais et l'environnement de crédit.</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d'analyse converge vers un profil d'investissement équilibré mais positif. **Valorisation** : le PER de 13,4x et le P/B de 3,04x traduisent une légère prime de qualité, non excessive au regard du ROE de 22,7% ; l'EV/EBITDA de 8,7x reste raisonnable. **Comportement du cours** : la tendance haussière (+5,23%) avec une volatilité modérée (25,5%) et une distribution symétrique (skewness 0,164, kurtosis -1,427) offre un profil de risque maîtrisé. **Signaux techniques** : divergence entre moyennes mobiles haussières et MACD baissier, suggérant une consolidation transitoire sans remise en cause de la tendance de fond. **Fondamentaux** : la croissance confirmée par les rapports T1 2026 et S1 2026 (résultat net +9,78%, PNB +6,82%) valide la solidité du modèle. **Prédictions IA** : la trajectoire baissière projetée (8 150 → 7 535 FCFA sur 10 jours, soit -7,5%) contredit les signaux fondamentaux et techniques de fond, suggérant une correction court terme cohérente avec le MACD baissier. **Recommandation finale : ACHAT**, avec un niveau de confiance **Moyen** — la convergence valorisation/fondamental est solide, mais la divergence technique court terme et les prédictions baissières invitent à privilégier un **horizon de moyen terme (3-12 mois)**, le temps que la consolidation s'achève et que la croissance bénéficiaire se matérialise. Le niveau de risque global est **Moyen**, tempéré par la qualité bilancielle et la régularité des résultats.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12.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17.76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2,054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B40000"/>
                <w:sz w:val="17"/>
              </w:rPr>
              <w:t>-18.92%</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8.89% (Moyenne) — μ=3,652 FCFA, σ=325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β=0.3556 (Défensif) — Cov=0.000027, Var(idx)=0.000077, ρ=0.107,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σ_j=2.88%/j (Stable) — Vol. annualisée≈45.8%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2,901</w:t>
            </w:r>
          </w:p>
        </w:tc>
        <w:tc>
          <w:tcPr>
            <w:tcW w:type="dxa" w:w="1440"/>
            <w:shd w:fill="FAFAFA" w:val="clear"/>
          </w:tcPr>
          <w:p>
            <w:r>
              <w:rPr>
                <w:b/>
                <w:sz w:val="17"/>
              </w:rPr>
              <w:t>3,014</w:t>
            </w:r>
          </w:p>
        </w:tc>
        <w:tc>
          <w:tcPr>
            <w:tcW w:type="dxa" w:w="1440"/>
            <w:shd w:fill="FAFAFA" w:val="clear"/>
          </w:tcPr>
          <w:p>
            <w:r>
              <w:rPr>
                <w:sz w:val="17"/>
              </w:rPr>
              <w:t>3,128</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2,858</w:t>
            </w:r>
          </w:p>
        </w:tc>
        <w:tc>
          <w:tcPr>
            <w:tcW w:type="dxa" w:w="1440"/>
            <w:shd w:fill="FAFAFA" w:val="clear"/>
          </w:tcPr>
          <w:p>
            <w:r>
              <w:rPr>
                <w:b/>
                <w:sz w:val="17"/>
              </w:rPr>
              <w:t>3,019</w:t>
            </w:r>
          </w:p>
        </w:tc>
        <w:tc>
          <w:tcPr>
            <w:tcW w:type="dxa" w:w="1440"/>
            <w:shd w:fill="FAFAFA" w:val="clear"/>
          </w:tcPr>
          <w:p>
            <w:r>
              <w:rPr>
                <w:sz w:val="17"/>
              </w:rPr>
              <w:t>3,180</w:t>
            </w:r>
          </w:p>
        </w:tc>
        <w:tc>
          <w:tcPr>
            <w:tcW w:type="dxa" w:w="1440"/>
            <w:shd w:fill="FAFAFA" w:val="clear"/>
          </w:tcPr>
          <w:p>
            <w:r>
              <w:rPr>
                <w:b/>
                <w:color w:val="008000"/>
                <w:sz w:val="17"/>
              </w:rPr>
              <w:t>+0.6%</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2,829</w:t>
            </w:r>
          </w:p>
        </w:tc>
        <w:tc>
          <w:tcPr>
            <w:tcW w:type="dxa" w:w="1440"/>
            <w:shd w:fill="FAFAFA" w:val="clear"/>
          </w:tcPr>
          <w:p>
            <w:r>
              <w:rPr>
                <w:b/>
                <w:sz w:val="17"/>
              </w:rPr>
              <w:t>3,027</w:t>
            </w:r>
          </w:p>
        </w:tc>
        <w:tc>
          <w:tcPr>
            <w:tcW w:type="dxa" w:w="1440"/>
            <w:shd w:fill="FAFAFA" w:val="clear"/>
          </w:tcPr>
          <w:p>
            <w:r>
              <w:rPr>
                <w:sz w:val="17"/>
              </w:rPr>
              <w:t>3,224</w:t>
            </w:r>
          </w:p>
        </w:tc>
        <w:tc>
          <w:tcPr>
            <w:tcW w:type="dxa" w:w="1440"/>
            <w:shd w:fill="FAFAFA" w:val="clear"/>
          </w:tcPr>
          <w:p>
            <w:r>
              <w:rPr>
                <w:b/>
                <w:color w:val="008000"/>
                <w:sz w:val="17"/>
              </w:rPr>
              <w:t>+0.9%</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2,805</w:t>
            </w:r>
          </w:p>
        </w:tc>
        <w:tc>
          <w:tcPr>
            <w:tcW w:type="dxa" w:w="1440"/>
            <w:shd w:fill="FAFAFA" w:val="clear"/>
          </w:tcPr>
          <w:p>
            <w:r>
              <w:rPr>
                <w:b/>
                <w:sz w:val="17"/>
              </w:rPr>
              <w:t>3,033</w:t>
            </w:r>
          </w:p>
        </w:tc>
        <w:tc>
          <w:tcPr>
            <w:tcW w:type="dxa" w:w="1440"/>
            <w:shd w:fill="FAFAFA" w:val="clear"/>
          </w:tcPr>
          <w:p>
            <w:r>
              <w:rPr>
                <w:sz w:val="17"/>
              </w:rPr>
              <w:t>3,261</w:t>
            </w:r>
          </w:p>
        </w:tc>
        <w:tc>
          <w:tcPr>
            <w:tcW w:type="dxa" w:w="1440"/>
            <w:shd w:fill="FAFAFA" w:val="clear"/>
          </w:tcPr>
          <w:p>
            <w:r>
              <w:rPr>
                <w:b/>
                <w:color w:val="008000"/>
                <w:sz w:val="17"/>
              </w:rPr>
              <w:t>+1.1%</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2,781</w:t>
            </w:r>
          </w:p>
        </w:tc>
        <w:tc>
          <w:tcPr>
            <w:tcW w:type="dxa" w:w="1440"/>
            <w:shd w:fill="FAFAFA" w:val="clear"/>
          </w:tcPr>
          <w:p>
            <w:r>
              <w:rPr>
                <w:b/>
                <w:sz w:val="17"/>
              </w:rPr>
              <w:t>3,037</w:t>
            </w:r>
          </w:p>
        </w:tc>
        <w:tc>
          <w:tcPr>
            <w:tcW w:type="dxa" w:w="1440"/>
            <w:shd w:fill="FAFAFA" w:val="clear"/>
          </w:tcPr>
          <w:p>
            <w:r>
              <w:rPr>
                <w:sz w:val="17"/>
              </w:rPr>
              <w:t>3,292</w:t>
            </w:r>
          </w:p>
        </w:tc>
        <w:tc>
          <w:tcPr>
            <w:tcW w:type="dxa" w:w="1440"/>
            <w:shd w:fill="FAFAFA" w:val="clear"/>
          </w:tcPr>
          <w:p>
            <w:r>
              <w:rPr>
                <w:b/>
                <w:color w:val="008000"/>
                <w:sz w:val="17"/>
              </w:rPr>
              <w:t>+1.2%</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2,757</w:t>
            </w:r>
          </w:p>
        </w:tc>
        <w:tc>
          <w:tcPr>
            <w:tcW w:type="dxa" w:w="1440"/>
            <w:shd w:fill="FAFAFA" w:val="clear"/>
          </w:tcPr>
          <w:p>
            <w:r>
              <w:rPr>
                <w:b/>
                <w:sz w:val="17"/>
              </w:rPr>
              <w:t>3,037</w:t>
            </w:r>
          </w:p>
        </w:tc>
        <w:tc>
          <w:tcPr>
            <w:tcW w:type="dxa" w:w="1440"/>
            <w:shd w:fill="FAFAFA" w:val="clear"/>
          </w:tcPr>
          <w:p>
            <w:r>
              <w:rPr>
                <w:sz w:val="17"/>
              </w:rPr>
              <w:t>3,317</w:t>
            </w:r>
          </w:p>
        </w:tc>
        <w:tc>
          <w:tcPr>
            <w:tcW w:type="dxa" w:w="1440"/>
            <w:shd w:fill="FAFAFA" w:val="clear"/>
          </w:tcPr>
          <w:p>
            <w:r>
              <w:rPr>
                <w:b/>
                <w:color w:val="008000"/>
                <w:sz w:val="17"/>
              </w:rPr>
              <w:t>+1.2%</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2,733</w:t>
            </w:r>
          </w:p>
        </w:tc>
        <w:tc>
          <w:tcPr>
            <w:tcW w:type="dxa" w:w="1440"/>
            <w:shd w:fill="FAFAFA" w:val="clear"/>
          </w:tcPr>
          <w:p>
            <w:r>
              <w:rPr>
                <w:b/>
                <w:sz w:val="17"/>
              </w:rPr>
              <w:t>3,035</w:t>
            </w:r>
          </w:p>
        </w:tc>
        <w:tc>
          <w:tcPr>
            <w:tcW w:type="dxa" w:w="1440"/>
            <w:shd w:fill="FAFAFA" w:val="clear"/>
          </w:tcPr>
          <w:p>
            <w:r>
              <w:rPr>
                <w:sz w:val="17"/>
              </w:rPr>
              <w:t>3,338</w:t>
            </w:r>
          </w:p>
        </w:tc>
        <w:tc>
          <w:tcPr>
            <w:tcW w:type="dxa" w:w="1440"/>
            <w:shd w:fill="FAFAFA" w:val="clear"/>
          </w:tcPr>
          <w:p>
            <w:r>
              <w:rPr>
                <w:b/>
                <w:color w:val="008000"/>
                <w:sz w:val="17"/>
              </w:rPr>
              <w:t>+1.2%</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2,709</w:t>
            </w:r>
          </w:p>
        </w:tc>
        <w:tc>
          <w:tcPr>
            <w:tcW w:type="dxa" w:w="1440"/>
            <w:shd w:fill="FAFAFA" w:val="clear"/>
          </w:tcPr>
          <w:p>
            <w:r>
              <w:rPr>
                <w:b/>
                <w:sz w:val="17"/>
              </w:rPr>
              <w:t>3,031</w:t>
            </w:r>
          </w:p>
        </w:tc>
        <w:tc>
          <w:tcPr>
            <w:tcW w:type="dxa" w:w="1440"/>
            <w:shd w:fill="FAFAFA" w:val="clear"/>
          </w:tcPr>
          <w:p>
            <w:r>
              <w:rPr>
                <w:sz w:val="17"/>
              </w:rPr>
              <w:t>3,354</w:t>
            </w:r>
          </w:p>
        </w:tc>
        <w:tc>
          <w:tcPr>
            <w:tcW w:type="dxa" w:w="1440"/>
            <w:shd w:fill="FAFAFA" w:val="clear"/>
          </w:tcPr>
          <w:p>
            <w:r>
              <w:rPr>
                <w:b/>
                <w:color w:val="008000"/>
                <w:sz w:val="17"/>
              </w:rPr>
              <w:t>+1.0%</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2,684</w:t>
            </w:r>
          </w:p>
        </w:tc>
        <w:tc>
          <w:tcPr>
            <w:tcW w:type="dxa" w:w="1440"/>
            <w:shd w:fill="FAFAFA" w:val="clear"/>
          </w:tcPr>
          <w:p>
            <w:r>
              <w:rPr>
                <w:b/>
                <w:sz w:val="17"/>
              </w:rPr>
              <w:t>3,026</w:t>
            </w:r>
          </w:p>
        </w:tc>
        <w:tc>
          <w:tcPr>
            <w:tcW w:type="dxa" w:w="1440"/>
            <w:shd w:fill="FAFAFA" w:val="clear"/>
          </w:tcPr>
          <w:p>
            <w:r>
              <w:rPr>
                <w:sz w:val="17"/>
              </w:rPr>
              <w:t>3,367</w:t>
            </w:r>
          </w:p>
        </w:tc>
        <w:tc>
          <w:tcPr>
            <w:tcW w:type="dxa" w:w="1440"/>
            <w:shd w:fill="FAFAFA" w:val="clear"/>
          </w:tcPr>
          <w:p>
            <w:r>
              <w:rPr>
                <w:b/>
                <w:color w:val="008000"/>
                <w:sz w:val="17"/>
              </w:rPr>
              <w:t>+0.9%</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2,660</w:t>
            </w:r>
          </w:p>
        </w:tc>
        <w:tc>
          <w:tcPr>
            <w:tcW w:type="dxa" w:w="1440"/>
            <w:shd w:fill="FAFAFA" w:val="clear"/>
          </w:tcPr>
          <w:p>
            <w:r>
              <w:rPr>
                <w:b/>
                <w:sz w:val="17"/>
              </w:rPr>
              <w:t>3,020</w:t>
            </w:r>
          </w:p>
        </w:tc>
        <w:tc>
          <w:tcPr>
            <w:tcW w:type="dxa" w:w="1440"/>
            <w:shd w:fill="FAFAFA" w:val="clear"/>
          </w:tcPr>
          <w:p>
            <w:r>
              <w:rPr>
                <w:sz w:val="17"/>
              </w:rPr>
              <w:t>3,379</w:t>
            </w:r>
          </w:p>
        </w:tc>
        <w:tc>
          <w:tcPr>
            <w:tcW w:type="dxa" w:w="1440"/>
            <w:shd w:fill="FAFAFA" w:val="clear"/>
          </w:tcPr>
          <w:p>
            <w:r>
              <w:rPr>
                <w:b/>
                <w:color w:val="008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 RAPPORT D'ANALYSE FINANCIÈRE — CABC (SICABLE)</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17,76 milliards FCFA, CABC se situe dans la catégorie des capitalisations moyennes de la BRVM, loin des poids lourds comme SONATEL mais suffisamment liquide pour intéresser les investisseurs institutionnels régionaux. Le BPA de 243 FCFA/action confère au titre un PER de 12,3x, soit un niveau modérément supérieur à la moyenne BRVM (8-12x), ce qui suggère que le marché intègre déjà une part de la croissance attendue sans pour autant surpayer le dossier. Le P/B de 1,90x indique que le marché valorise l'action à près du double de sa valeur comptable (capitaux propres de 9,346 Mds FCFA), reflétant la confiance dans la qualité des actifs industriels et la marque SICABLE. Enfin, l'EV/EBITDA de 5,9x traduit une valorisation raisonnable de la capacité opérationnelle (EBE de 2,195 Mds FCFA), cohérente avec la fourchette 5-10x observée sur les industriels africains cotés.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CABC a enregistré une variation totale de **-18,92%**, avec une dernière séance en repli de **-1,64%**, portant le cours à **3 000 FCFA** — soit exactement le plus bas de la période, tandis que le plus haut a atteint **4 500 FCFA**, matérialisant un range de trading très large de 1 500 FCFA (50% du cours actuel). La tendance générale est clairement **baissière**, le titre ayant cédé près d'un cinquième de sa valeur en trois mois et clôturant sur son plancher, ce qui traduit une pression vendeuse persistante. Les statistiques descriptives révèlent une **moyenne de 3 652 FCFA** supérieure à la **médiane de 3 575 FCFA**, avec un mode à 3 500 FCFA : l'écart moyenne-médiane confirme une distribution asymétrique tirée vers le haut par les séances de rebond, tandis que le **skewness positif de 0,541** indique effectivement davantage de journées sous la moyenne (asymétrie à droite). L'**écart-type de 326 FCFA (CV=8,9%)** témoigne d'une dispersion modérée autour de la moyenne, mais le **kurtosis de 0,117** (mésokurtique) suggère un comportement proche d'une distribution normale, sans risque extrême de pics. La **volatilité annualisée de 45,8%** classe le titre dans la catégorie **élevée** (&gt;30%), ce qui est cohérent avec la chute récente et impose une gestion stricte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(3 254 FCFA) et la MM50 (3 417,3 FCFA) se situent toutes deux **au-dessus du cours actuel** (3 000 FCFA), configurant un alignement baissier classique où le prix évolue sous ses moyennes de référence. La MM20 étant elle-même inférieure à la MM50, la pression court terme reste défavorable, ce qui justifie pleinement la **décision de Vente** émise par le système.</w:t>
      </w:r>
    </w:p>
    <w:p>
      <w:pPr>
        <w:spacing w:after="120" w:line="276" w:lineRule="auto"/>
      </w:pPr>
      <w:r>
        <w:t>**Bandes de Bollinger** : Le cours (3 000 FCFA) évolue à proximité immédiate de la **borne inférieure (2 979,34 FCFA)**, sans la franchir, tandis que la borne supérieure se situe à 3 528,66 FCFA. Cette position en bas de bande signale une pression vendeuse forte mais aussi un potentiel de rebond technique par retour à la moyenne ; la **décision Neutre** traduit cette ambiguïté entre risque de cassure et opportunité de rebond.</w:t>
      </w:r>
    </w:p>
    <w:p>
      <w:pPr>
        <w:spacing w:after="120" w:line="276" w:lineRule="auto"/>
      </w:pPr>
      <w:r>
        <w:t>**MACD** : La valeur du MACD (**-108,008**) est inférieure à son signal (**-83,573**), avec un histogramme négatif qui s'accentue : la dynamique baissière est confirmée et le momentum reste clairement négatif. Aucune divergence haussière n'est détectée à ce stade, ce qui valide la **décision de Vente**.</w:t>
      </w:r>
    </w:p>
    <w:p>
      <w:pPr>
        <w:spacing w:after="120" w:line="276" w:lineRule="auto"/>
      </w:pPr>
      <w:r>
        <w:t>**RSI** : À **18,254**, le RSI se situe très largement sous le seuil de survente de 30, un niveau extrême qui signale une capitulation des vendeurs et un potentiel de rebond à court terme. Cette configuration justifie la **décision d'Achat** contracyclique, bien qu'un RSI aussi bas puisse persister en tendance baissière forte.</w:t>
      </w:r>
    </w:p>
    <w:p>
      <w:pPr>
        <w:spacing w:after="120" w:line="276" w:lineRule="auto"/>
      </w:pPr>
      <w:r>
        <w:t>**Stochastique** : Le %K et le %D sont tous deux à **0,0**, soit un plancher absolu de l'indicateur, confirmant la survente extrême déjà relevée par le RSI. Le croisement haussier n'est pas encore intervenu, mais la **décision d'Achat** se justifie par le caractère statistiquement improbable d'une poursuite de la baisse à ce niveau d'épuisement.</w:t>
      </w:r>
    </w:p>
    <w:p>
      <w:pPr>
        <w:spacing w:after="120" w:line="276" w:lineRule="auto"/>
      </w:pPr>
      <w:r>
        <w:t>**Conclusion technique** : Les indicateurs présentent une **divergence marquée** : les moyennes mobiles et le MACD confirment la tendance baissière de fond, tandis que le RSI (18,25) et le stochastique (0,0) signalent une survente extrême propice à un rebond technique. Les Bandes de Bollinger en position neutre n'apportent pas de confirmation directionnelle. La convergence des signaux de survente suggère qu'un rebond à court terme est probable, mais la structure de fond reste baissière tant que le cours n'aura pas reconquis la MM20 (3 254 FCFA) — un signal d'achat contrarian tactique, pas encore un retournement de tendance.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CABC a réalisé un chiffre d'affaires de **21,263 Mds FCFA**, en croissance de **+11,18%**, avec un résultat net de **1,439 Md FCFA** (marge nette de 6,77%). La rentabilité des fonds propres (ROE) s'établit à **15,40%** — un niveau excellent selon les standards BRVM — et le ROA à **6,10%**, tandis que la rotation des actifs atteint 90,06%. La structure financière est saine : autonomie financière de **39,58%** (&gt;30% = sain), liquidité générale de **242,60%**, et capacité de remboursement de seulement **0,26 an** de CAF pour couvrir les dettes financières (417,60 M FCFA). **Cependant, le point critique réside dans le besoin en fonds de roulement** : les délais clients atteignent **144,69 jours** et la durée de stockage **152,12 jours**, expliquant un BFR de 7,186 Mds FCFA et un flux opérationnel négatif de **-819,66 M FCFA** malgré une CAF positive de 1,593 Md FCFA — un risque de trésorerie réel malgré une trésorerie nette de 5,139 Mds FCFA.</w:t>
      </w:r>
    </w:p>
    <w:p>
      <w:pPr>
        <w:spacing w:after="120" w:line="276" w:lineRule="auto"/>
      </w:pPr>
      <w:r>
        <w:t>**Évolution et rapports** : Les rapports officiels révèlent une trajectoire contrastée. Le rapport annuel certifié 2024 (publié le 31/12/2024) faisait état d'un CA de 19,125 Mds FCFA (+7,7%) et d'un résultat net de 1,225 Md FCFA, avec une trésorerie nette confortable de 6,865 Mds FCFA. Le rapport S1 2025 (30/06/2025) confirmait l'accélération avec un résultat net de 851,5 M FCFA (+55,3%) et une marge nette de 7,9%, tandis que le rapport T3 2025 (30/09/2025) affichait un résultat net cumulé de 1 329,5 M FCFA (+26,0%) et un CA de 16 630 M FCFA (+13,7%). **Mais le rapport T1 2026 (publié en 2026) signale un brusque retournement** : CA en baisse de **-26,5% à 3 794 M FCFA**, perte d'exploitation de 237 M FCFA et résultat net déficitaire de 221,7 M FCFA, imputables à une maintenance planifiée du parc machines et à l'inflation des cours des métaux (+23% en 3 mois). **Estimation** : si la direction anticipe une normalisation dès le T2 2026, l'exercice 2026 devrait rester sous pression, avec un résultat net annuel estimé entre 800 M et 1,1 Md FCFA selon la vitesse de rattrapage — soit un BPA projeté de 110-150 FCFA, bien inférieur aux 243 FCFA de 2025. La recommandation fondamentale est donc **prudente** : solidité bilancielle réelle (ROE &gt;15%, trésorerie positive), mais dégradation opérationnelle récente et risque de trésorerie lié aux délais clients/stocks.</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dossier en **contradiction interne**. Sur la **valorisation (Partie 0)**, le PER de 12,3x et le P/B de 1,90x indiquent une valorisation raisonnable mais non décotée, sans marge de sécurité évidente. Le **comportement du cours (Partie 1)** est préoccupant : -18,92% sur 100 jours, clôture au plus bas, volatilité élevée de 45,8%, avec un skewness positif (0,541) signalant davantage de séances sous la moyenne — un profil défavorable malgré un kurtosis normal. Les **signaux techniques (Partie 2)** sont divergents : MM et MACD baissiers, mais RSI (18,25) et stochastique (0,0) en survente extrême, plaidant pour un rebond tactique sans retournement de fond. Les **fondamentaux (Partie 3)** sont ambivalents : ROE de 15,40% et croissance CA de +11,18% en 2025, mais le rapport T1 2026 révèle une perte nette de 221,7 M FCFA et un CA en chute de -26,5%, fragilisant les perspectives 2026. Enfin, les **prédictions IA (J+1 à J+10)** anticipent une légère remontée de 3 014 à 3 037 FCFA, confirmant le scénario de rebond technique sans inversion de tendance.</w:t>
      </w:r>
    </w:p>
    <w:p>
      <w:pPr>
        <w:spacing w:after="120" w:line="276" w:lineRule="auto"/>
      </w:pPr>
      <w:r>
        <w:t>**Recommandation finale : CONSERVER** (avec surveillance active). La convergence est partielle : la survente technique et les prédictions haussières de court terme soutiennent un rebond, mais la dégradation fondamentale récente (T1 2026 déficitaire) et la tendance baissière de fond (MM/MACD) interdisent un achat franc. **Niveau de confiance : Moyen** (signaux contradictoires entre technique court terme et fondamental récent). **Niveau de risque global : Élevé** (volatilité 45,8%, perte T1 2026, délais clients de 144,69 jours). **Horizon optimal : moyen terme (3-12 mois)**, en attendant la confirmation de la normalisation opérationnelle au T2/T3 2026 — un retour du cours au-dessus de la MM20 (3 254 FCFA) constituerait le premier signal de renforcement de la position.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13.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1008.00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1,546 titres</w:t>
            </w:r>
          </w:p>
        </w:tc>
        <w:tc>
          <w:tcPr>
            <w:tcW w:type="dxa" w:w="2268"/>
            <w:shd w:fill="FFF2CC" w:val="clear"/>
          </w:tcPr>
          <w:p>
            <w:r>
              <w:rPr>
                <w:b/>
                <w:color w:val="503200"/>
                <w:sz w:val="16"/>
              </w:rPr>
              <w:t xml:space="preserve">Cours actuel : </w:t>
            </w:r>
            <w:r>
              <w:rPr>
                <w:color w:val="000000"/>
                <w:sz w:val="17"/>
              </w:rPr>
              <w:t>31,500 FCFA</w:t>
            </w:r>
          </w:p>
          <w:p>
            <w:r>
              <w:rPr>
                <w:b/>
                <w:color w:val="503200"/>
                <w:sz w:val="16"/>
              </w:rPr>
              <w:t xml:space="preserve">Var. 100 jours : </w:t>
            </w:r>
            <w:r>
              <w:rPr>
                <w:b/>
                <w:color w:val="007800"/>
                <w:sz w:val="17"/>
              </w:rPr>
              <w:t>+46.75%</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20,900 FCFA</w:t>
            </w:r>
          </w:p>
          <w:p>
            <w:r>
              <w:rPr>
                <w:b/>
                <w:color w:val="503200"/>
                <w:sz w:val="16"/>
              </w:rPr>
              <w:t xml:space="preserve">Volatilité ann. : </w:t>
            </w:r>
            <w:r>
              <w:rPr>
                <w:color w:val="000000"/>
                <w:sz w:val="17"/>
              </w:rPr>
              <w:t>44.0%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14.68% (Moyenne) — μ=27,780 FCFA, σ=4,078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β=1.2963 (Agressif) — Cov=0.000099, Var(idx)=0.000077, ρ=0.406,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1,546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σ_j=2.77%/j (Stable) — Vol. annualisée≈44.0%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2026-10-19</w:t>
            </w:r>
          </w:p>
        </w:tc>
        <w:tc>
          <w:tcPr>
            <w:tcW w:type="dxa" w:w="1440"/>
            <w:shd w:fill="FFDCE0" w:val="clear"/>
          </w:tcPr>
          <w:p>
            <w:r>
              <w:rPr>
                <w:sz w:val="17"/>
              </w:rPr>
              <w:t>28,792</w:t>
            </w:r>
          </w:p>
        </w:tc>
        <w:tc>
          <w:tcPr>
            <w:tcW w:type="dxa" w:w="1440"/>
            <w:shd w:fill="FFDCE0" w:val="clear"/>
          </w:tcPr>
          <w:p>
            <w:r>
              <w:rPr>
                <w:b/>
                <w:sz w:val="17"/>
              </w:rPr>
              <w:t>30,301</w:t>
            </w:r>
          </w:p>
        </w:tc>
        <w:tc>
          <w:tcPr>
            <w:tcW w:type="dxa" w:w="1440"/>
            <w:shd w:fill="FFDCE0" w:val="clear"/>
          </w:tcPr>
          <w:p>
            <w:r>
              <w:rPr>
                <w:sz w:val="17"/>
              </w:rPr>
              <w:t>31,810</w:t>
            </w:r>
          </w:p>
        </w:tc>
        <w:tc>
          <w:tcPr>
            <w:tcW w:type="dxa" w:w="1440"/>
            <w:shd w:fill="FFDCE0" w:val="clear"/>
          </w:tcPr>
          <w:p>
            <w:r>
              <w:rPr>
                <w:b/>
                <w:color w:val="C00000"/>
                <w:sz w:val="17"/>
              </w:rPr>
              <w:t>-3.8%</w:t>
            </w:r>
          </w:p>
        </w:tc>
      </w:tr>
      <w:tr>
        <w:tc>
          <w:tcPr>
            <w:tcW w:type="dxa" w:w="1440"/>
            <w:shd w:fill="FFDCE0" w:val="clear"/>
          </w:tcPr>
          <w:p>
            <w:r>
              <w:rPr>
                <w:sz w:val="17"/>
              </w:rPr>
              <w:t>J+2  Moyenne</w:t>
            </w:r>
          </w:p>
        </w:tc>
        <w:tc>
          <w:tcPr>
            <w:tcW w:type="dxa" w:w="1440"/>
            <w:shd w:fill="FFDCE0" w:val="clear"/>
          </w:tcPr>
          <w:p>
            <w:r>
              <w:rPr>
                <w:sz w:val="17"/>
              </w:rPr>
              <w:t>2026-10-20</w:t>
            </w:r>
          </w:p>
        </w:tc>
        <w:tc>
          <w:tcPr>
            <w:tcW w:type="dxa" w:w="1440"/>
            <w:shd w:fill="FFDCE0" w:val="clear"/>
          </w:tcPr>
          <w:p>
            <w:r>
              <w:rPr>
                <w:sz w:val="17"/>
              </w:rPr>
              <w:t>27,654</w:t>
            </w:r>
          </w:p>
        </w:tc>
        <w:tc>
          <w:tcPr>
            <w:tcW w:type="dxa" w:w="1440"/>
            <w:shd w:fill="FFDCE0" w:val="clear"/>
          </w:tcPr>
          <w:p>
            <w:r>
              <w:rPr>
                <w:b/>
                <w:sz w:val="17"/>
              </w:rPr>
              <w:t>29,749</w:t>
            </w:r>
          </w:p>
        </w:tc>
        <w:tc>
          <w:tcPr>
            <w:tcW w:type="dxa" w:w="1440"/>
            <w:shd w:fill="FFDCE0" w:val="clear"/>
          </w:tcPr>
          <w:p>
            <w:r>
              <w:rPr>
                <w:sz w:val="17"/>
              </w:rPr>
              <w:t>31,845</w:t>
            </w:r>
          </w:p>
        </w:tc>
        <w:tc>
          <w:tcPr>
            <w:tcW w:type="dxa" w:w="1440"/>
            <w:shd w:fill="FFDCE0" w:val="clear"/>
          </w:tcPr>
          <w:p>
            <w:r>
              <w:rPr>
                <w:b/>
                <w:color w:val="C00000"/>
                <w:sz w:val="17"/>
              </w:rPr>
              <w:t>-5.6%</w:t>
            </w:r>
          </w:p>
        </w:tc>
      </w:tr>
      <w:tr>
        <w:tc>
          <w:tcPr>
            <w:tcW w:type="dxa" w:w="1440"/>
            <w:shd w:fill="FFDCE0" w:val="clear"/>
          </w:tcPr>
          <w:p>
            <w:r>
              <w:rPr>
                <w:sz w:val="17"/>
              </w:rPr>
              <w:t>J+3  Moyenne</w:t>
            </w:r>
          </w:p>
        </w:tc>
        <w:tc>
          <w:tcPr>
            <w:tcW w:type="dxa" w:w="1440"/>
            <w:shd w:fill="FFDCE0" w:val="clear"/>
          </w:tcPr>
          <w:p>
            <w:r>
              <w:rPr>
                <w:sz w:val="17"/>
              </w:rPr>
              <w:t>2026-10-21</w:t>
            </w:r>
          </w:p>
        </w:tc>
        <w:tc>
          <w:tcPr>
            <w:tcW w:type="dxa" w:w="1440"/>
            <w:shd w:fill="FFDCE0" w:val="clear"/>
          </w:tcPr>
          <w:p>
            <w:r>
              <w:rPr>
                <w:sz w:val="17"/>
              </w:rPr>
              <w:t>26,963</w:t>
            </w:r>
          </w:p>
        </w:tc>
        <w:tc>
          <w:tcPr>
            <w:tcW w:type="dxa" w:w="1440"/>
            <w:shd w:fill="FFDCE0" w:val="clear"/>
          </w:tcPr>
          <w:p>
            <w:r>
              <w:rPr>
                <w:b/>
                <w:sz w:val="17"/>
              </w:rPr>
              <w:t>29,509</w:t>
            </w:r>
          </w:p>
        </w:tc>
        <w:tc>
          <w:tcPr>
            <w:tcW w:type="dxa" w:w="1440"/>
            <w:shd w:fill="FFDCE0" w:val="clear"/>
          </w:tcPr>
          <w:p>
            <w:r>
              <w:rPr>
                <w:sz w:val="17"/>
              </w:rPr>
              <w:t>32,054</w:t>
            </w:r>
          </w:p>
        </w:tc>
        <w:tc>
          <w:tcPr>
            <w:tcW w:type="dxa" w:w="1440"/>
            <w:shd w:fill="FFDCE0" w:val="clear"/>
          </w:tcPr>
          <w:p>
            <w:r>
              <w:rPr>
                <w:b/>
                <w:color w:val="C00000"/>
                <w:sz w:val="17"/>
              </w:rPr>
              <w:t>-6.3%</w:t>
            </w:r>
          </w:p>
        </w:tc>
      </w:tr>
      <w:tr>
        <w:tc>
          <w:tcPr>
            <w:tcW w:type="dxa" w:w="1440"/>
            <w:shd w:fill="FFDCE0" w:val="clear"/>
          </w:tcPr>
          <w:p>
            <w:r>
              <w:rPr>
                <w:sz w:val="17"/>
              </w:rPr>
              <w:t>J+4  ⭐</w:t>
            </w:r>
          </w:p>
        </w:tc>
        <w:tc>
          <w:tcPr>
            <w:tcW w:type="dxa" w:w="1440"/>
            <w:shd w:fill="FFDCE0" w:val="clear"/>
          </w:tcPr>
          <w:p>
            <w:r>
              <w:rPr>
                <w:sz w:val="17"/>
              </w:rPr>
              <w:t>2026-10-22</w:t>
            </w:r>
          </w:p>
        </w:tc>
        <w:tc>
          <w:tcPr>
            <w:tcW w:type="dxa" w:w="1440"/>
            <w:shd w:fill="FFDCE0" w:val="clear"/>
          </w:tcPr>
          <w:p>
            <w:r>
              <w:rPr>
                <w:sz w:val="17"/>
              </w:rPr>
              <w:t>26,424</w:t>
            </w:r>
          </w:p>
        </w:tc>
        <w:tc>
          <w:tcPr>
            <w:tcW w:type="dxa" w:w="1440"/>
            <w:shd w:fill="FFDCE0" w:val="clear"/>
          </w:tcPr>
          <w:p>
            <w:r>
              <w:rPr>
                <w:b/>
                <w:sz w:val="17"/>
              </w:rPr>
              <w:t>29,347</w:t>
            </w:r>
          </w:p>
        </w:tc>
        <w:tc>
          <w:tcPr>
            <w:tcW w:type="dxa" w:w="1440"/>
            <w:shd w:fill="FFDCE0" w:val="clear"/>
          </w:tcPr>
          <w:p>
            <w:r>
              <w:rPr>
                <w:sz w:val="17"/>
              </w:rPr>
              <w:t>32,271</w:t>
            </w:r>
          </w:p>
        </w:tc>
        <w:tc>
          <w:tcPr>
            <w:tcW w:type="dxa" w:w="1440"/>
            <w:shd w:fill="FFDCE0" w:val="clear"/>
          </w:tcPr>
          <w:p>
            <w:r>
              <w:rPr>
                <w:b/>
                <w:color w:val="C00000"/>
                <w:sz w:val="17"/>
              </w:rPr>
              <w:t>-6.8%</w:t>
            </w:r>
          </w:p>
        </w:tc>
      </w:tr>
      <w:tr>
        <w:tc>
          <w:tcPr>
            <w:tcW w:type="dxa" w:w="1440"/>
            <w:shd w:fill="FFDCE0" w:val="clear"/>
          </w:tcPr>
          <w:p>
            <w:r>
              <w:rPr>
                <w:sz w:val="17"/>
              </w:rPr>
              <w:t>J+5  ⭐</w:t>
            </w:r>
          </w:p>
        </w:tc>
        <w:tc>
          <w:tcPr>
            <w:tcW w:type="dxa" w:w="1440"/>
            <w:shd w:fill="FFDCE0" w:val="clear"/>
          </w:tcPr>
          <w:p>
            <w:r>
              <w:rPr>
                <w:sz w:val="17"/>
              </w:rPr>
              <w:t>2026-10-23</w:t>
            </w:r>
          </w:p>
        </w:tc>
        <w:tc>
          <w:tcPr>
            <w:tcW w:type="dxa" w:w="1440"/>
            <w:shd w:fill="FFDCE0" w:val="clear"/>
          </w:tcPr>
          <w:p>
            <w:r>
              <w:rPr>
                <w:sz w:val="17"/>
              </w:rPr>
              <w:t>25,951</w:t>
            </w:r>
          </w:p>
        </w:tc>
        <w:tc>
          <w:tcPr>
            <w:tcW w:type="dxa" w:w="1440"/>
            <w:shd w:fill="FFDCE0" w:val="clear"/>
          </w:tcPr>
          <w:p>
            <w:r>
              <w:rPr>
                <w:b/>
                <w:sz w:val="17"/>
              </w:rPr>
              <w:t>29,204</w:t>
            </w:r>
          </w:p>
        </w:tc>
        <w:tc>
          <w:tcPr>
            <w:tcW w:type="dxa" w:w="1440"/>
            <w:shd w:fill="FFDCE0" w:val="clear"/>
          </w:tcPr>
          <w:p>
            <w:r>
              <w:rPr>
                <w:sz w:val="17"/>
              </w:rPr>
              <w:t>32,456</w:t>
            </w:r>
          </w:p>
        </w:tc>
        <w:tc>
          <w:tcPr>
            <w:tcW w:type="dxa" w:w="1440"/>
            <w:shd w:fill="FFDCE0" w:val="clear"/>
          </w:tcPr>
          <w:p>
            <w:r>
              <w:rPr>
                <w:b/>
                <w:color w:val="C00000"/>
                <w:sz w:val="17"/>
              </w:rPr>
              <w:t>-7.3%</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25,532</w:t>
            </w:r>
          </w:p>
        </w:tc>
        <w:tc>
          <w:tcPr>
            <w:tcW w:type="dxa" w:w="1440"/>
            <w:shd w:fill="FFDCE0" w:val="clear"/>
          </w:tcPr>
          <w:p>
            <w:r>
              <w:rPr>
                <w:b/>
                <w:sz w:val="17"/>
              </w:rPr>
              <w:t>29,080</w:t>
            </w:r>
          </w:p>
        </w:tc>
        <w:tc>
          <w:tcPr>
            <w:tcW w:type="dxa" w:w="1440"/>
            <w:shd w:fill="FFDCE0" w:val="clear"/>
          </w:tcPr>
          <w:p>
            <w:r>
              <w:rPr>
                <w:sz w:val="17"/>
              </w:rPr>
              <w:t>32,628</w:t>
            </w:r>
          </w:p>
        </w:tc>
        <w:tc>
          <w:tcPr>
            <w:tcW w:type="dxa" w:w="1440"/>
            <w:shd w:fill="FFDCE0" w:val="clear"/>
          </w:tcPr>
          <w:p>
            <w:r>
              <w:rPr>
                <w:b/>
                <w:color w:val="C00000"/>
                <w:sz w:val="17"/>
              </w:rPr>
              <w:t>-7.7%</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25,155</w:t>
            </w:r>
          </w:p>
        </w:tc>
        <w:tc>
          <w:tcPr>
            <w:tcW w:type="dxa" w:w="1440"/>
            <w:shd w:fill="FFDCE0" w:val="clear"/>
          </w:tcPr>
          <w:p>
            <w:r>
              <w:rPr>
                <w:b/>
                <w:sz w:val="17"/>
              </w:rPr>
              <w:t>28,973</w:t>
            </w:r>
          </w:p>
        </w:tc>
        <w:tc>
          <w:tcPr>
            <w:tcW w:type="dxa" w:w="1440"/>
            <w:shd w:fill="FFDCE0" w:val="clear"/>
          </w:tcPr>
          <w:p>
            <w:r>
              <w:rPr>
                <w:sz w:val="17"/>
              </w:rPr>
              <w:t>32,792</w:t>
            </w:r>
          </w:p>
        </w:tc>
        <w:tc>
          <w:tcPr>
            <w:tcW w:type="dxa" w:w="1440"/>
            <w:shd w:fill="FFDCE0" w:val="clear"/>
          </w:tcPr>
          <w:p>
            <w:r>
              <w:rPr>
                <w:b/>
                <w:color w:val="C00000"/>
                <w:sz w:val="17"/>
              </w:rPr>
              <w:t>-8.0%</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24,811</w:t>
            </w:r>
          </w:p>
        </w:tc>
        <w:tc>
          <w:tcPr>
            <w:tcW w:type="dxa" w:w="1440"/>
            <w:shd w:fill="FFDCE0" w:val="clear"/>
          </w:tcPr>
          <w:p>
            <w:r>
              <w:rPr>
                <w:b/>
                <w:sz w:val="17"/>
              </w:rPr>
              <w:t>28,880</w:t>
            </w:r>
          </w:p>
        </w:tc>
        <w:tc>
          <w:tcPr>
            <w:tcW w:type="dxa" w:w="1440"/>
            <w:shd w:fill="FFDCE0" w:val="clear"/>
          </w:tcPr>
          <w:p>
            <w:r>
              <w:rPr>
                <w:sz w:val="17"/>
              </w:rPr>
              <w:t>32,948</w:t>
            </w:r>
          </w:p>
        </w:tc>
        <w:tc>
          <w:tcPr>
            <w:tcW w:type="dxa" w:w="1440"/>
            <w:shd w:fill="FFDCE0" w:val="clear"/>
          </w:tcPr>
          <w:p>
            <w:r>
              <w:rPr>
                <w:b/>
                <w:color w:val="C00000"/>
                <w:sz w:val="17"/>
              </w:rPr>
              <w:t>-8.3%</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24,492</w:t>
            </w:r>
          </w:p>
        </w:tc>
        <w:tc>
          <w:tcPr>
            <w:tcW w:type="dxa" w:w="1440"/>
            <w:shd w:fill="FFDCE0" w:val="clear"/>
          </w:tcPr>
          <w:p>
            <w:r>
              <w:rPr>
                <w:b/>
                <w:sz w:val="17"/>
              </w:rPr>
              <w:t>28,795</w:t>
            </w:r>
          </w:p>
        </w:tc>
        <w:tc>
          <w:tcPr>
            <w:tcW w:type="dxa" w:w="1440"/>
            <w:shd w:fill="FFDCE0" w:val="clear"/>
          </w:tcPr>
          <w:p>
            <w:r>
              <w:rPr>
                <w:sz w:val="17"/>
              </w:rPr>
              <w:t>33,097</w:t>
            </w:r>
          </w:p>
        </w:tc>
        <w:tc>
          <w:tcPr>
            <w:tcW w:type="dxa" w:w="1440"/>
            <w:shd w:fill="FFDCE0" w:val="clear"/>
          </w:tcPr>
          <w:p>
            <w:r>
              <w:rPr>
                <w:b/>
                <w:color w:val="C00000"/>
                <w:sz w:val="17"/>
              </w:rPr>
              <w:t>-8.6%</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24,196</w:t>
            </w:r>
          </w:p>
        </w:tc>
        <w:tc>
          <w:tcPr>
            <w:tcW w:type="dxa" w:w="1440"/>
            <w:shd w:fill="FFDCE0" w:val="clear"/>
          </w:tcPr>
          <w:p>
            <w:r>
              <w:rPr>
                <w:b/>
                <w:sz w:val="17"/>
              </w:rPr>
              <w:t>28,719</w:t>
            </w:r>
          </w:p>
        </w:tc>
        <w:tc>
          <w:tcPr>
            <w:tcW w:type="dxa" w:w="1440"/>
            <w:shd w:fill="FFDCE0" w:val="clear"/>
          </w:tcPr>
          <w:p>
            <w:r>
              <w:rPr>
                <w:sz w:val="17"/>
              </w:rPr>
              <w:t>33,243</w:t>
            </w:r>
          </w:p>
        </w:tc>
        <w:tc>
          <w:tcPr>
            <w:tcW w:type="dxa" w:w="1440"/>
            <w:shd w:fill="FFDCE0" w:val="clear"/>
          </w:tcPr>
          <w:p>
            <w:r>
              <w:rPr>
                <w:b/>
                <w:color w:val="C00000"/>
                <w:sz w:val="17"/>
              </w:rPr>
              <w:t>-8.8%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 📊 RAPPORT D'ANALYSE FINANCIÈRE — CBIBF (Coris Bank International Burkina Faso)</w:t>
      </w:r>
    </w:p>
    <w:p>
      <w:pPr>
        <w:spacing w:after="120" w:line="276" w:lineRule="auto"/>
      </w:pPr>
      <w:r>
        <w:t>**Bourse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**1 008 milliards FCFA**, CBIBF s'affirme comme l'une des plus grandes capitalisations de la cote BRVM, ce qui témoigne de son poids systémique dans le secteur bancaire sous-régional. Le BPA de **2 047 FCFA/action** (exercice 2025) signifie que chaque titre génère près de 2 047 FCFA de bénéfice net, un niveau de rentabilité par action particulièrement élevé. Le PER de **15,4x** se situe au-dessus de la moyenne BRVM (~8-12x), traduisant une prime de qualité que le marché consent pour cette banque à la croissance soutenue — les investisseurs paient donc un prix raisonnablement élevé mais justifié par les fondamentaux. L'EV/EBITDA de **11,4x** (fourchette 10-15x) confirme cette valorisation élevée, cohérente avec la capacité opérationnelle de la banque et sa position de leader. Le ratio P/B n'est pas fourni dans les données disponibles, ce qui limite l'appréciation de la valorisation comptable, mais l'ensemble des ratios disponibles plaide pour une valorisation **modérée à légèrement premium**, sans excès spéculatif.</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CBIBF affiche une performance remarquable de **+46,75%**, avec une dernière séance en hausse de **+1,61%**, confirmant un momentum haussier solide. Le cours actuel de **31 500 FCFA** évolue dans un range large entre un plus bas de **20 900 FCFA** et un plus haut de **34 450 FCFA**, soit un spread de trading de plus de 64% — signe d'une forte amplitude directionnelle. La tendance générale est clairement **haussière**, portée par l'amélioration des résultats 2025 (résultat net +36,6%) et la dynamique du T1 2026. Les statistiques descriptives révèlent une moyenne de **27 780 FCFA** légèrement inférieure à la médiane de **28 582 FCFA**, suggérant une distribution faiblement asymétrique à gauche (confirmée par le skewness de -0,290, qualifié de symétrique) ; l'écart-type de **4 099 FCFA** avec un CV de **14,8%** indique une dispersion modérée autour de la moyenne. Le kurtosis de **-1,124** (platykurtique) traduit une distribution aplatie avec un risque de pics extrêmes relativement faible, ce qui est rassurant pour la stabilité du cours. La volatilité annualisée de **44,0%** classe le titre dans la catégorie **élevée** (&gt;30%), typique des valeurs de croissance à forte sensibilité, exigeant une tolérance au risque importante de la part de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(**31 118,25 FCFA**) et la MM50 (**30 947,70 FCFA**) se situent toutes deux sous le cours actuel de 31 500 FCFA, avec la MM20 légèrement au-dessus de la MM50 — configuration haussière classique (croisement doré implicite). Le cours évoluant au-dessus de ses deux moyennes, la décision technique est **Achat**, confirmant la dynamique positive de court et moyen terme.</w:t>
      </w:r>
    </w:p>
    <w:p>
      <w:pPr>
        <w:spacing w:after="120" w:line="276" w:lineRule="auto"/>
      </w:pPr>
      <w:r>
        <w:t>**Bandes de Bollinger** : Le cours (31 500 FCFA) se situe dans la moitié supérieure de la bande, entre la borne inférieure (28 692,87 FCFA) et la borne supérieure (33 543,63 FCFA), sans contact avec les extrêmes. Cette position centrale-haute traduit une volatilité contenue et l'absence de signal de surachat ou de survente, justifiant la décision **Neutre** — le titre consolide dans son canal ascendant.</w:t>
      </w:r>
    </w:p>
    <w:p>
      <w:pPr>
        <w:spacing w:after="120" w:line="276" w:lineRule="auto"/>
      </w:pPr>
      <w:r>
        <w:t>**MACD** : La valeur du MACD (**-194,634**) est inférieure à sa ligne de signal (**-133,868**), générant une divergence négative qui signale un essoufflement du momentum haussier à court terme. Bien que le cours reste soutenu par les moyennes mobiles, cette configuration baissière du MACD justifie la décision **Vente** à court terme, invitant à la prudence sur les points d'entrée.</w:t>
      </w:r>
    </w:p>
    <w:p>
      <w:pPr>
        <w:spacing w:after="120" w:line="276" w:lineRule="auto"/>
      </w:pPr>
      <w:r>
        <w:t>**RSI** : À **50,0**, le RSI se situe exactement au point d'équilibre, dans la zone neutre (30-70), sans signal de surachat (&gt;70) ni de survente (&lt;30). Cette valeur médiane confirme l'absence de pression acheteuse ou vendeuse dominante, justifiant la décision **Neutre** — le titre est dans une phase de respiration après sa forte hausse.</w:t>
      </w:r>
    </w:p>
    <w:p>
      <w:pPr>
        <w:spacing w:after="120" w:line="276" w:lineRule="auto"/>
      </w:pPr>
      <w:r>
        <w:t>**Stochastique** : Le %K (**60,241**) est supérieur au %D (**40,161**), configuration haussière avec un croisement récent à la hausse, mais les deux courbes restent dans une zone intermédiaire sans extrême. La décision est **Neutre**, le signal acheteur naissant n'étant pas encore confirmé par une sortie de zone basse.</w:t>
      </w:r>
    </w:p>
    <w:p>
      <w:pPr>
        <w:spacing w:after="120" w:line="276" w:lineRule="auto"/>
      </w:pPr>
      <w:r>
        <w:t>**Conclusion technique** : Les indicateurs présentent une **divergence modérée** — les moyennes mobiles confirment la tendance haussière de fond (Achat), tandis que le MACD signale un essoufflement (Vente) et que le RSI, le stochastique et les Bollinger restent neutres. Cette configuration suggère une phase de consolidation dans un trend haussier plus large, avec un risque de correction technique à court terme mais un support solide autour de 30 900-31 100 FCFA (zone des moyennes mobiles).</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Coris Bank International a réalisé un **Produit Net Bancaire (PNB) de 138,986 milliards FCFA** (+6,1% selon le rapport annuel 2025), pour un **résultat net de 65,495 milliards FCFA** en progression spectaculaire de **+36,6%** par rapport aux 47,937 milliards de 2024. Le **coefficient d'exploitation de 36,39%** — très inférieur au seuil de 60% et même du niveau excellent de 50% — témoigne d'une efficacité opérationnelle remarquable. Le **ROA de 2,18%** et la **marge nette de 47,12%** confirment une rentabilité de premier ordre, tandis que le **taux de croissance du PNB de 6,11%** traduit une dynamique commerciale soutenue. Le bilan affiche un **total actif de 2 997,78 milliards FCFA**, des **dépôts clientèle de 2 015,28 milliards FCFA** et des **créances clientèle de 1 326,98 milliards FCFA**, soit un ratio dépôts/crédits de **1,52** — une surliquidité confortable qui réduit le risque de transformation. Le **coût du risque** s'est amélioré de 59,3% (à 16,5 milliards FCFA), traduisant l'assainissement réussi du portefeuille après l'exercice 2024 difficile (résultat net -25,4%).</w:t>
      </w:r>
    </w:p>
    <w:p>
      <w:pPr>
        <w:spacing w:after="120" w:line="276" w:lineRule="auto"/>
      </w:pPr>
      <w:r>
        <w:t>**Évolution pluriannuelle** : De 2022 (résultat net 56,5 Mds FCFA, PNB 111,1 Mds) à 2024 (47,9 Mds, PNB 131,0 Mds) puis 2025 (65,5 Mds, PNB 139,0 Mds), la banque démontre une capacité de rebond après le choc du coût du risque 2024, avec une croissance du PNB quasi continue.</w:t>
      </w:r>
    </w:p>
    <w:p>
      <w:pPr>
        <w:spacing w:after="120" w:line="276" w:lineRule="auto"/>
      </w:pPr>
      <w:r>
        <w:t>**Estimations basées sur le rapport T1 2026 (publié le 31/03/2026)** : Le premier trimestre 2026 confirme l'accélération avec un **PNB de 36,8 milliards FCFA (+28,5%)** et un **résultat net de 21,5 milliards FCFA (+22,2%)**, portés par une collecte de dépôts explosive (+37,9% à 2 365,1 Mds FCFA). Sur cette base, on peut **estimer** un résultat net annuel 2026 autour de **80-85 milliards FCFA** si la dynamique se maintient, ce qui ramènerait le PER vers 12-13x — une valorisation plus attractive. La recommandation fondamentale est **ACHAT** : solidité bilancielle, rentabilité exceptionnelle, efficacité opérationnelle et perspectives de croissance confirmées, avec pour principal risque l'environnement sécuritaire et géopolitique burkinabè.</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**globalement favorable mais nuancé**. Sur le plan de la **valorisation (Partie 0)**, le PER de 15,4x et l'EV/EBITDA de 11,4x indiquent une valorisation premium justifiée par la qualité des fondamentaux, sans surévaluation excessive. Le **comportement du cours (Partie 1)** est nettement haussier (+46,75%), avec une volatilité élevée (44%) et des statistiques (kurtosis platykurtique, skewness symétrique) qui ne signalent pas de risque de queue extrême préoccupant. Les **signaux techniques (Partie 2)** sont mitigés : les moyennes mobiles confirment l'achat, mais le MACD baissier et les indicateurs neutres suggèrent une consolidation imminente. Les **fondamentaux (Partie 3)** sont excellents — résultat net 2025 en hausse de 36,6%, coefficient d'exploitation de 36,4%, T1 2026 en accélération (+22,2%) — et constituent le socle le plus solide de l'analyse. Les **prédictions IA (J+1 à J+10)** anticipent une correction baissière de 31 500 à ~29 200 FCFA (-7,3%), ce qui **contredit partiellement** le signal des moyennes mobiles mais **corrobore** le MACD baissier et la phase de consolidation attendue.</w:t>
      </w:r>
    </w:p>
    <w:p>
      <w:pPr>
        <w:spacing w:after="120" w:line="276" w:lineRule="auto"/>
      </w:pPr>
      <w:r>
        <w:t>**Recommandation finale : ACHAT** (avec patience sur le point d'entrée). La convergence entre fondamentaux exceptionnels, valorisation raisonnable et tendance de fond haussière l'emporte sur les signaux techniques de court terme, mais la correction prédite par l'IA invite à privilégier une entrée progressive sur repli vers 29 500-30 500 FCFA (zone de support des moyennes mobiles). **Niveau de confiance : Moyen** (divergence technique/prediction vs fondamentaux). **Niveau de risque global : Moyen à Élevé** (volatilité 44%, exposition pays Burkina Faso). **Horizon d'investissement optimal : moyen à long terme (6-18 mois)**, le temps que la dynamique bénéficiaire 2026 se matérialise et que la consolidation technique s'achève.</w:t>
      </w:r>
    </w:p>
    <w:p>
      <w:pPr>
        <w:spacing w:after="120" w:line="276" w:lineRule="auto"/>
      </w:pPr>
      <w:r>
        <w:t>---</w:t>
      </w:r>
    </w:p>
    <w:p>
      <w:pPr>
        <w:spacing w:after="120" w:line="276" w:lineRule="auto"/>
      </w:pPr>
      <w:r>
        <w:t>*Rapport généré à partir des données BRVM au 2026, des états financiers 2025, du rapport T1 2026 (31/03/2026) et des analyses officielles Coris Bank International SA.*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14.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262.99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3,602 titres</w:t>
            </w:r>
          </w:p>
        </w:tc>
        <w:tc>
          <w:tcPr>
            <w:tcW w:type="dxa" w:w="2268"/>
            <w:shd w:fill="FFF2CC" w:val="clear"/>
          </w:tcPr>
          <w:p>
            <w:r>
              <w:rPr>
                <w:b/>
                <w:color w:val="503200"/>
                <w:sz w:val="16"/>
              </w:rPr>
              <w:t xml:space="preserve">Cours actuel : </w:t>
            </w:r>
            <w:r>
              <w:rPr>
                <w:color w:val="000000"/>
                <w:sz w:val="17"/>
              </w:rPr>
              <w:t>1,450 FCFA</w:t>
            </w:r>
          </w:p>
          <w:p>
            <w:r>
              <w:rPr>
                <w:b/>
                <w:color w:val="503200"/>
                <w:sz w:val="16"/>
              </w:rPr>
              <w:t xml:space="preserve">Var. 100 jours : </w:t>
            </w:r>
            <w:r>
              <w:rPr>
                <w:b/>
                <w:color w:val="B40000"/>
                <w:sz w:val="17"/>
              </w:rPr>
              <w:t>-2.36%</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19.0/100 → Faible</w:t>
      </w:r>
    </w:p>
    <w:p>
      <w:pPr>
        <w:spacing w:before="40" w:after="80"/>
      </w:pPr>
      <w:r>
        <w:rPr>
          <w:rFonts w:ascii="Courier New" w:hAnsi="Courier New"/>
          <w:color w:val="006400"/>
          <w:sz w:val="18"/>
        </w:rPr>
        <w:t>███░░░░░░░░░░░░░░░░░  19.0/100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5.91% (Moyenne) — μ=1,633 FCFA, σ=97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β=1.1945 (Neutre (suit le marché)) — Cov=0.000092, Var(idx)=0.000077, ρ=0.360,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σ_j=3.01%/j (Modérée) — Vol. annualisée≈47.8%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1,360</w:t>
            </w:r>
          </w:p>
        </w:tc>
        <w:tc>
          <w:tcPr>
            <w:tcW w:type="dxa" w:w="1440"/>
            <w:shd w:fill="FAFAFA" w:val="clear"/>
          </w:tcPr>
          <w:p>
            <w:r>
              <w:rPr>
                <w:b/>
                <w:sz w:val="17"/>
              </w:rPr>
              <w:t>1,429</w:t>
            </w:r>
          </w:p>
        </w:tc>
        <w:tc>
          <w:tcPr>
            <w:tcW w:type="dxa" w:w="1440"/>
            <w:shd w:fill="FAFAFA" w:val="clear"/>
          </w:tcPr>
          <w:p>
            <w:r>
              <w:rPr>
                <w:sz w:val="17"/>
              </w:rPr>
              <w:t>1,498</w:t>
            </w:r>
          </w:p>
        </w:tc>
        <w:tc>
          <w:tcPr>
            <w:tcW w:type="dxa" w:w="1440"/>
            <w:shd w:fill="FAFAFA" w:val="clear"/>
          </w:tcPr>
          <w:p>
            <w:r>
              <w:rPr>
                <w:b/>
                <w:color w:val="C00000"/>
                <w:sz w:val="17"/>
              </w:rPr>
              <w:t>-1.4%</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1,342</w:t>
            </w:r>
          </w:p>
        </w:tc>
        <w:tc>
          <w:tcPr>
            <w:tcW w:type="dxa" w:w="1440"/>
            <w:shd w:fill="FAFAFA" w:val="clear"/>
          </w:tcPr>
          <w:p>
            <w:r>
              <w:rPr>
                <w:b/>
                <w:sz w:val="17"/>
              </w:rPr>
              <w:t>1,440</w:t>
            </w:r>
          </w:p>
        </w:tc>
        <w:tc>
          <w:tcPr>
            <w:tcW w:type="dxa" w:w="1440"/>
            <w:shd w:fill="FAFAFA" w:val="clear"/>
          </w:tcPr>
          <w:p>
            <w:r>
              <w:rPr>
                <w:sz w:val="17"/>
              </w:rPr>
              <w:t>1,539</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1,328</w:t>
            </w:r>
          </w:p>
        </w:tc>
        <w:tc>
          <w:tcPr>
            <w:tcW w:type="dxa" w:w="1440"/>
            <w:shd w:fill="FAFAFA" w:val="clear"/>
          </w:tcPr>
          <w:p>
            <w:r>
              <w:rPr>
                <w:b/>
                <w:sz w:val="17"/>
              </w:rPr>
              <w:t>1,449</w:t>
            </w:r>
          </w:p>
        </w:tc>
        <w:tc>
          <w:tcPr>
            <w:tcW w:type="dxa" w:w="1440"/>
            <w:shd w:fill="FAFAFA" w:val="clear"/>
          </w:tcPr>
          <w:p>
            <w:r>
              <w:rPr>
                <w:sz w:val="17"/>
              </w:rPr>
              <w:t>1,571</w:t>
            </w:r>
          </w:p>
        </w:tc>
        <w:tc>
          <w:tcPr>
            <w:tcW w:type="dxa" w:w="1440"/>
            <w:shd w:fill="FAFAFA" w:val="clear"/>
          </w:tcPr>
          <w:p>
            <w:r>
              <w:rPr>
                <w:b/>
                <w:color w:val="C00000"/>
                <w:sz w:val="17"/>
              </w:rPr>
              <w:t>-0.1%</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1,317</w:t>
            </w:r>
          </w:p>
        </w:tc>
        <w:tc>
          <w:tcPr>
            <w:tcW w:type="dxa" w:w="1440"/>
            <w:shd w:fill="FAFAFA" w:val="clear"/>
          </w:tcPr>
          <w:p>
            <w:r>
              <w:rPr>
                <w:b/>
                <w:sz w:val="17"/>
              </w:rPr>
              <w:t>1,458</w:t>
            </w:r>
          </w:p>
        </w:tc>
        <w:tc>
          <w:tcPr>
            <w:tcW w:type="dxa" w:w="1440"/>
            <w:shd w:fill="FAFAFA" w:val="clear"/>
          </w:tcPr>
          <w:p>
            <w:r>
              <w:rPr>
                <w:sz w:val="17"/>
              </w:rPr>
              <w:t>1,599</w:t>
            </w:r>
          </w:p>
        </w:tc>
        <w:tc>
          <w:tcPr>
            <w:tcW w:type="dxa" w:w="1440"/>
            <w:shd w:fill="FAFAFA" w:val="clear"/>
          </w:tcPr>
          <w:p>
            <w:r>
              <w:rPr>
                <w:b/>
                <w:color w:val="008000"/>
                <w:sz w:val="17"/>
              </w:rPr>
              <w:t>+0.5%</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1,307</w:t>
            </w:r>
          </w:p>
        </w:tc>
        <w:tc>
          <w:tcPr>
            <w:tcW w:type="dxa" w:w="1440"/>
            <w:shd w:fill="FAFAFA" w:val="clear"/>
          </w:tcPr>
          <w:p>
            <w:r>
              <w:rPr>
                <w:b/>
                <w:sz w:val="17"/>
              </w:rPr>
              <w:t>1,466</w:t>
            </w:r>
          </w:p>
        </w:tc>
        <w:tc>
          <w:tcPr>
            <w:tcW w:type="dxa" w:w="1440"/>
            <w:shd w:fill="FAFAFA" w:val="clear"/>
          </w:tcPr>
          <w:p>
            <w:r>
              <w:rPr>
                <w:sz w:val="17"/>
              </w:rPr>
              <w:t>1,625</w:t>
            </w:r>
          </w:p>
        </w:tc>
        <w:tc>
          <w:tcPr>
            <w:tcW w:type="dxa" w:w="1440"/>
            <w:shd w:fill="FAFAFA" w:val="clear"/>
          </w:tcPr>
          <w:p>
            <w:r>
              <w:rPr>
                <w:b/>
                <w:color w:val="008000"/>
                <w:sz w:val="17"/>
              </w:rPr>
              <w:t>+1.1%</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1,299</w:t>
            </w:r>
          </w:p>
        </w:tc>
        <w:tc>
          <w:tcPr>
            <w:tcW w:type="dxa" w:w="1440"/>
            <w:shd w:fill="FAFAFA" w:val="clear"/>
          </w:tcPr>
          <w:p>
            <w:r>
              <w:rPr>
                <w:b/>
                <w:sz w:val="17"/>
              </w:rPr>
              <w:t>1,474</w:t>
            </w:r>
          </w:p>
        </w:tc>
        <w:tc>
          <w:tcPr>
            <w:tcW w:type="dxa" w:w="1440"/>
            <w:shd w:fill="FAFAFA" w:val="clear"/>
          </w:tcPr>
          <w:p>
            <w:r>
              <w:rPr>
                <w:sz w:val="17"/>
              </w:rPr>
              <w:t>1,649</w:t>
            </w:r>
          </w:p>
        </w:tc>
        <w:tc>
          <w:tcPr>
            <w:tcW w:type="dxa" w:w="1440"/>
            <w:shd w:fill="FAFAFA" w:val="clear"/>
          </w:tcPr>
          <w:p>
            <w:r>
              <w:rPr>
                <w:b/>
                <w:color w:val="008000"/>
                <w:sz w:val="17"/>
              </w:rPr>
              <w:t>+1.7%</w:t>
            </w:r>
          </w:p>
        </w:tc>
      </w:tr>
      <w:tr>
        <w:tc>
          <w:tcPr>
            <w:tcW w:type="dxa" w:w="1440"/>
            <w:shd w:fill="C6EFCE" w:val="clear"/>
          </w:tcPr>
          <w:p>
            <w:r>
              <w:rPr>
                <w:sz w:val="17"/>
              </w:rPr>
              <w:t>J+7  ⭐</w:t>
            </w:r>
          </w:p>
        </w:tc>
        <w:tc>
          <w:tcPr>
            <w:tcW w:type="dxa" w:w="1440"/>
            <w:shd w:fill="C6EFCE" w:val="clear"/>
          </w:tcPr>
          <w:p>
            <w:r>
              <w:rPr>
                <w:sz w:val="17"/>
              </w:rPr>
              <w:t>2026-10-27</w:t>
            </w:r>
          </w:p>
        </w:tc>
        <w:tc>
          <w:tcPr>
            <w:tcW w:type="dxa" w:w="1440"/>
            <w:shd w:fill="C6EFCE" w:val="clear"/>
          </w:tcPr>
          <w:p>
            <w:r>
              <w:rPr>
                <w:sz w:val="17"/>
              </w:rPr>
              <w:t>1,292</w:t>
            </w:r>
          </w:p>
        </w:tc>
        <w:tc>
          <w:tcPr>
            <w:tcW w:type="dxa" w:w="1440"/>
            <w:shd w:fill="C6EFCE" w:val="clear"/>
          </w:tcPr>
          <w:p>
            <w:r>
              <w:rPr>
                <w:b/>
                <w:sz w:val="17"/>
              </w:rPr>
              <w:t>1,482</w:t>
            </w:r>
          </w:p>
        </w:tc>
        <w:tc>
          <w:tcPr>
            <w:tcW w:type="dxa" w:w="1440"/>
            <w:shd w:fill="C6EFCE" w:val="clear"/>
          </w:tcPr>
          <w:p>
            <w:r>
              <w:rPr>
                <w:sz w:val="17"/>
              </w:rPr>
              <w:t>1,672</w:t>
            </w:r>
          </w:p>
        </w:tc>
        <w:tc>
          <w:tcPr>
            <w:tcW w:type="dxa" w:w="1440"/>
            <w:shd w:fill="C6EFCE" w:val="clear"/>
          </w:tcPr>
          <w:p>
            <w:r>
              <w:rPr>
                <w:b/>
                <w:color w:val="008000"/>
                <w:sz w:val="17"/>
              </w:rPr>
              <w:t>+2.2%</w:t>
            </w:r>
          </w:p>
        </w:tc>
      </w:tr>
      <w:tr>
        <w:tc>
          <w:tcPr>
            <w:tcW w:type="dxa" w:w="1440"/>
            <w:shd w:fill="C6EFCE" w:val="clear"/>
          </w:tcPr>
          <w:p>
            <w:r>
              <w:rPr>
                <w:sz w:val="17"/>
              </w:rPr>
              <w:t>J+8  ⭐</w:t>
            </w:r>
          </w:p>
        </w:tc>
        <w:tc>
          <w:tcPr>
            <w:tcW w:type="dxa" w:w="1440"/>
            <w:shd w:fill="C6EFCE" w:val="clear"/>
          </w:tcPr>
          <w:p>
            <w:r>
              <w:rPr>
                <w:sz w:val="17"/>
              </w:rPr>
              <w:t>2026-10-28</w:t>
            </w:r>
          </w:p>
        </w:tc>
        <w:tc>
          <w:tcPr>
            <w:tcW w:type="dxa" w:w="1440"/>
            <w:shd w:fill="C6EFCE" w:val="clear"/>
          </w:tcPr>
          <w:p>
            <w:r>
              <w:rPr>
                <w:sz w:val="17"/>
              </w:rPr>
              <w:t>1,286</w:t>
            </w:r>
          </w:p>
        </w:tc>
        <w:tc>
          <w:tcPr>
            <w:tcW w:type="dxa" w:w="1440"/>
            <w:shd w:fill="C6EFCE" w:val="clear"/>
          </w:tcPr>
          <w:p>
            <w:r>
              <w:rPr>
                <w:b/>
                <w:sz w:val="17"/>
              </w:rPr>
              <w:t>1,489</w:t>
            </w:r>
          </w:p>
        </w:tc>
        <w:tc>
          <w:tcPr>
            <w:tcW w:type="dxa" w:w="1440"/>
            <w:shd w:fill="C6EFCE" w:val="clear"/>
          </w:tcPr>
          <w:p>
            <w:r>
              <w:rPr>
                <w:sz w:val="17"/>
              </w:rPr>
              <w:t>1,693</w:t>
            </w:r>
          </w:p>
        </w:tc>
        <w:tc>
          <w:tcPr>
            <w:tcW w:type="dxa" w:w="1440"/>
            <w:shd w:fill="C6EFCE" w:val="clear"/>
          </w:tcPr>
          <w:p>
            <w:r>
              <w:rPr>
                <w:b/>
                <w:color w:val="008000"/>
                <w:sz w:val="17"/>
              </w:rPr>
              <w:t>+2.7%</w:t>
            </w:r>
          </w:p>
        </w:tc>
      </w:tr>
      <w:tr>
        <w:tc>
          <w:tcPr>
            <w:tcW w:type="dxa" w:w="1440"/>
            <w:shd w:fill="C6EFCE" w:val="clear"/>
          </w:tcPr>
          <w:p>
            <w:r>
              <w:rPr>
                <w:sz w:val="17"/>
              </w:rPr>
              <w:t>J+9  ⭐</w:t>
            </w:r>
          </w:p>
        </w:tc>
        <w:tc>
          <w:tcPr>
            <w:tcW w:type="dxa" w:w="1440"/>
            <w:shd w:fill="C6EFCE" w:val="clear"/>
          </w:tcPr>
          <w:p>
            <w:r>
              <w:rPr>
                <w:sz w:val="17"/>
              </w:rPr>
              <w:t>2026-10-29</w:t>
            </w:r>
          </w:p>
        </w:tc>
        <w:tc>
          <w:tcPr>
            <w:tcW w:type="dxa" w:w="1440"/>
            <w:shd w:fill="C6EFCE" w:val="clear"/>
          </w:tcPr>
          <w:p>
            <w:r>
              <w:rPr>
                <w:sz w:val="17"/>
              </w:rPr>
              <w:t>1,279</w:t>
            </w:r>
          </w:p>
        </w:tc>
        <w:tc>
          <w:tcPr>
            <w:tcW w:type="dxa" w:w="1440"/>
            <w:shd w:fill="C6EFCE" w:val="clear"/>
          </w:tcPr>
          <w:p>
            <w:r>
              <w:rPr>
                <w:b/>
                <w:sz w:val="17"/>
              </w:rPr>
              <w:t>1,497</w:t>
            </w:r>
          </w:p>
        </w:tc>
        <w:tc>
          <w:tcPr>
            <w:tcW w:type="dxa" w:w="1440"/>
            <w:shd w:fill="C6EFCE" w:val="clear"/>
          </w:tcPr>
          <w:p>
            <w:r>
              <w:rPr>
                <w:sz w:val="17"/>
              </w:rPr>
              <w:t>1,714</w:t>
            </w:r>
          </w:p>
        </w:tc>
        <w:tc>
          <w:tcPr>
            <w:tcW w:type="dxa" w:w="1440"/>
            <w:shd w:fill="C6EFCE" w:val="clear"/>
          </w:tcPr>
          <w:p>
            <w:r>
              <w:rPr>
                <w:b/>
                <w:color w:val="008000"/>
                <w:sz w:val="17"/>
              </w:rPr>
              <w:t>+3.2%</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1,274</w:t>
            </w:r>
          </w:p>
        </w:tc>
        <w:tc>
          <w:tcPr>
            <w:tcW w:type="dxa" w:w="1440"/>
            <w:shd w:fill="C6EFCE" w:val="clear"/>
          </w:tcPr>
          <w:p>
            <w:r>
              <w:rPr>
                <w:b/>
                <w:sz w:val="17"/>
              </w:rPr>
              <w:t>1,504</w:t>
            </w:r>
          </w:p>
        </w:tc>
        <w:tc>
          <w:tcPr>
            <w:tcW w:type="dxa" w:w="1440"/>
            <w:shd w:fill="C6EFCE" w:val="clear"/>
          </w:tcPr>
          <w:p>
            <w:r>
              <w:rPr>
                <w:sz w:val="17"/>
              </w:rPr>
              <w:t>1,734</w:t>
            </w:r>
          </w:p>
        </w:tc>
        <w:tc>
          <w:tcPr>
            <w:tcW w:type="dxa" w:w="1440"/>
            <w:shd w:fill="C6EFCE" w:val="clear"/>
          </w:tcPr>
          <w:p>
            <w:r>
              <w:rPr>
                <w:b/>
                <w:color w:val="008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 RAPPORT D'ANALYSE FINANCIÈRE — CFAC (CFAO Motors Côte d'Ivoire)</w:t>
        <w:br/>
        <w:t>### BRVM — Analyse complète au 19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262,99 milliards FCFA, CFAC s'impose comme l'une des valeurs les plus importantes de la cote BRVM, ce qui témoigne de la stature de leader national du distributeur automobile ivoirien. Le BPA de 26 FCFA par action indique le bénéfice net généré pour chaque titre détenu, mais c'est surtout le PER de 56,0x qui interpelle : les investisseurs paient 56 fois les bénéfices, soit un multiple très supérieur à la moyenne BRVM (8-12x), signalant une valorisation tendue qui intègre déjà beaucoup d'optimisme. Le P/B de 13,52x confirme cette prime considérable — le marché valorise la société à plus de 13 fois sa valeur comptable, bien au-delà du seuil de 4x généralement considéré comme exigeant. Enfin, l'EV/EBITDA de 28,6x (contre un seuil de vigilance de 15x) traduit une valeur d'entreprise très élevée rapportée à la capacité opérationnelle, ce qui laisse peu de marge d'erreur : la moindre déception sur les résultats exposerait le titre à une correction sévère. L'ensemble de ces ratios dessine une action **chèrement valorisée**, dont le prix intègre une forte croissance future.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CFAC affiche une variation totale de **-2,36%**, mais la dernière séance a enregistré un rebond spectaculaire de **+7,41%**, portant le cours à 1 450 FCFA. Le range de trading s'étend de 1 350 FCFA (plus bas) à 1 825 FCFA (plus haut), soit une amplitude de 35% qui traduit une réelle nervosité du marché. La tendance générale est baissière sur la période, le cours actuel se situant nettement sous ses plus hauts, même si le sursaut de J-1 suggère une tentative de reprise. Les statistiques descriptives révèlent une moyenne de 1 633 FCFA contre une médiane de 1 642 FCFA — un écart minime qui indique une distribution quasi symétrique, cohérente avec le skewness de -0,402 qualifié de « symétrique » ; l'écart-type de 97 FCFA et le coefficient de variation de 5,9% montrent une dispersion modérée du cours autour de sa moyenne. Le kurtosis de -0,429 (mésokurtique, proche d'une distribution normale) suggère l'absence de pics extrêmes marqués, donc un risque de queue relativement contenu. La volatilité annualisée de **47,8%** classe le titre dans la catégorie **élevée** (&gt;30%), ce qui est cohérent avec un volume moyen quotidien modeste de 3 602 titres — la faible liquidité amplifie les mouvements de prix.</w:t>
      </w:r>
    </w:p>
    <w:p>
      <w:pPr>
        <w:spacing w:after="120" w:line="276" w:lineRule="auto"/>
      </w:pPr>
      <w:r>
        <w:t>---</w:t>
      </w:r>
    </w:p>
    <w:p>
      <w:pPr>
        <w:spacing w:after="120" w:line="276" w:lineRule="auto"/>
      </w:pPr>
      <w:r>
        <w:t>## PARTIE 2 : ANALYSE TECHNIQUE DÉTAILLÉE</w:t>
      </w:r>
    </w:p>
    <w:p>
      <w:pPr>
        <w:spacing w:after="120" w:line="276" w:lineRule="auto"/>
      </w:pPr>
      <w:r>
        <w:t>**Moyennes Mobiles** : La MM20 (1 517,5 FCFA) et la MM50 (1 627,5 FCFA) se situent toutes deux au-dessus du cours actuel (1 450 FCFA), la MM20 étant elle-même sous la MM50 — configuration baissière caractéristique. Le cours évoluant sous ses deux moyennes, la pression vendeuse domine clairement, ce qui justifie la décision technique **Vente**.</w:t>
      </w:r>
    </w:p>
    <w:p>
      <w:pPr>
        <w:spacing w:after="120" w:line="276" w:lineRule="auto"/>
      </w:pPr>
      <w:r>
        <w:t>**Bandes de Bollinger** : Le cours (1 450 FCFA) évolue dans la moitié inférieure du canal, entre la borne inférieure (1 371,23 FCFA) et la borne supérieure (1 663,77 FCFA), sans en toucher les extrêmes. Cette position intermédiaire, couplée à un canal relativement large, traduit une volatilité présente mais sans signal directionnel fort, d'où la décision **Neutre**.</w:t>
      </w:r>
    </w:p>
    <w:p>
      <w:pPr>
        <w:spacing w:after="120" w:line="276" w:lineRule="auto"/>
      </w:pPr>
      <w:r>
        <w:t>**MACD** : La ligne MACD (-61,742) se situe sous sa ligne de signal (-52,19), avec un histogramme négatif — configuration baissière confirmée. Le momentum reste négatif et la divergence défavorable persiste, ce qui justifie la décision **Vente** malgré le rebond de J-1 qui n'a pas encore inversé la dynamique.</w:t>
      </w:r>
    </w:p>
    <w:p>
      <w:pPr>
        <w:spacing w:after="120" w:line="276" w:lineRule="auto"/>
      </w:pPr>
      <w:r>
        <w:t>**RSI** : À 41,176, l'indicateur se situe dans la zone neutre (30-70), sans atteindre la zone de survente (&lt;30) ni de surachat (&gt;70). Le titre n'est donc ni épuisé à la baisse ni en excès haussier, ce qui justifie la décision **Neutre** — un potentiel de rebond technique existe mais sans signal d'achat confirmé.</w:t>
      </w:r>
    </w:p>
    <w:p>
      <w:pPr>
        <w:spacing w:after="120" w:line="276" w:lineRule="auto"/>
      </w:pPr>
      <w:r>
        <w:t>**Stochastique** : Le %K (37,736) est supérieur au %D (12,579), avec un croisement haussier en formation dans la zone basse — signal positif naissant qui suggère un possible retournement de court terme. Toutefois, les deux courbes restent en territoire faible, ce qui maintient la décision **Neutre** en attendant confirmation.</w:t>
      </w:r>
    </w:p>
    <w:p>
      <w:pPr>
        <w:spacing w:after="120" w:line="276" w:lineRule="auto"/>
      </w:pPr>
      <w:r>
        <w:t>**Conclusion technique** : L'ensemble des indicateurs penche majoritairement vers la prudence — les moyennes mobiles et le MACD confirment une tendance baissière, tandis que le RSI, les Bollinger et le stochastique restent neutres avec un léger frémissement haussier de court terme. Le rebond de +7,41% en J-1 constitue un signal contradictoire isolé qu'il convient de surveiller, mais qui ne suffit pas à inverser la configuration globale. La convergence des signaux reste **baissière à neutre**, avec un risque de rechute tant que le cours n'aura pas reconquis la MM20 (1 517,5 FCFA).</w:t>
      </w:r>
    </w:p>
    <w:p>
      <w:pPr>
        <w:spacing w:after="120" w:line="276" w:lineRule="auto"/>
      </w:pPr>
      <w:r>
        <w:t>---</w:t>
      </w:r>
    </w:p>
    <w:p>
      <w:pPr>
        <w:spacing w:after="120" w:line="276" w:lineRule="auto"/>
      </w:pPr>
      <w:r>
        <w:t>## PARTIE 3 : ANALYSE FONDAMENTALE (SECTION CRITIQUE)</w:t>
      </w:r>
    </w:p>
    <w:p>
      <w:pPr>
        <w:spacing w:after="120" w:line="276" w:lineRule="auto"/>
      </w:pPr>
      <w:r>
        <w:t>Les états financiers officiels de l'exercice **2024** (rapport « États financiers 2024 » daté du 31/12/2024) établissent un chiffre d'affaires de **158,313 milliards FCFA**, en recul de **-12,1%** par rapport aux 180,162 milliards de 2023, et un résultat net de **4,693 milliards FCFA** (-26,7%). La rentabilité reste néanmoins solide sur les fonds propres avec un **ROE de 24,13%** (largement supérieur au seuil de 15% d'excellence) et un **ROA de 5,52%**, tandis que la marge nette s'établit à 2,96% et la marge opérationnelle à 4,96%. L'analyse du bilan révèle une structure financière à surveiller : l'autonomie financière n'est que de 22,88% (sous le seuil sain de 30%), la liquidité générale de 93,63% (inférieure à 1) et la trésorerie nette négative de -624,20 millions FCFA, conséquence d'investissements lourds (flux d'investissement de -8,741 milliards) et du versement de dividendes. Le BFR est heureusement négatif (-3,482 milliards FCFA), ce qui constitue un point favorable, et les délais d'exploitation sont bien maîtrisés : 36,64 jours clients contre 81,75 jours fournisseurs, un différentiel favorable à la trésorerie. La capacité de remboursement est excellente (0,72 an de CAF) et la couverture des intérêts atteint 1 064%, traduisant un endettement financier limité (4,488 milliards).</w:t>
      </w:r>
    </w:p>
    <w:p>
      <w:pPr>
        <w:spacing w:after="120" w:line="276" w:lineRule="auto"/>
      </w:pPr>
      <w:r>
        <w:t>L'évolution temporelle, reconstituée à partir des rapports narratifs, montre une nette amélioration en **2025** : le rapport du **T1 2025 (31/03/2025)** affiche un CA de 46,161 milliards (+14,5%) et un résultat net de 3,836 milliards (+279,7%) ; le **S1 2025 (30/06/2025)** confirme avec un CA de 91,182 milliards (+18,4%) et un résultat net de 5,420 milliards (+152,7%) ; le **T3 2025 (30/09/2025)** poursuit sur un CA trimestriel de 43,580 milliards (+18,3%) et un résultat net de 1,489 milliard (+38,1%), avec une part de marché consolidée à 41,7%. Sur cette base, **on estime** que l'exercice 2025 devrait clôturer sur un CA annuel de l'ordre de 175-180 milliards FCFA et un résultat net nettement supérieur à celui de 2024, marquant un redressement complet après l'exercice difficile. Le rapport le plus récent (daté du 31/12/2026, analysé par GEMINI-VISION) évoque même un CA 2024 de 158,31 milliards avec une croissance de +14,04% et un dynamisme du marché automobile ivoirien (+14%), suggérant une poursuite de la reprise. La recommandation fondamentale est donc **positive sur la dynamique opérationnelle** (leader avec 41,7% de part de marché, marges en expansion, ROE élevé), mais **prudente sur la structure financière** (trésorerie tendue, autonomie financière faible, politique de dividende historiquement agressive à 88% de distribution en 2023).</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d'investissement contrasté. **Sur la valorisation (Partie 0)**, les ratios PER de 56x, P/B de 13,52x et EV/EBITDA de 28,6x indiquent une nette **surévaluation** par rapport aux standards BRVM, le marché ayant déjà intégré la reprise de 2025. **Sur le comportement du cours (Partie 1)**, la tendance baissière sur 100 jours (-2,36%), la volatilité élevée (47,8%) et le rebond isolé de J-1 (+7,41%) dessinent un titre nerveux mais sans direction claire, les statistiques (kurtosis -0,429, skewness -0,402) ne signalant pas de risque extrême mais une distribution normale sans biais marqué. **Sur le plan technique (Partie 2)**, la convergence est majoritairement baissière (MM et MACD en Vente, RSI/Bollinger/Stochastique neutres), le rebond récent n'ayant pas encore invalidé la configuration. **Sur les fondamentaux (Partie 3)**, la société affiche une dynamique 2025 remarquable (CA +18%, résultat net en forte hausse, leader à 41,7% de part de marché, ROE de 24%), mais une structure financière fragile (trésorerie négative, autonomie de 22,88%) et une valorisation déjà exigeante. **Les prédictions IA (J+1 à J+10)** projettent une trajectoire haussière modérée de 1 429 à 1 466 FCFA, soit +2,6% sur 10 jours, ce qui **contredit partiellement** les signaux techniques baissiers et suggère un possible rebond de court terme sans conviction forte.</w:t>
      </w:r>
    </w:p>
    <w:p>
      <w:pPr>
        <w:spacing w:after="120" w:line="276" w:lineRule="auto"/>
      </w:pPr>
      <w:r>
        <w:t>**Recommandation finale : CONSERVER** — avec un biais prudent. La convergence n'est pas totale : la valorisation chère et les signaux techniques baissiers plaident contre l'achat, tandis que les fondamentaux 2025 solides et les prédictions IA légèrement haussières justifient de ne pas vendre. Le niveau de confiance est **Moyen** (signaux contradictoires entre technique et prédiction) et le niveau de risque global est **Élevé** (volatilité de 47,8%, valorisation tendue, liquidité modeste). L'horizon optimal est le **moyen terme (3-12 mois)**, le temps que la confirmation des résultats annuels 2025 permette de valider ou d'infirmer la prime de valorisation actuelle ; un investisseur déjà positionné conservera sa ligne avec un stop de protection sous 1 371 FCFA (borne inférieure de Bollinger), tandis qu'un nouvel entrant attendra une reconquête de la MM20 (1 517,5 FCFA) ou un retour du PER vers des niveaux plus raisonnables avant d'initier une position.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15.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324.80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6,531 titres</w:t>
            </w:r>
          </w:p>
        </w:tc>
        <w:tc>
          <w:tcPr>
            <w:tcW w:type="dxa" w:w="2268"/>
            <w:shd w:fill="FFF2CC" w:val="clear"/>
          </w:tcPr>
          <w:p>
            <w:r>
              <w:rPr>
                <w:b/>
                <w:color w:val="503200"/>
                <w:sz w:val="16"/>
              </w:rPr>
              <w:t xml:space="preserve">Cours actuel : </w:t>
            </w:r>
            <w:r>
              <w:rPr>
                <w:color w:val="000000"/>
                <w:sz w:val="17"/>
              </w:rPr>
              <w:t>5,800 FCFA</w:t>
            </w:r>
          </w:p>
          <w:p>
            <w:r>
              <w:rPr>
                <w:b/>
                <w:color w:val="503200"/>
                <w:sz w:val="16"/>
              </w:rPr>
              <w:t xml:space="preserve">Var. 100 jours : </w:t>
            </w:r>
            <w:r>
              <w:rPr>
                <w:b/>
                <w:color w:val="007800"/>
                <w:sz w:val="17"/>
              </w:rPr>
              <w:t>+44.64%</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4,010 FCFA</w:t>
            </w:r>
          </w:p>
          <w:p>
            <w:r>
              <w:rPr>
                <w:b/>
                <w:color w:val="503200"/>
                <w:sz w:val="16"/>
              </w:rPr>
              <w:t xml:space="preserve">Volatilité ann. : </w:t>
            </w:r>
            <w:r>
              <w:rPr>
                <w:color w:val="000000"/>
                <w:sz w:val="17"/>
              </w:rPr>
              <w:t>48.2%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14.34% (Moyenne) — μ=5,720 FCFA, σ=820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β=0.7572 (Défensif) — Cov=0.000058, Var(idx)=0.000077, ρ=0.217,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6,531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Achat=3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σ_j=3.03%/j (Modérée) — Vol. annualisée≈48.2%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5,643</w:t>
            </w:r>
          </w:p>
        </w:tc>
        <w:tc>
          <w:tcPr>
            <w:tcW w:type="dxa" w:w="1440"/>
            <w:shd w:fill="FAFAFA" w:val="clear"/>
          </w:tcPr>
          <w:p>
            <w:r>
              <w:rPr>
                <w:b/>
                <w:sz w:val="17"/>
              </w:rPr>
              <w:t>5,905</w:t>
            </w:r>
          </w:p>
        </w:tc>
        <w:tc>
          <w:tcPr>
            <w:tcW w:type="dxa" w:w="1440"/>
            <w:shd w:fill="FAFAFA" w:val="clear"/>
          </w:tcPr>
          <w:p>
            <w:r>
              <w:rPr>
                <w:sz w:val="17"/>
              </w:rPr>
              <w:t>6,167</w:t>
            </w:r>
          </w:p>
        </w:tc>
        <w:tc>
          <w:tcPr>
            <w:tcW w:type="dxa" w:w="1440"/>
            <w:shd w:fill="FAFAFA" w:val="clear"/>
          </w:tcPr>
          <w:p>
            <w:r>
              <w:rPr>
                <w:b/>
                <w:color w:val="008000"/>
                <w:sz w:val="17"/>
              </w:rPr>
              <w:t>+1.8%</w:t>
            </w:r>
          </w:p>
        </w:tc>
      </w:tr>
      <w:tr>
        <w:tc>
          <w:tcPr>
            <w:tcW w:type="dxa" w:w="1440"/>
            <w:shd w:fill="C6EFCE" w:val="clear"/>
          </w:tcPr>
          <w:p>
            <w:r>
              <w:rPr>
                <w:sz w:val="17"/>
              </w:rPr>
              <w:t>J+2  Moyenne</w:t>
            </w:r>
          </w:p>
        </w:tc>
        <w:tc>
          <w:tcPr>
            <w:tcW w:type="dxa" w:w="1440"/>
            <w:shd w:fill="C6EFCE" w:val="clear"/>
          </w:tcPr>
          <w:p>
            <w:r>
              <w:rPr>
                <w:sz w:val="17"/>
              </w:rPr>
              <w:t>2026-10-20</w:t>
            </w:r>
          </w:p>
        </w:tc>
        <w:tc>
          <w:tcPr>
            <w:tcW w:type="dxa" w:w="1440"/>
            <w:shd w:fill="C6EFCE" w:val="clear"/>
          </w:tcPr>
          <w:p>
            <w:r>
              <w:rPr>
                <w:sz w:val="17"/>
              </w:rPr>
              <w:t>5,591</w:t>
            </w:r>
          </w:p>
        </w:tc>
        <w:tc>
          <w:tcPr>
            <w:tcW w:type="dxa" w:w="1440"/>
            <w:shd w:fill="C6EFCE" w:val="clear"/>
          </w:tcPr>
          <w:p>
            <w:r>
              <w:rPr>
                <w:b/>
                <w:sz w:val="17"/>
              </w:rPr>
              <w:t>5,965</w:t>
            </w:r>
          </w:p>
        </w:tc>
        <w:tc>
          <w:tcPr>
            <w:tcW w:type="dxa" w:w="1440"/>
            <w:shd w:fill="C6EFCE" w:val="clear"/>
          </w:tcPr>
          <w:p>
            <w:r>
              <w:rPr>
                <w:sz w:val="17"/>
              </w:rPr>
              <w:t>6,338</w:t>
            </w:r>
          </w:p>
        </w:tc>
        <w:tc>
          <w:tcPr>
            <w:tcW w:type="dxa" w:w="1440"/>
            <w:shd w:fill="C6EFCE" w:val="clear"/>
          </w:tcPr>
          <w:p>
            <w:r>
              <w:rPr>
                <w:b/>
                <w:color w:val="008000"/>
                <w:sz w:val="17"/>
              </w:rPr>
              <w:t>+2.8%</w:t>
            </w:r>
          </w:p>
        </w:tc>
      </w:tr>
      <w:tr>
        <w:tc>
          <w:tcPr>
            <w:tcW w:type="dxa" w:w="1440"/>
            <w:shd w:fill="C6EFCE" w:val="clear"/>
          </w:tcPr>
          <w:p>
            <w:r>
              <w:rPr>
                <w:sz w:val="17"/>
              </w:rPr>
              <w:t>J+3  Moyenne</w:t>
            </w:r>
          </w:p>
        </w:tc>
        <w:tc>
          <w:tcPr>
            <w:tcW w:type="dxa" w:w="1440"/>
            <w:shd w:fill="C6EFCE" w:val="clear"/>
          </w:tcPr>
          <w:p>
            <w:r>
              <w:rPr>
                <w:sz w:val="17"/>
              </w:rPr>
              <w:t>2026-10-21</w:t>
            </w:r>
          </w:p>
        </w:tc>
        <w:tc>
          <w:tcPr>
            <w:tcW w:type="dxa" w:w="1440"/>
            <w:shd w:fill="C6EFCE" w:val="clear"/>
          </w:tcPr>
          <w:p>
            <w:r>
              <w:rPr>
                <w:sz w:val="17"/>
              </w:rPr>
              <w:t>5,550</w:t>
            </w:r>
          </w:p>
        </w:tc>
        <w:tc>
          <w:tcPr>
            <w:tcW w:type="dxa" w:w="1440"/>
            <w:shd w:fill="C6EFCE" w:val="clear"/>
          </w:tcPr>
          <w:p>
            <w:r>
              <w:rPr>
                <w:b/>
                <w:sz w:val="17"/>
              </w:rPr>
              <w:t>6,012</w:t>
            </w:r>
          </w:p>
        </w:tc>
        <w:tc>
          <w:tcPr>
            <w:tcW w:type="dxa" w:w="1440"/>
            <w:shd w:fill="C6EFCE" w:val="clear"/>
          </w:tcPr>
          <w:p>
            <w:r>
              <w:rPr>
                <w:sz w:val="17"/>
              </w:rPr>
              <w:t>6,473</w:t>
            </w:r>
          </w:p>
        </w:tc>
        <w:tc>
          <w:tcPr>
            <w:tcW w:type="dxa" w:w="1440"/>
            <w:shd w:fill="C6EFCE" w:val="clear"/>
          </w:tcPr>
          <w:p>
            <w:r>
              <w:rPr>
                <w:b/>
                <w:color w:val="008000"/>
                <w:sz w:val="17"/>
              </w:rPr>
              <w:t>+3.6%</w:t>
            </w:r>
          </w:p>
        </w:tc>
      </w:tr>
      <w:tr>
        <w:tc>
          <w:tcPr>
            <w:tcW w:type="dxa" w:w="1440"/>
            <w:shd w:fill="C6EFCE" w:val="clear"/>
          </w:tcPr>
          <w:p>
            <w:r>
              <w:rPr>
                <w:sz w:val="17"/>
              </w:rPr>
              <w:t>J+4  ⭐</w:t>
            </w:r>
          </w:p>
        </w:tc>
        <w:tc>
          <w:tcPr>
            <w:tcW w:type="dxa" w:w="1440"/>
            <w:shd w:fill="C6EFCE" w:val="clear"/>
          </w:tcPr>
          <w:p>
            <w:r>
              <w:rPr>
                <w:sz w:val="17"/>
              </w:rPr>
              <w:t>2026-10-22</w:t>
            </w:r>
          </w:p>
        </w:tc>
        <w:tc>
          <w:tcPr>
            <w:tcW w:type="dxa" w:w="1440"/>
            <w:shd w:fill="C6EFCE" w:val="clear"/>
          </w:tcPr>
          <w:p>
            <w:r>
              <w:rPr>
                <w:sz w:val="17"/>
              </w:rPr>
              <w:t>5,498</w:t>
            </w:r>
          </w:p>
        </w:tc>
        <w:tc>
          <w:tcPr>
            <w:tcW w:type="dxa" w:w="1440"/>
            <w:shd w:fill="C6EFCE" w:val="clear"/>
          </w:tcPr>
          <w:p>
            <w:r>
              <w:rPr>
                <w:b/>
                <w:sz w:val="17"/>
              </w:rPr>
              <w:t>6,032</w:t>
            </w:r>
          </w:p>
        </w:tc>
        <w:tc>
          <w:tcPr>
            <w:tcW w:type="dxa" w:w="1440"/>
            <w:shd w:fill="C6EFCE" w:val="clear"/>
          </w:tcPr>
          <w:p>
            <w:r>
              <w:rPr>
                <w:sz w:val="17"/>
              </w:rPr>
              <w:t>6,567</w:t>
            </w:r>
          </w:p>
        </w:tc>
        <w:tc>
          <w:tcPr>
            <w:tcW w:type="dxa" w:w="1440"/>
            <w:shd w:fill="C6EFCE" w:val="clear"/>
          </w:tcPr>
          <w:p>
            <w:r>
              <w:rPr>
                <w:b/>
                <w:color w:val="008000"/>
                <w:sz w:val="17"/>
              </w:rPr>
              <w:t>+4.0%</w:t>
            </w:r>
          </w:p>
        </w:tc>
      </w:tr>
      <w:tr>
        <w:tc>
          <w:tcPr>
            <w:tcW w:type="dxa" w:w="1440"/>
            <w:shd w:fill="C6EFCE" w:val="clear"/>
          </w:tcPr>
          <w:p>
            <w:r>
              <w:rPr>
                <w:sz w:val="17"/>
              </w:rPr>
              <w:t>J+5  ⭐</w:t>
            </w:r>
          </w:p>
        </w:tc>
        <w:tc>
          <w:tcPr>
            <w:tcW w:type="dxa" w:w="1440"/>
            <w:shd w:fill="C6EFCE" w:val="clear"/>
          </w:tcPr>
          <w:p>
            <w:r>
              <w:rPr>
                <w:sz w:val="17"/>
              </w:rPr>
              <w:t>2026-10-23</w:t>
            </w:r>
          </w:p>
        </w:tc>
        <w:tc>
          <w:tcPr>
            <w:tcW w:type="dxa" w:w="1440"/>
            <w:shd w:fill="C6EFCE" w:val="clear"/>
          </w:tcPr>
          <w:p>
            <w:r>
              <w:rPr>
                <w:sz w:val="17"/>
              </w:rPr>
              <w:t>5,445</w:t>
            </w:r>
          </w:p>
        </w:tc>
        <w:tc>
          <w:tcPr>
            <w:tcW w:type="dxa" w:w="1440"/>
            <w:shd w:fill="C6EFCE" w:val="clear"/>
          </w:tcPr>
          <w:p>
            <w:r>
              <w:rPr>
                <w:b/>
                <w:sz w:val="17"/>
              </w:rPr>
              <w:t>6,043</w:t>
            </w:r>
          </w:p>
        </w:tc>
        <w:tc>
          <w:tcPr>
            <w:tcW w:type="dxa" w:w="1440"/>
            <w:shd w:fill="C6EFCE" w:val="clear"/>
          </w:tcPr>
          <w:p>
            <w:r>
              <w:rPr>
                <w:sz w:val="17"/>
              </w:rPr>
              <w:t>6,642</w:t>
            </w:r>
          </w:p>
        </w:tc>
        <w:tc>
          <w:tcPr>
            <w:tcW w:type="dxa" w:w="1440"/>
            <w:shd w:fill="C6EFCE" w:val="clear"/>
          </w:tcPr>
          <w:p>
            <w:r>
              <w:rPr>
                <w:b/>
                <w:color w:val="008000"/>
                <w:sz w:val="17"/>
              </w:rPr>
              <w:t>+4.2%</w:t>
            </w:r>
          </w:p>
        </w:tc>
      </w:tr>
      <w:tr>
        <w:tc>
          <w:tcPr>
            <w:tcW w:type="dxa" w:w="1440"/>
            <w:shd w:fill="C6EFCE" w:val="clear"/>
          </w:tcPr>
          <w:p>
            <w:r>
              <w:rPr>
                <w:sz w:val="17"/>
              </w:rPr>
              <w:t>J+6  ⭐</w:t>
            </w:r>
          </w:p>
        </w:tc>
        <w:tc>
          <w:tcPr>
            <w:tcW w:type="dxa" w:w="1440"/>
            <w:shd w:fill="C6EFCE" w:val="clear"/>
          </w:tcPr>
          <w:p>
            <w:r>
              <w:rPr>
                <w:sz w:val="17"/>
              </w:rPr>
              <w:t>2026-10-26</w:t>
            </w:r>
          </w:p>
        </w:tc>
        <w:tc>
          <w:tcPr>
            <w:tcW w:type="dxa" w:w="1440"/>
            <w:shd w:fill="C6EFCE" w:val="clear"/>
          </w:tcPr>
          <w:p>
            <w:r>
              <w:rPr>
                <w:sz w:val="17"/>
              </w:rPr>
              <w:t>5,394</w:t>
            </w:r>
          </w:p>
        </w:tc>
        <w:tc>
          <w:tcPr>
            <w:tcW w:type="dxa" w:w="1440"/>
            <w:shd w:fill="C6EFCE" w:val="clear"/>
          </w:tcPr>
          <w:p>
            <w:r>
              <w:rPr>
                <w:b/>
                <w:sz w:val="17"/>
              </w:rPr>
              <w:t>6,051</w:t>
            </w:r>
          </w:p>
        </w:tc>
        <w:tc>
          <w:tcPr>
            <w:tcW w:type="dxa" w:w="1440"/>
            <w:shd w:fill="C6EFCE" w:val="clear"/>
          </w:tcPr>
          <w:p>
            <w:r>
              <w:rPr>
                <w:sz w:val="17"/>
              </w:rPr>
              <w:t>6,708</w:t>
            </w:r>
          </w:p>
        </w:tc>
        <w:tc>
          <w:tcPr>
            <w:tcW w:type="dxa" w:w="1440"/>
            <w:shd w:fill="C6EFCE" w:val="clear"/>
          </w:tcPr>
          <w:p>
            <w:r>
              <w:rPr>
                <w:b/>
                <w:color w:val="008000"/>
                <w:sz w:val="17"/>
              </w:rPr>
              <w:t>+4.3%</w:t>
            </w:r>
          </w:p>
        </w:tc>
      </w:tr>
      <w:tr>
        <w:tc>
          <w:tcPr>
            <w:tcW w:type="dxa" w:w="1440"/>
            <w:shd w:fill="C6EFCE" w:val="clear"/>
          </w:tcPr>
          <w:p>
            <w:r>
              <w:rPr>
                <w:sz w:val="17"/>
              </w:rPr>
              <w:t>J+7  ⭐</w:t>
            </w:r>
          </w:p>
        </w:tc>
        <w:tc>
          <w:tcPr>
            <w:tcW w:type="dxa" w:w="1440"/>
            <w:shd w:fill="C6EFCE" w:val="clear"/>
          </w:tcPr>
          <w:p>
            <w:r>
              <w:rPr>
                <w:sz w:val="17"/>
              </w:rPr>
              <w:t>2026-10-27</w:t>
            </w:r>
          </w:p>
        </w:tc>
        <w:tc>
          <w:tcPr>
            <w:tcW w:type="dxa" w:w="1440"/>
            <w:shd w:fill="C6EFCE" w:val="clear"/>
          </w:tcPr>
          <w:p>
            <w:r>
              <w:rPr>
                <w:sz w:val="17"/>
              </w:rPr>
              <w:t>5,347</w:t>
            </w:r>
          </w:p>
        </w:tc>
        <w:tc>
          <w:tcPr>
            <w:tcW w:type="dxa" w:w="1440"/>
            <w:shd w:fill="C6EFCE" w:val="clear"/>
          </w:tcPr>
          <w:p>
            <w:r>
              <w:rPr>
                <w:b/>
                <w:sz w:val="17"/>
              </w:rPr>
              <w:t>6,057</w:t>
            </w:r>
          </w:p>
        </w:tc>
        <w:tc>
          <w:tcPr>
            <w:tcW w:type="dxa" w:w="1440"/>
            <w:shd w:fill="C6EFCE" w:val="clear"/>
          </w:tcPr>
          <w:p>
            <w:r>
              <w:rPr>
                <w:sz w:val="17"/>
              </w:rPr>
              <w:t>6,768</w:t>
            </w:r>
          </w:p>
        </w:tc>
        <w:tc>
          <w:tcPr>
            <w:tcW w:type="dxa" w:w="1440"/>
            <w:shd w:fill="C6EFCE" w:val="clear"/>
          </w:tcPr>
          <w:p>
            <w:r>
              <w:rPr>
                <w:b/>
                <w:color w:val="008000"/>
                <w:sz w:val="17"/>
              </w:rPr>
              <w:t>+4.4%</w:t>
            </w:r>
          </w:p>
        </w:tc>
      </w:tr>
      <w:tr>
        <w:tc>
          <w:tcPr>
            <w:tcW w:type="dxa" w:w="1440"/>
            <w:shd w:fill="C6EFCE" w:val="clear"/>
          </w:tcPr>
          <w:p>
            <w:r>
              <w:rPr>
                <w:sz w:val="17"/>
              </w:rPr>
              <w:t>J+8  ⭐</w:t>
            </w:r>
          </w:p>
        </w:tc>
        <w:tc>
          <w:tcPr>
            <w:tcW w:type="dxa" w:w="1440"/>
            <w:shd w:fill="C6EFCE" w:val="clear"/>
          </w:tcPr>
          <w:p>
            <w:r>
              <w:rPr>
                <w:sz w:val="17"/>
              </w:rPr>
              <w:t>2026-10-28</w:t>
            </w:r>
          </w:p>
        </w:tc>
        <w:tc>
          <w:tcPr>
            <w:tcW w:type="dxa" w:w="1440"/>
            <w:shd w:fill="C6EFCE" w:val="clear"/>
          </w:tcPr>
          <w:p>
            <w:r>
              <w:rPr>
                <w:sz w:val="17"/>
              </w:rPr>
              <w:t>5,303</w:t>
            </w:r>
          </w:p>
        </w:tc>
        <w:tc>
          <w:tcPr>
            <w:tcW w:type="dxa" w:w="1440"/>
            <w:shd w:fill="C6EFCE" w:val="clear"/>
          </w:tcPr>
          <w:p>
            <w:r>
              <w:rPr>
                <w:b/>
                <w:sz w:val="17"/>
              </w:rPr>
              <w:t>6,063</w:t>
            </w:r>
          </w:p>
        </w:tc>
        <w:tc>
          <w:tcPr>
            <w:tcW w:type="dxa" w:w="1440"/>
            <w:shd w:fill="C6EFCE" w:val="clear"/>
          </w:tcPr>
          <w:p>
            <w:r>
              <w:rPr>
                <w:sz w:val="17"/>
              </w:rPr>
              <w:t>6,823</w:t>
            </w:r>
          </w:p>
        </w:tc>
        <w:tc>
          <w:tcPr>
            <w:tcW w:type="dxa" w:w="1440"/>
            <w:shd w:fill="C6EFCE" w:val="clear"/>
          </w:tcPr>
          <w:p>
            <w:r>
              <w:rPr>
                <w:b/>
                <w:color w:val="008000"/>
                <w:sz w:val="17"/>
              </w:rPr>
              <w:t>+4.5%</w:t>
            </w:r>
          </w:p>
        </w:tc>
      </w:tr>
      <w:tr>
        <w:tc>
          <w:tcPr>
            <w:tcW w:type="dxa" w:w="1440"/>
            <w:shd w:fill="C6EFCE" w:val="clear"/>
          </w:tcPr>
          <w:p>
            <w:r>
              <w:rPr>
                <w:sz w:val="17"/>
              </w:rPr>
              <w:t>J+9  ⭐</w:t>
            </w:r>
          </w:p>
        </w:tc>
        <w:tc>
          <w:tcPr>
            <w:tcW w:type="dxa" w:w="1440"/>
            <w:shd w:fill="C6EFCE" w:val="clear"/>
          </w:tcPr>
          <w:p>
            <w:r>
              <w:rPr>
                <w:sz w:val="17"/>
              </w:rPr>
              <w:t>2026-10-29</w:t>
            </w:r>
          </w:p>
        </w:tc>
        <w:tc>
          <w:tcPr>
            <w:tcW w:type="dxa" w:w="1440"/>
            <w:shd w:fill="C6EFCE" w:val="clear"/>
          </w:tcPr>
          <w:p>
            <w:r>
              <w:rPr>
                <w:sz w:val="17"/>
              </w:rPr>
              <w:t>5,261</w:t>
            </w:r>
          </w:p>
        </w:tc>
        <w:tc>
          <w:tcPr>
            <w:tcW w:type="dxa" w:w="1440"/>
            <w:shd w:fill="C6EFCE" w:val="clear"/>
          </w:tcPr>
          <w:p>
            <w:r>
              <w:rPr>
                <w:b/>
                <w:sz w:val="17"/>
              </w:rPr>
              <w:t>6,067</w:t>
            </w:r>
          </w:p>
        </w:tc>
        <w:tc>
          <w:tcPr>
            <w:tcW w:type="dxa" w:w="1440"/>
            <w:shd w:fill="C6EFCE" w:val="clear"/>
          </w:tcPr>
          <w:p>
            <w:r>
              <w:rPr>
                <w:sz w:val="17"/>
              </w:rPr>
              <w:t>6,874</w:t>
            </w:r>
          </w:p>
        </w:tc>
        <w:tc>
          <w:tcPr>
            <w:tcW w:type="dxa" w:w="1440"/>
            <w:shd w:fill="C6EFCE" w:val="clear"/>
          </w:tcPr>
          <w:p>
            <w:r>
              <w:rPr>
                <w:b/>
                <w:color w:val="008000"/>
                <w:sz w:val="17"/>
              </w:rPr>
              <w:t>+4.6%</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5,221</w:t>
            </w:r>
          </w:p>
        </w:tc>
        <w:tc>
          <w:tcPr>
            <w:tcW w:type="dxa" w:w="1440"/>
            <w:shd w:fill="C6EFCE" w:val="clear"/>
          </w:tcPr>
          <w:p>
            <w:r>
              <w:rPr>
                <w:b/>
                <w:sz w:val="17"/>
              </w:rPr>
              <w:t>6,071</w:t>
            </w:r>
          </w:p>
        </w:tc>
        <w:tc>
          <w:tcPr>
            <w:tcW w:type="dxa" w:w="1440"/>
            <w:shd w:fill="C6EFCE" w:val="clear"/>
          </w:tcPr>
          <w:p>
            <w:r>
              <w:rPr>
                <w:sz w:val="17"/>
              </w:rPr>
              <w:t>6,922</w:t>
            </w:r>
          </w:p>
        </w:tc>
        <w:tc>
          <w:tcPr>
            <w:tcW w:type="dxa" w:w="1440"/>
            <w:shd w:fill="C6EFCE" w:val="clear"/>
          </w:tcPr>
          <w:p>
            <w:r>
              <w:rPr>
                <w:b/>
                <w:color w:val="008000"/>
                <w:sz w:val="17"/>
              </w:rPr>
              <w:t>+4.7%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 RAPPORT D'ANALYSE FINANCIÈRE — CIEC (Compagnie Ivoirienne d'Électricité)</w:t>
        <w:br/>
        <w:t>## Bourse Régionale des Valeurs Mobilières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CIEC s'établit à **324,80 milliards FCFA**, un niveau qui la place parmi les valeurs les plus importantes de la cote BRVM, reflétant son statut de monopole régulé dans le secteur électrique ivoirien. Le BPA de **234 FCFA/action** correspond au dividende proposé pour l'exercice 2025, offrant un rendement attractif au cours actuel de 5 800 FCFA (rendement de 4,0%). Le PER de **24,7x** se situe nettement au-dessus de la moyenne BRVM (~8-12x), signalant que les investisseurs paient une prime significative pour la croissance attendue ou que le titre est surévalué. Le P/B de **9,03x** traduit une forte prime par rapport à la valeur comptable (capitaux propres de 35,96 Mds FCFA), typique d'une entreprise à forte rotation d'actifs mais à base de fonds propres étroite. Enfin, l'EV/EBITDA de **13,8x** confirme une valorisation exigeante, dans le haut de la fourchette 10-15x, intégrant la capacité opérationnelle (EBE de 37,16 Mds FCFA) mais laissant peu de marge de sécurité.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CIEC affiche une **variation totale de +44,64%**, portée par un fort momentum haussier, bien que la dernière séance (J-1) marque une correction de **-2,52%**. Le range de trading est particulièrement large, avec un plus haut à **7 400 FCFA** et un plus bas à **4 010 FCFA**, soit une amplitude de 84,5% qui témoigne d'une forte volatilité directionnelle. La tendance générale reste haussière sur la période, mais le repli récent depuis les sommets suggère une prise de bénéfices après le rallye. Les statistiques descriptives révèlent une **moyenne de 5 720 FCFA** légèrement supérieure à la **médiane de 5 358 FCFA**, indiquant une distribution légèrement asymétrique à droite (confirmée par un **skewness de 0,216**, distribution quasi-symétrique), tandis que le **mode à 4 995 FCFA** reflète le niveau de prix le plus fréquent. L'**écart-type de 824 FCFA (CV=14,4%)** traduit une dispersion modérée autour de la moyenne, et le **kurtosis de -0,997** (mésokurtique) suggère une distribution proche de la normale, sans risque excessif de pics extrêmes. La **volatilité annualisée de 48,2%** classe le titre dans la catégorie **élevée (&gt;30%)**, ce qui est cohérent avec un marché frontière peu liquide (volume moyen de 6 531 titres/jour) et appelle à la prudence sur les horizons courts.</w:t>
      </w:r>
    </w:p>
    <w:p>
      <w:pPr>
        <w:spacing w:after="120" w:line="276" w:lineRule="auto"/>
      </w:pPr>
      <w:r>
        <w:t>---</w:t>
      </w:r>
    </w:p>
    <w:p>
      <w:pPr>
        <w:spacing w:after="120" w:line="276" w:lineRule="auto"/>
      </w:pPr>
      <w:r>
        <w:t>## PARTIE 2 : ANALYSE TECHNIQUE DÉTAILLÉE</w:t>
      </w:r>
    </w:p>
    <w:p>
      <w:pPr>
        <w:spacing w:after="120" w:line="276" w:lineRule="auto"/>
      </w:pPr>
      <w:r>
        <w:t>**Moyennes Mobiles** : La MM20 (6 303 FCFA) et la MM50 (6 391,5 FCFA) se situent toutes deux **au-dessus du cours actuel** (5 800 FCFA), configurant une pression baissière de court et moyen terme. La MM20 est légèrement sous la MM50, signalant un croisement baissier récent, ce qui justifie la **décision de Vente** des moyennes mobiles.</w:t>
      </w:r>
    </w:p>
    <w:p>
      <w:pPr>
        <w:spacing w:after="120" w:line="276" w:lineRule="auto"/>
      </w:pPr>
      <w:r>
        <w:t>**Bandes de Bollinger** : Le cours (5 800 FCFA) évolue **sous la borne inférieure** (5 865,09 FCFA), situation rare qui traduit une survente extrême et une volatilité élevée. Cette position hors bande suggère un potentiel de rebond technique, justifiant la **décision d'Achat** par retour à la moyenne.</w:t>
      </w:r>
    </w:p>
    <w:p>
      <w:pPr>
        <w:spacing w:after="120" w:line="276" w:lineRule="auto"/>
      </w:pPr>
      <w:r>
        <w:t>**MACD** : La valeur du MACD (**-129,862**) est inférieure à son signal (**-58,75**), avec un histogramme négatif qui s'accentue, confirmant un **momentum baissier** persistant. La divergence négative plaide pour la **décision de Vente**, bien que la configuration extrême appelle à surveiller un retournement.</w:t>
      </w:r>
    </w:p>
    <w:p>
      <w:pPr>
        <w:spacing w:after="120" w:line="276" w:lineRule="auto"/>
      </w:pPr>
      <w:r>
        <w:t>**RSI** : À **26,471**, le RSI se situe en zone de **survente** (seuil &lt;30), signalant que le titre a été massivement vendu et pourrait connaître un rebond technique. Cette lecture justifie la **décision d'Achat** contrarienne.</w:t>
      </w:r>
    </w:p>
    <w:p>
      <w:pPr>
        <w:spacing w:after="120" w:line="276" w:lineRule="auto"/>
      </w:pPr>
      <w:r>
        <w:t>**Stochastique** : Le %K et le %D sont tous deux à **0,0**, niveau plancher absolu qui traduit une survente extrême et un épuisement des vendeurs. Cette configuration, bien qu'extrême, est cohérente avec la **décision d'Achat** en anticipation d'un rebond.</w:t>
      </w:r>
    </w:p>
    <w:p>
      <w:pPr>
        <w:spacing w:after="120" w:line="276" w:lineRule="auto"/>
      </w:pPr>
      <w:r>
        <w:t>**Conclusion technique** : Les indicateurs présentent une **divergence marquée** : les moyennes mobiles et le MACD confirment une tendance baissière de fond, tandis que le RSI, le stochastique et les bandes de Bollinger signalent une survente extrême propice à un rebond technique. Cette configuration contradictoire est typique d'une phase de correction dans un trend haussier plus large, et suggère une **stratégie d'achat contrarien à court terme** avec un stop-loss serré sous 5 700 FCFA, en attendant la confirmation d'un retournement par le MACD.</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CIEC affiche un **chiffre d'affaires de 302,32 Mds FCFA**, en croissance de **+14,82%** (contre 263,29 Mds FCFA en 2024), portée par la hausse des ventes d'énergie (+8,3% en volume) et l'expansion de la base clientèle (+15,1% à 5,28 millions de clients). Le **résultat net s'établit à 13,127 Mds FCFA**, en progression de **+24,4%**, avec une **marge nette de 4,34%** et une **marge opérationnelle de 7,40%**. Le **ROE atteint 36,50%** (excellent, &gt;15%), bien que le **ROA ne soit que de 0,65%** en raison d'un total actif très élevé (2 018,45 Mds FCFA) incluant des actifs gérés pour le compte de l'Autorité concédante. La structure financière est **très endettée** (ratio d'endettement de 612,94%, autonomie financière de seulement 1,78%), mais la **capacité de remboursement de 7,64 années** et la **couverture des intérêts de 617,75%** rassurent sur la solvabilité. Le **BFR est négatif (-90,24 Mds FCFA)**, configuration favorable, mais le **délai clients de 164 jours** constitue un risque de trésorerie significatif, compensé par un **délai fournisseurs de 970 jours** exceptionnellement long.</w:t>
      </w:r>
    </w:p>
    <w:p>
      <w:pPr>
        <w:spacing w:after="120" w:line="276" w:lineRule="auto"/>
      </w:pPr>
      <w:r>
        <w:t>**Estimations basées sur les rapports semestriels** : Le rapport du **S1 2025 (daté du 30/06/2025)** indique un CA de 134,92 Mds FCFA (+18,85%) et un résultat net de 5,096 Mds FCFA (+13,37%), avec une marge nette de 3,8% en légère baisse. Sur cette base, on estime que l'exercice 2025 devrait confirmer la dynamique annuelle, avec un S2 plus fort (traditionnellement), cohérent avec le résultat net annuel de 13,1 Mds FCFA. Le **rapport annuel 2025 (daté du 31/12/2026)** confirme un dividende de **234 FCFA/action** (taux de distribution de 99,8%), offrant un rendement de 4,0% au cours actuel. Les rapports antérieurs (2021, 2024) montrent une **volatilité historique des résultats** liée aux changements de convention, mais la nouvelle convention (2021-2032) apporte de la visibilité.</w:t>
      </w:r>
    </w:p>
    <w:p>
      <w:pPr>
        <w:spacing w:after="120" w:line="276" w:lineRule="auto"/>
      </w:pPr>
      <w:r>
        <w:t>**Recommandation fondamentale** : La solidité opérationnelle (croissance du CA, ROE élevé, BFR négatif) est tempérée par une **valorisation exigeante** (PER 24,7x, P/B 9,03x) et un **endettement massif** (98,2% de dépendance financière). Le risque de crédit client (164 jours de délai) et la dépendance réglementaire restent les principaux facteurs de vigilance. La recommandation fondamentale est **CONSERVER**, avec un biais positif pour les investisseurs de long terme recherchant le rendement du dividende.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**désaccord marqué entre valorisation, technique et fondamental**. La **valorisation (Partie 0)** est clairement **exigeante** (PER 24,7x vs moyenne BRVM 8-12x, P/B 9,03x, EV/EBITDA 13,8x), intégrant déjà une large part de la croissance attendue et laissant peu de marge de sécurité. Le **comportement du cours (Partie 1)** montre une tendance haussière de fond (+44,64% sur 100 jours) mais une correction récente (-2,52% en J-1), avec une volatilité élevée (48,2%) et des statistiques (kurtosis -0,997, skewness 0,216) qui ne signalent pas de risque extrême de queue, mais une distribution proche de la normale. Les **signaux techniques (Partie 2)** sont **divergents** : baissiers pour les MM et le MACD, mais extrêmement haussiers pour le RSI (26,5), le stochastique (0,0) et les bandes de Bollinger (cours sous la borne inférieure), configurant une **opportunité d'achat contrarien à court terme**. Les **fondamentaux (Partie 3)** sont **solides** (CA +14,8%, RN +24,4%, ROE 36,5%, BFR négatif) mais tempérés par un endettement massif et une valorisation déjà généreuse. Les **prédictions IA (J+1 à J+10)** anticipent une **reprise progressive** de 5 905 FCFA (J+1) à 6 043 FCFA (J+5), confirmant le scénario de rebond technique post-survente et contredisant la tendance baissière des MM/MACD.</w:t>
      </w:r>
    </w:p>
    <w:p>
      <w:pPr>
        <w:spacing w:after="120" w:line="276" w:lineRule="auto"/>
      </w:pPr>
      <w:r>
        <w:t>**Recommandation finale : CONSERVER** — avec un biais **ACHAT tactique** pour les investisseurs court terme. La convergence entre la survente technique extrême (RSI, stochastique, Bollinger) et les prédictions IA haussières plaide pour un rebond à court terme, mais la valorisation exigeante et l'endettement massif limitent le potentiel de hausse à moyen terme. **Niveau de confiance : Moyen** (divergence technique/fondamental). **Niveau de risque global : Élevé** (volatilité 48,2%, valorisation tendue, dépendance réglementaire). **Horizon optimal : Court terme (&lt;3 mois)** pour capturer le rebond technique, ou **long terme (&gt;1 an)** pour le rendement du dividende (4,0%) et la croissance structurelle du secteur électrique ivoirien.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16.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875.30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4,213 titres</w:t>
            </w:r>
          </w:p>
        </w:tc>
        <w:tc>
          <w:tcPr>
            <w:tcW w:type="dxa" w:w="2268"/>
            <w:shd w:fill="FFF2CC" w:val="clear"/>
          </w:tcPr>
          <w:p>
            <w:r>
              <w:rPr>
                <w:b/>
                <w:color w:val="503200"/>
                <w:sz w:val="16"/>
              </w:rPr>
              <w:t xml:space="preserve">Cours actuel : </w:t>
            </w:r>
            <w:r>
              <w:rPr>
                <w:color w:val="000000"/>
                <w:sz w:val="17"/>
              </w:rPr>
              <w:t>15,900 FCFA</w:t>
            </w:r>
          </w:p>
          <w:p>
            <w:r>
              <w:rPr>
                <w:b/>
                <w:color w:val="503200"/>
                <w:sz w:val="16"/>
              </w:rPr>
              <w:t xml:space="preserve">Var. 100 jours : </w:t>
            </w:r>
            <w:r>
              <w:rPr>
                <w:b/>
                <w:color w:val="B40000"/>
                <w:sz w:val="17"/>
              </w:rPr>
              <w:t>-2.45%</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15,715 FCFA</w:t>
            </w:r>
          </w:p>
          <w:p>
            <w:r>
              <w:rPr>
                <w:b/>
                <w:color w:val="503200"/>
                <w:sz w:val="16"/>
              </w:rPr>
              <w:t xml:space="preserve">Volatilité ann. : </w:t>
            </w:r>
            <w:r>
              <w:rPr>
                <w:color w:val="000000"/>
                <w:sz w:val="17"/>
              </w:rPr>
              <w:t>25.3%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13.1/100 → Faible</w:t>
      </w:r>
    </w:p>
    <w:p>
      <w:pPr>
        <w:spacing w:before="40" w:after="80"/>
      </w:pPr>
      <w:r>
        <w:rPr>
          <w:rFonts w:ascii="Courier New" w:hAnsi="Courier New"/>
          <w:color w:val="006400"/>
          <w:sz w:val="18"/>
        </w:rPr>
        <w:t>██░░░░░░░░░░░░░░░░░░  13.1/100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2.70% (Faible) — μ=16,588 FCFA, σ=448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β=0.3845 (Défensif) — Cov=0.000029, Var(idx)=0.000077, ρ=0.209,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4,213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Achat=3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σ_j=1.60%/j (Stable) — Vol. annualisée≈25.3%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0319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15,763</w:t>
            </w:r>
          </w:p>
        </w:tc>
        <w:tc>
          <w:tcPr>
            <w:tcW w:type="dxa" w:w="1440"/>
            <w:shd w:fill="FAFAFA" w:val="clear"/>
          </w:tcPr>
          <w:p>
            <w:r>
              <w:rPr>
                <w:b/>
                <w:sz w:val="17"/>
              </w:rPr>
              <w:t>16,139</w:t>
            </w:r>
          </w:p>
        </w:tc>
        <w:tc>
          <w:tcPr>
            <w:tcW w:type="dxa" w:w="1440"/>
            <w:shd w:fill="FAFAFA" w:val="clear"/>
          </w:tcPr>
          <w:p>
            <w:r>
              <w:rPr>
                <w:sz w:val="17"/>
              </w:rPr>
              <w:t>16,516</w:t>
            </w:r>
          </w:p>
        </w:tc>
        <w:tc>
          <w:tcPr>
            <w:tcW w:type="dxa" w:w="1440"/>
            <w:shd w:fill="FAFAFA" w:val="clear"/>
          </w:tcPr>
          <w:p>
            <w:r>
              <w:rPr>
                <w:b/>
                <w:color w:val="008000"/>
                <w:sz w:val="17"/>
              </w:rPr>
              <w:t>+1.5%</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15,629</w:t>
            </w:r>
          </w:p>
        </w:tc>
        <w:tc>
          <w:tcPr>
            <w:tcW w:type="dxa" w:w="1440"/>
            <w:shd w:fill="FAFAFA" w:val="clear"/>
          </w:tcPr>
          <w:p>
            <w:r>
              <w:rPr>
                <w:b/>
                <w:sz w:val="17"/>
              </w:rPr>
              <w:t>16,162</w:t>
            </w:r>
          </w:p>
        </w:tc>
        <w:tc>
          <w:tcPr>
            <w:tcW w:type="dxa" w:w="1440"/>
            <w:shd w:fill="FAFAFA" w:val="clear"/>
          </w:tcPr>
          <w:p>
            <w:r>
              <w:rPr>
                <w:sz w:val="17"/>
              </w:rPr>
              <w:t>16,696</w:t>
            </w:r>
          </w:p>
        </w:tc>
        <w:tc>
          <w:tcPr>
            <w:tcW w:type="dxa" w:w="1440"/>
            <w:shd w:fill="FAFAFA" w:val="clear"/>
          </w:tcPr>
          <w:p>
            <w:r>
              <w:rPr>
                <w:b/>
                <w:color w:val="008000"/>
                <w:sz w:val="17"/>
              </w:rPr>
              <w:t>+1.6%</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15,541</w:t>
            </w:r>
          </w:p>
        </w:tc>
        <w:tc>
          <w:tcPr>
            <w:tcW w:type="dxa" w:w="1440"/>
            <w:shd w:fill="FAFAFA" w:val="clear"/>
          </w:tcPr>
          <w:p>
            <w:r>
              <w:rPr>
                <w:b/>
                <w:sz w:val="17"/>
              </w:rPr>
              <w:t>16,195</w:t>
            </w:r>
          </w:p>
        </w:tc>
        <w:tc>
          <w:tcPr>
            <w:tcW w:type="dxa" w:w="1440"/>
            <w:shd w:fill="FAFAFA" w:val="clear"/>
          </w:tcPr>
          <w:p>
            <w:r>
              <w:rPr>
                <w:sz w:val="17"/>
              </w:rPr>
              <w:t>16,850</w:t>
            </w:r>
          </w:p>
        </w:tc>
        <w:tc>
          <w:tcPr>
            <w:tcW w:type="dxa" w:w="1440"/>
            <w:shd w:fill="FAFAFA" w:val="clear"/>
          </w:tcPr>
          <w:p>
            <w:r>
              <w:rPr>
                <w:b/>
                <w:color w:val="008000"/>
                <w:sz w:val="17"/>
              </w:rPr>
              <w:t>+1.9%</w:t>
            </w:r>
          </w:p>
        </w:tc>
      </w:tr>
      <w:tr>
        <w:tc>
          <w:tcPr>
            <w:tcW w:type="dxa" w:w="1440"/>
            <w:shd w:fill="C6EFCE" w:val="clear"/>
          </w:tcPr>
          <w:p>
            <w:r>
              <w:rPr>
                <w:sz w:val="17"/>
              </w:rPr>
              <w:t>J+4  Moyenne</w:t>
            </w:r>
          </w:p>
        </w:tc>
        <w:tc>
          <w:tcPr>
            <w:tcW w:type="dxa" w:w="1440"/>
            <w:shd w:fill="C6EFCE" w:val="clear"/>
          </w:tcPr>
          <w:p>
            <w:r>
              <w:rPr>
                <w:sz w:val="17"/>
              </w:rPr>
              <w:t>2026-10-22</w:t>
            </w:r>
          </w:p>
        </w:tc>
        <w:tc>
          <w:tcPr>
            <w:tcW w:type="dxa" w:w="1440"/>
            <w:shd w:fill="C6EFCE" w:val="clear"/>
          </w:tcPr>
          <w:p>
            <w:r>
              <w:rPr>
                <w:sz w:val="17"/>
              </w:rPr>
              <w:t>15,466</w:t>
            </w:r>
          </w:p>
        </w:tc>
        <w:tc>
          <w:tcPr>
            <w:tcW w:type="dxa" w:w="1440"/>
            <w:shd w:fill="C6EFCE" w:val="clear"/>
          </w:tcPr>
          <w:p>
            <w:r>
              <w:rPr>
                <w:b/>
                <w:sz w:val="17"/>
              </w:rPr>
              <w:t>16,223</w:t>
            </w:r>
          </w:p>
        </w:tc>
        <w:tc>
          <w:tcPr>
            <w:tcW w:type="dxa" w:w="1440"/>
            <w:shd w:fill="C6EFCE" w:val="clear"/>
          </w:tcPr>
          <w:p>
            <w:r>
              <w:rPr>
                <w:sz w:val="17"/>
              </w:rPr>
              <w:t>16,980</w:t>
            </w:r>
          </w:p>
        </w:tc>
        <w:tc>
          <w:tcPr>
            <w:tcW w:type="dxa" w:w="1440"/>
            <w:shd w:fill="C6EFCE" w:val="clear"/>
          </w:tcPr>
          <w:p>
            <w:r>
              <w:rPr>
                <w:b/>
                <w:color w:val="008000"/>
                <w:sz w:val="17"/>
              </w:rPr>
              <w:t>+2.0%</w:t>
            </w:r>
          </w:p>
        </w:tc>
      </w:tr>
      <w:tr>
        <w:tc>
          <w:tcPr>
            <w:tcW w:type="dxa" w:w="1440"/>
            <w:shd w:fill="C6EFCE" w:val="clear"/>
          </w:tcPr>
          <w:p>
            <w:r>
              <w:rPr>
                <w:sz w:val="17"/>
              </w:rPr>
              <w:t>J+5  Moyenne</w:t>
            </w:r>
          </w:p>
        </w:tc>
        <w:tc>
          <w:tcPr>
            <w:tcW w:type="dxa" w:w="1440"/>
            <w:shd w:fill="C6EFCE" w:val="clear"/>
          </w:tcPr>
          <w:p>
            <w:r>
              <w:rPr>
                <w:sz w:val="17"/>
              </w:rPr>
              <w:t>2026-10-23</w:t>
            </w:r>
          </w:p>
        </w:tc>
        <w:tc>
          <w:tcPr>
            <w:tcW w:type="dxa" w:w="1440"/>
            <w:shd w:fill="C6EFCE" w:val="clear"/>
          </w:tcPr>
          <w:p>
            <w:r>
              <w:rPr>
                <w:sz w:val="17"/>
              </w:rPr>
              <w:t>15,399</w:t>
            </w:r>
          </w:p>
        </w:tc>
        <w:tc>
          <w:tcPr>
            <w:tcW w:type="dxa" w:w="1440"/>
            <w:shd w:fill="C6EFCE" w:val="clear"/>
          </w:tcPr>
          <w:p>
            <w:r>
              <w:rPr>
                <w:b/>
                <w:sz w:val="17"/>
              </w:rPr>
              <w:t>16,247</w:t>
            </w:r>
          </w:p>
        </w:tc>
        <w:tc>
          <w:tcPr>
            <w:tcW w:type="dxa" w:w="1440"/>
            <w:shd w:fill="C6EFCE" w:val="clear"/>
          </w:tcPr>
          <w:p>
            <w:r>
              <w:rPr>
                <w:sz w:val="17"/>
              </w:rPr>
              <w:t>17,095</w:t>
            </w:r>
          </w:p>
        </w:tc>
        <w:tc>
          <w:tcPr>
            <w:tcW w:type="dxa" w:w="1440"/>
            <w:shd w:fill="C6EFCE" w:val="clear"/>
          </w:tcPr>
          <w:p>
            <w:r>
              <w:rPr>
                <w:b/>
                <w:color w:val="008000"/>
                <w:sz w:val="17"/>
              </w:rPr>
              <w:t>+2.2%</w:t>
            </w:r>
          </w:p>
        </w:tc>
      </w:tr>
      <w:tr>
        <w:tc>
          <w:tcPr>
            <w:tcW w:type="dxa" w:w="1440"/>
            <w:shd w:fill="C6EFCE" w:val="clear"/>
          </w:tcPr>
          <w:p>
            <w:r>
              <w:rPr>
                <w:sz w:val="17"/>
              </w:rPr>
              <w:t>J+6  Moyenne</w:t>
            </w:r>
          </w:p>
        </w:tc>
        <w:tc>
          <w:tcPr>
            <w:tcW w:type="dxa" w:w="1440"/>
            <w:shd w:fill="C6EFCE" w:val="clear"/>
          </w:tcPr>
          <w:p>
            <w:r>
              <w:rPr>
                <w:sz w:val="17"/>
              </w:rPr>
              <w:t>2026-10-26</w:t>
            </w:r>
          </w:p>
        </w:tc>
        <w:tc>
          <w:tcPr>
            <w:tcW w:type="dxa" w:w="1440"/>
            <w:shd w:fill="C6EFCE" w:val="clear"/>
          </w:tcPr>
          <w:p>
            <w:r>
              <w:rPr>
                <w:sz w:val="17"/>
              </w:rPr>
              <w:t>15,340</w:t>
            </w:r>
          </w:p>
        </w:tc>
        <w:tc>
          <w:tcPr>
            <w:tcW w:type="dxa" w:w="1440"/>
            <w:shd w:fill="C6EFCE" w:val="clear"/>
          </w:tcPr>
          <w:p>
            <w:r>
              <w:rPr>
                <w:b/>
                <w:sz w:val="17"/>
              </w:rPr>
              <w:t>16,270</w:t>
            </w:r>
          </w:p>
        </w:tc>
        <w:tc>
          <w:tcPr>
            <w:tcW w:type="dxa" w:w="1440"/>
            <w:shd w:fill="C6EFCE" w:val="clear"/>
          </w:tcPr>
          <w:p>
            <w:r>
              <w:rPr>
                <w:sz w:val="17"/>
              </w:rPr>
              <w:t>17,200</w:t>
            </w:r>
          </w:p>
        </w:tc>
        <w:tc>
          <w:tcPr>
            <w:tcW w:type="dxa" w:w="1440"/>
            <w:shd w:fill="C6EFCE" w:val="clear"/>
          </w:tcPr>
          <w:p>
            <w:r>
              <w:rPr>
                <w:b/>
                <w:color w:val="008000"/>
                <w:sz w:val="17"/>
              </w:rPr>
              <w:t>+2.3%</w:t>
            </w:r>
          </w:p>
        </w:tc>
      </w:tr>
      <w:tr>
        <w:tc>
          <w:tcPr>
            <w:tcW w:type="dxa" w:w="1440"/>
            <w:shd w:fill="C6EFCE" w:val="clear"/>
          </w:tcPr>
          <w:p>
            <w:r>
              <w:rPr>
                <w:sz w:val="17"/>
              </w:rPr>
              <w:t>J+7  Moyenne</w:t>
            </w:r>
          </w:p>
        </w:tc>
        <w:tc>
          <w:tcPr>
            <w:tcW w:type="dxa" w:w="1440"/>
            <w:shd w:fill="C6EFCE" w:val="clear"/>
          </w:tcPr>
          <w:p>
            <w:r>
              <w:rPr>
                <w:sz w:val="17"/>
              </w:rPr>
              <w:t>2026-10-27</w:t>
            </w:r>
          </w:p>
        </w:tc>
        <w:tc>
          <w:tcPr>
            <w:tcW w:type="dxa" w:w="1440"/>
            <w:shd w:fill="C6EFCE" w:val="clear"/>
          </w:tcPr>
          <w:p>
            <w:r>
              <w:rPr>
                <w:sz w:val="17"/>
              </w:rPr>
              <w:t>15,287</w:t>
            </w:r>
          </w:p>
        </w:tc>
        <w:tc>
          <w:tcPr>
            <w:tcW w:type="dxa" w:w="1440"/>
            <w:shd w:fill="C6EFCE" w:val="clear"/>
          </w:tcPr>
          <w:p>
            <w:r>
              <w:rPr>
                <w:b/>
                <w:sz w:val="17"/>
              </w:rPr>
              <w:t>16,293</w:t>
            </w:r>
          </w:p>
        </w:tc>
        <w:tc>
          <w:tcPr>
            <w:tcW w:type="dxa" w:w="1440"/>
            <w:shd w:fill="C6EFCE" w:val="clear"/>
          </w:tcPr>
          <w:p>
            <w:r>
              <w:rPr>
                <w:sz w:val="17"/>
              </w:rPr>
              <w:t>17,299</w:t>
            </w:r>
          </w:p>
        </w:tc>
        <w:tc>
          <w:tcPr>
            <w:tcW w:type="dxa" w:w="1440"/>
            <w:shd w:fill="C6EFCE" w:val="clear"/>
          </w:tcPr>
          <w:p>
            <w:r>
              <w:rPr>
                <w:b/>
                <w:color w:val="008000"/>
                <w:sz w:val="17"/>
              </w:rPr>
              <w:t>+2.5%</w:t>
            </w:r>
          </w:p>
        </w:tc>
      </w:tr>
      <w:tr>
        <w:tc>
          <w:tcPr>
            <w:tcW w:type="dxa" w:w="1440"/>
            <w:shd w:fill="C6EFCE" w:val="clear"/>
          </w:tcPr>
          <w:p>
            <w:r>
              <w:rPr>
                <w:sz w:val="17"/>
              </w:rPr>
              <w:t>J+8  Moyenne</w:t>
            </w:r>
          </w:p>
        </w:tc>
        <w:tc>
          <w:tcPr>
            <w:tcW w:type="dxa" w:w="1440"/>
            <w:shd w:fill="C6EFCE" w:val="clear"/>
          </w:tcPr>
          <w:p>
            <w:r>
              <w:rPr>
                <w:sz w:val="17"/>
              </w:rPr>
              <w:t>2026-10-28</w:t>
            </w:r>
          </w:p>
        </w:tc>
        <w:tc>
          <w:tcPr>
            <w:tcW w:type="dxa" w:w="1440"/>
            <w:shd w:fill="C6EFCE" w:val="clear"/>
          </w:tcPr>
          <w:p>
            <w:r>
              <w:rPr>
                <w:sz w:val="17"/>
              </w:rPr>
              <w:t>15,239</w:t>
            </w:r>
          </w:p>
        </w:tc>
        <w:tc>
          <w:tcPr>
            <w:tcW w:type="dxa" w:w="1440"/>
            <w:shd w:fill="C6EFCE" w:val="clear"/>
          </w:tcPr>
          <w:p>
            <w:r>
              <w:rPr>
                <w:b/>
                <w:sz w:val="17"/>
              </w:rPr>
              <w:t>16,316</w:t>
            </w:r>
          </w:p>
        </w:tc>
        <w:tc>
          <w:tcPr>
            <w:tcW w:type="dxa" w:w="1440"/>
            <w:shd w:fill="C6EFCE" w:val="clear"/>
          </w:tcPr>
          <w:p>
            <w:r>
              <w:rPr>
                <w:sz w:val="17"/>
              </w:rPr>
              <w:t>17,393</w:t>
            </w:r>
          </w:p>
        </w:tc>
        <w:tc>
          <w:tcPr>
            <w:tcW w:type="dxa" w:w="1440"/>
            <w:shd w:fill="C6EFCE" w:val="clear"/>
          </w:tcPr>
          <w:p>
            <w:r>
              <w:rPr>
                <w:b/>
                <w:color w:val="008000"/>
                <w:sz w:val="17"/>
              </w:rPr>
              <w:t>+2.6%</w:t>
            </w:r>
          </w:p>
        </w:tc>
      </w:tr>
      <w:tr>
        <w:tc>
          <w:tcPr>
            <w:tcW w:type="dxa" w:w="1440"/>
            <w:shd w:fill="C6EFCE" w:val="clear"/>
          </w:tcPr>
          <w:p>
            <w:r>
              <w:rPr>
                <w:sz w:val="17"/>
              </w:rPr>
              <w:t>J+9  Moyenne</w:t>
            </w:r>
          </w:p>
        </w:tc>
        <w:tc>
          <w:tcPr>
            <w:tcW w:type="dxa" w:w="1440"/>
            <w:shd w:fill="C6EFCE" w:val="clear"/>
          </w:tcPr>
          <w:p>
            <w:r>
              <w:rPr>
                <w:sz w:val="17"/>
              </w:rPr>
              <w:t>2026-10-29</w:t>
            </w:r>
          </w:p>
        </w:tc>
        <w:tc>
          <w:tcPr>
            <w:tcW w:type="dxa" w:w="1440"/>
            <w:shd w:fill="C6EFCE" w:val="clear"/>
          </w:tcPr>
          <w:p>
            <w:r>
              <w:rPr>
                <w:sz w:val="17"/>
              </w:rPr>
              <w:t>15,195</w:t>
            </w:r>
          </w:p>
        </w:tc>
        <w:tc>
          <w:tcPr>
            <w:tcW w:type="dxa" w:w="1440"/>
            <w:shd w:fill="C6EFCE" w:val="clear"/>
          </w:tcPr>
          <w:p>
            <w:r>
              <w:rPr>
                <w:b/>
                <w:sz w:val="17"/>
              </w:rPr>
              <w:t>16,338</w:t>
            </w:r>
          </w:p>
        </w:tc>
        <w:tc>
          <w:tcPr>
            <w:tcW w:type="dxa" w:w="1440"/>
            <w:shd w:fill="C6EFCE" w:val="clear"/>
          </w:tcPr>
          <w:p>
            <w:r>
              <w:rPr>
                <w:sz w:val="17"/>
              </w:rPr>
              <w:t>17,482</w:t>
            </w:r>
          </w:p>
        </w:tc>
        <w:tc>
          <w:tcPr>
            <w:tcW w:type="dxa" w:w="1440"/>
            <w:shd w:fill="C6EFCE" w:val="clear"/>
          </w:tcPr>
          <w:p>
            <w:r>
              <w:rPr>
                <w:b/>
                <w:color w:val="008000"/>
                <w:sz w:val="17"/>
              </w:rPr>
              <w:t>+2.8%</w:t>
            </w:r>
          </w:p>
        </w:tc>
      </w:tr>
      <w:tr>
        <w:tc>
          <w:tcPr>
            <w:tcW w:type="dxa" w:w="1440"/>
            <w:shd w:fill="C6EFCE" w:val="clear"/>
          </w:tcPr>
          <w:p>
            <w:r>
              <w:rPr>
                <w:sz w:val="17"/>
              </w:rPr>
              <w:t>J+10  Moyenne</w:t>
            </w:r>
          </w:p>
        </w:tc>
        <w:tc>
          <w:tcPr>
            <w:tcW w:type="dxa" w:w="1440"/>
            <w:shd w:fill="C6EFCE" w:val="clear"/>
          </w:tcPr>
          <w:p>
            <w:r>
              <w:rPr>
                <w:sz w:val="17"/>
              </w:rPr>
              <w:t>2026-10-30</w:t>
            </w:r>
          </w:p>
        </w:tc>
        <w:tc>
          <w:tcPr>
            <w:tcW w:type="dxa" w:w="1440"/>
            <w:shd w:fill="C6EFCE" w:val="clear"/>
          </w:tcPr>
          <w:p>
            <w:r>
              <w:rPr>
                <w:sz w:val="17"/>
              </w:rPr>
              <w:t>15,153</w:t>
            </w:r>
          </w:p>
        </w:tc>
        <w:tc>
          <w:tcPr>
            <w:tcW w:type="dxa" w:w="1440"/>
            <w:shd w:fill="C6EFCE" w:val="clear"/>
          </w:tcPr>
          <w:p>
            <w:r>
              <w:rPr>
                <w:b/>
                <w:sz w:val="17"/>
              </w:rPr>
              <w:t>16,360</w:t>
            </w:r>
          </w:p>
        </w:tc>
        <w:tc>
          <w:tcPr>
            <w:tcW w:type="dxa" w:w="1440"/>
            <w:shd w:fill="C6EFCE" w:val="clear"/>
          </w:tcPr>
          <w:p>
            <w:r>
              <w:rPr>
                <w:sz w:val="17"/>
              </w:rPr>
              <w:t>17,567</w:t>
            </w:r>
          </w:p>
        </w:tc>
        <w:tc>
          <w:tcPr>
            <w:tcW w:type="dxa" w:w="1440"/>
            <w:shd w:fill="C6EFCE" w:val="clear"/>
          </w:tcPr>
          <w:p>
            <w:r>
              <w:rPr>
                <w:b/>
                <w:color w:val="008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 📊 RAPPORT D'ANALYSE FINANCIÈRE — ECOBANK CÔTE D'IVOIRE (ECOC)</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**875,30 Mds FCFA**, ECOC s'impose comme l'une des plus grandes capitalisations de la BRVM, ce qui témoigne de son statut de valeur de premier plan dans le compartiment bancaire régional. Le BPA de **1 153 FCFA/action** (exercice 2025) signifie que chaque titre génère un bénéfice net supérieur à mille francs CFA, un niveau élevé qui traduit la forte rentabilité de la banque. Le PER de **13,8x** se situe légèrement au-dessus de la moyenne BRVM (~8-12x), signalant une valorisation modérée mais non excessive : les investisseurs paient une prime raisonnable pour la qualité des bénéfices. En revanche, le P/B de **4,00x** traduit une forte prime par rapport à la valeur comptable (218,57 Mds FCFA de capitaux propres), ce qui est exigeant et intègre déjà une bonne part des performances attendues. Enfin, l'EV/EBITDA de **13,6x** (fourchette 10-15x) confirme une valorisation élevée de la capacité opérationnelle, cohérente avec le profil de croissance rentable de la banque mais laissant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ECOC affiche une **variation totale de -2,45%** et une **variation J-1 de -0,62%**, clôturant à **15 900 FCFA** après avoir oscillé entre un plus haut de **17 725 FCFA** et un plus bas de **15 715 FCFA**, soit un range de trading d'environ 12,8% — le cours actuel évolue donc dans le bas de cette fourchette, signe d'une tendance baissière de fond sur la période. Les statistiques descriptives révèlent une distribution très resserrée : la moyenne (**16 588 FCFA**) et la médiane (**16 620 FCFA**) sont quasi confondues, confirmant une distribution symétrique (skewness de 0,187), tandis que le mode à **16 000 FCFA** indique le niveau de prix le plus fréquemment traité. L'écart-type de **450 FCFA** avec un **coefficient de variation de seulement 2,7%** démontre une dispersion très faible du cours autour de sa moyenne, et le kurtosis de **-0,375** (mésokurtique) suggère une absence de pics extrêmes, c'est-à-dire un comportement proche d'une distribution normale sans risque de queue épaisse. La **volatilité annualisée de 25,3%** place le titre dans la catégorie des valeurs à volatilité modérée (15-30%), ce qui est cohérent avec une grande capitalisation bancaire. Le cours actuel (15 900 FCFA) se situe toutefois nettement sous la moyenne et la médiane, ce qui traduit une pression vendeuse récente et un positionnement en bas de range, potentiellement propice à un rebond technique.</w:t>
      </w:r>
    </w:p>
    <w:p>
      <w:pPr>
        <w:spacing w:after="120" w:line="276" w:lineRule="auto"/>
      </w:pPr>
      <w:r>
        <w:t>---</w:t>
      </w:r>
    </w:p>
    <w:p>
      <w:pPr>
        <w:spacing w:after="120" w:line="276" w:lineRule="auto"/>
      </w:pPr>
      <w:r>
        <w:t>## PARTIE 2 : ANALYSE TECHNIQUE DÉTAILLÉE</w:t>
      </w:r>
    </w:p>
    <w:p>
      <w:pPr>
        <w:spacing w:after="120" w:line="276" w:lineRule="auto"/>
      </w:pPr>
      <w:r>
        <w:t>**Moyennes Mobiles** : La MM20 (**16 656,25 FCFA**) et la MM50 (**16 733,10 FCFA**) se situent toutes deux au-dessus du cours actuel (15 900 FCFA), avec une MM20 légèrement sous la MM50 — configuration baissière classique. Le cours évoluant sous ses deux moyennes, la décision technique est **Vente**, confirmant la pression baissière de court et moyen terme.</w:t>
      </w:r>
    </w:p>
    <w:p>
      <w:pPr>
        <w:spacing w:after="120" w:line="276" w:lineRule="auto"/>
      </w:pPr>
      <w:r>
        <w:t>**Bandes de Bollinger** : La borne supérieure est à **17 393,04 FCFA** et la borne inférieure à **15 919,46 FCFA**, tandis que le cours actuel (**15 900 FCFA**) se situe juste sous la borne inférieure — situation de survente extrême. Cette position suggère un potentiel de rebond vers la moyenne mobile, justifiant la décision **Achat** par retour à la moyenne.</w:t>
      </w:r>
    </w:p>
    <w:p>
      <w:pPr>
        <w:spacing w:after="120" w:line="276" w:lineRule="auto"/>
      </w:pPr>
      <w:r>
        <w:t>**MACD** : Le MACD affiche **-219,101** contre un signal à **-107,918**, soit une divergence négative marquée (MACD sous son signal) qui traduit un momentum baissier persistant. La décision est **Vente**, le croisement baissier n'étant pas encore résorbé malgré la proximité de la zone de survente.</w:t>
      </w:r>
    </w:p>
    <w:p>
      <w:pPr>
        <w:spacing w:after="120" w:line="276" w:lineRule="auto"/>
      </w:pPr>
      <w:r>
        <w:t>**RSI** : À **24,507**, le RSI se situe nettement sous le seuil de 30, en zone de **survente** caractérisée. Cette configuration est typiquement annonciatrice d'un rebond technique à court terme, justifiant la décision **Achat** — le titre est survendu et pourrait attirer des acheteurs à contre-tendance.</w:t>
      </w:r>
    </w:p>
    <w:p>
      <w:pPr>
        <w:spacing w:after="120" w:line="276" w:lineRule="auto"/>
      </w:pPr>
      <w:r>
        <w:t>**Stochastique** : Le %K est à **0,0** et le %D à **2,892**, soit un croisement en zone extrême de survente (sous 20). Le %K collé à zéro indique une pression vendeuse maximale en fin de mouvement, et la décision **Achat** reflète l'anticipation d'un retournement imminent.</w:t>
      </w:r>
    </w:p>
    <w:p>
      <w:pPr>
        <w:spacing w:after="120" w:line="276" w:lineRule="auto"/>
      </w:pPr>
      <w:r>
        <w:t>**Conclusion technique** : Les indicateurs présentent une **divergence significative** : les moyennes mobiles et le MACD confirment une tendance baissière de fond (décisions Vente), tandis que le RSI, le stochastique et les bandes de Bollinger signalent une survente extrême propice à un rebond (décisions Achat). Cette configuration de « survente en tendance baissière » suggère un possible rebond technique à court terme, mais la prudence reste de mise tant que le cours n'aura pas reconquis la MM20 (16 656 FCFA). Le signal dominant est donc un **rebond technique probable mais fragile**, à confirmer par une reprise du volume et un retournement du MACD.</w:t>
      </w:r>
    </w:p>
    <w:p>
      <w:pPr>
        <w:spacing w:after="120" w:line="276" w:lineRule="auto"/>
      </w:pPr>
      <w:r>
        <w:t>---</w:t>
      </w:r>
    </w:p>
    <w:p>
      <w:pPr>
        <w:spacing w:after="120" w:line="276" w:lineRule="auto"/>
      </w:pPr>
      <w:r>
        <w:t>## PARTIE 3 : ANALYSE FONDAMENTALE</w:t>
      </w:r>
    </w:p>
    <w:p>
      <w:pPr>
        <w:spacing w:after="120" w:line="276" w:lineRule="auto"/>
      </w:pPr>
      <w:r>
        <w:t>Les états financiers structurés de l'exercice **2025** (données officielles brvm_donnees_financieres) révèlent une banque de grande qualité : un **PNB de 132,725 Mds FCFA**, un **résultat net de 63,482 Mds FCFA** (marge nette de 47,83%), un **ROE exceptionnel de 29,04%** et un **ROA de 3,09%** — des niveaux parmi les meilleurs du secteur bancaire UEMOA. Le **coefficient d'exploitation de 42,89%** (largement sous le seuil de 60%) confirme une efficacité opérationnelle remarquable, tandis que le **coût du risque rapporté aux charges financières de 1,36%** traduit un portefeuille de crédit sain. La structure bilancielle est solide : **dépôts clientèle de 1 626,22 Mds FCFA** contre **créances clientèle de 1 050,80 Mds FCFA**, soit un ratio de transformation de 64,6% laissant une marge de déploiement du crédit importante ; l'autonomie financière de 10,64% reste toutefois faible, caractéristique du modèle bancaire à fort effet de levier (ratio d'endettement de 69,63%, solvabilité générale de 111,91%). Les rapports narratifs confirment cette dynamique : le **rapport annuel 2024** (publié le 31/12/2024) affichait un PNB de 122,3 Mds FCFA (+11,0%) et un résultat net de 57,5 Mds FCFA (+19,6%), avec un dividende de 804 FCFA/action (taux de distribution de 77%) ; le **rapport S1 2026** (analysé le 25/09/2026) montre un PNB de 64,078 Mds FCFA (+2,0%) mais un **résultat net en repli de 8,6% à 26,408 Mds FCFA**, pénalisé par un **coût du risque multiplié par 7,4 à 5,197 Mds FCFA** (approche prudente de provisionnement, créances en souffrance +21,5% à 45,3 Mds, taux de couverture de 90%). Le **rapport T1 2026** (publié en 2026) confirme la tendance avec un PNB de 30,8 Mds FCFA (+3,7%) et un résultat net de 13,0 Mds FCFA (-1,6%), mais un coefficient d'exploitation amélioré à 45,7% et une collecte de dépôts dynamique (+12%). L'avis de convocation à l'**AGO du 28 avril 2026** (document du 10/04/2026) officialise un **dividende de 888 FCFA brut/action** (781 FCFA net), en hausse de 10,4% sur 2024, soit un rendement de 5,6% au cours actuel — un signal fort de confiance de la direction. **Estimation** : sur la base du S1 2026 (résultat net de 26,4 Mds), l'exercice 2026 devrait s'établir autour de 52-55 Mds FCFA, en repli modéré par rapport à 2025, la normalisation du coût du risque constituant le principal point d'inflexion à surveiller. La recommandation fondamentale est **CONSERVER** : solidité et rentabilité exceptionnelles, dividende attractif, mais visibilité limitée par la montée du coût du risque et la contraction des revenus hors intérêts (-25,9%).</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dossier contrasté mais globalement équilibré. **Sur la valorisation (Partie 0)**, le PER de 13,8x et le P/B de 4,00x indiquent une valorisation modérée à exigeante, intégrant déjà la prime de qualité mais sans excès manifeste au regard du ROE de 29%. **Sur le comportement du cours (Partie 1)**, la tendance baissière récente (-2,45%) avec un cours en bas de range (15 900 FCFA vs moyenne de 16 588 FCFA) et une volatilité modérée (25,3%) traduit une pression vendeuse, mais la distribution symétrique et l'absence de pics extrêmes (kurtosis -0,375) plaident pour un mouvement ordonné sans panique. **Sur le plan technique (Partie 2)**, la divergence est nette : tendance baissière confirmée par les MM et le MACD, mais survente extrême (RSI 24,5, stochastique à 0) annonçant un rebond probable — configuration de « rebond technique en tendance baissière ». **Sur les fondamentaux (Partie 3)**, la banque affiche une solidité exceptionnelle (ROE 29%, coefficient d'exploitation 42,9%, dividende de 888 FCFA) mais fait face à une normalisation du coût du risque qui pèse sur le résultat 2026. **Les prédictions IA (J+1 à J+10)** projettent une trajectoire haussière modérée de 16 139 à 16 247 FCFA (+2,2% sur 5 séances), ce qui **confirme le scénario de rebond technique** anticipé par le RSI et le stochastique, tout en restant sous la MM20 (16 656 FCFA) — cohérent avec un simple rebond et non un retournement de tendance. **Recommandation finale : CONSERVER**, avec un biais positif à court terme. La convergence entre la survente technique, la projection IA haussière et la solidité fondamentale (dividende attractif de 5,6%) soutient une posture de détention, mais la valorisation exigeante (P/B 4x), la tendance baissière de fond et l'incertitude sur le coût du risque 2026 empêchent de passer à l'ACHAT. **Niveau de confiance : Moyen** (divergence technique/fondamental), **niveau de risque : Moyen** (volatilité modérée, risque de crédit en hausse mais couvert à 90%), **horizon optimal : moyen terme (3-12 mois)**, en attendant la confirmation de la stabilisation du coût du risque au S2 2026 et la publication des résultats annuels 2026 — un passage à ACHAT serait justifié si le cours reconquiert la MM20 (16 656 FCFA) avec un MACD qui se retourne et un coût du risque qui se normalise.</w:t>
      </w:r>
    </w:p>
    <w:p>
      <w:pPr>
        <w:spacing w:after="120" w:line="276" w:lineRule="auto"/>
      </w:pPr>
      <w:r>
        <w:t>---</w:t>
      </w:r>
    </w:p>
    <w:p>
      <w:pPr>
        <w:spacing w:after="120" w:line="276" w:lineRule="auto"/>
      </w:pPr>
      <w:r>
        <w:t>*Rapport généré le 18 octobre 2026 — Sources : brvm_donnees_financieres (exercice 2025), rapports S1 2026 (25/09/2026), T1 2026, annuel 2024, avis AGO du 10/04/2026, données de marché BRVM et prédictions IA. Les performances passées ne préjugent pas des performances futures.*</w:t>
      </w:r>
    </w:p>
    <w:p/>
    <w:p/>
    <w:p>
      <w:pPr>
        <w:pStyle w:val="Heading3"/>
      </w:pPr>
      <w:r>
        <w:rPr>
          <w:color w:val="00467F"/>
        </w:rPr>
        <w:t>📎 DOCUMENTS &amp; COMMUNICATIONS OFFICIELS BRVM</w:t>
      </w:r>
    </w:p>
    <w:p>
      <w:r>
        <w:rPr>
          <w:i/>
          <w:color w:val="646464"/>
          <w:sz w:val="18"/>
        </w:rPr>
        <w:t>11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une rentabilit\u00e9 toujours \u00e9lev\u00e9e (ROE 26,9 %), un bilan solide et une forte collecte de d\u00e9p\u00f4ts, mais la baisse du r\u00e9sultat net et la mont\u00e9e du co\u00fbt du risque incitent \u00e0 la prudence. Le titre reste un dossier de qualit\u00e9 \u00e0 d\u00e9tenir dans l'attente de la normalisation du co\u00fbt du risque."}</w:t>
      </w:r>
    </w:p>
    <w:p>
      <w:pPr>
        <w:spacing w:before="40"/>
        <w:ind w:left="400"/>
      </w:pPr>
      <w:r>
        <w:rPr>
          <w:sz w:val="18"/>
        </w:rPr>
        <w:t>Au premier semestre 2026, Ecobank Côte d'Ivoire consolide la qualité de ses revenus et renforce sa résilience dans un contexte économique et réglementaire exigeant. Le Produit Net Bancaire progresse de 2,0 % à 64 078 millions de FCFA, porté par une hausse de 14,5 % de la marge nette d'intérêts qui compense la contraction de 25,9 % des produits hors intérêts. Le Résultat Net recule de 8,6 % à 26 408 millions de FCFA, sous l'effet d'un coût du risque multiplié par plus de sept, à 5 197 millions de FCFA, dans le cadre d'une politique volontairement prudente de provisionnement. Le bilan demeure solide et en croissance de 9,3 %, à 2 077 936 millions de FCFA, avec des dépôts clients en hausse de 1</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 'roe': '26,9 %', 'cout_du_risque': '5 197 millions de FCFA (+642,4 %)', 'depots_clientele': '1 754 701 millions de FCFA (+15,1 %)', 'prets_sur_depots': '56,3 %', 'charges_exploitation': '28 991 millions de FCFA (+2,9 %)', 'marge_nette_interets': '49 661 millions de FCFA (+14,5 %)', 'resultat_avant_impot': '29 890 millions de FCFA (-12,0 %)', 'produit_hors_interets': '14 417 millions de FCFA (-25,9 %)', 'creances_en_souffrance': '45 300 millions de FCFA (+21,5 %), taux de couverture de 90 %', 'credits_nets_clientele': '946 818 millions de FCFA (+2,4 %)', 'coefficient_exploitation': '45,2 %'}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41,2 %</w:t>
            </w:r>
          </w:p>
        </w:tc>
        <w:tc>
          <w:tcPr>
            <w:tcW w:type="dxa" w:w="2160"/>
          </w:tcPr>
          <w:p>
            <w:pPr>
              <w:ind w:left="100"/>
            </w:pPr>
            <w:r/>
            <w:r>
              <w:rPr>
                <w:b/>
                <w:sz w:val="16"/>
              </w:rPr>
              <w:t>total_actif</w:t>
              <w:br/>
            </w:r>
            <w:r>
              <w:rPr>
                <w:sz w:val="18"/>
              </w:rPr>
              <w:t>2 077 936 millions de FCFA</w:t>
            </w:r>
          </w:p>
        </w:tc>
      </w:tr>
      <w:tr>
        <w:tc>
          <w:tcPr>
            <w:tcW w:type="dxa" w:w="2160"/>
          </w:tcPr>
          <w:p>
            <w:r/>
            <w:r>
              <w:rPr>
                <w:b/>
                <w:sz w:val="16"/>
              </w:rPr>
              <w:t>resultat_net</w:t>
              <w:br/>
            </w:r>
            <w:r>
              <w:rPr>
                <w:sz w:val="18"/>
              </w:rPr>
              <w:t>26 408 millions de FCFA</w:t>
            </w:r>
          </w:p>
        </w:tc>
        <w:tc>
          <w:tcPr>
            <w:tcW w:type="dxa" w:w="2160"/>
          </w:tcPr>
          <w:p>
            <w:r/>
            <w:r>
              <w:rPr>
                <w:b/>
                <w:sz w:val="16"/>
              </w:rPr>
              <w:t>capitaux_propres</w:t>
              <w:br/>
            </w:r>
            <w:r>
              <w:rPr>
                <w:sz w:val="18"/>
              </w:rPr>
              <w:t>196 096 millions de FCFA</w:t>
            </w:r>
          </w:p>
        </w:tc>
        <w:tc>
          <w:tcPr>
            <w:tcW w:type="dxa" w:w="2160"/>
          </w:tcPr>
          <w:p>
            <w:r/>
            <w:r>
              <w:rPr>
                <w:b/>
                <w:sz w:val="16"/>
              </w:rPr>
              <w:t>chiffre_affaires</w:t>
              <w:br/>
            </w:r>
            <w:r>
              <w:rPr>
                <w:sz w:val="18"/>
              </w:rPr>
              <w:t>64 078 millions de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64 078 millions de FCFA (+2,0 %), croissance modérée mais de meilleure qualité</w:t>
      </w:r>
    </w:p>
    <w:p>
      <w:pPr>
        <w:pStyle w:val="ListBullet"/>
        <w:spacing w:before="20" w:after="20"/>
        <w:ind w:left="700"/>
      </w:pPr>
      <w:r>
        <w:rPr>
          <w:sz w:val="18"/>
        </w:rPr>
        <w:t>Marge nette d'intérêts en forte hausse de 14,5 % à 49 661 millions de FCFA, compensant la baisse de 25,9 % des produits hors intérêts</w:t>
      </w:r>
    </w:p>
    <w:p>
      <w:pPr>
        <w:pStyle w:val="ListBullet"/>
        <w:spacing w:before="20" w:after="20"/>
        <w:ind w:left="700"/>
      </w:pPr>
      <w:r>
        <w:rPr>
          <w:sz w:val="18"/>
        </w:rPr>
        <w:t>Résultat Net en repli de 8,6 % à 26 408 millions de FCFA, pénalisé par le coût du risque</w:t>
      </w:r>
    </w:p>
    <w:p>
      <w:pPr>
        <w:pStyle w:val="ListBullet"/>
        <w:spacing w:before="20" w:after="20"/>
        <w:ind w:left="700"/>
      </w:pPr>
      <w:r>
        <w:rPr>
          <w:sz w:val="18"/>
        </w:rPr>
        <w:t>Coût du risque multiplié par plus de sept à 5 197 millions de FCFA (+642,4 %) sous l'effet d'une approche prudente de provisionnement</w:t>
      </w:r>
    </w:p>
    <w:p>
      <w:pPr>
        <w:pStyle w:val="ListBullet"/>
        <w:spacing w:before="20" w:after="20"/>
        <w:ind w:left="700"/>
      </w:pPr>
      <w:r>
        <w:rPr>
          <w:sz w:val="18"/>
        </w:rPr>
        <w:t>Total bilan en progression de 9,3 % à 2 077 936 millions de FCFA, avec des dépôts clients en hausse de 15,1 % à 1 754 701 millions de FCFA</w:t>
      </w:r>
    </w:p>
    <w:p>
      <w:pPr>
        <w:pStyle w:val="ListBullet"/>
        <w:spacing w:before="20" w:after="20"/>
        <w:ind w:left="700"/>
      </w:pPr>
      <w:r>
        <w:rPr>
          <w:sz w:val="18"/>
        </w:rPr>
        <w:t>Crédits nets à la clientèle en croissance maîtrisée de 2,4 % à 946 818 millions de FCFA, ratio prêts/dépôts en baisse à 56,3 %</w:t>
      </w:r>
    </w:p>
    <w:p>
      <w:pPr>
        <w:spacing w:before="40"/>
        <w:ind w:left="400"/>
      </w:pPr>
      <w:r>
        <w:rPr>
          <w:b/>
          <w:color w:val="C05000"/>
          <w:sz w:val="18"/>
        </w:rPr>
        <w:t xml:space="preserve">⚠️ Risques : </w:t>
      </w:r>
      <w:r>
        <w:rPr>
          <w:sz w:val="18"/>
        </w:rPr>
        <w:t>["D\u00e9gradation de la qualit\u00e9 du portefeuille de cr\u00e9dits : cr\u00e9ances en souffrance en hausse de 21,5 % \u00e0 45 300 millions de FCFA et co\u00fbt du risque multipli\u00e9 par plus de sept", "Contraction de 25,9 % des produits hors int\u00e9r\u00eats (commissions, portefeuille de n\</w:t>
      </w:r>
    </w:p>
    <w:p>
      <w:pPr>
        <w:spacing w:before="40"/>
        <w:ind w:left="400"/>
      </w:pPr>
      <w:r>
        <w:rPr>
          <w:b/>
          <w:color w:val="0064A0"/>
          <w:sz w:val="18"/>
        </w:rPr>
        <w:t xml:space="preserve">🔮 Perspectives : </w:t>
      </w:r>
      <w:r>
        <w:rPr>
          <w:sz w:val="18"/>
        </w:rPr>
        <w:t>Ecobank Côte d'Ivoire confirme sa résilience et la pertinence de ses choix stratégiques dans un contexte macroéconomique incertain. La Banque poursuit l'exécution de sa feuille de route « Croissance, Transformation et Rentabilité », axée sur l'innovation, la digitalisation, l'amélioration de l'expér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
      <w:r>
        <w:t>════════════════════════════════════════════════════════════════════════════════</w:t>
      </w:r>
    </w:p>
    <w:p>
      <w:r>
        <w:br w:type="page"/>
      </w:r>
    </w:p>
    <w:p>
      <w:pPr>
        <w:pStyle w:val="Heading2"/>
        <w:spacing w:before="360"/>
      </w:pPr>
      <w:r>
        <w:rPr>
          <w:color w:val="0066CC"/>
        </w:rPr>
        <w:t>17.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1175.47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1,699,683 titres</w:t>
            </w:r>
          </w:p>
        </w:tc>
        <w:tc>
          <w:tcPr>
            <w:tcW w:type="dxa" w:w="2268"/>
            <w:shd w:fill="FFF2CC" w:val="clear"/>
          </w:tcPr>
          <w:p>
            <w:r>
              <w:rPr>
                <w:b/>
                <w:color w:val="503200"/>
                <w:sz w:val="16"/>
              </w:rPr>
              <w:t xml:space="preserve">Cours actuel : </w:t>
            </w:r>
            <w:r>
              <w:rPr>
                <w:color w:val="000000"/>
                <w:sz w:val="17"/>
              </w:rPr>
              <w:t>65 FCFA</w:t>
            </w:r>
          </w:p>
          <w:p>
            <w:r>
              <w:rPr>
                <w:b/>
                <w:color w:val="503200"/>
                <w:sz w:val="16"/>
              </w:rPr>
              <w:t xml:space="preserve">Var. 100 jours : </w:t>
            </w:r>
            <w:r>
              <w:rPr>
                <w:b/>
                <w:color w:val="007800"/>
                <w:sz w:val="17"/>
              </w:rPr>
              <w:t>+124.14%</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26.43% (Élevée) — μ=58 FCFA, σ=15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β=2.0207 (Très agressif) — Cov=0.000155, Var(idx)=0.000077, ρ=0.454,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1,699,683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σ_j=3.87%/j (Modérée) — Vol. annualisée≈61.4%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69353"/>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56935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63</w:t>
            </w:r>
          </w:p>
        </w:tc>
        <w:tc>
          <w:tcPr>
            <w:tcW w:type="dxa" w:w="1440"/>
            <w:shd w:fill="FAFAFA" w:val="clear"/>
          </w:tcPr>
          <w:p>
            <w:r>
              <w:rPr>
                <w:b/>
                <w:sz w:val="17"/>
              </w:rPr>
              <w:t>65</w:t>
            </w:r>
          </w:p>
        </w:tc>
        <w:tc>
          <w:tcPr>
            <w:tcW w:type="dxa" w:w="1440"/>
            <w:shd w:fill="FAFAFA" w:val="clear"/>
          </w:tcPr>
          <w:p>
            <w:r>
              <w:rPr>
                <w:sz w:val="17"/>
              </w:rPr>
              <w:t>67</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62</w:t>
            </w:r>
          </w:p>
        </w:tc>
        <w:tc>
          <w:tcPr>
            <w:tcW w:type="dxa" w:w="1440"/>
            <w:shd w:fill="FAFAFA" w:val="clear"/>
          </w:tcPr>
          <w:p>
            <w:r>
              <w:rPr>
                <w:b/>
                <w:sz w:val="17"/>
              </w:rPr>
              <w:t>65</w:t>
            </w:r>
          </w:p>
        </w:tc>
        <w:tc>
          <w:tcPr>
            <w:tcW w:type="dxa" w:w="1440"/>
            <w:shd w:fill="FAFAFA" w:val="clear"/>
          </w:tcPr>
          <w:p>
            <w:r>
              <w:rPr>
                <w:sz w:val="17"/>
              </w:rPr>
              <w:t>68</w:t>
            </w:r>
          </w:p>
        </w:tc>
        <w:tc>
          <w:tcPr>
            <w:tcW w:type="dxa" w:w="1440"/>
            <w:shd w:fill="FAFAFA" w:val="clear"/>
          </w:tcPr>
          <w:p>
            <w:r>
              <w:rPr>
                <w:b/>
                <w:color w:val="008000"/>
                <w:sz w:val="17"/>
              </w:rPr>
              <w:t>+0.1%</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61</w:t>
            </w:r>
          </w:p>
        </w:tc>
        <w:tc>
          <w:tcPr>
            <w:tcW w:type="dxa" w:w="1440"/>
            <w:shd w:fill="FAFAFA" w:val="clear"/>
          </w:tcPr>
          <w:p>
            <w:r>
              <w:rPr>
                <w:b/>
                <w:sz w:val="17"/>
              </w:rPr>
              <w:t>65</w:t>
            </w:r>
          </w:p>
        </w:tc>
        <w:tc>
          <w:tcPr>
            <w:tcW w:type="dxa" w:w="1440"/>
            <w:shd w:fill="FAFAFA" w:val="clear"/>
          </w:tcPr>
          <w:p>
            <w:r>
              <w:rPr>
                <w:sz w:val="17"/>
              </w:rPr>
              <w:t>69</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60</w:t>
            </w:r>
          </w:p>
        </w:tc>
        <w:tc>
          <w:tcPr>
            <w:tcW w:type="dxa" w:w="1440"/>
            <w:shd w:fill="FAFAFA" w:val="clear"/>
          </w:tcPr>
          <w:p>
            <w:r>
              <w:rPr>
                <w:b/>
                <w:sz w:val="17"/>
              </w:rPr>
              <w:t>65</w:t>
            </w:r>
          </w:p>
        </w:tc>
        <w:tc>
          <w:tcPr>
            <w:tcW w:type="dxa" w:w="1440"/>
            <w:shd w:fill="FAFAFA" w:val="clear"/>
          </w:tcPr>
          <w:p>
            <w:r>
              <w:rPr>
                <w:sz w:val="17"/>
              </w:rPr>
              <w:t>70</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60</w:t>
            </w:r>
          </w:p>
        </w:tc>
        <w:tc>
          <w:tcPr>
            <w:tcW w:type="dxa" w:w="1440"/>
            <w:shd w:fill="FAFAFA" w:val="clear"/>
          </w:tcPr>
          <w:p>
            <w:r>
              <w:rPr>
                <w:b/>
                <w:sz w:val="17"/>
              </w:rPr>
              <w:t>65</w:t>
            </w:r>
          </w:p>
        </w:tc>
        <w:tc>
          <w:tcPr>
            <w:tcW w:type="dxa" w:w="1440"/>
            <w:shd w:fill="FAFAFA" w:val="clear"/>
          </w:tcPr>
          <w:p>
            <w:r>
              <w:rPr>
                <w:sz w:val="17"/>
              </w:rPr>
              <w:t>70</w:t>
            </w:r>
          </w:p>
        </w:tc>
        <w:tc>
          <w:tcPr>
            <w:tcW w:type="dxa" w:w="1440"/>
            <w:shd w:fill="FAFAFA" w:val="clear"/>
          </w:tcPr>
          <w:p>
            <w:r>
              <w:rPr>
                <w:b/>
                <w:color w:val="008000"/>
                <w:sz w:val="17"/>
              </w:rPr>
              <w:t>+0.2%</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59</w:t>
            </w:r>
          </w:p>
        </w:tc>
        <w:tc>
          <w:tcPr>
            <w:tcW w:type="dxa" w:w="1440"/>
            <w:shd w:fill="FAFAFA" w:val="clear"/>
          </w:tcPr>
          <w:p>
            <w:r>
              <w:rPr>
                <w:b/>
                <w:sz w:val="17"/>
              </w:rPr>
              <w:t>65</w:t>
            </w:r>
          </w:p>
        </w:tc>
        <w:tc>
          <w:tcPr>
            <w:tcW w:type="dxa" w:w="1440"/>
            <w:shd w:fill="FAFAFA" w:val="clear"/>
          </w:tcPr>
          <w:p>
            <w:r>
              <w:rPr>
                <w:sz w:val="17"/>
              </w:rPr>
              <w:t>71</w:t>
            </w:r>
          </w:p>
        </w:tc>
        <w:tc>
          <w:tcPr>
            <w:tcW w:type="dxa" w:w="1440"/>
            <w:shd w:fill="FAFAFA" w:val="clear"/>
          </w:tcPr>
          <w:p>
            <w:r>
              <w:rPr>
                <w:b/>
                <w:color w:val="008000"/>
                <w:sz w:val="17"/>
              </w:rPr>
              <w:t>+0.2%</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59</w:t>
            </w:r>
          </w:p>
        </w:tc>
        <w:tc>
          <w:tcPr>
            <w:tcW w:type="dxa" w:w="1440"/>
            <w:shd w:fill="FAFAFA" w:val="clear"/>
          </w:tcPr>
          <w:p>
            <w:r>
              <w:rPr>
                <w:b/>
                <w:sz w:val="17"/>
              </w:rPr>
              <w:t>65</w:t>
            </w:r>
          </w:p>
        </w:tc>
        <w:tc>
          <w:tcPr>
            <w:tcW w:type="dxa" w:w="1440"/>
            <w:shd w:fill="FAFAFA" w:val="clear"/>
          </w:tcPr>
          <w:p>
            <w:r>
              <w:rPr>
                <w:sz w:val="17"/>
              </w:rPr>
              <w:t>71</w:t>
            </w:r>
          </w:p>
        </w:tc>
        <w:tc>
          <w:tcPr>
            <w:tcW w:type="dxa" w:w="1440"/>
            <w:shd w:fill="FAFAFA" w:val="clear"/>
          </w:tcPr>
          <w:p>
            <w:r>
              <w:rPr>
                <w:b/>
                <w:color w:val="008000"/>
                <w:sz w:val="17"/>
              </w:rPr>
              <w:t>+0.2%</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58</w:t>
            </w:r>
          </w:p>
        </w:tc>
        <w:tc>
          <w:tcPr>
            <w:tcW w:type="dxa" w:w="1440"/>
            <w:shd w:fill="FAFAFA" w:val="clear"/>
          </w:tcPr>
          <w:p>
            <w:r>
              <w:rPr>
                <w:b/>
                <w:sz w:val="17"/>
              </w:rPr>
              <w:t>65</w:t>
            </w:r>
          </w:p>
        </w:tc>
        <w:tc>
          <w:tcPr>
            <w:tcW w:type="dxa" w:w="1440"/>
            <w:shd w:fill="FAFAFA" w:val="clear"/>
          </w:tcPr>
          <w:p>
            <w:r>
              <w:rPr>
                <w:sz w:val="17"/>
              </w:rPr>
              <w:t>72</w:t>
            </w:r>
          </w:p>
        </w:tc>
        <w:tc>
          <w:tcPr>
            <w:tcW w:type="dxa" w:w="1440"/>
            <w:shd w:fill="FAFAFA" w:val="clear"/>
          </w:tcPr>
          <w:p>
            <w:r>
              <w:rPr>
                <w:b/>
                <w:color w:val="008000"/>
                <w:sz w:val="17"/>
              </w:rPr>
              <w:t>+0.2%</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58</w:t>
            </w:r>
          </w:p>
        </w:tc>
        <w:tc>
          <w:tcPr>
            <w:tcW w:type="dxa" w:w="1440"/>
            <w:shd w:fill="FAFAFA" w:val="clear"/>
          </w:tcPr>
          <w:p>
            <w:r>
              <w:rPr>
                <w:b/>
                <w:sz w:val="17"/>
              </w:rPr>
              <w:t>65</w:t>
            </w:r>
          </w:p>
        </w:tc>
        <w:tc>
          <w:tcPr>
            <w:tcW w:type="dxa" w:w="1440"/>
            <w:shd w:fill="FAFAFA" w:val="clear"/>
          </w:tcPr>
          <w:p>
            <w:r>
              <w:rPr>
                <w:sz w:val="17"/>
              </w:rPr>
              <w:t>72</w:t>
            </w:r>
          </w:p>
        </w:tc>
        <w:tc>
          <w:tcPr>
            <w:tcW w:type="dxa" w:w="1440"/>
            <w:shd w:fill="FAFAFA" w:val="clear"/>
          </w:tcPr>
          <w:p>
            <w:r>
              <w:rPr>
                <w:b/>
                <w:color w:val="008000"/>
                <w:sz w:val="17"/>
              </w:rPr>
              <w:t>+0.2%</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58</w:t>
            </w:r>
          </w:p>
        </w:tc>
        <w:tc>
          <w:tcPr>
            <w:tcW w:type="dxa" w:w="1440"/>
            <w:shd w:fill="FAFAFA" w:val="clear"/>
          </w:tcPr>
          <w:p>
            <w:r>
              <w:rPr>
                <w:b/>
                <w:sz w:val="17"/>
              </w:rPr>
              <w:t>65</w:t>
            </w:r>
          </w:p>
        </w:tc>
        <w:tc>
          <w:tcPr>
            <w:tcW w:type="dxa" w:w="1440"/>
            <w:shd w:fill="FAFAFA" w:val="clear"/>
          </w:tcPr>
          <w:p>
            <w:r>
              <w:rPr>
                <w:sz w:val="17"/>
              </w:rPr>
              <w:t>73</w:t>
            </w:r>
          </w:p>
        </w:tc>
        <w:tc>
          <w:tcPr>
            <w:tcW w:type="dxa" w:w="1440"/>
            <w:shd w:fill="FAFAFA" w:val="clear"/>
          </w:tcPr>
          <w:p>
            <w:r>
              <w:rPr>
                <w:b/>
                <w:color w:val="008000"/>
                <w:sz w:val="17"/>
              </w:rPr>
              <w:t>+0.2%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 📊 RAPPORT D'ANALYSE FINANCIÈRE — ETIT (Ecobank Transnational Incorporated)</w:t>
        <w:br/>
        <w:t>### BRVM | Secteur Bancaire | Analyse au 19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1 175,47 milliards FCFA, ETIT s'impose comme l'une des plus grandes capitalisations de la BRVM, ce qui témoigne de son statut de banque panafricaine de référence au sein de la côte. Le BPA de 19 FCFA/action indique que chaque titre génère près de 19 FCFA de bénéfice net, un niveau qui, rapporté au cours de 65 FCFA, confère au titre un PER de seulement 3,4x — très en dessous de la moyenne BRVM (8-12x), signalant une sous-évaluation manifeste aux yeux du marché. Le ratio P/B de 0,74x confirme cette décote : le marché valorise ETIT à 26% en dessous de sa valeur comptable, une anomalie potentielle pour une banque affichant un ROE supérieur à 21%. Enfin, l'EV/EBITDA de 4,9x (&lt; 5x) traduit une valorisation très bon marché de la capacité opérationnelle, renforçant l'hypothèse d'une opportunité d'investissement contrariante mais solide.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ETIT a enregistré une variation spectaculaire de **+124,14%**, passant d'un plus bas de 29 FCFA à un plus haut de 78 FCFA, avant de se stabiliser à 65 FCFA (variation J-1 de 0,00%). Ce range de trading de 49 FCFA (soit près de 170% d'amplitude) illustre une tendance nettement haussière, portée par un intérêt croissant des investisseurs pour le titre. Les statistiques descriptives révèlent une distribution asymétrique : la moyenne (58 FCFA) est inférieure à la médiane (66 FCFA), confirmant un skewness négatif de -0,893, c'est-à-dire davantage de journées de hausse au-dessus de la moyenne — un profil typique d'un titre en phase d'accumulation. L'écart-type de 15 FCFA (CV = 26,6%) traduit une dispersion modérée à élevée, tandis que le kurtosis de -0,934 (mésokurtique) indique une distribution proche de la normale, sans risque excessif de pics extrêmes. La volatilité annualisée de 61,4% classe le titre dans la catégorie **élevée** (&gt;30%), ce qui est cohérent avec la dynamique haussière récente mais appelle à la prudence pour les investisseurs averses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(67,1 FCFA) et la MM50 (67,56 FCFA) se situent toutes deux au-dessus du cours actuel (65 FCFA), signalant une pression baissière de court terme et une configuration de vente. La MM20 étant légèrement en dessous de la MM50, on observe un croisement baissier naissant, ce qui justifie la décision technique de **Vente**.</w:t>
      </w:r>
    </w:p>
    <w:p>
      <w:pPr>
        <w:spacing w:after="120" w:line="276" w:lineRule="auto"/>
      </w:pPr>
      <w:r>
        <w:t>**Bandes de Bollinger** : Le cours (65 FCFA) évolue dans la partie basse de la bande, entre la borne inférieure (63,435 FCFA) et la borne supérieure (70,765 FCFA), sans franchissement des extrêmes. Cette position centrale-basse traduit une volatilité contenue et une absence de signal directionnel fort, justifiant la décision **Neutre**.</w:t>
      </w:r>
    </w:p>
    <w:p>
      <w:pPr>
        <w:spacing w:after="120" w:line="276" w:lineRule="auto"/>
      </w:pPr>
      <w:r>
        <w:t>**MACD** : La valeur du MACD (-0,76) est inférieure à son signal (-0,521), avec un histogramme négatif, confirmant un momentum baissier de court terme. La divergence négative persistante plaide pour la décision de **Vente**, bien que l'amplitude reste modérée.</w:t>
      </w:r>
    </w:p>
    <w:p>
      <w:pPr>
        <w:spacing w:after="120" w:line="276" w:lineRule="auto"/>
      </w:pPr>
      <w:r>
        <w:t>**RSI** : À 30,0 exactement, le RSI se situe à la frontière de la zone de survente (&lt;30), sans y pénétrer franchement. Cette position charnière suggère un épuisement potentiel de la pression vendeuse et justifie une décision **Neutre**, avec un œil attentif sur un rebond technique.</w:t>
      </w:r>
    </w:p>
    <w:p>
      <w:pPr>
        <w:spacing w:after="120" w:line="276" w:lineRule="auto"/>
      </w:pPr>
      <w:r>
        <w:t>**Stochastique** : Le %K (0,0) est en dessous du %D (8,333), avec un %K au plancher absolu, signalant une survente extrême. Ce positionnement est typiquement annonciateur d'un rebond à court terme, justifiant la décision **Achat** — seul indicateur positif du panel.</w:t>
      </w:r>
    </w:p>
    <w:p>
      <w:pPr>
        <w:spacing w:after="120" w:line="276" w:lineRule="auto"/>
      </w:pPr>
      <w:r>
        <w:t>**Conclusion technique** : La majorité des indicateurs (MM, MACD) penchent vers la vente, tandis que le RSI et les Bollinger restent neutres et que le Stochastique signale une survente propice à un rebond. Cette configuration divergente traduit une phase de consolidation après la forte hausse de 124%, avec un potentiel de rebond technique à court terme mais une tendance de fond encore fragile. La prudence reste de mise tant que le cours n'aura pas reconquis la MM20 (67,1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ETIT affiche un Produit Net Bancaire (PNB) de 1 424,261 milliards FCFA, un résultat net de 345,523 milliards FCFA et un ROE de 21,62% — un niveau excellent (&gt;15%) qui témoigne d'une rentabilité des fonds propres robuste. Le ROA de 1,80% reste modeste mais conforme aux standards bancaires, tandis que le coefficient d'exploitation de 27,35% place la banque parmi les plus efficaces du secteur (&lt;60% = efficace, &lt;50% = excellente). Le coût du risque, mesuré à 18,97% des charges financières, indique un portefeuille de crédit relativement sain, bien que non négligeable. La structure de bilan révèle une forte dépendance aux dépôts clientèle (14 120,139 milliards FCFA) face à des créances clientèle de 6 570,385 milliards FCFA, soit un ratio de transformation de 46,5% — prudent et liquide. Le taux de croissance du PNB de 12,45% confirme une dynamique commerciale soutenue.</w:t>
      </w:r>
    </w:p>
    <w:p>
      <w:pPr>
        <w:spacing w:after="120" w:line="276" w:lineRule="auto"/>
      </w:pPr>
      <w:r>
        <w:t>**Estimations basées sur les rapports 2026** : Le rapport semestriel S1 2026 (publié le 21 juillet 2026) confirme cette dynamique avec un PNB de 1 281,330 millions $EU (721,318 milliards FCFA), en hausse de **+15%** sur un an, et un résultat net consolidé de 296,091 millions $EU (+6%). Le coefficient d'exploitation s'améliore à 48,4%, et le BPA atteint 0,80 $EU (+2%). Toutefois, le coût du risque bondit de **+40%**, signal d'alerte majeur. Le rapport T1 2026 (PNB +23%, résultat net +16%) confirme la vigueur commerciale mais une hausse du coût du risque de +73%. Sur cette base, on estime que l'exercice 2026 devrait afficher un PNB annuel d'environ 2 550-2 600 millions $EU (+12-15%), avec un résultat net de l'ordre de 600-620 millions $EU, sous réserve d'une stabilisation du coût du risque au S2.</w:t>
      </w:r>
    </w:p>
    <w:p>
      <w:pPr>
        <w:spacing w:after="120" w:line="276" w:lineRule="auto"/>
      </w:pPr>
      <w:r>
        <w:t>**Recommandation fondamentale** : La solidité financière d'ETIT est indéniable (ROE 21,6%, coefficient d'exploitation 27,3%, croissance à deux chiffres), mais la dégradation du coût du risque (+40% au S1 2026) constitue un risque à surveiller. Les rapports de 2024 (ROE 32,9%, PNB 1 485,7 M$) et 2025 confirment une trajectoire de croissance rentable, mais la prudence sur la qualité des actifs tempère l'enthousiasme. La recommandation fondamentale est **CONSERVER**, avec un biais positif si le coût du risque se stabilise.</w:t>
      </w:r>
    </w:p>
    <w:p>
      <w:pPr>
        <w:spacing w:after="120" w:line="276" w:lineRule="auto"/>
      </w:pPr>
      <w:r>
        <w:t>---</w:t>
      </w:r>
    </w:p>
    <w:p>
      <w:pPr>
        <w:spacing w:after="120" w:line="276" w:lineRule="auto"/>
      </w:pPr>
      <w:r>
        <w:t>## PARTIE 4 : CONCLUSION D'INVESTISSEMENT</w:t>
      </w:r>
    </w:p>
    <w:p>
      <w:pPr>
        <w:spacing w:after="120" w:line="276" w:lineRule="auto"/>
      </w:pPr>
      <w:r>
        <w:t>La convergence des quatre dimensions analysées dresse un tableau contrasté mais globalement favorable. **Sur le plan de la valorisation (Partie 0)**, les ratios PER (3,4x), P/B (0,74x) et EV/EBITDA (4,9x) indiquent une sous-évaluation manifeste, offrant une marge de sécurité attractive. **Le comportement du cours (Partie 1)** révèle une tendance haussière spectaculaire (+124%) mais une volatilité élevée (61,4%) et un skewness négatif, suggérant une phase de consolidation après le rallye. **Les signaux techniques (Partie 2)** sont divergents : majoritairement baissiers (MM, MACD) mais avec une survente extrême (Stochastique à 0, RSI à 30) propice à un rebond technique. **Les fondamentaux (Partie 3)** demeurent solides (ROE 21,6%, PNB +12,5%, coefficient d'exploitation 27,3%), mais le bond du coût du risque (+40% au S1 2026) appelle à la vigilance. **Les prédictions IA (J+1 à J+10)** anticipent une stabilité parfaite à 65 FCFA, confirmant l'absence de catalyseur immédiat et la phase de consolidation en cours.</w:t>
      </w:r>
    </w:p>
    <w:p>
      <w:pPr>
        <w:spacing w:after="120" w:line="276" w:lineRule="auto"/>
      </w:pPr>
      <w:r>
        <w:t>**Recommandation finale : CONSERVER** — Justification : la sous-évaluation fondamentale (PER 3,4x, P/B 0,74x) et la solidité des ratios (ROE &gt;21%) plaident pour une position longue, mais la divergence technique (vente sur MM/MACD) et la stabilité prédite à court terme invitent à ne pas renforcer immédiatement. La convergence entre valorisation attractive et fondamentaux solides soutient la thèse d'un investissement de **moyen à long terme** (12-24 mois), avec un potentiel de revalorisation vers 78 FCFA (plus haut récent) voire au-delà si le coût du risque se stabilise. **Niveau de confiance : Moyen** (divergence technique/fondamental). **Niveau de risque global : Moyen à Élevé** (volatilité 61,4%, coût du risque en hausse, dépendance aux devises africaines). **Horizon optimal : Moyen terme (6-12 mois)**, en surveillant les résultats du S2 2026 comme catalyseur décisif.</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18.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25.39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4,173 titres</w:t>
            </w:r>
          </w:p>
        </w:tc>
        <w:tc>
          <w:tcPr>
            <w:tcW w:type="dxa" w:w="2268"/>
            <w:shd w:fill="FFF2CC" w:val="clear"/>
          </w:tcPr>
          <w:p>
            <w:r>
              <w:rPr>
                <w:b/>
                <w:color w:val="503200"/>
                <w:sz w:val="16"/>
              </w:rPr>
              <w:t xml:space="preserve">Cours actuel : </w:t>
            </w:r>
            <w:r>
              <w:rPr>
                <w:color w:val="000000"/>
                <w:sz w:val="17"/>
              </w:rPr>
              <w:t>1,800 FCFA</w:t>
            </w:r>
          </w:p>
          <w:p>
            <w:r>
              <w:rPr>
                <w:b/>
                <w:color w:val="503200"/>
                <w:sz w:val="16"/>
              </w:rPr>
              <w:t xml:space="preserve">Var. 100 jours : </w:t>
            </w:r>
            <w:r>
              <w:rPr>
                <w:b/>
                <w:color w:val="B40000"/>
                <w:sz w:val="17"/>
              </w:rPr>
              <w:t>-21.74%</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1,800 FCFA</w:t>
            </w:r>
          </w:p>
          <w:p>
            <w:r>
              <w:rPr>
                <w:b/>
                <w:color w:val="503200"/>
                <w:sz w:val="16"/>
              </w:rPr>
              <w:t xml:space="preserve">Volatilité ann. : </w:t>
            </w:r>
            <w:r>
              <w:rPr>
                <w:color w:val="000000"/>
                <w:sz w:val="17"/>
              </w:rPr>
              <w:t>35.9%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6.61% (Moyenne) — μ=2,072 FCFA, σ=137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β=0.5154 (Défensif) — Cov=0.000040, Var(idx)=0.000077, ρ=0.199,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4,173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σ_j=2.26%/j (Stable) — Vol. annualisée≈35.9%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1,710</w:t>
            </w:r>
          </w:p>
        </w:tc>
        <w:tc>
          <w:tcPr>
            <w:tcW w:type="dxa" w:w="1440"/>
            <w:shd w:fill="FAFAFA" w:val="clear"/>
          </w:tcPr>
          <w:p>
            <w:r>
              <w:rPr>
                <w:b/>
                <w:sz w:val="17"/>
              </w:rPr>
              <w:t>1,787</w:t>
            </w:r>
          </w:p>
        </w:tc>
        <w:tc>
          <w:tcPr>
            <w:tcW w:type="dxa" w:w="1440"/>
            <w:shd w:fill="FAFAFA" w:val="clear"/>
          </w:tcPr>
          <w:p>
            <w:r>
              <w:rPr>
                <w:sz w:val="17"/>
              </w:rPr>
              <w:t>1,864</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1,669</w:t>
            </w:r>
          </w:p>
        </w:tc>
        <w:tc>
          <w:tcPr>
            <w:tcW w:type="dxa" w:w="1440"/>
            <w:shd w:fill="FAFAFA" w:val="clear"/>
          </w:tcPr>
          <w:p>
            <w:r>
              <w:rPr>
                <w:b/>
                <w:sz w:val="17"/>
              </w:rPr>
              <w:t>1,776</w:t>
            </w:r>
          </w:p>
        </w:tc>
        <w:tc>
          <w:tcPr>
            <w:tcW w:type="dxa" w:w="1440"/>
            <w:shd w:fill="FAFAFA" w:val="clear"/>
          </w:tcPr>
          <w:p>
            <w:r>
              <w:rPr>
                <w:sz w:val="17"/>
              </w:rPr>
              <w:t>1,884</w:t>
            </w:r>
          </w:p>
        </w:tc>
        <w:tc>
          <w:tcPr>
            <w:tcW w:type="dxa" w:w="1440"/>
            <w:shd w:fill="FAFAFA" w:val="clear"/>
          </w:tcPr>
          <w:p>
            <w:r>
              <w:rPr>
                <w:b/>
                <w:color w:val="C00000"/>
                <w:sz w:val="17"/>
              </w:rPr>
              <w:t>-1.3%</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1,634</w:t>
            </w:r>
          </w:p>
        </w:tc>
        <w:tc>
          <w:tcPr>
            <w:tcW w:type="dxa" w:w="1440"/>
            <w:shd w:fill="FAFAFA" w:val="clear"/>
          </w:tcPr>
          <w:p>
            <w:r>
              <w:rPr>
                <w:b/>
                <w:sz w:val="17"/>
              </w:rPr>
              <w:t>1,765</w:t>
            </w:r>
          </w:p>
        </w:tc>
        <w:tc>
          <w:tcPr>
            <w:tcW w:type="dxa" w:w="1440"/>
            <w:shd w:fill="FAFAFA" w:val="clear"/>
          </w:tcPr>
          <w:p>
            <w:r>
              <w:rPr>
                <w:sz w:val="17"/>
              </w:rPr>
              <w:t>1,896</w:t>
            </w:r>
          </w:p>
        </w:tc>
        <w:tc>
          <w:tcPr>
            <w:tcW w:type="dxa" w:w="1440"/>
            <w:shd w:fill="FAFAFA" w:val="clear"/>
          </w:tcPr>
          <w:p>
            <w:r>
              <w:rPr>
                <w:b/>
                <w:color w:val="C00000"/>
                <w:sz w:val="17"/>
              </w:rPr>
              <w:t>-1.9%</w:t>
            </w:r>
          </w:p>
        </w:tc>
      </w:tr>
      <w:tr>
        <w:tc>
          <w:tcPr>
            <w:tcW w:type="dxa" w:w="1440"/>
            <w:shd w:fill="FFDCE0" w:val="clear"/>
          </w:tcPr>
          <w:p>
            <w:r>
              <w:rPr>
                <w:sz w:val="17"/>
              </w:rPr>
              <w:t>J+4  ⭐</w:t>
            </w:r>
          </w:p>
        </w:tc>
        <w:tc>
          <w:tcPr>
            <w:tcW w:type="dxa" w:w="1440"/>
            <w:shd w:fill="FFDCE0" w:val="clear"/>
          </w:tcPr>
          <w:p>
            <w:r>
              <w:rPr>
                <w:sz w:val="17"/>
              </w:rPr>
              <w:t>2026-10-22</w:t>
            </w:r>
          </w:p>
        </w:tc>
        <w:tc>
          <w:tcPr>
            <w:tcW w:type="dxa" w:w="1440"/>
            <w:shd w:fill="FFDCE0" w:val="clear"/>
          </w:tcPr>
          <w:p>
            <w:r>
              <w:rPr>
                <w:sz w:val="17"/>
              </w:rPr>
              <w:t>1,604</w:t>
            </w:r>
          </w:p>
        </w:tc>
        <w:tc>
          <w:tcPr>
            <w:tcW w:type="dxa" w:w="1440"/>
            <w:shd w:fill="FFDCE0" w:val="clear"/>
          </w:tcPr>
          <w:p>
            <w:r>
              <w:rPr>
                <w:b/>
                <w:sz w:val="17"/>
              </w:rPr>
              <w:t>1,754</w:t>
            </w:r>
          </w:p>
        </w:tc>
        <w:tc>
          <w:tcPr>
            <w:tcW w:type="dxa" w:w="1440"/>
            <w:shd w:fill="FFDCE0" w:val="clear"/>
          </w:tcPr>
          <w:p>
            <w:r>
              <w:rPr>
                <w:sz w:val="17"/>
              </w:rPr>
              <w:t>1,905</w:t>
            </w:r>
          </w:p>
        </w:tc>
        <w:tc>
          <w:tcPr>
            <w:tcW w:type="dxa" w:w="1440"/>
            <w:shd w:fill="FFDCE0" w:val="clear"/>
          </w:tcPr>
          <w:p>
            <w:r>
              <w:rPr>
                <w:b/>
                <w:color w:val="C00000"/>
                <w:sz w:val="17"/>
              </w:rPr>
              <w:t>-2.5%</w:t>
            </w:r>
          </w:p>
        </w:tc>
      </w:tr>
      <w:tr>
        <w:tc>
          <w:tcPr>
            <w:tcW w:type="dxa" w:w="1440"/>
            <w:shd w:fill="FFDCE0" w:val="clear"/>
          </w:tcPr>
          <w:p>
            <w:r>
              <w:rPr>
                <w:sz w:val="17"/>
              </w:rPr>
              <w:t>J+5  ⭐</w:t>
            </w:r>
          </w:p>
        </w:tc>
        <w:tc>
          <w:tcPr>
            <w:tcW w:type="dxa" w:w="1440"/>
            <w:shd w:fill="FFDCE0" w:val="clear"/>
          </w:tcPr>
          <w:p>
            <w:r>
              <w:rPr>
                <w:sz w:val="17"/>
              </w:rPr>
              <w:t>2026-10-23</w:t>
            </w:r>
          </w:p>
        </w:tc>
        <w:tc>
          <w:tcPr>
            <w:tcW w:type="dxa" w:w="1440"/>
            <w:shd w:fill="FFDCE0" w:val="clear"/>
          </w:tcPr>
          <w:p>
            <w:r>
              <w:rPr>
                <w:sz w:val="17"/>
              </w:rPr>
              <w:t>1,576</w:t>
            </w:r>
          </w:p>
        </w:tc>
        <w:tc>
          <w:tcPr>
            <w:tcW w:type="dxa" w:w="1440"/>
            <w:shd w:fill="FFDCE0" w:val="clear"/>
          </w:tcPr>
          <w:p>
            <w:r>
              <w:rPr>
                <w:b/>
                <w:sz w:val="17"/>
              </w:rPr>
              <w:t>1,743</w:t>
            </w:r>
          </w:p>
        </w:tc>
        <w:tc>
          <w:tcPr>
            <w:tcW w:type="dxa" w:w="1440"/>
            <w:shd w:fill="FFDCE0" w:val="clear"/>
          </w:tcPr>
          <w:p>
            <w:r>
              <w:rPr>
                <w:sz w:val="17"/>
              </w:rPr>
              <w:t>1,910</w:t>
            </w:r>
          </w:p>
        </w:tc>
        <w:tc>
          <w:tcPr>
            <w:tcW w:type="dxa" w:w="1440"/>
            <w:shd w:fill="FFDCE0" w:val="clear"/>
          </w:tcPr>
          <w:p>
            <w:r>
              <w:rPr>
                <w:b/>
                <w:color w:val="C00000"/>
                <w:sz w:val="17"/>
              </w:rPr>
              <w:t>-3.2%</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1,550</w:t>
            </w:r>
          </w:p>
        </w:tc>
        <w:tc>
          <w:tcPr>
            <w:tcW w:type="dxa" w:w="1440"/>
            <w:shd w:fill="FFDCE0" w:val="clear"/>
          </w:tcPr>
          <w:p>
            <w:r>
              <w:rPr>
                <w:b/>
                <w:sz w:val="17"/>
              </w:rPr>
              <w:t>1,732</w:t>
            </w:r>
          </w:p>
        </w:tc>
        <w:tc>
          <w:tcPr>
            <w:tcW w:type="dxa" w:w="1440"/>
            <w:shd w:fill="FFDCE0" w:val="clear"/>
          </w:tcPr>
          <w:p>
            <w:r>
              <w:rPr>
                <w:sz w:val="17"/>
              </w:rPr>
              <w:t>1,914</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1,526</w:t>
            </w:r>
          </w:p>
        </w:tc>
        <w:tc>
          <w:tcPr>
            <w:tcW w:type="dxa" w:w="1440"/>
            <w:shd w:fill="FFDCE0" w:val="clear"/>
          </w:tcPr>
          <w:p>
            <w:r>
              <w:rPr>
                <w:b/>
                <w:sz w:val="17"/>
              </w:rPr>
              <w:t>1,721</w:t>
            </w:r>
          </w:p>
        </w:tc>
        <w:tc>
          <w:tcPr>
            <w:tcW w:type="dxa" w:w="1440"/>
            <w:shd w:fill="FFDCE0" w:val="clear"/>
          </w:tcPr>
          <w:p>
            <w:r>
              <w:rPr>
                <w:sz w:val="17"/>
              </w:rPr>
              <w:t>1,917</w:t>
            </w:r>
          </w:p>
        </w:tc>
        <w:tc>
          <w:tcPr>
            <w:tcW w:type="dxa" w:w="1440"/>
            <w:shd w:fill="FFDCE0" w:val="clear"/>
          </w:tcPr>
          <w:p>
            <w:r>
              <w:rPr>
                <w:b/>
                <w:color w:val="C00000"/>
                <w:sz w:val="17"/>
              </w:rPr>
              <w:t>-4.4%</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1,503</w:t>
            </w:r>
          </w:p>
        </w:tc>
        <w:tc>
          <w:tcPr>
            <w:tcW w:type="dxa" w:w="1440"/>
            <w:shd w:fill="FFDCE0" w:val="clear"/>
          </w:tcPr>
          <w:p>
            <w:r>
              <w:rPr>
                <w:b/>
                <w:sz w:val="17"/>
              </w:rPr>
              <w:t>1,711</w:t>
            </w:r>
          </w:p>
        </w:tc>
        <w:tc>
          <w:tcPr>
            <w:tcW w:type="dxa" w:w="1440"/>
            <w:shd w:fill="FFDCE0" w:val="clear"/>
          </w:tcPr>
          <w:p>
            <w:r>
              <w:rPr>
                <w:sz w:val="17"/>
              </w:rPr>
              <w:t>1,918</w:t>
            </w:r>
          </w:p>
        </w:tc>
        <w:tc>
          <w:tcPr>
            <w:tcW w:type="dxa" w:w="1440"/>
            <w:shd w:fill="FFDCE0" w:val="clear"/>
          </w:tcPr>
          <w:p>
            <w:r>
              <w:rPr>
                <w:b/>
                <w:color w:val="C00000"/>
                <w:sz w:val="17"/>
              </w:rPr>
              <w:t>-5.0%</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1,481</w:t>
            </w:r>
          </w:p>
        </w:tc>
        <w:tc>
          <w:tcPr>
            <w:tcW w:type="dxa" w:w="1440"/>
            <w:shd w:fill="FFDCE0" w:val="clear"/>
          </w:tcPr>
          <w:p>
            <w:r>
              <w:rPr>
                <w:b/>
                <w:sz w:val="17"/>
              </w:rPr>
              <w:t>1,700</w:t>
            </w:r>
          </w:p>
        </w:tc>
        <w:tc>
          <w:tcPr>
            <w:tcW w:type="dxa" w:w="1440"/>
            <w:shd w:fill="FFDCE0" w:val="clear"/>
          </w:tcPr>
          <w:p>
            <w:r>
              <w:rPr>
                <w:sz w:val="17"/>
              </w:rPr>
              <w:t>1,919</w:t>
            </w:r>
          </w:p>
        </w:tc>
        <w:tc>
          <w:tcPr>
            <w:tcW w:type="dxa" w:w="1440"/>
            <w:shd w:fill="FFDCE0" w:val="clear"/>
          </w:tcPr>
          <w:p>
            <w:r>
              <w:rPr>
                <w:b/>
                <w:color w:val="C00000"/>
                <w:sz w:val="17"/>
              </w:rPr>
              <w:t>-5.6%</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1,460</w:t>
            </w:r>
          </w:p>
        </w:tc>
        <w:tc>
          <w:tcPr>
            <w:tcW w:type="dxa" w:w="1440"/>
            <w:shd w:fill="FFDCE0" w:val="clear"/>
          </w:tcPr>
          <w:p>
            <w:r>
              <w:rPr>
                <w:b/>
                <w:sz w:val="17"/>
              </w:rPr>
              <w:t>1,689</w:t>
            </w:r>
          </w:p>
        </w:tc>
        <w:tc>
          <w:tcPr>
            <w:tcW w:type="dxa" w:w="1440"/>
            <w:shd w:fill="FFDCE0" w:val="clear"/>
          </w:tcPr>
          <w:p>
            <w:r>
              <w:rPr>
                <w:sz w:val="17"/>
              </w:rPr>
              <w:t>1,918</w:t>
            </w:r>
          </w:p>
        </w:tc>
        <w:tc>
          <w:tcPr>
            <w:tcW w:type="dxa" w:w="1440"/>
            <w:shd w:fill="FFDCE0" w:val="clear"/>
          </w:tcPr>
          <w:p>
            <w:r>
              <w:rPr>
                <w:b/>
                <w:color w:val="C00000"/>
                <w:sz w:val="17"/>
              </w:rPr>
              <w:t>-6.1%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 RAPPORT D'ANALYSE FINANCIÈRE — FTSC (FILTISAC CI)</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FTSC s'établit à **25,39 milliards FCFA**, un niveau modeste à l'échelle de la BRVM qui la classe parmi les valeurs de taille intermédiaire du compartiment industriel. Le BPA de **33 FCFA/action** traduit un bénéfice par titre très faible, cohérent avec l'effondrement du résultat net 2025. Le PER de **54,5x** est très élevé au regard de la moyenne BRVM (~8-12x) : les investisseurs paient plus de 54 fois les bénéfices actuels, ce qui traduit soit une anticipation de redressement, soit une surévaluation manifeste — la prudence est de rigueur. Le P/B de **1,62x** reste en revanche raisonnable (fourchette 1-2x), signifiant que le marché valorise le titre à peine au-dessus de sa valeur comptable, cohérent avec la contraction des capitaux propres à 15,7 Mds FCFA. Enfin, l'EV/EBITDA de **34,8x** (très supérieur au seuil de 15x) confirme une valorisation exigeante rapportée à la capacité opérationnelle, reflet d'un EBE comprimé à 1,5 Md FCFA.</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FTSC a enregistré une **variation totale de -21,74%**, avec une dernière séance stable (**J-1 : +0,00%**), le cours clôturant à **1 800 FCFA**. Le range de trading est large, entre un plus haut de **2 430 FCFA** et un plus bas de **1 800 FCFA** — niveau actuel qui coïncide avec le plancher de la période, signalant une pression vendeuse persistante et une tendance clairement **baissière**. Les statistiques descriptives révèlent une moyenne de **2 072 FCFA** légèrement supérieure à la médiane de **2 050 FCFA**, avec un mode à **1 990 FCFA** : l'écart moyenne/médiane, bien que modeste, suggère une distribution légèrement asymétrique tirée vers le haut par les séances anciennes. L'écart-type de **138 FCFA** et un **CV de 6,6%** indiquent une dispersion modérée du cours autour de sa moyenne. Le kurtosis de **-0,151** (mésokurtique, proche d'une distribution normale) suggère une absence de pics extrêmes, tandis que le skewness de **0,459** (distribution qualifiée de symétrique dans les données) traduit une légère queue vers la droite. La **volatilité annualisée de 35,9%** positionne le titre dans la catégorie **élevée** (&gt;30%), ce qui est cohérent avec la correction sévère subie et appelle à la prudence sur les horizons courts.</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**1 935,25 FCFA** et la MM50 à **2 053,3 FCFA**, toutes deux nettement au-dessus du cours actuel de 1 800 FCFA. Cette configuration baissière (cours sous les deux moyennes, MM20 sous MM50) confirme la pression vendeuse et justifie la décision **Vente**.</w:t>
      </w:r>
    </w:p>
    <w:p>
      <w:pPr>
        <w:spacing w:after="120" w:line="276" w:lineRule="auto"/>
      </w:pPr>
      <w:r>
        <w:t>**Bandes de Bollinger** : La borne supérieure est à **2 104,8 FCFA** et la borne inférieure à **1 765,7 FCFA**, le cours (1 800 FCFA) évoluant près de la bande basse sans la franchir. Cette position traduit une volatilité contenue mais une faiblesse persistante ; la décision est **Neutre**, le titre n'étant pas encore en zone de survente extrême.</w:t>
      </w:r>
    </w:p>
    <w:p>
      <w:pPr>
        <w:spacing w:after="120" w:line="276" w:lineRule="auto"/>
      </w:pPr>
      <w:r>
        <w:t>**MACD** : Le MACD affiche **-66,325** contre un signal à **-53,547**, soit une divergence négative (MACD sous son signal) qui confirme un momentum baissier toujours actif. La décision **Vente** est cohérente avec cette configuration.</w:t>
      </w:r>
    </w:p>
    <w:p>
      <w:pPr>
        <w:spacing w:after="120" w:line="276" w:lineRule="auto"/>
      </w:pPr>
      <w:r>
        <w:t>**RSI** : À **30,0**, le RSI se situe exactement à la frontière de la zone de survente (&lt;30), sans y pénétrer franchement. La décision est **Neutre** : le titre approche d'un niveau technique de rebond potentiel, mais sans signal d'achat confirmé.</w:t>
      </w:r>
    </w:p>
    <w:p>
      <w:pPr>
        <w:spacing w:after="120" w:line="276" w:lineRule="auto"/>
      </w:pPr>
      <w:r>
        <w:t>**Stochastique** : Le %K et le %D sont tous deux à **0,0**, position extrême de survente absolue. Bien que la décision affichée soit **Achat**, ce signal doit être interprété avec prudence : un stochastique à zéro reflète un épuisement vendeur mais peut persister en zone basse sans retournement confirmé.</w:t>
      </w:r>
    </w:p>
    <w:p>
      <w:pPr>
        <w:spacing w:after="120" w:line="276" w:lineRule="auto"/>
      </w:pPr>
      <w:r>
        <w:t>**Conclusion technique** : Les indicateurs convergent majoritairement vers une **configuration baissière** (MM, MACD en vente ; cours sous les moyennes et près de la bande basse de Bollinger). Seul le stochastique signale une survente extrême pouvant préfigurer un rebond technique, mais le RSI à 30 et le MACD négatif n'apportent aucune confirmation. La tendance reste donc défavorable à court terme, avec un potentiel de rebond fragile et non validé.</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FTSC a réalisé un chiffre d'affaires de **32,109 Mds FCFA** (+4,6% selon le taux de croissance fourni), pour un résultat net de seulement **465,98 M FCFA**, soit une marge nette de **1,45%**. Le ROE s'établit à **2,97%** (très loin du seuil de 15% d'excellence) et le ROA à **1,19%**, traduisant une rentabilité des fonds propres et des actifs très faible. La structure financière reste acceptable (autonomie financière de **40,1%**, solvabilité générale de **167%**, liquidité générale de **158,6%**), mais le ratio d'endettement atteint **97,6%** et la trésorerie nette est négative à **-11,53 Mds FCFA**. Sur le plan opérationnel (secteur ENTREPRISE), les délais sont préoccupants : **délai clients de 213,7 jours** (risque trésorerie élevé), **durée de stockage de 214,7 jours** (immobilisation de capital importante) et délai fournisseurs de 140,7 jours. Le BFR de **11,53 Mds FCFA** pèse lourdement, et la capacité de remboursement de **11,49 années** de CAF traduit un endettement difficilement soutenable par l'exploitation.</w:t>
      </w:r>
    </w:p>
    <w:p>
      <w:pPr>
        <w:spacing w:after="120" w:line="276" w:lineRule="auto"/>
      </w:pPr>
      <w:r>
        <w:t>**Évolution et rapports narratifs** : Le rapport annuel 2025 (daté 2026-12-31) confirme l'effondrement du résultat net de **-97,5%** (465,98 M FCFA contre 18 595 M FCFA en 2024), imputable à la disparition des produits HAO et financiers exceptionnels de 2024, avec un **dividende ramené à zéro** (contre 28 217 M FCFA versés en 2024). Le rapport du **T1 2026** (daté 2026-12-31) apporte toutefois un signal positif : CA de **8 901 M FCFA (+55%)** porté par la demande d'emballages cacao, résultat d'exploitation redevenu positif à **+75 M FCFA** (contre -78 M FCFA au T1 2025), mais résultat net encore déficitaire à **-154 M FCFA** (marge nette -1,73%). Le communiqué du **08/07/2026** rassure sur la continuité d'activité malgré l'arrêt de la filature (interdiction d'exportation de jute par le Bangladesh, solution d'importation de fil mise en place, impact &lt;10% des effectifs). **Estimation** : sur la base du T1 2026 (+55% de CA et retour à un résultat d'exploitation positif), on peut estimer que l'exercice 2026 devrait afficher une nette amélioration opérationnelle, mais la confirmation d'un résultat net annuel positif reste incertaine compte tenu du poids des charges financières et de la saisonnalité cacaoyère. **Conclusion fondamentale** : société solvable mais fragilisée, rentabilité très dégradée, trésorerie tendue, avec un début de redressement opérationnel non encore confirmé au niveau net — profil de retournement à surveiller.</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tableau contrasté. **Valorisation (Partie 0)** : le PER de 54,5x et l'EV/EBITDA de 34,8x signalent une nette **surévaluation** par rapport aux bénéfices actuels, seul le P/B de 1,62x restant raisonnable. **Comportement du cours (Partie 1)** : la tendance est franchement baissière (-21,74%, cours au plus bas de la période), avec une volatilité élevée (35,9%) et des statistiques (kurtosis -0,151, skewness 0,459) qui n'offrent aucun signal de retournement structurel. **Signaux techniques (Partie 2)** : MM et MACD convergent vers la vente, Bollinger et RSI sont neutres, seul le stochastique à 0 signale une survente extrême — **divergence** entre un épuisement vendeur potentiel et une tendance de fond toujours négative. **Fondamentaux (Partie 3)** : la solidité bilancielle (autonomie 40%, solvabilité 167%) contraste avec une rentabilité effondrée (ROE 2,97%, marge nette 1,45%) et une trésorerie nette négative, mais le T1 2026 (+55% de CA, résultat d'exploitation positif) laisse entrevoir un redressement opérationnel. **Prédictions IA (J+1 à J+10)** : la trajectoire projetée (1 787 → 1 743 FCFA, soit -3,2% supplémentaires) **confirme** la pression baissière et contredit l'hypothèse d'un rebond immédiat malgré la survente technique.</w:t>
      </w:r>
    </w:p>
    <w:p>
      <w:pPr>
        <w:spacing w:after="120" w:line="276" w:lineRule="auto"/>
      </w:pPr>
      <w:r>
        <w:t>**Recommandation finale : CONSERVER** (position attentiste). La convergence est imparfaite : la valorisation est exigeante et le technique baissier, mais les fondamentaux montrent un début de redressement opérationnel (T1 2026) et une solvabilité préservée qui interdisent une vente précipitée au plus bas de la fourchette. **Niveau de confiance : Moyen** (signaux contradictoires entre technique baissier et amélioration opérationnelle naissante). **Niveau de risque global : Élevé** (volatilité 35,9%, trésorerie nette négative, absence de dividende, dépendance à la campagne cacao). **Horizon optimal : moyen terme (3-12 mois)**, le temps de confirmer deux trimestres consécutifs de résultat net positif — un passage à l'ACHAT serait justifié par cette confirmation, tandis qu'une rechute sous 1 765 FCFA (borne basse de Bollinger) plaiderait pour une réduction d'exposition.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19.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80.00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4,764 titres</w:t>
            </w:r>
          </w:p>
        </w:tc>
        <w:tc>
          <w:tcPr>
            <w:tcW w:type="dxa" w:w="2268"/>
            <w:shd w:fill="FFF2CC" w:val="clear"/>
          </w:tcPr>
          <w:p>
            <w:r>
              <w:rPr>
                <w:b/>
                <w:color w:val="503200"/>
                <w:sz w:val="16"/>
              </w:rPr>
              <w:t xml:space="preserve">Cours actuel : </w:t>
            </w:r>
            <w:r>
              <w:rPr>
                <w:color w:val="000000"/>
                <w:sz w:val="17"/>
              </w:rPr>
              <w:t>4,000 FCFA</w:t>
            </w:r>
          </w:p>
          <w:p>
            <w:r>
              <w:rPr>
                <w:b/>
                <w:color w:val="503200"/>
                <w:sz w:val="16"/>
              </w:rPr>
              <w:t xml:space="preserve">Var. 100 jours : </w:t>
            </w:r>
            <w:r>
              <w:rPr>
                <w:b/>
                <w:color w:val="007800"/>
                <w:sz w:val="17"/>
              </w:rPr>
              <w:t>+0.25%</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3,700 FCFA</w:t>
            </w:r>
          </w:p>
          <w:p>
            <w:r>
              <w:rPr>
                <w:b/>
                <w:color w:val="503200"/>
                <w:sz w:val="16"/>
              </w:rPr>
              <w:t xml:space="preserve">Volatilité ann. : </w:t>
            </w:r>
            <w:r>
              <w:rPr>
                <w:color w:val="000000"/>
                <w:sz w:val="17"/>
              </w:rPr>
              <w:t>41.1%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4.63% (Faible) — μ=4,079 FCFA, σ=189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β=0.5905 (Défensif) — Cov=0.000045, Var(idx)=0.000077, ρ=0.198,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4,764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σ_j=2.59%/j (Stable) — Vol. annualisée≈41.1%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3,822</w:t>
            </w:r>
          </w:p>
        </w:tc>
        <w:tc>
          <w:tcPr>
            <w:tcW w:type="dxa" w:w="1440"/>
            <w:shd w:fill="FAFAFA" w:val="clear"/>
          </w:tcPr>
          <w:p>
            <w:r>
              <w:rPr>
                <w:b/>
                <w:sz w:val="17"/>
              </w:rPr>
              <w:t>3,997</w:t>
            </w:r>
          </w:p>
        </w:tc>
        <w:tc>
          <w:tcPr>
            <w:tcW w:type="dxa" w:w="1440"/>
            <w:shd w:fill="FAFAFA" w:val="clear"/>
          </w:tcPr>
          <w:p>
            <w:r>
              <w:rPr>
                <w:sz w:val="17"/>
              </w:rPr>
              <w:t>4,173</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3,756</w:t>
            </w:r>
          </w:p>
        </w:tc>
        <w:tc>
          <w:tcPr>
            <w:tcW w:type="dxa" w:w="1440"/>
            <w:shd w:fill="FAFAFA" w:val="clear"/>
          </w:tcPr>
          <w:p>
            <w:r>
              <w:rPr>
                <w:b/>
                <w:sz w:val="17"/>
              </w:rPr>
              <w:t>4,004</w:t>
            </w:r>
          </w:p>
        </w:tc>
        <w:tc>
          <w:tcPr>
            <w:tcW w:type="dxa" w:w="1440"/>
            <w:shd w:fill="FAFAFA" w:val="clear"/>
          </w:tcPr>
          <w:p>
            <w:r>
              <w:rPr>
                <w:sz w:val="17"/>
              </w:rPr>
              <w:t>4,253</w:t>
            </w:r>
          </w:p>
        </w:tc>
        <w:tc>
          <w:tcPr>
            <w:tcW w:type="dxa" w:w="1440"/>
            <w:shd w:fill="FAFAFA" w:val="clear"/>
          </w:tcPr>
          <w:p>
            <w:r>
              <w:rPr>
                <w:b/>
                <w:color w:val="008000"/>
                <w:sz w:val="17"/>
              </w:rPr>
              <w:t>+0.1%</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3,705</w:t>
            </w:r>
          </w:p>
        </w:tc>
        <w:tc>
          <w:tcPr>
            <w:tcW w:type="dxa" w:w="1440"/>
            <w:shd w:fill="FAFAFA" w:val="clear"/>
          </w:tcPr>
          <w:p>
            <w:r>
              <w:rPr>
                <w:b/>
                <w:sz w:val="17"/>
              </w:rPr>
              <w:t>4,009</w:t>
            </w:r>
          </w:p>
        </w:tc>
        <w:tc>
          <w:tcPr>
            <w:tcW w:type="dxa" w:w="1440"/>
            <w:shd w:fill="FAFAFA" w:val="clear"/>
          </w:tcPr>
          <w:p>
            <w:r>
              <w:rPr>
                <w:sz w:val="17"/>
              </w:rPr>
              <w:t>4,314</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3,662</w:t>
            </w:r>
          </w:p>
        </w:tc>
        <w:tc>
          <w:tcPr>
            <w:tcW w:type="dxa" w:w="1440"/>
            <w:shd w:fill="FAFAFA" w:val="clear"/>
          </w:tcPr>
          <w:p>
            <w:r>
              <w:rPr>
                <w:b/>
                <w:sz w:val="17"/>
              </w:rPr>
              <w:t>4,013</w:t>
            </w:r>
          </w:p>
        </w:tc>
        <w:tc>
          <w:tcPr>
            <w:tcW w:type="dxa" w:w="1440"/>
            <w:shd w:fill="FAFAFA" w:val="clear"/>
          </w:tcPr>
          <w:p>
            <w:r>
              <w:rPr>
                <w:sz w:val="17"/>
              </w:rPr>
              <w:t>4,365</w:t>
            </w:r>
          </w:p>
        </w:tc>
        <w:tc>
          <w:tcPr>
            <w:tcW w:type="dxa" w:w="1440"/>
            <w:shd w:fill="FAFAFA" w:val="clear"/>
          </w:tcPr>
          <w:p>
            <w:r>
              <w:rPr>
                <w:b/>
                <w:color w:val="008000"/>
                <w:sz w:val="17"/>
              </w:rPr>
              <w:t>+0.3%</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3,625</w:t>
            </w:r>
          </w:p>
        </w:tc>
        <w:tc>
          <w:tcPr>
            <w:tcW w:type="dxa" w:w="1440"/>
            <w:shd w:fill="FAFAFA" w:val="clear"/>
          </w:tcPr>
          <w:p>
            <w:r>
              <w:rPr>
                <w:b/>
                <w:sz w:val="17"/>
              </w:rPr>
              <w:t>4,019</w:t>
            </w:r>
          </w:p>
        </w:tc>
        <w:tc>
          <w:tcPr>
            <w:tcW w:type="dxa" w:w="1440"/>
            <w:shd w:fill="FAFAFA" w:val="clear"/>
          </w:tcPr>
          <w:p>
            <w:r>
              <w:rPr>
                <w:sz w:val="17"/>
              </w:rPr>
              <w:t>4,413</w:t>
            </w:r>
          </w:p>
        </w:tc>
        <w:tc>
          <w:tcPr>
            <w:tcW w:type="dxa" w:w="1440"/>
            <w:shd w:fill="FAFAFA" w:val="clear"/>
          </w:tcPr>
          <w:p>
            <w:r>
              <w:rPr>
                <w:b/>
                <w:color w:val="008000"/>
                <w:sz w:val="17"/>
              </w:rPr>
              <w:t>+0.5%</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3,591</w:t>
            </w:r>
          </w:p>
        </w:tc>
        <w:tc>
          <w:tcPr>
            <w:tcW w:type="dxa" w:w="1440"/>
            <w:shd w:fill="FAFAFA" w:val="clear"/>
          </w:tcPr>
          <w:p>
            <w:r>
              <w:rPr>
                <w:b/>
                <w:sz w:val="17"/>
              </w:rPr>
              <w:t>4,024</w:t>
            </w:r>
          </w:p>
        </w:tc>
        <w:tc>
          <w:tcPr>
            <w:tcW w:type="dxa" w:w="1440"/>
            <w:shd w:fill="FAFAFA" w:val="clear"/>
          </w:tcPr>
          <w:p>
            <w:r>
              <w:rPr>
                <w:sz w:val="17"/>
              </w:rPr>
              <w:t>4,456</w:t>
            </w:r>
          </w:p>
        </w:tc>
        <w:tc>
          <w:tcPr>
            <w:tcW w:type="dxa" w:w="1440"/>
            <w:shd w:fill="FAFAFA" w:val="clear"/>
          </w:tcPr>
          <w:p>
            <w:r>
              <w:rPr>
                <w:b/>
                <w:color w:val="008000"/>
                <w:sz w:val="17"/>
              </w:rPr>
              <w:t>+0.6%</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3,562</w:t>
            </w:r>
          </w:p>
        </w:tc>
        <w:tc>
          <w:tcPr>
            <w:tcW w:type="dxa" w:w="1440"/>
            <w:shd w:fill="FAFAFA" w:val="clear"/>
          </w:tcPr>
          <w:p>
            <w:r>
              <w:rPr>
                <w:b/>
                <w:sz w:val="17"/>
              </w:rPr>
              <w:t>4,029</w:t>
            </w:r>
          </w:p>
        </w:tc>
        <w:tc>
          <w:tcPr>
            <w:tcW w:type="dxa" w:w="1440"/>
            <w:shd w:fill="FAFAFA" w:val="clear"/>
          </w:tcPr>
          <w:p>
            <w:r>
              <w:rPr>
                <w:sz w:val="17"/>
              </w:rPr>
              <w:t>4,496</w:t>
            </w:r>
          </w:p>
        </w:tc>
        <w:tc>
          <w:tcPr>
            <w:tcW w:type="dxa" w:w="1440"/>
            <w:shd w:fill="FAFAFA" w:val="clear"/>
          </w:tcPr>
          <w:p>
            <w:r>
              <w:rPr>
                <w:b/>
                <w:color w:val="008000"/>
                <w:sz w:val="17"/>
              </w:rPr>
              <w:t>+0.7%</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3,538</w:t>
            </w:r>
          </w:p>
        </w:tc>
        <w:tc>
          <w:tcPr>
            <w:tcW w:type="dxa" w:w="1440"/>
            <w:shd w:fill="FAFAFA" w:val="clear"/>
          </w:tcPr>
          <w:p>
            <w:r>
              <w:rPr>
                <w:b/>
                <w:sz w:val="17"/>
              </w:rPr>
              <w:t>4,038</w:t>
            </w:r>
          </w:p>
        </w:tc>
        <w:tc>
          <w:tcPr>
            <w:tcW w:type="dxa" w:w="1440"/>
            <w:shd w:fill="FAFAFA" w:val="clear"/>
          </w:tcPr>
          <w:p>
            <w:r>
              <w:rPr>
                <w:sz w:val="17"/>
              </w:rPr>
              <w:t>4,539</w:t>
            </w:r>
          </w:p>
        </w:tc>
        <w:tc>
          <w:tcPr>
            <w:tcW w:type="dxa" w:w="1440"/>
            <w:shd w:fill="FAFAFA" w:val="clear"/>
          </w:tcPr>
          <w:p>
            <w:r>
              <w:rPr>
                <w:b/>
                <w:color w:val="008000"/>
                <w:sz w:val="17"/>
              </w:rPr>
              <w:t>+1.0%</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3,512</w:t>
            </w:r>
          </w:p>
        </w:tc>
        <w:tc>
          <w:tcPr>
            <w:tcW w:type="dxa" w:w="1440"/>
            <w:shd w:fill="FAFAFA" w:val="clear"/>
          </w:tcPr>
          <w:p>
            <w:r>
              <w:rPr>
                <w:b/>
                <w:sz w:val="17"/>
              </w:rPr>
              <w:t>4,044</w:t>
            </w:r>
          </w:p>
        </w:tc>
        <w:tc>
          <w:tcPr>
            <w:tcW w:type="dxa" w:w="1440"/>
            <w:shd w:fill="FAFAFA" w:val="clear"/>
          </w:tcPr>
          <w:p>
            <w:r>
              <w:rPr>
                <w:sz w:val="17"/>
              </w:rPr>
              <w:t>4,576</w:t>
            </w:r>
          </w:p>
        </w:tc>
        <w:tc>
          <w:tcPr>
            <w:tcW w:type="dxa" w:w="1440"/>
            <w:shd w:fill="FAFAFA" w:val="clear"/>
          </w:tcPr>
          <w:p>
            <w:r>
              <w:rPr>
                <w:b/>
                <w:color w:val="008000"/>
                <w:sz w:val="17"/>
              </w:rPr>
              <w:t>+1.1%</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3,487</w:t>
            </w:r>
          </w:p>
        </w:tc>
        <w:tc>
          <w:tcPr>
            <w:tcW w:type="dxa" w:w="1440"/>
            <w:shd w:fill="FAFAFA" w:val="clear"/>
          </w:tcPr>
          <w:p>
            <w:r>
              <w:rPr>
                <w:b/>
                <w:sz w:val="17"/>
              </w:rPr>
              <w:t>4,048</w:t>
            </w:r>
          </w:p>
        </w:tc>
        <w:tc>
          <w:tcPr>
            <w:tcW w:type="dxa" w:w="1440"/>
            <w:shd w:fill="FAFAFA" w:val="clear"/>
          </w:tcPr>
          <w:p>
            <w:r>
              <w:rPr>
                <w:sz w:val="17"/>
              </w:rPr>
              <w:t>4,609</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 RAPPORT D'ANALYSE FINANCIÈRE — LNBB (Loterie Nationale du Bénin SA)</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80,00 Mds FCFA, LNBB se positionne comme une valeur de taille intermédiaire sur le compartiment des entreprises non bancaires de la BRVM, représentant un émetteur de référence dans le secteur des jeux et loteries en zone UEMOA. Le BPA de 231 FCFA/action signifie que chaque titre génère environ 231 FCFA de bénéfice net, ce qui, rapporté au cours actuel de 4 000 FCFA, donne un PER de 17,3x — nettement supérieur à la moyenne BRVM (généralement située entre 8x et 12x), traduisant une prime de qualité et de stabilité accordée par le marché. Le P/B de 3,64x confirme cette prime de croissance : le marché valorise LNBB à plus de 3,6 fois sa valeur comptable, un niveau qui se justifie par la rentabilité élevée des fonds propres (ROE de 21,05%) mais qui laisse peu de marge de sécurité en cas de déception. Enfin, l'EV/EBITDA de 10,1x situe la valeur dans la fourchette haute (10-15x), signalant que la valeur d'entreprise intègre déjà une bonne partie du potentiel opérationnel, ce qui invite à la prudence sur le potentiel d'appréciation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LNBB affiche une variation quasi nulle de +0,25%, mais la dernière séance a enregistré un repli marqué de -1,96%, ramenant le titre à 4 000 FCFA. Le range de trading s'établit entre un plus bas de 3 700 FCFA et un plus haut de 4 560 FCFA, soit une amplitude de 23% qui témoigne d'une réelle animation du titre malgré une tendance globale stable. La moyenne de 4 079 FCFA est légèrement supérieure à la médiane de 4 050 FCFA, et le mode se fixe à 4 000 FCFA — l'écart limité entre ces trois mesures confirme une distribution équilibrée, cohérente avec un skewness de 0,442 (distribution symétrique, légèrement étirée vers la droite). L'écart-type de 190 FCFA et le coefficient de variation de 4,7% indiquent une dispersion modérée du cours autour de sa moyenne, tandis que le kurtosis de -0,733 (mésokurtique) suggère une absence de pics extrêmes et un comportement proche d'une loi normale — un profil rassurant pour la gestion du risque. La volatilité annualisée de 41,1% classe toutefois le titre dans la catégorie des valeurs à volatilité élevée (&gt;30%), ce qui contraste avec la stabilité de la tendance et s'explique par les à-coups ponctuels du carnet d'ordres sur un marché peu liquide (volume moyen de 4 764 titres/jour).</w:t>
      </w:r>
    </w:p>
    <w:p>
      <w:pPr>
        <w:spacing w:after="120" w:line="276" w:lineRule="auto"/>
      </w:pPr>
      <w:r>
        <w:t>---</w:t>
      </w:r>
    </w:p>
    <w:p>
      <w:pPr>
        <w:spacing w:after="120" w:line="276" w:lineRule="auto"/>
      </w:pPr>
      <w:r>
        <w:t>## PARTIE 2 : ANALYSE TECHNIQUE DÉTAILLÉE</w:t>
      </w:r>
    </w:p>
    <w:p>
      <w:pPr>
        <w:spacing w:after="120" w:line="276" w:lineRule="auto"/>
      </w:pPr>
      <w:r>
        <w:t>**Moyennes Mobiles** : La MM20 (3 940,75 FCFA) se situe sous le cours actuel (4 000 FCFA), tandis que la MM50 (4 024,50 FCFA) le surplombe légèrement. Cette configuration — cours coincé entre les deux moyennes — traduit une absence de tendance directionnelle claire, avec une pression baissière de moyen terme (MM50 &gt; cours) qui justifie la décision technique de **Vente**.</w:t>
      </w:r>
    </w:p>
    <w:p>
      <w:pPr>
        <w:spacing w:after="120" w:line="276" w:lineRule="auto"/>
      </w:pPr>
      <w:r>
        <w:t>**Bandes de Bollinger** : Le cours (4 000 FCFA) évolue au centre de la bande, à mi-chemin entre la borne inférieure (3 767,66 FCFA) et la borne supérieure (4 113,84 FCFA). L'absence de test des extrêmes et un positionnement médian confirment une volatilité contenue et une décision **Neutre**, sans signal de survente ni de surachat.</w:t>
      </w:r>
    </w:p>
    <w:p>
      <w:pPr>
        <w:spacing w:after="120" w:line="276" w:lineRule="auto"/>
      </w:pPr>
      <w:r>
        <w:t>**MACD** : La valeur du MACD (-8,468) est supérieure à sa ligne de signal (-30,513), générant un histogramme positif qui traduit un momentum haussier naissant. Cette divergence positive, bien que modeste, justifie la décision d'**Achat** et suggère une possible inflexion de la tendance baissière récente.</w:t>
      </w:r>
    </w:p>
    <w:p>
      <w:pPr>
        <w:spacing w:after="120" w:line="276" w:lineRule="auto"/>
      </w:pPr>
      <w:r>
        <w:t>**RSI** : À 51,667, le RSI se situe parfaitement dans la zone neutre (30-70), ni suracheté ni survendu. Cette valeur médiane confirme l'équilibre entre acheteurs et vendeurs et justifie la décision **Neutre**, sans signal d'action immédiate.</w:t>
      </w:r>
    </w:p>
    <w:p>
      <w:pPr>
        <w:spacing w:after="120" w:line="276" w:lineRule="auto"/>
      </w:pPr>
      <w:r>
        <w:t>**Stochastique** : Le %K (62,791) est nettement inférieur au %D (87,597), configuration qui traduit un essoufflement de la dynamique haussière et un risque de croisement baissier imminent. La décision reste **Neutre**, mais la divergence entre les deux lignes appelle à la vigilance sur un éventuel retournement.</w:t>
      </w:r>
    </w:p>
    <w:p>
      <w:pPr>
        <w:spacing w:after="120" w:line="276" w:lineRule="auto"/>
      </w:pPr>
      <w:r>
        <w:t>**Conclusion technique** : Les indicateurs présentent un tableau mitigé — le MACD est le seul à délivrer un signal d'achat, tandis que les moyennes mobiles penchent pour la vente et que Bollinger, RSI et Stochastique restent neutres. Cette divergence traduit un marché en phase de consolidation, sans direction franche, où le titre oscille autour de 4 000 FCFA. La prudence s'impose : aucun signal fort ne se dégage, et la configuration du stochastique invite à attendre une confirmation avant toute initiative.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LNBB a réalisé un chiffre d'affaires de 98,598 Mds FCFA, en recul de -3,85% par rapport à 2024, sous l'effet de la concurrence illégale. Le résultat net s'établit à 4,622 Mds FCFA, avec une marge nette de 4,69% et une marge opérationnelle de 6,47%. La rentabilité des fonds propres (ROE) atteint un excellent 21,05% et le ROA 14,17%, confirmant l'efficacité du modèle malgré la contraction du CA. La structure financière est remarquablement solide : autonomie financière de 67,32%, ratio d'endettement de seulement 2,57%, liquidité générale de 184,84% et trésorerie nette de 7,979 Mds FCFA. En tant qu'entreprise, les délais d'exploitation sont excellents : délai clients de 4,82 jours (risque de trésorerie quasi nul), délai fournisseurs de 20,41 jours (favorable à la trésorerie) et durée de stockage de 1,56 jour (rotation très rapide). Le BFR de 217,45 M FCFA reste marginal et le fonds de roulement de 8,196 Mds FCFA assure une couverture confortable.</w:t>
      </w:r>
    </w:p>
    <w:p>
      <w:pPr>
        <w:spacing w:after="120" w:line="276" w:lineRule="auto"/>
      </w:pPr>
      <w:r>
        <w:t>**Estimations issues des rapports trimestriels** : Le rapport du T1 2026 (publié le 1er mai 2026) révèle un CA de 25,521 Mds FCFA (+6%) mais un résultat net en chute de -46% à 848 M FCFA, victime du mix produit défavorable (taux de retour aux joueurs de 95% sur le pari sportif). Toutefois, le rapport du S1 2026 (30 juillet 2026) marque un net redressement : CA de 49,937 Mds FCFA (+4%) et résultat net en hausse de +60%, grâce à la maîtrise des charges et aux revenus de partenariats B2B, malgré un Produit Brut des Jeux en baisse de -9%. On estime donc que l'exercice 2026 devrait afficher un résultat net en nette amélioration par rapport à 2025, porté par le plan de déploiement de 1 500 nouveaux terminaux et l'innovation produit au S2. La politique de dividende reste très attractive : l'AGO du 13 juin 2026 a approuvé un dividende brut de 173 FCFA/action (net 164 FCFA), soit un rendement de 4,1% au cours actuel — un soutien majeur pour le titre.</w:t>
      </w:r>
    </w:p>
    <w:p>
      <w:pPr>
        <w:spacing w:after="120" w:line="276" w:lineRule="auto"/>
      </w:pPr>
      <w:r>
        <w:t>**Conclusion fondamentale** : LNBB présente une solidité financière exceptionnelle (trésorerie nette positive, endettement quasi nul, ROE &gt;20%) et une dynamique de redressement confirmée au S1 2026. Les risques — concurrence illégale, érosion du Produit Brut des Jeux, dépendance au pari sportif à faible marge — sont réels mais partiellement compensés par la diversification B2B et le dividende généreux. Le profil fondamental est **solide**, avec un potentiel de réévaluation si le S2 2026 confirme la pérennité des revenus de partenariats.</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dressent un tableau contrasté mais globalement équilibré. **Sur le plan de la valorisation (Partie 0)**, le PER de 17,3x et le P/B de 3,64x traduisent une légère surévaluation relative par rapport aux standards BRVM, mais elle est tempérée par un ROE de 21% et un rendement du dividende de 4,1% qui offrent un coussin de sécurité. **Le comportement du cours (Partie 1)** est stable (+0,25% sur 100 jours) avec une distribution symétrique (skewness 0,442) et sans pics extrêmes (kurtosis -0,733), mais la volatilité annualisée de 41,1% et le repli de -1,96% en dernière séance appellent à la prudence. **Les signaux techniques (Partie 2)** sont divergents : MACD haussier, moyennes mobiles baissières, RSI et Bollinger neutres, stochastique essoufflé — une configuration de consolidation sans direction claire. **Les fondamentaux (Partie 3)** demeurent le point fort : structure financière robuste, ROE de 21%, trésorerie nette de 7,98 Mds FCFA, dividende de 173 FCFA/action et redressement du résultat net de +60% au S1 2026. **Les prédictions IA (J+1 à J+10)** anticipent une trajectoire légèrement haussière (3 997 → 4 019 FCFA, soit +0,55% sur 5 séances), cohérente avec le momentum positif du MACD mais sans rupture majeure.</w:t>
      </w:r>
    </w:p>
    <w:p>
      <w:pPr>
        <w:spacing w:after="120" w:line="276" w:lineRule="auto"/>
      </w:pPr>
      <w:r>
        <w:t>**Recommandation finale : CONSERVER** — avec un biais positif. La convergence entre la solidité fondamentale, le dividende attractif et la prédiction haussière modérée soutient le maintien en portefeuille, mais la valorisation exigeante (PER 17,3x) et la divergence des indicateurs techniques interdisent une position d'achat agressive à ce stade. **Niveau de confiance : Moyen** (les signaux techniques contradictoires limitent la visibilité). **Niveau de risque global : Moyen** (volatilité élevée compensée par la solidité bilancielle). **Horizon d'investissement optimal : moyen terme (3-12 mois)**, en attendant la confirmation du S2 2026 sur la stabilisation du Produit Brut des Jeux et la pérennité des revenus de partenariats — un renforcement pourra être envisagé si le cours revient vers 3 800-3 900 FCFA (zone de support) ou si le S2 confirme l'accélération de la rentabilité.</w:t>
      </w:r>
    </w:p>
    <w:p>
      <w:pPr>
        <w:spacing w:after="120" w:line="276" w:lineRule="auto"/>
      </w:pPr>
      <w:r>
        <w:t>---</w:t>
        <w:br/>
        <w:t>*Disclaimer : Cette analyse est fournie à titre informatif et ne constitue pas un conseil en investissement personnalisé. Les estimations basées sur les rapports trimestriels non audités doivent être considérées avec prudence.*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20.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26.87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2,326 titres</w:t>
            </w:r>
          </w:p>
        </w:tc>
        <w:tc>
          <w:tcPr>
            <w:tcW w:type="dxa" w:w="2268"/>
            <w:shd w:fill="FFF2CC" w:val="clear"/>
          </w:tcPr>
          <w:p>
            <w:r>
              <w:rPr>
                <w:b/>
                <w:color w:val="503200"/>
                <w:sz w:val="16"/>
              </w:rPr>
              <w:t xml:space="preserve">Cours actuel : </w:t>
            </w:r>
            <w:r>
              <w:rPr>
                <w:color w:val="000000"/>
                <w:sz w:val="17"/>
              </w:rPr>
              <w:t>2,105 FCFA</w:t>
            </w:r>
          </w:p>
          <w:p>
            <w:r>
              <w:rPr>
                <w:b/>
                <w:color w:val="503200"/>
                <w:sz w:val="16"/>
              </w:rPr>
              <w:t xml:space="preserve">Var. 100 jours : </w:t>
            </w:r>
            <w:r>
              <w:rPr>
                <w:b/>
                <w:color w:val="007800"/>
                <w:sz w:val="17"/>
              </w:rPr>
              <w:t>+10.79%</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52.1%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11.76% (Moyenne) — μ=2,324 FCFA, σ=273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β=0.0083 (Défensif) — Cov=0.000001, Var(idx)=0.000077, ρ=0.002,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2,326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σ_j=3.28%/j (Modérée) — Vol. annualisée≈52.1%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1,993</w:t>
            </w:r>
          </w:p>
        </w:tc>
        <w:tc>
          <w:tcPr>
            <w:tcW w:type="dxa" w:w="1440"/>
            <w:shd w:fill="FAFAFA" w:val="clear"/>
          </w:tcPr>
          <w:p>
            <w:r>
              <w:rPr>
                <w:b/>
                <w:sz w:val="17"/>
              </w:rPr>
              <w:t>2,100</w:t>
            </w:r>
          </w:p>
        </w:tc>
        <w:tc>
          <w:tcPr>
            <w:tcW w:type="dxa" w:w="1440"/>
            <w:shd w:fill="FAFAFA" w:val="clear"/>
          </w:tcPr>
          <w:p>
            <w:r>
              <w:rPr>
                <w:sz w:val="17"/>
              </w:rPr>
              <w:t>2,206</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1,938</w:t>
            </w:r>
          </w:p>
        </w:tc>
        <w:tc>
          <w:tcPr>
            <w:tcW w:type="dxa" w:w="1440"/>
            <w:shd w:fill="FAFAFA" w:val="clear"/>
          </w:tcPr>
          <w:p>
            <w:r>
              <w:rPr>
                <w:b/>
                <w:sz w:val="17"/>
              </w:rPr>
              <w:t>2,087</w:t>
            </w:r>
          </w:p>
        </w:tc>
        <w:tc>
          <w:tcPr>
            <w:tcW w:type="dxa" w:w="1440"/>
            <w:shd w:fill="FAFAFA" w:val="clear"/>
          </w:tcPr>
          <w:p>
            <w:r>
              <w:rPr>
                <w:sz w:val="17"/>
              </w:rPr>
              <w:t>2,236</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1,895</w:t>
            </w:r>
          </w:p>
        </w:tc>
        <w:tc>
          <w:tcPr>
            <w:tcW w:type="dxa" w:w="1440"/>
            <w:shd w:fill="FAFAFA" w:val="clear"/>
          </w:tcPr>
          <w:p>
            <w:r>
              <w:rPr>
                <w:b/>
                <w:sz w:val="17"/>
              </w:rPr>
              <w:t>2,078</w:t>
            </w:r>
          </w:p>
        </w:tc>
        <w:tc>
          <w:tcPr>
            <w:tcW w:type="dxa" w:w="1440"/>
            <w:shd w:fill="FAFAFA" w:val="clear"/>
          </w:tcPr>
          <w:p>
            <w:r>
              <w:rPr>
                <w:sz w:val="17"/>
              </w:rPr>
              <w:t>2,260</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1,859</w:t>
            </w:r>
          </w:p>
        </w:tc>
        <w:tc>
          <w:tcPr>
            <w:tcW w:type="dxa" w:w="1440"/>
            <w:shd w:fill="FAFAFA" w:val="clear"/>
          </w:tcPr>
          <w:p>
            <w:r>
              <w:rPr>
                <w:b/>
                <w:sz w:val="17"/>
              </w:rPr>
              <w:t>2,069</w:t>
            </w:r>
          </w:p>
        </w:tc>
        <w:tc>
          <w:tcPr>
            <w:tcW w:type="dxa" w:w="1440"/>
            <w:shd w:fill="FAFAFA" w:val="clear"/>
          </w:tcPr>
          <w:p>
            <w:r>
              <w:rPr>
                <w:sz w:val="17"/>
              </w:rPr>
              <w:t>2,278</w:t>
            </w:r>
          </w:p>
        </w:tc>
        <w:tc>
          <w:tcPr>
            <w:tcW w:type="dxa" w:w="1440"/>
            <w:shd w:fill="FAFAFA" w:val="clear"/>
          </w:tcPr>
          <w:p>
            <w:r>
              <w:rPr>
                <w:b/>
                <w:color w:val="C00000"/>
                <w:sz w:val="17"/>
              </w:rPr>
              <w:t>-1.7%</w:t>
            </w:r>
          </w:p>
        </w:tc>
      </w:tr>
      <w:tr>
        <w:tc>
          <w:tcPr>
            <w:tcW w:type="dxa" w:w="1440"/>
            <w:shd w:fill="FFDCE0" w:val="clear"/>
          </w:tcPr>
          <w:p>
            <w:r>
              <w:rPr>
                <w:sz w:val="17"/>
              </w:rPr>
              <w:t>J+5  ⭐</w:t>
            </w:r>
          </w:p>
        </w:tc>
        <w:tc>
          <w:tcPr>
            <w:tcW w:type="dxa" w:w="1440"/>
            <w:shd w:fill="FFDCE0" w:val="clear"/>
          </w:tcPr>
          <w:p>
            <w:r>
              <w:rPr>
                <w:sz w:val="17"/>
              </w:rPr>
              <w:t>2026-10-23</w:t>
            </w:r>
          </w:p>
        </w:tc>
        <w:tc>
          <w:tcPr>
            <w:tcW w:type="dxa" w:w="1440"/>
            <w:shd w:fill="FFDCE0" w:val="clear"/>
          </w:tcPr>
          <w:p>
            <w:r>
              <w:rPr>
                <w:sz w:val="17"/>
              </w:rPr>
              <w:t>1,827</w:t>
            </w:r>
          </w:p>
        </w:tc>
        <w:tc>
          <w:tcPr>
            <w:tcW w:type="dxa" w:w="1440"/>
            <w:shd w:fill="FFDCE0" w:val="clear"/>
          </w:tcPr>
          <w:p>
            <w:r>
              <w:rPr>
                <w:b/>
                <w:sz w:val="17"/>
              </w:rPr>
              <w:t>2,060</w:t>
            </w:r>
          </w:p>
        </w:tc>
        <w:tc>
          <w:tcPr>
            <w:tcW w:type="dxa" w:w="1440"/>
            <w:shd w:fill="FFDCE0" w:val="clear"/>
          </w:tcPr>
          <w:p>
            <w:r>
              <w:rPr>
                <w:sz w:val="17"/>
              </w:rPr>
              <w:t>2,294</w:t>
            </w:r>
          </w:p>
        </w:tc>
        <w:tc>
          <w:tcPr>
            <w:tcW w:type="dxa" w:w="1440"/>
            <w:shd w:fill="FFDCE0" w:val="clear"/>
          </w:tcPr>
          <w:p>
            <w:r>
              <w:rPr>
                <w:b/>
                <w:color w:val="C00000"/>
                <w:sz w:val="17"/>
              </w:rPr>
              <w:t>-2.1%</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1,798</w:t>
            </w:r>
          </w:p>
        </w:tc>
        <w:tc>
          <w:tcPr>
            <w:tcW w:type="dxa" w:w="1440"/>
            <w:shd w:fill="FFDCE0" w:val="clear"/>
          </w:tcPr>
          <w:p>
            <w:r>
              <w:rPr>
                <w:b/>
                <w:sz w:val="17"/>
              </w:rPr>
              <w:t>2,052</w:t>
            </w:r>
          </w:p>
        </w:tc>
        <w:tc>
          <w:tcPr>
            <w:tcW w:type="dxa" w:w="1440"/>
            <w:shd w:fill="FFDCE0" w:val="clear"/>
          </w:tcPr>
          <w:p>
            <w:r>
              <w:rPr>
                <w:sz w:val="17"/>
              </w:rPr>
              <w:t>2,307</w:t>
            </w:r>
          </w:p>
        </w:tc>
        <w:tc>
          <w:tcPr>
            <w:tcW w:type="dxa" w:w="1440"/>
            <w:shd w:fill="FFDCE0" w:val="clear"/>
          </w:tcPr>
          <w:p>
            <w:r>
              <w:rPr>
                <w:b/>
                <w:color w:val="C00000"/>
                <w:sz w:val="17"/>
              </w:rPr>
              <w:t>-2.5%</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1,770</w:t>
            </w:r>
          </w:p>
        </w:tc>
        <w:tc>
          <w:tcPr>
            <w:tcW w:type="dxa" w:w="1440"/>
            <w:shd w:fill="FFDCE0" w:val="clear"/>
          </w:tcPr>
          <w:p>
            <w:r>
              <w:rPr>
                <w:b/>
                <w:sz w:val="17"/>
              </w:rPr>
              <w:t>2,044</w:t>
            </w:r>
          </w:p>
        </w:tc>
        <w:tc>
          <w:tcPr>
            <w:tcW w:type="dxa" w:w="1440"/>
            <w:shd w:fill="FFDCE0" w:val="clear"/>
          </w:tcPr>
          <w:p>
            <w:r>
              <w:rPr>
                <w:sz w:val="17"/>
              </w:rPr>
              <w:t>2,318</w:t>
            </w:r>
          </w:p>
        </w:tc>
        <w:tc>
          <w:tcPr>
            <w:tcW w:type="dxa" w:w="1440"/>
            <w:shd w:fill="FFDCE0" w:val="clear"/>
          </w:tcPr>
          <w:p>
            <w:r>
              <w:rPr>
                <w:b/>
                <w:color w:val="C00000"/>
                <w:sz w:val="17"/>
              </w:rPr>
              <w:t>-2.9%</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1,745</w:t>
            </w:r>
          </w:p>
        </w:tc>
        <w:tc>
          <w:tcPr>
            <w:tcW w:type="dxa" w:w="1440"/>
            <w:shd w:fill="FFDCE0" w:val="clear"/>
          </w:tcPr>
          <w:p>
            <w:r>
              <w:rPr>
                <w:b/>
                <w:sz w:val="17"/>
              </w:rPr>
              <w:t>2,037</w:t>
            </w:r>
          </w:p>
        </w:tc>
        <w:tc>
          <w:tcPr>
            <w:tcW w:type="dxa" w:w="1440"/>
            <w:shd w:fill="FFDCE0" w:val="clear"/>
          </w:tcPr>
          <w:p>
            <w:r>
              <w:rPr>
                <w:sz w:val="17"/>
              </w:rPr>
              <w:t>2,328</w:t>
            </w:r>
          </w:p>
        </w:tc>
        <w:tc>
          <w:tcPr>
            <w:tcW w:type="dxa" w:w="1440"/>
            <w:shd w:fill="FFDCE0" w:val="clear"/>
          </w:tcPr>
          <w:p>
            <w:r>
              <w:rPr>
                <w:b/>
                <w:color w:val="C00000"/>
                <w:sz w:val="17"/>
              </w:rPr>
              <w:t>-3.2%</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1,721</w:t>
            </w:r>
          </w:p>
        </w:tc>
        <w:tc>
          <w:tcPr>
            <w:tcW w:type="dxa" w:w="1440"/>
            <w:shd w:fill="FFDCE0" w:val="clear"/>
          </w:tcPr>
          <w:p>
            <w:r>
              <w:rPr>
                <w:b/>
                <w:sz w:val="17"/>
              </w:rPr>
              <w:t>2,030</w:t>
            </w:r>
          </w:p>
        </w:tc>
        <w:tc>
          <w:tcPr>
            <w:tcW w:type="dxa" w:w="1440"/>
            <w:shd w:fill="FFDCE0" w:val="clear"/>
          </w:tcPr>
          <w:p>
            <w:r>
              <w:rPr>
                <w:sz w:val="17"/>
              </w:rPr>
              <w:t>2,338</w:t>
            </w:r>
          </w:p>
        </w:tc>
        <w:tc>
          <w:tcPr>
            <w:tcW w:type="dxa" w:w="1440"/>
            <w:shd w:fill="FFDCE0" w:val="clear"/>
          </w:tcPr>
          <w:p>
            <w:r>
              <w:rPr>
                <w:b/>
                <w:color w:val="C00000"/>
                <w:sz w:val="17"/>
              </w:rPr>
              <w:t>-3.6%</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1,699</w:t>
            </w:r>
          </w:p>
        </w:tc>
        <w:tc>
          <w:tcPr>
            <w:tcW w:type="dxa" w:w="1440"/>
            <w:shd w:fill="FFDCE0" w:val="clear"/>
          </w:tcPr>
          <w:p>
            <w:r>
              <w:rPr>
                <w:b/>
                <w:sz w:val="17"/>
              </w:rPr>
              <w:t>2,023</w:t>
            </w:r>
          </w:p>
        </w:tc>
        <w:tc>
          <w:tcPr>
            <w:tcW w:type="dxa" w:w="1440"/>
            <w:shd w:fill="FFDCE0" w:val="clear"/>
          </w:tcPr>
          <w:p>
            <w:r>
              <w:rPr>
                <w:sz w:val="17"/>
              </w:rPr>
              <w:t>2,347</w:t>
            </w:r>
          </w:p>
        </w:tc>
        <w:tc>
          <w:tcPr>
            <w:tcW w:type="dxa" w:w="1440"/>
            <w:shd w:fill="FFDCE0" w:val="clear"/>
          </w:tcPr>
          <w:p>
            <w:r>
              <w:rPr>
                <w:b/>
                <w:color w:val="C00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 📊 RAPPORT D'ANALYSE FINANCIÈRE — NEIC (NEI-CEDA CI)</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**26,87 milliards FCFA**, NEIC se situe dans la moyenne des capitalisations de la cote BRVM, sans toutefois figurer parmi les poids lourds du marché. Le **BPA de 160 FCFA/action** confère au titre un **PER de 13,2x**, légèrement supérieur à la fourchette moyenne du marché BRVM (8-12x), ce qui traduit une valorisation modérément exigeante mais non déraisonnable au regard du profil de croissance affiché. En revanche, le **P/B de 4,67x** — très supérieur au seuil de 4x — signale que le marché valorise NEIC à près de cinq fois sa valeur comptable, soit une prime considérable qui suppose une confiance forte dans la capacité bénéficiaire future de l'entreprise. Enfin, l'**EV/EBITDA de 19,4x**, nettement au-dessus du seuil de 15x, confirme que la valeur d'entreprise intègre une anticipation de croissance opérationnelle soutenue ; l'investisseur paie donc aujourd'hui un prix élevé pour la capacité opérationnelle actuelle, ce qui laisse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NEIC affiche une **variation totale positive de +10,79%**, portant le cours à **2 105 FCFA**, malgré un repli de **-1,64% lors de la dernière séance** qui suggère une prise de bénéfices récente. Le range de trading est particulièrement large, avec un **plus haut à 3 000 FCFA** et un **plus bas à 1 900 FCFA**, soit une amplitude de plus de 57% entre les extrêmes — signe d'une forte nervosité du titre. La tendance générale est donc haussière sur la période, mais le cours actuel (2 105 FCFA) se situe nettement sous son plus haut, traduisant une correction depuis les sommets. Les statistiques descriptives révèlent une **moyenne de 2 324 FCFA supérieure à la médiane de 2 272 FCFA**, avec un mode à 2 200 FCFA : cet écart confirme une distribution asymétrique, cohérente avec le **skewness positif de 1,103** qui indique davantage de journées de cotation sous la moyenne (queue de distribution étirée vers le bas). L'**écart-type de 275 FCFA (CV = 11,8%)** traduit une dispersion modérée autour de la moyenne, tandis que le **kurtosis de 0,647 (mésokurtique)** suggère un comportement proche d'une distribution normale, sans risque excessif de pics extrêmes. La **volatilité annualisée de 52,1%** classe toutefois le titre dans la catégorie des valeurs à volatilité élevée (&gt;30%), ce qui implique un risque de marché important et justifie une approche prudente en matière de dimensionnement de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(2 264,75 FCFA) et la MM50 (2 460,8 FCFA) se situent toutes deux **au-dessus du cours actuel** (2 105 FCFA), et la MM20 est inférieure à la MM50, configuration baissière caractéristique d'un croisement négatif. Le cours évoluant sous ses deux moyennes, la pression vendeuse domine clairement, ce qui justifie la **décision de Vente** émise par cet indicateur.</w:t>
      </w:r>
    </w:p>
    <w:p>
      <w:pPr>
        <w:spacing w:after="120" w:line="276" w:lineRule="auto"/>
      </w:pPr>
      <w:r>
        <w:t>**Bandes de Bollinger** — Le cours (2 105 FCFA) se situe dans la partie basse de la bande, entre la borne inférieure (2 023,69 FCFA) et la borne supérieure (2 505,81 FCFA), sans en avoir franchi les limites. Cette position proche de la borne basse, couplée à un écartement important des bandes, traduit une volatilité élevée avec un biais baissier, mais l'absence de cassure justifie la **décision Neutre** : le titre est en zone de faiblesse sans signal de retournement confirmé.</w:t>
      </w:r>
    </w:p>
    <w:p>
      <w:pPr>
        <w:spacing w:after="120" w:line="276" w:lineRule="auto"/>
      </w:pPr>
      <w:r>
        <w:t>**MACD** — La valeur du MACD (-115,79) est **inférieure à sa ligne de signal** (-103,58), et les deux restent en territoire négatif, confirmant un momentum baissier persistant. L'écart entre les deux lignes (-12,2 points) indique que la pression baissière n'est pas encore résorbée, ce qui valide la **décision de Vente**.</w:t>
      </w:r>
    </w:p>
    <w:p>
      <w:pPr>
        <w:spacing w:after="120" w:line="276" w:lineRule="auto"/>
      </w:pPr>
      <w:r>
        <w:t>**RSI** — À **16,47**, le RSI se situe très largement sous le seuil de survente de 30, signalant une **survente extrême** du titre. Historiquement, un RSI aussi bas précède souvent un rebond technique à court terme, ce qui justifie la **décision d'Achat** contraire à la tendance de fond — il s'agit d'un signal de retournement potentiel.</w:t>
      </w:r>
    </w:p>
    <w:p>
      <w:pPr>
        <w:spacing w:after="120" w:line="276" w:lineRule="auto"/>
      </w:pPr>
      <w:r>
        <w:t>**Stochastique** — Le %K (4,92) est très bas et inférieur au %D (14,09), les deux oscillateurs évoluant en zone de survente profonde (&lt;20). Cette configuration extrême, bien que baissière dans la dynamique immédiate, plaide pour un épuisement de la pression vendeuse et un possible rebond, validant la **décision d'Achat**.</w:t>
      </w:r>
    </w:p>
    <w:p>
      <w:pPr>
        <w:spacing w:after="120" w:line="276" w:lineRule="auto"/>
      </w:pPr>
      <w:r>
        <w:t>**Conclusion technique** — Les indicateurs présentent une **divergence notable** : les moyennes mobiles et le MACD confirment une tendance baissière de fond, tandis que le RSI et le stochastique signalent une survente extrême propice à un rebond technique. Les Bandes de Bollinger restent neutres. Cette configuration suggère un titre en fin de correction baissière, où un rebond à court terme est plausible mais non confirmé — la prudence reste de mise tant que le cours n'aura pas reconquis la MM20 (2 264,75 FCFA).</w:t>
      </w:r>
    </w:p>
    <w:p>
      <w:pPr>
        <w:spacing w:after="120" w:line="276" w:lineRule="auto"/>
      </w:pPr>
      <w:r>
        <w:t>---</w:t>
      </w:r>
    </w:p>
    <w:p>
      <w:pPr>
        <w:spacing w:after="120" w:line="276" w:lineRule="auto"/>
      </w:pPr>
      <w:r>
        <w:t>## PARTIE 3 : ANALYSE FONDAMENTALE</w:t>
      </w:r>
    </w:p>
    <w:p>
      <w:pPr>
        <w:spacing w:after="120" w:line="276" w:lineRule="auto"/>
      </w:pPr>
      <w:r>
        <w:t>Les états financiers structurés de l'exercice **2025** dressent le portrait d'une entreprise à la rentabilité remarquable mais à la dynamique commerciale préoccupante. Le **chiffre d'affaires 2025 s'établit à 5,139 milliards FCFA**, en **recul de 23,80%** par rapport à l'exercice précédent, tandis que le **résultat net atteint 2,037 milliards FCFA**, générant une **marge nette exceptionnelle de 39,63%** et un **ROE de 35,39%** (très supérieur au seuil de 15% considéré comme excellent) ainsi qu'un **ROA de 27,25%**. Cette rentabilité apparente doit toutefois être nuancée : le rapport du **T3 2025 (daté du 30 septembre 2025)** précise que le bénéfice net de 1 596 millions FCFA du trimestre (+125%) provient majoritairement d'une **reprise de provision pour redressement fiscal** — un produit non récurrent — alors que le chiffre d'affaires trimestriel chutait de 35%. La structure financière demeure très solide avec une **autonomie financière de 77,01%**, une **trésorerie de 4,196 milliards FCFA** et une **liquidité générale de 448,86%**, mais le **délai clients de 154,72 jours** constitue un risque de trésorerie notable (créances de 2,209 milliards FCFA immobilisées). Le **BFR de 1,498 milliard FCFA** et le **free cash flow négatif de -565,91 millions FCFA** traduisent une consommation de trésorerie opérationnelle, malgré un fonds de roulement confortable de 5,693 milliards FCFA. Les rapports plus récents confirment la **volatilité extrême des résultats** : le **T1 2025** affichait une perte nette de -189,9 millions FCFA pour un CA de 48,5 millions FCFA (marge opérationnelle de -588%), tandis que le **T1 2026 (rapport 2026)** montre un CA de 115,1 millions FCFA (+137%) mais une perte nette persistante de -168,9 millions FCFA — l'activité reste structurellement déficitaire au niveau opérationnel, la rentabilité annuelle 2025 étant portée par des éléments exceptionnels et des produits financiers. On estime donc que la performance 2025, bien que spectaculaire en apparence, **ne reflète pas la performance récurrente** de l'entreprise, dont le cœur de métier (édition et diffusion) subit une contraction structurelle liée à la digitalisation et à la dépendance aux marchés publics. La recommandation fondamentale est donc **mitigée** : solidité bilancielle et rentabilité comptable élevée d'un côté, mais fragilité opérationnelle, dépendance aux éléments non récurrents et absence de dynamique commerciale durable de l'autre.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de l'analyse révèle un **désaccord profond entre les signaux**. Sur le plan de la **valorisation (Partie 0)**, le PER de 13,2x reste modéré mais le P/B de 4,67x et l'EV/EBITDA de 19,4x traduisent une **surévaluation relative** qui intègre déjà une forte anticipation de croissance — peu de marge de sécurité pour l'investisseur. Le **comportement du cours (Partie 1)** est haussier sur 100 jours (+10,79%) mais le titre a perdu 30% depuis son plus haut de 3 000 FCFA, avec une volatilité élevée (52,1%) et un skewness positif préoccupant (1,103) signalant davantage de journées de faiblesse que de force. Les **signaux techniques (Partie 2)** sont contradictoires : MM et MACD baissiers, mais RSI (16,47) et stochastique (4,92) en survente extrême annonçant un rebond technique possible — configuration de fin de correction. Les **fondamentaux (Partie 3)** sont ambigus : ROE de 35,39% et trésorerie de 4,2 milliards FCFA d'un côté, mais CA en recul de 23,80%, free cash flow négatif et rentabilité 2025 portée par des éléments non récurrents de l'autre, avec un T1 2026 encore déficitaire malgré la croissance du CA. Enfin, les **prédictions IA (J+1 à J+10)** anticipent une **dérive baissière continue** de 2 100 à 2 060 FCFA, confirmant la pression vendeuse de court terme sans valider le rebond technique espéré par le RSI. Face à cette **divergence généralisée** — valorisation exigeante, technique baissière avec survente, fondamentaux à double tranchant et prédictions baissières — la recommandation finale est **CONSERVER**, avec un **niveau de confiance Moyen** et un **risque global Élevé** (volatilité de 52,1%, dépendance aux éléments exceptionnels, contraction du CA). L'horizon d'investissement optimal est le **moyen terme (3-12 mois)** : il convient d'attendre la confirmation d'un retournement technique (reconquête de la MM20 à 2 264,75 FCFA) et surtout la publication des prochains résultats trimestriels pour vérifier si la croissance du CA du T1 2026 (+137%) se transforme en rentabilité opérationnelle durable — condition sine qua non pour justifier la prime de valorisation actuelle. Un passage en **VENTE** serait justifié si le cours cassait durablement la borne inférieure de Bollinger (2 023,69 FCFA) ou si les résultats confirmaient la persistance des pertes opérationnelles.</w:t>
      </w:r>
    </w:p>
    <w:p>
      <w:pPr>
        <w:spacing w:after="120" w:line="276" w:lineRule="auto"/>
      </w:pPr>
      <w:r>
        <w:t>---</w:t>
      </w:r>
    </w:p>
    <w:p>
      <w:pPr>
        <w:spacing w:after="120" w:line="276" w:lineRule="auto"/>
      </w:pPr>
      <w:r>
        <w:t>*Rapport généré le 18 octobre 2026 — Sources : données BRVM, états financiers 2025, rapports trimestriels T1 2025 / T3 2025 / T1 2026, indicateurs techniques et prédictions IA. Ce document est une analyse à titre informatif et ne constitue pas un conseil en investissement.*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21.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507.31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2,879 titres</w:t>
            </w:r>
          </w:p>
        </w:tc>
        <w:tc>
          <w:tcPr>
            <w:tcW w:type="dxa" w:w="2268"/>
            <w:shd w:fill="FFF2CC" w:val="clear"/>
          </w:tcPr>
          <w:p>
            <w:r>
              <w:rPr>
                <w:b/>
                <w:color w:val="503200"/>
                <w:sz w:val="16"/>
              </w:rPr>
              <w:t xml:space="preserve">Cours actuel : </w:t>
            </w:r>
            <w:r>
              <w:rPr>
                <w:color w:val="000000"/>
                <w:sz w:val="17"/>
              </w:rPr>
              <w:t>20,510 FCFA</w:t>
            </w:r>
          </w:p>
          <w:p>
            <w:r>
              <w:rPr>
                <w:b/>
                <w:color w:val="503200"/>
                <w:sz w:val="16"/>
              </w:rPr>
              <w:t xml:space="preserve">Var. 100 jours : </w:t>
            </w:r>
            <w:r>
              <w:rPr>
                <w:b/>
                <w:color w:val="007800"/>
                <w:sz w:val="17"/>
              </w:rPr>
              <w:t>+13.94%</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17,980 FCFA</w:t>
            </w:r>
          </w:p>
          <w:p>
            <w:r>
              <w:rPr>
                <w:b/>
                <w:color w:val="503200"/>
                <w:sz w:val="16"/>
              </w:rPr>
              <w:t xml:space="preserve">Volatilité ann. : </w:t>
            </w:r>
            <w:r>
              <w:rPr>
                <w:color w:val="000000"/>
                <w:sz w:val="17"/>
              </w:rPr>
              <w:t>36.5%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8.84% (Moyenne) — μ=21,682 FCFA, σ=1,918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β=1.1260 (Neutre (suit le marché)) — Cov=0.000086, Var(idx)=0.000077, ρ=0.425,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2,879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σ_j=2.30%/j (Stable) — Vol. annualisée≈36.5%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19,296</w:t>
            </w:r>
          </w:p>
        </w:tc>
        <w:tc>
          <w:tcPr>
            <w:tcW w:type="dxa" w:w="1440"/>
            <w:shd w:fill="FAFAFA" w:val="clear"/>
          </w:tcPr>
          <w:p>
            <w:r>
              <w:rPr>
                <w:b/>
                <w:sz w:val="17"/>
              </w:rPr>
              <w:t>20,282</w:t>
            </w:r>
          </w:p>
        </w:tc>
        <w:tc>
          <w:tcPr>
            <w:tcW w:type="dxa" w:w="1440"/>
            <w:shd w:fill="FAFAFA" w:val="clear"/>
          </w:tcPr>
          <w:p>
            <w:r>
              <w:rPr>
                <w:sz w:val="17"/>
              </w:rPr>
              <w:t>21,268</w:t>
            </w:r>
          </w:p>
        </w:tc>
        <w:tc>
          <w:tcPr>
            <w:tcW w:type="dxa" w:w="1440"/>
            <w:shd w:fill="FAFAFA" w:val="clear"/>
          </w:tcPr>
          <w:p>
            <w:r>
              <w:rPr>
                <w:b/>
                <w:color w:val="C00000"/>
                <w:sz w:val="17"/>
              </w:rPr>
              <w:t>-1.1%</w:t>
            </w:r>
          </w:p>
        </w:tc>
      </w:tr>
      <w:tr>
        <w:tc>
          <w:tcPr>
            <w:tcW w:type="dxa" w:w="1440"/>
            <w:shd w:fill="FFDCE0" w:val="clear"/>
          </w:tcPr>
          <w:p>
            <w:r>
              <w:rPr>
                <w:sz w:val="17"/>
              </w:rPr>
              <w:t>J+2  Moyenne</w:t>
            </w:r>
          </w:p>
        </w:tc>
        <w:tc>
          <w:tcPr>
            <w:tcW w:type="dxa" w:w="1440"/>
            <w:shd w:fill="FFDCE0" w:val="clear"/>
          </w:tcPr>
          <w:p>
            <w:r>
              <w:rPr>
                <w:sz w:val="17"/>
              </w:rPr>
              <w:t>2026-10-20</w:t>
            </w:r>
          </w:p>
        </w:tc>
        <w:tc>
          <w:tcPr>
            <w:tcW w:type="dxa" w:w="1440"/>
            <w:shd w:fill="FFDCE0" w:val="clear"/>
          </w:tcPr>
          <w:p>
            <w:r>
              <w:rPr>
                <w:sz w:val="17"/>
              </w:rPr>
              <w:t>18,683</w:t>
            </w:r>
          </w:p>
        </w:tc>
        <w:tc>
          <w:tcPr>
            <w:tcW w:type="dxa" w:w="1440"/>
            <w:shd w:fill="FFDCE0" w:val="clear"/>
          </w:tcPr>
          <w:p>
            <w:r>
              <w:rPr>
                <w:b/>
                <w:sz w:val="17"/>
              </w:rPr>
              <w:t>20,062</w:t>
            </w:r>
          </w:p>
        </w:tc>
        <w:tc>
          <w:tcPr>
            <w:tcW w:type="dxa" w:w="1440"/>
            <w:shd w:fill="FFDCE0" w:val="clear"/>
          </w:tcPr>
          <w:p>
            <w:r>
              <w:rPr>
                <w:sz w:val="17"/>
              </w:rPr>
              <w:t>21,441</w:t>
            </w:r>
          </w:p>
        </w:tc>
        <w:tc>
          <w:tcPr>
            <w:tcW w:type="dxa" w:w="1440"/>
            <w:shd w:fill="FFDCE0" w:val="clear"/>
          </w:tcPr>
          <w:p>
            <w:r>
              <w:rPr>
                <w:b/>
                <w:color w:val="C00000"/>
                <w:sz w:val="17"/>
              </w:rPr>
              <w:t>-2.2%</w:t>
            </w:r>
          </w:p>
        </w:tc>
      </w:tr>
      <w:tr>
        <w:tc>
          <w:tcPr>
            <w:tcW w:type="dxa" w:w="1440"/>
            <w:shd w:fill="FFDCE0" w:val="clear"/>
          </w:tcPr>
          <w:p>
            <w:r>
              <w:rPr>
                <w:sz w:val="17"/>
              </w:rPr>
              <w:t>J+3  Moyenne</w:t>
            </w:r>
          </w:p>
        </w:tc>
        <w:tc>
          <w:tcPr>
            <w:tcW w:type="dxa" w:w="1440"/>
            <w:shd w:fill="FFDCE0" w:val="clear"/>
          </w:tcPr>
          <w:p>
            <w:r>
              <w:rPr>
                <w:sz w:val="17"/>
              </w:rPr>
              <w:t>2026-10-21</w:t>
            </w:r>
          </w:p>
        </w:tc>
        <w:tc>
          <w:tcPr>
            <w:tcW w:type="dxa" w:w="1440"/>
            <w:shd w:fill="FFDCE0" w:val="clear"/>
          </w:tcPr>
          <w:p>
            <w:r>
              <w:rPr>
                <w:sz w:val="17"/>
              </w:rPr>
              <w:t>18,178</w:t>
            </w:r>
          </w:p>
        </w:tc>
        <w:tc>
          <w:tcPr>
            <w:tcW w:type="dxa" w:w="1440"/>
            <w:shd w:fill="FFDCE0" w:val="clear"/>
          </w:tcPr>
          <w:p>
            <w:r>
              <w:rPr>
                <w:b/>
                <w:sz w:val="17"/>
              </w:rPr>
              <w:t>19,850</w:t>
            </w:r>
          </w:p>
        </w:tc>
        <w:tc>
          <w:tcPr>
            <w:tcW w:type="dxa" w:w="1440"/>
            <w:shd w:fill="FFDCE0" w:val="clear"/>
          </w:tcPr>
          <w:p>
            <w:r>
              <w:rPr>
                <w:sz w:val="17"/>
              </w:rPr>
              <w:t>21,521</w:t>
            </w:r>
          </w:p>
        </w:tc>
        <w:tc>
          <w:tcPr>
            <w:tcW w:type="dxa" w:w="1440"/>
            <w:shd w:fill="FFDCE0" w:val="clear"/>
          </w:tcPr>
          <w:p>
            <w:r>
              <w:rPr>
                <w:b/>
                <w:color w:val="C00000"/>
                <w:sz w:val="17"/>
              </w:rPr>
              <w:t>-3.2%</w:t>
            </w:r>
          </w:p>
        </w:tc>
      </w:tr>
      <w:tr>
        <w:tc>
          <w:tcPr>
            <w:tcW w:type="dxa" w:w="1440"/>
            <w:shd w:fill="FFDCE0" w:val="clear"/>
          </w:tcPr>
          <w:p>
            <w:r>
              <w:rPr>
                <w:sz w:val="17"/>
              </w:rPr>
              <w:t>J+4  ⭐</w:t>
            </w:r>
          </w:p>
        </w:tc>
        <w:tc>
          <w:tcPr>
            <w:tcW w:type="dxa" w:w="1440"/>
            <w:shd w:fill="FFDCE0" w:val="clear"/>
          </w:tcPr>
          <w:p>
            <w:r>
              <w:rPr>
                <w:sz w:val="17"/>
              </w:rPr>
              <w:t>2026-10-22</w:t>
            </w:r>
          </w:p>
        </w:tc>
        <w:tc>
          <w:tcPr>
            <w:tcW w:type="dxa" w:w="1440"/>
            <w:shd w:fill="FFDCE0" w:val="clear"/>
          </w:tcPr>
          <w:p>
            <w:r>
              <w:rPr>
                <w:sz w:val="17"/>
              </w:rPr>
              <w:t>17,732</w:t>
            </w:r>
          </w:p>
        </w:tc>
        <w:tc>
          <w:tcPr>
            <w:tcW w:type="dxa" w:w="1440"/>
            <w:shd w:fill="FFDCE0" w:val="clear"/>
          </w:tcPr>
          <w:p>
            <w:r>
              <w:rPr>
                <w:b/>
                <w:sz w:val="17"/>
              </w:rPr>
              <w:t>19,641</w:t>
            </w:r>
          </w:p>
        </w:tc>
        <w:tc>
          <w:tcPr>
            <w:tcW w:type="dxa" w:w="1440"/>
            <w:shd w:fill="FFDCE0" w:val="clear"/>
          </w:tcPr>
          <w:p>
            <w:r>
              <w:rPr>
                <w:sz w:val="17"/>
              </w:rPr>
              <w:t>21,551</w:t>
            </w:r>
          </w:p>
        </w:tc>
        <w:tc>
          <w:tcPr>
            <w:tcW w:type="dxa" w:w="1440"/>
            <w:shd w:fill="FFDCE0" w:val="clear"/>
          </w:tcPr>
          <w:p>
            <w:r>
              <w:rPr>
                <w:b/>
                <w:color w:val="C00000"/>
                <w:sz w:val="17"/>
              </w:rPr>
              <w:t>-4.2%</w:t>
            </w:r>
          </w:p>
        </w:tc>
      </w:tr>
      <w:tr>
        <w:tc>
          <w:tcPr>
            <w:tcW w:type="dxa" w:w="1440"/>
            <w:shd w:fill="FFDCE0" w:val="clear"/>
          </w:tcPr>
          <w:p>
            <w:r>
              <w:rPr>
                <w:sz w:val="17"/>
              </w:rPr>
              <w:t>J+5  ⭐</w:t>
            </w:r>
          </w:p>
        </w:tc>
        <w:tc>
          <w:tcPr>
            <w:tcW w:type="dxa" w:w="1440"/>
            <w:shd w:fill="FFDCE0" w:val="clear"/>
          </w:tcPr>
          <w:p>
            <w:r>
              <w:rPr>
                <w:sz w:val="17"/>
              </w:rPr>
              <w:t>2026-10-23</w:t>
            </w:r>
          </w:p>
        </w:tc>
        <w:tc>
          <w:tcPr>
            <w:tcW w:type="dxa" w:w="1440"/>
            <w:shd w:fill="FFDCE0" w:val="clear"/>
          </w:tcPr>
          <w:p>
            <w:r>
              <w:rPr>
                <w:sz w:val="17"/>
              </w:rPr>
              <w:t>17,324</w:t>
            </w:r>
          </w:p>
        </w:tc>
        <w:tc>
          <w:tcPr>
            <w:tcW w:type="dxa" w:w="1440"/>
            <w:shd w:fill="FFDCE0" w:val="clear"/>
          </w:tcPr>
          <w:p>
            <w:r>
              <w:rPr>
                <w:b/>
                <w:sz w:val="17"/>
              </w:rPr>
              <w:t>19,436</w:t>
            </w:r>
          </w:p>
        </w:tc>
        <w:tc>
          <w:tcPr>
            <w:tcW w:type="dxa" w:w="1440"/>
            <w:shd w:fill="FFDCE0" w:val="clear"/>
          </w:tcPr>
          <w:p>
            <w:r>
              <w:rPr>
                <w:sz w:val="17"/>
              </w:rPr>
              <w:t>21,549</w:t>
            </w:r>
          </w:p>
        </w:tc>
        <w:tc>
          <w:tcPr>
            <w:tcW w:type="dxa" w:w="1440"/>
            <w:shd w:fill="FFDCE0" w:val="clear"/>
          </w:tcPr>
          <w:p>
            <w:r>
              <w:rPr>
                <w:b/>
                <w:color w:val="C00000"/>
                <w:sz w:val="17"/>
              </w:rPr>
              <w:t>-5.2%</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16,944</w:t>
            </w:r>
          </w:p>
        </w:tc>
        <w:tc>
          <w:tcPr>
            <w:tcW w:type="dxa" w:w="1440"/>
            <w:shd w:fill="FFDCE0" w:val="clear"/>
          </w:tcPr>
          <w:p>
            <w:r>
              <w:rPr>
                <w:b/>
                <w:sz w:val="17"/>
              </w:rPr>
              <w:t>19,234</w:t>
            </w:r>
          </w:p>
        </w:tc>
        <w:tc>
          <w:tcPr>
            <w:tcW w:type="dxa" w:w="1440"/>
            <w:shd w:fill="FFDCE0" w:val="clear"/>
          </w:tcPr>
          <w:p>
            <w:r>
              <w:rPr>
                <w:sz w:val="17"/>
              </w:rPr>
              <w:t>21,525</w:t>
            </w:r>
          </w:p>
        </w:tc>
        <w:tc>
          <w:tcPr>
            <w:tcW w:type="dxa" w:w="1440"/>
            <w:shd w:fill="FFDCE0" w:val="clear"/>
          </w:tcPr>
          <w:p>
            <w:r>
              <w:rPr>
                <w:b/>
                <w:color w:val="C00000"/>
                <w:sz w:val="17"/>
              </w:rPr>
              <w:t>-6.2%</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16,587</w:t>
            </w:r>
          </w:p>
        </w:tc>
        <w:tc>
          <w:tcPr>
            <w:tcW w:type="dxa" w:w="1440"/>
            <w:shd w:fill="FFDCE0" w:val="clear"/>
          </w:tcPr>
          <w:p>
            <w:r>
              <w:rPr>
                <w:b/>
                <w:sz w:val="17"/>
              </w:rPr>
              <w:t>19,035</w:t>
            </w:r>
          </w:p>
        </w:tc>
        <w:tc>
          <w:tcPr>
            <w:tcW w:type="dxa" w:w="1440"/>
            <w:shd w:fill="FFDCE0" w:val="clear"/>
          </w:tcPr>
          <w:p>
            <w:r>
              <w:rPr>
                <w:sz w:val="17"/>
              </w:rPr>
              <w:t>21,483</w:t>
            </w:r>
          </w:p>
        </w:tc>
        <w:tc>
          <w:tcPr>
            <w:tcW w:type="dxa" w:w="1440"/>
            <w:shd w:fill="FFDCE0" w:val="clear"/>
          </w:tcPr>
          <w:p>
            <w:r>
              <w:rPr>
                <w:b/>
                <w:color w:val="C00000"/>
                <w:sz w:val="17"/>
              </w:rPr>
              <w:t>-7.2%</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16,248</w:t>
            </w:r>
          </w:p>
        </w:tc>
        <w:tc>
          <w:tcPr>
            <w:tcW w:type="dxa" w:w="1440"/>
            <w:shd w:fill="FFDCE0" w:val="clear"/>
          </w:tcPr>
          <w:p>
            <w:r>
              <w:rPr>
                <w:b/>
                <w:sz w:val="17"/>
              </w:rPr>
              <w:t>18,838</w:t>
            </w:r>
          </w:p>
        </w:tc>
        <w:tc>
          <w:tcPr>
            <w:tcW w:type="dxa" w:w="1440"/>
            <w:shd w:fill="FFDCE0" w:val="clear"/>
          </w:tcPr>
          <w:p>
            <w:r>
              <w:rPr>
                <w:sz w:val="17"/>
              </w:rPr>
              <w:t>21,428</w:t>
            </w:r>
          </w:p>
        </w:tc>
        <w:tc>
          <w:tcPr>
            <w:tcW w:type="dxa" w:w="1440"/>
            <w:shd w:fill="FFDCE0" w:val="clear"/>
          </w:tcPr>
          <w:p>
            <w:r>
              <w:rPr>
                <w:b/>
                <w:color w:val="C00000"/>
                <w:sz w:val="17"/>
              </w:rPr>
              <w:t>-8.2%</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15,924</w:t>
            </w:r>
          </w:p>
        </w:tc>
        <w:tc>
          <w:tcPr>
            <w:tcW w:type="dxa" w:w="1440"/>
            <w:shd w:fill="FFDCE0" w:val="clear"/>
          </w:tcPr>
          <w:p>
            <w:r>
              <w:rPr>
                <w:b/>
                <w:sz w:val="17"/>
              </w:rPr>
              <w:t>18,643</w:t>
            </w:r>
          </w:p>
        </w:tc>
        <w:tc>
          <w:tcPr>
            <w:tcW w:type="dxa" w:w="1440"/>
            <w:shd w:fill="FFDCE0" w:val="clear"/>
          </w:tcPr>
          <w:p>
            <w:r>
              <w:rPr>
                <w:sz w:val="17"/>
              </w:rPr>
              <w:t>21,361</w:t>
            </w:r>
          </w:p>
        </w:tc>
        <w:tc>
          <w:tcPr>
            <w:tcW w:type="dxa" w:w="1440"/>
            <w:shd w:fill="FFDCE0" w:val="clear"/>
          </w:tcPr>
          <w:p>
            <w:r>
              <w:rPr>
                <w:b/>
                <w:color w:val="C00000"/>
                <w:sz w:val="17"/>
              </w:rPr>
              <w:t>-9.1%</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15,614</w:t>
            </w:r>
          </w:p>
        </w:tc>
        <w:tc>
          <w:tcPr>
            <w:tcW w:type="dxa" w:w="1440"/>
            <w:shd w:fill="FFDCE0" w:val="clear"/>
          </w:tcPr>
          <w:p>
            <w:r>
              <w:rPr>
                <w:b/>
                <w:sz w:val="17"/>
              </w:rPr>
              <w:t>18,450</w:t>
            </w:r>
          </w:p>
        </w:tc>
        <w:tc>
          <w:tcPr>
            <w:tcW w:type="dxa" w:w="1440"/>
            <w:shd w:fill="FFDCE0" w:val="clear"/>
          </w:tcPr>
          <w:p>
            <w:r>
              <w:rPr>
                <w:sz w:val="17"/>
              </w:rPr>
              <w:t>21,286</w:t>
            </w:r>
          </w:p>
        </w:tc>
        <w:tc>
          <w:tcPr>
            <w:tcW w:type="dxa" w:w="1440"/>
            <w:shd w:fill="FFDCE0" w:val="clear"/>
          </w:tcPr>
          <w:p>
            <w:r>
              <w:rPr>
                <w:b/>
                <w:color w:val="C00000"/>
                <w:sz w:val="17"/>
              </w:rPr>
              <w:t>-10.0%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 RAPPORT D'ANALYSE FINANCIÈRE — NSIA BANQUE CI (NSBC)</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507,31 milliards FCFA, NSBC s'affirme comme l'une des valeurs bancaires les plus capitalisées de la cote BRVM, ce qui lui confère une liquidité relative et une visibilité institutionnelle appréciables. Le BPA de 1 646 FCFA/action traduit la capacité bénéficiaire unitaire de chaque titre, tandis que le PER de 12,5x — légèrement supérieur à la moyenne BRVM (~8-12x) — indique que le marché consent une prime modérée pour la qualité de la croissance, sans exagération manifeste. Le P/B de 2,17x signale que le marché valorise l'action à plus du double de sa valeur comptable, traduisant une prime de croissance justifiée par un ROE de 17,45% nettement supérieur au coût des fonds propres. En revanche, l'EV/EBITDA de 20,3x apparaît très exigeant (&gt;15x), suggérant que la valeur d'entreprise intègre déjà une bonne part des anticipations de performance opérationnelle — un point de vigilance pour les nouveaux entrants.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NSBC affiche une progression totale de +13,94%, malgré un repli de -1,39% sur la dernière séance, portant le cours à 20 510 FCFA. Le range de trading s'établit entre un plus bas de 17 980 FCFA et un plus haut de 24 885 FCFA, soit une amplitude de près de 38% qui témoigne d'une réelle dynamique haussière entrecoupée de phases de correction. La moyenne (21 682 FCFA) se situe légèrement au-dessus de la médiane (22 000 FCFA), et l'écart entre ces deux mesures — bien que modéré — combiné à un skewness de -0,309 (distribution symétrique selon l'interprétation fournie), indique une légère prédominance des séances baissières récentes sans asymétrie marquée. L'écart-type de 1 927 FCFA avec un coefficient de variation de 8,9% révèle une dispersion contenue du cours autour de sa moyenne, tandis que le kurtosis de -1,100 (distribution platykurtique, aplatie) suggère une faible concentration des rendements et un risque de pics extrêmes limité — profil plutôt rassurant pour un investisseur. La volatilité annualisée de 36,5% classe toutefois le titre dans la catégorie des valeurs **élevées** (&gt;30%), ce qui est cohérent avec le profil de croissance du secteur bancaire ouest-africain et impose une gestion active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(21 704,5 FCFA) et la MM50 (22 779,9 FCFA) se situent toutes deux au-dessus du cours actuel (20 510 FCFA), configurant une pression baissière de court et moyen terme. La MM20 étant elle-même inférieure à la MM50, on observe un croisement baissier caractéristique d'une tendance descendante, ce qui justifie pleinement la décision technique **Vente**.</w:t>
      </w:r>
    </w:p>
    <w:p>
      <w:pPr>
        <w:spacing w:after="120" w:line="276" w:lineRule="auto"/>
      </w:pPr>
      <w:r>
        <w:t>**Bandes de Bollinger** : Le cours (20 510 FCFA) évolue dans la partie basse du canal, entre la borne inférieure (19 685,96 FCFA) et la borne supérieure (23 723,04 FCFA), sans toutefois toucher la borne basse. Cette position intermédiaire, couplée à un écartement modéré des bandes, traduit une volatilité normale et une absence de signal extrême, d'où la décision **Neutre** — le titre n'est ni en survente technique franche ni en surachat.</w:t>
      </w:r>
    </w:p>
    <w:p>
      <w:pPr>
        <w:spacing w:after="120" w:line="276" w:lineRule="auto"/>
      </w:pPr>
      <w:r>
        <w:t>**MACD** : La valeur du MACD (-640,41) est inférieure à sa ligne de signal (-557,696), confirmant un momentum baissier persistant. L'histogramme négatif indique que la pression vendeuse domine encore, bien que l'écart entre les deux lignes ne se creuse pas de manière alarmante — la décision **Vente** reste de mise mais appelle une surveillance d'un éventuel retournement.</w:t>
      </w:r>
    </w:p>
    <w:p>
      <w:pPr>
        <w:spacing w:after="120" w:line="276" w:lineRule="auto"/>
      </w:pPr>
      <w:r>
        <w:t>**RSI** : À 28,463, le RSI se situe en zone de **survente** (seuil &lt;30), signalant que le titre a été excessivement vendu à court terme et qu'un rebond technique devient statistiquement probable. Cette configuration justifie la décision **Achat** en contrarien, en anticipation d'un retour à l'équilibre.</w:t>
      </w:r>
    </w:p>
    <w:p>
      <w:pPr>
        <w:spacing w:after="120" w:line="276" w:lineRule="auto"/>
      </w:pPr>
      <w:r>
        <w:t>**Stochastique** : Avec %K et %D tous deux à 0,0, l'indicateur est en position extrême de survente, ce qui constitue un signal d'achat classique en analyse technique — le croisement des deux lignes, bien qu'à un niveau plancher, suggère une exhaustion de la pression vendeuse et une possible inflexion haussière imminente.</w:t>
      </w:r>
    </w:p>
    <w:p>
      <w:pPr>
        <w:spacing w:after="120" w:line="276" w:lineRule="auto"/>
      </w:pPr>
      <w:r>
        <w:t>**Conclusion technique** : Les indicateurs présentent une configuration **divergente** caractéristique : les moyennes mobiles et le MACD confirment une tendance baissière de fond, tandis que le RSI et le stochastique signalent une survente extrême propice à un rebond technique. Cette opposition entre momentum baissier et conditions de survente plaide pour une posture attentiste à court terme, avec un potentiel de rebond à surveiller autour de la zone de support des 19 700-20 000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NSIA Banque CI affiche un Produit Net Bancaire (équivalent du chiffre d'affaires bancaire) de 112,928 milliards FCFA, en croissance de 15,45% selon les données structurées, avec un résultat net de 40,712 milliards FCFA. La rentabilité des fonds propres (ROE) s'établit à un niveau **excellent de 17,45%** (&gt;15%), tandis que le ROA de 1,32% reste conforme aux standards bancaires. Le coefficient d'exploitation de 54,59% (&lt;60%) confirme une **banque efficace**, et la marge nette de 36,05% témoigne d'une forte capacité à transformer le PNB en profit. Toutefois, le coût du risque rapporté aux charges financières atteint 7,54%, signalant un risque de crédit significatif à surveiller. La structure financière montre une autonomie financière de 7,59% (faible au regard du seuil de 30%, mais typique du modèle bancaire où les dépôts clientèle de 2 242,218 milliards FCFA constituent la principale ressource) et un ratio de solvabilité générale de 108,22% (&gt;1, donc solvable). Le portefeuille de créances clientèle (1 818,671 milliards FCFA) face aux dépôts illustre une transformation bancaire classique maîtrisée.</w:t>
      </w:r>
    </w:p>
    <w:p>
      <w:pPr>
        <w:spacing w:after="120" w:line="276" w:lineRule="auto"/>
      </w:pPr>
      <w:r>
        <w:t>**Évolution et rapports trimestriels** : Les rapports officiels confirment cette dynamique. Le rapport du **T1 2026 (publié le 31/03/2026)** révèle un PNB de 28,615 milliards FCFA en hausse de **+28%** et un résultat net de 10,912 milliards FCFA en progression spectaculaire de **+53%**, avec une marge nette de 38,1% — performance tirée par l'activité titres et la maîtrise du coût du risque. Le rapport annuel **2025 (exercice clos 31/12/2025)** confirme un résultat net de 40,7 milliards FCFA (+7%) et un total bilan de 3 073 milliards FCFA (+22%), porté par une collecte de dépôts dynamique (+32%). On estime, sur la base du T1 2026 (+53% de résultat net), que l'exercice 2026 pourrait afficher une accélération de la rentabilité si la dynamique se maintient — sous réserve de la volatilité de l'activité titres et du léger repli des crédits nets (-4%). Les rapports antérieurs (S1 2025, T3 2025) confirment une trajectoire de croissance régulière (PNB +10,6% au S1, +7% sur 9 mois), validant la solidité du modèle. **Recommandation fondamentale : solidité confirmée, croissance robuste, mais vigilance sur le coût du risque et la concentration des revenus sur les titres.**</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**nuancé mais globalement favorable**. Sur le plan de la **valorisation (Partie 0)**, le PER de 12,5x et le P/B de 2,17x traduisent une valorisation raisonnable intégrant une prime de croissance justifiée par le ROE de 17,45%, bien que l'EV/EBITDA de 20,3x invite à la prudence. Le **comportement du cours (Partie 1)** affiche une tendance haussière de fond (+13,94% sur 100 jours) avec une volatilité élevée (36,5%) mais des statistiques rassurantes (kurtosis platykurtique, skewness symétrique). Les **signaux techniques (Partie 2)** sont divergents : tendance baissière confirmée par MM et MACD, mais survente extrême (RSI 28,5, Stochastique 0) propice à un rebond. Les **fondamentaux (Partie 3)** demeurent le point d'appui le plus solide : ROE de 17,45%, coefficient d'exploitation de 54,59%, et surtout un T1 2026 exceptionnel (+53% de résultat net) qui valide la dynamique. Les **prédictions IA (J+1 à J+10)** anticipent une poursuite de la correction baissière (de 20 282 à 19 436 FCFA), ce qui **contredit** les signaux de survente technique mais **confirme** la tendance baissière des moyennes mobiles — cohérence avec le momentum court terme.</w:t>
      </w:r>
    </w:p>
    <w:p>
      <w:pPr>
        <w:spacing w:after="120" w:line="276" w:lineRule="auto"/>
      </w:pPr>
      <w:r>
        <w:t>**Recommandation finale : CONSERVER.** La convergence entre fondamentaux solides (croissance du résultat net, ROE élevé, T1 2026 exceptionnel) et valorisation raisonnable soutient la thèse d'un titre de qualité, mais la divergence technique (momentum baissier vs survente) et les prédictions IA baissières à court terme invitent à ne pas renforcer immédiatement. **Niveau de confiance : Moyen** (fondamentaux solides mais signaux techniques contradictoires). **Niveau de risque global : Moyen à Élevé** (volatilité de 36,5%, concentration sur l'activité titres, coût du risque significatif). **Horizon d'investissement optimal : moyen terme (3-12 mois)** — le temps que la correction technique s'achève et que la dynamique du T1 2026 se confirme sur les trimestres suivants, avec un point d'entrée privilégié autour de 19 500-20 000 FCFA si la zone de support tient.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22.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324.43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1,268 titres</w:t>
            </w:r>
          </w:p>
        </w:tc>
        <w:tc>
          <w:tcPr>
            <w:tcW w:type="dxa" w:w="2268"/>
            <w:shd w:fill="FFF2CC" w:val="clear"/>
          </w:tcPr>
          <w:p>
            <w:r>
              <w:rPr>
                <w:b/>
                <w:color w:val="503200"/>
                <w:sz w:val="16"/>
              </w:rPr>
              <w:t xml:space="preserve">Cours actuel : </w:t>
            </w:r>
            <w:r>
              <w:rPr>
                <w:color w:val="000000"/>
                <w:sz w:val="17"/>
              </w:rPr>
              <w:t>14,700 FCFA</w:t>
            </w:r>
          </w:p>
          <w:p>
            <w:r>
              <w:rPr>
                <w:b/>
                <w:color w:val="503200"/>
                <w:sz w:val="16"/>
              </w:rPr>
              <w:t xml:space="preserve">Var. 100 jours : </w:t>
            </w:r>
            <w:r>
              <w:rPr>
                <w:b/>
                <w:color w:val="007800"/>
                <w:sz w:val="17"/>
              </w:rPr>
              <w:t>+13.03%</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12,800 FCFA</w:t>
            </w:r>
          </w:p>
          <w:p>
            <w:r>
              <w:rPr>
                <w:b/>
                <w:color w:val="503200"/>
                <w:sz w:val="16"/>
              </w:rPr>
              <w:t xml:space="preserve">Volatilité ann. : </w:t>
            </w:r>
            <w:r>
              <w:rPr>
                <w:color w:val="000000"/>
                <w:sz w:val="17"/>
              </w:rPr>
              <w:t>36.2%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7.47% (Moyenne) — μ=15,754 FCFA, σ=1,177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β=0.4337 (Défensif) — Cov=0.000033, Var(idx)=0.000077, ρ=0.170,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2026-10-19</w:t>
            </w:r>
          </w:p>
        </w:tc>
        <w:tc>
          <w:tcPr>
            <w:tcW w:type="dxa" w:w="1440"/>
            <w:shd w:fill="C6EFCE" w:val="clear"/>
          </w:tcPr>
          <w:p>
            <w:r>
              <w:rPr>
                <w:sz w:val="17"/>
              </w:rPr>
              <w:t>14,501</w:t>
            </w:r>
          </w:p>
        </w:tc>
        <w:tc>
          <w:tcPr>
            <w:tcW w:type="dxa" w:w="1440"/>
            <w:shd w:fill="C6EFCE" w:val="clear"/>
          </w:tcPr>
          <w:p>
            <w:r>
              <w:rPr>
                <w:b/>
                <w:sz w:val="17"/>
              </w:rPr>
              <w:t>15,196</w:t>
            </w:r>
          </w:p>
        </w:tc>
        <w:tc>
          <w:tcPr>
            <w:tcW w:type="dxa" w:w="1440"/>
            <w:shd w:fill="C6EFCE" w:val="clear"/>
          </w:tcPr>
          <w:p>
            <w:r>
              <w:rPr>
                <w:sz w:val="17"/>
              </w:rPr>
              <w:t>15,891</w:t>
            </w:r>
          </w:p>
        </w:tc>
        <w:tc>
          <w:tcPr>
            <w:tcW w:type="dxa" w:w="1440"/>
            <w:shd w:fill="C6EFCE" w:val="clear"/>
          </w:tcPr>
          <w:p>
            <w:r>
              <w:rPr>
                <w:b/>
                <w:color w:val="008000"/>
                <w:sz w:val="17"/>
              </w:rPr>
              <w:t>+3.4%</w:t>
            </w:r>
          </w:p>
        </w:tc>
      </w:tr>
      <w:tr>
        <w:tc>
          <w:tcPr>
            <w:tcW w:type="dxa" w:w="1440"/>
            <w:shd w:fill="C6EFCE" w:val="clear"/>
          </w:tcPr>
          <w:p>
            <w:r>
              <w:rPr>
                <w:sz w:val="17"/>
              </w:rPr>
              <w:t>J+2  ⭐</w:t>
            </w:r>
          </w:p>
        </w:tc>
        <w:tc>
          <w:tcPr>
            <w:tcW w:type="dxa" w:w="1440"/>
            <w:shd w:fill="C6EFCE" w:val="clear"/>
          </w:tcPr>
          <w:p>
            <w:r>
              <w:rPr>
                <w:sz w:val="17"/>
              </w:rPr>
              <w:t>2026-10-20</w:t>
            </w:r>
          </w:p>
        </w:tc>
        <w:tc>
          <w:tcPr>
            <w:tcW w:type="dxa" w:w="1440"/>
            <w:shd w:fill="C6EFCE" w:val="clear"/>
          </w:tcPr>
          <w:p>
            <w:r>
              <w:rPr>
                <w:sz w:val="17"/>
              </w:rPr>
              <w:t>14,173</w:t>
            </w:r>
          </w:p>
        </w:tc>
        <w:tc>
          <w:tcPr>
            <w:tcW w:type="dxa" w:w="1440"/>
            <w:shd w:fill="C6EFCE" w:val="clear"/>
          </w:tcPr>
          <w:p>
            <w:r>
              <w:rPr>
                <w:b/>
                <w:sz w:val="17"/>
              </w:rPr>
              <w:t>15,153</w:t>
            </w:r>
          </w:p>
        </w:tc>
        <w:tc>
          <w:tcPr>
            <w:tcW w:type="dxa" w:w="1440"/>
            <w:shd w:fill="C6EFCE" w:val="clear"/>
          </w:tcPr>
          <w:p>
            <w:r>
              <w:rPr>
                <w:sz w:val="17"/>
              </w:rPr>
              <w:t>16,134</w:t>
            </w:r>
          </w:p>
        </w:tc>
        <w:tc>
          <w:tcPr>
            <w:tcW w:type="dxa" w:w="1440"/>
            <w:shd w:fill="C6EFCE" w:val="clear"/>
          </w:tcPr>
          <w:p>
            <w:r>
              <w:rPr>
                <w:b/>
                <w:color w:val="008000"/>
                <w:sz w:val="17"/>
              </w:rPr>
              <w:t>+3.1%</w:t>
            </w:r>
          </w:p>
        </w:tc>
      </w:tr>
      <w:tr>
        <w:tc>
          <w:tcPr>
            <w:tcW w:type="dxa" w:w="1440"/>
            <w:shd w:fill="C6EFCE" w:val="clear"/>
          </w:tcPr>
          <w:p>
            <w:r>
              <w:rPr>
                <w:sz w:val="17"/>
              </w:rPr>
              <w:t>J+3  ⭐</w:t>
            </w:r>
          </w:p>
        </w:tc>
        <w:tc>
          <w:tcPr>
            <w:tcW w:type="dxa" w:w="1440"/>
            <w:shd w:fill="C6EFCE" w:val="clear"/>
          </w:tcPr>
          <w:p>
            <w:r>
              <w:rPr>
                <w:sz w:val="17"/>
              </w:rPr>
              <w:t>2026-10-21</w:t>
            </w:r>
          </w:p>
        </w:tc>
        <w:tc>
          <w:tcPr>
            <w:tcW w:type="dxa" w:w="1440"/>
            <w:shd w:fill="C6EFCE" w:val="clear"/>
          </w:tcPr>
          <w:p>
            <w:r>
              <w:rPr>
                <w:sz w:val="17"/>
              </w:rPr>
              <w:t>13,940</w:t>
            </w:r>
          </w:p>
        </w:tc>
        <w:tc>
          <w:tcPr>
            <w:tcW w:type="dxa" w:w="1440"/>
            <w:shd w:fill="C6EFCE" w:val="clear"/>
          </w:tcPr>
          <w:p>
            <w:r>
              <w:rPr>
                <w:b/>
                <w:sz w:val="17"/>
              </w:rPr>
              <w:t>15,140</w:t>
            </w:r>
          </w:p>
        </w:tc>
        <w:tc>
          <w:tcPr>
            <w:tcW w:type="dxa" w:w="1440"/>
            <w:shd w:fill="C6EFCE" w:val="clear"/>
          </w:tcPr>
          <w:p>
            <w:r>
              <w:rPr>
                <w:sz w:val="17"/>
              </w:rPr>
              <w:t>16,339</w:t>
            </w:r>
          </w:p>
        </w:tc>
        <w:tc>
          <w:tcPr>
            <w:tcW w:type="dxa" w:w="1440"/>
            <w:shd w:fill="C6EFCE" w:val="clear"/>
          </w:tcPr>
          <w:p>
            <w:r>
              <w:rPr>
                <w:b/>
                <w:color w:val="008000"/>
                <w:sz w:val="17"/>
              </w:rPr>
              <w:t>+3.0%</w:t>
            </w:r>
          </w:p>
        </w:tc>
      </w:tr>
      <w:tr>
        <w:tc>
          <w:tcPr>
            <w:tcW w:type="dxa" w:w="1440"/>
            <w:shd w:fill="C6EFCE" w:val="clear"/>
          </w:tcPr>
          <w:p>
            <w:r>
              <w:rPr>
                <w:sz w:val="17"/>
              </w:rPr>
              <w:t>J+4  ⭐</w:t>
            </w:r>
          </w:p>
        </w:tc>
        <w:tc>
          <w:tcPr>
            <w:tcW w:type="dxa" w:w="1440"/>
            <w:shd w:fill="C6EFCE" w:val="clear"/>
          </w:tcPr>
          <w:p>
            <w:r>
              <w:rPr>
                <w:sz w:val="17"/>
              </w:rPr>
              <w:t>2026-10-22</w:t>
            </w:r>
          </w:p>
        </w:tc>
        <w:tc>
          <w:tcPr>
            <w:tcW w:type="dxa" w:w="1440"/>
            <w:shd w:fill="C6EFCE" w:val="clear"/>
          </w:tcPr>
          <w:p>
            <w:r>
              <w:rPr>
                <w:sz w:val="17"/>
              </w:rPr>
              <w:t>13,750</w:t>
            </w:r>
          </w:p>
        </w:tc>
        <w:tc>
          <w:tcPr>
            <w:tcW w:type="dxa" w:w="1440"/>
            <w:shd w:fill="C6EFCE" w:val="clear"/>
          </w:tcPr>
          <w:p>
            <w:r>
              <w:rPr>
                <w:b/>
                <w:sz w:val="17"/>
              </w:rPr>
              <w:t>15,135</w:t>
            </w:r>
          </w:p>
        </w:tc>
        <w:tc>
          <w:tcPr>
            <w:tcW w:type="dxa" w:w="1440"/>
            <w:shd w:fill="C6EFCE" w:val="clear"/>
          </w:tcPr>
          <w:p>
            <w:r>
              <w:rPr>
                <w:sz w:val="17"/>
              </w:rPr>
              <w:t>16,520</w:t>
            </w:r>
          </w:p>
        </w:tc>
        <w:tc>
          <w:tcPr>
            <w:tcW w:type="dxa" w:w="1440"/>
            <w:shd w:fill="C6EFCE" w:val="clear"/>
          </w:tcPr>
          <w:p>
            <w:r>
              <w:rPr>
                <w:b/>
                <w:color w:val="008000"/>
                <w:sz w:val="17"/>
              </w:rPr>
              <w:t>+3.0%</w:t>
            </w:r>
          </w:p>
        </w:tc>
      </w:tr>
      <w:tr>
        <w:tc>
          <w:tcPr>
            <w:tcW w:type="dxa" w:w="1440"/>
            <w:shd w:fill="C6EFCE" w:val="clear"/>
          </w:tcPr>
          <w:p>
            <w:r>
              <w:rPr>
                <w:sz w:val="17"/>
              </w:rPr>
              <w:t>J+5  ⭐</w:t>
            </w:r>
          </w:p>
        </w:tc>
        <w:tc>
          <w:tcPr>
            <w:tcW w:type="dxa" w:w="1440"/>
            <w:shd w:fill="C6EFCE" w:val="clear"/>
          </w:tcPr>
          <w:p>
            <w:r>
              <w:rPr>
                <w:sz w:val="17"/>
              </w:rPr>
              <w:t>2026-10-23</w:t>
            </w:r>
          </w:p>
        </w:tc>
        <w:tc>
          <w:tcPr>
            <w:tcW w:type="dxa" w:w="1440"/>
            <w:shd w:fill="C6EFCE" w:val="clear"/>
          </w:tcPr>
          <w:p>
            <w:r>
              <w:rPr>
                <w:sz w:val="17"/>
              </w:rPr>
              <w:t>13,585</w:t>
            </w:r>
          </w:p>
        </w:tc>
        <w:tc>
          <w:tcPr>
            <w:tcW w:type="dxa" w:w="1440"/>
            <w:shd w:fill="C6EFCE" w:val="clear"/>
          </w:tcPr>
          <w:p>
            <w:r>
              <w:rPr>
                <w:b/>
                <w:sz w:val="17"/>
              </w:rPr>
              <w:t>15,133</w:t>
            </w:r>
          </w:p>
        </w:tc>
        <w:tc>
          <w:tcPr>
            <w:tcW w:type="dxa" w:w="1440"/>
            <w:shd w:fill="C6EFCE" w:val="clear"/>
          </w:tcPr>
          <w:p>
            <w:r>
              <w:rPr>
                <w:sz w:val="17"/>
              </w:rPr>
              <w:t>16,681</w:t>
            </w:r>
          </w:p>
        </w:tc>
        <w:tc>
          <w:tcPr>
            <w:tcW w:type="dxa" w:w="1440"/>
            <w:shd w:fill="C6EFCE" w:val="clear"/>
          </w:tcPr>
          <w:p>
            <w:r>
              <w:rPr>
                <w:b/>
                <w:color w:val="008000"/>
                <w:sz w:val="17"/>
              </w:rPr>
              <w:t>+2.9%</w:t>
            </w:r>
          </w:p>
        </w:tc>
      </w:tr>
      <w:tr>
        <w:tc>
          <w:tcPr>
            <w:tcW w:type="dxa" w:w="1440"/>
            <w:shd w:fill="C6EFCE" w:val="clear"/>
          </w:tcPr>
          <w:p>
            <w:r>
              <w:rPr>
                <w:sz w:val="17"/>
              </w:rPr>
              <w:t>J+6  ⭐</w:t>
            </w:r>
          </w:p>
        </w:tc>
        <w:tc>
          <w:tcPr>
            <w:tcW w:type="dxa" w:w="1440"/>
            <w:shd w:fill="C6EFCE" w:val="clear"/>
          </w:tcPr>
          <w:p>
            <w:r>
              <w:rPr>
                <w:sz w:val="17"/>
              </w:rPr>
              <w:t>2026-10-26</w:t>
            </w:r>
          </w:p>
        </w:tc>
        <w:tc>
          <w:tcPr>
            <w:tcW w:type="dxa" w:w="1440"/>
            <w:shd w:fill="C6EFCE" w:val="clear"/>
          </w:tcPr>
          <w:p>
            <w:r>
              <w:rPr>
                <w:sz w:val="17"/>
              </w:rPr>
              <w:t>13,434</w:t>
            </w:r>
          </w:p>
        </w:tc>
        <w:tc>
          <w:tcPr>
            <w:tcW w:type="dxa" w:w="1440"/>
            <w:shd w:fill="C6EFCE" w:val="clear"/>
          </w:tcPr>
          <w:p>
            <w:r>
              <w:rPr>
                <w:b/>
                <w:sz w:val="17"/>
              </w:rPr>
              <w:t>15,130</w:t>
            </w:r>
          </w:p>
        </w:tc>
        <w:tc>
          <w:tcPr>
            <w:tcW w:type="dxa" w:w="1440"/>
            <w:shd w:fill="C6EFCE" w:val="clear"/>
          </w:tcPr>
          <w:p>
            <w:r>
              <w:rPr>
                <w:sz w:val="17"/>
              </w:rPr>
              <w:t>16,825</w:t>
            </w:r>
          </w:p>
        </w:tc>
        <w:tc>
          <w:tcPr>
            <w:tcW w:type="dxa" w:w="1440"/>
            <w:shd w:fill="C6EFCE" w:val="clear"/>
          </w:tcPr>
          <w:p>
            <w:r>
              <w:rPr>
                <w:b/>
                <w:color w:val="008000"/>
                <w:sz w:val="17"/>
              </w:rPr>
              <w:t>+2.9%</w:t>
            </w:r>
          </w:p>
        </w:tc>
      </w:tr>
      <w:tr>
        <w:tc>
          <w:tcPr>
            <w:tcW w:type="dxa" w:w="1440"/>
            <w:shd w:fill="C6EFCE" w:val="clear"/>
          </w:tcPr>
          <w:p>
            <w:r>
              <w:rPr>
                <w:sz w:val="17"/>
              </w:rPr>
              <w:t>J+7  ⭐</w:t>
            </w:r>
          </w:p>
        </w:tc>
        <w:tc>
          <w:tcPr>
            <w:tcW w:type="dxa" w:w="1440"/>
            <w:shd w:fill="C6EFCE" w:val="clear"/>
          </w:tcPr>
          <w:p>
            <w:r>
              <w:rPr>
                <w:sz w:val="17"/>
              </w:rPr>
              <w:t>2026-10-27</w:t>
            </w:r>
          </w:p>
        </w:tc>
        <w:tc>
          <w:tcPr>
            <w:tcW w:type="dxa" w:w="1440"/>
            <w:shd w:fill="C6EFCE" w:val="clear"/>
          </w:tcPr>
          <w:p>
            <w:r>
              <w:rPr>
                <w:sz w:val="17"/>
              </w:rPr>
              <w:t>13,296</w:t>
            </w:r>
          </w:p>
        </w:tc>
        <w:tc>
          <w:tcPr>
            <w:tcW w:type="dxa" w:w="1440"/>
            <w:shd w:fill="C6EFCE" w:val="clear"/>
          </w:tcPr>
          <w:p>
            <w:r>
              <w:rPr>
                <w:b/>
                <w:sz w:val="17"/>
              </w:rPr>
              <w:t>15,127</w:t>
            </w:r>
          </w:p>
        </w:tc>
        <w:tc>
          <w:tcPr>
            <w:tcW w:type="dxa" w:w="1440"/>
            <w:shd w:fill="C6EFCE" w:val="clear"/>
          </w:tcPr>
          <w:p>
            <w:r>
              <w:rPr>
                <w:sz w:val="17"/>
              </w:rPr>
              <w:t>16,958</w:t>
            </w:r>
          </w:p>
        </w:tc>
        <w:tc>
          <w:tcPr>
            <w:tcW w:type="dxa" w:w="1440"/>
            <w:shd w:fill="C6EFCE" w:val="clear"/>
          </w:tcPr>
          <w:p>
            <w:r>
              <w:rPr>
                <w:b/>
                <w:color w:val="008000"/>
                <w:sz w:val="17"/>
              </w:rPr>
              <w:t>+2.9%</w:t>
            </w:r>
          </w:p>
        </w:tc>
      </w:tr>
      <w:tr>
        <w:tc>
          <w:tcPr>
            <w:tcW w:type="dxa" w:w="1440"/>
            <w:shd w:fill="C6EFCE" w:val="clear"/>
          </w:tcPr>
          <w:p>
            <w:r>
              <w:rPr>
                <w:sz w:val="17"/>
              </w:rPr>
              <w:t>J+8  ⭐</w:t>
            </w:r>
          </w:p>
        </w:tc>
        <w:tc>
          <w:tcPr>
            <w:tcW w:type="dxa" w:w="1440"/>
            <w:shd w:fill="C6EFCE" w:val="clear"/>
          </w:tcPr>
          <w:p>
            <w:r>
              <w:rPr>
                <w:sz w:val="17"/>
              </w:rPr>
              <w:t>2026-10-28</w:t>
            </w:r>
          </w:p>
        </w:tc>
        <w:tc>
          <w:tcPr>
            <w:tcW w:type="dxa" w:w="1440"/>
            <w:shd w:fill="C6EFCE" w:val="clear"/>
          </w:tcPr>
          <w:p>
            <w:r>
              <w:rPr>
                <w:sz w:val="17"/>
              </w:rPr>
              <w:t>13,166</w:t>
            </w:r>
          </w:p>
        </w:tc>
        <w:tc>
          <w:tcPr>
            <w:tcW w:type="dxa" w:w="1440"/>
            <w:shd w:fill="C6EFCE" w:val="clear"/>
          </w:tcPr>
          <w:p>
            <w:r>
              <w:rPr>
                <w:b/>
                <w:sz w:val="17"/>
              </w:rPr>
              <w:t>15,123</w:t>
            </w:r>
          </w:p>
        </w:tc>
        <w:tc>
          <w:tcPr>
            <w:tcW w:type="dxa" w:w="1440"/>
            <w:shd w:fill="C6EFCE" w:val="clear"/>
          </w:tcPr>
          <w:p>
            <w:r>
              <w:rPr>
                <w:sz w:val="17"/>
              </w:rPr>
              <w:t>17,080</w:t>
            </w:r>
          </w:p>
        </w:tc>
        <w:tc>
          <w:tcPr>
            <w:tcW w:type="dxa" w:w="1440"/>
            <w:shd w:fill="C6EFCE" w:val="clear"/>
          </w:tcPr>
          <w:p>
            <w:r>
              <w:rPr>
                <w:b/>
                <w:color w:val="008000"/>
                <w:sz w:val="17"/>
              </w:rPr>
              <w:t>+2.9%</w:t>
            </w:r>
          </w:p>
        </w:tc>
      </w:tr>
      <w:tr>
        <w:tc>
          <w:tcPr>
            <w:tcW w:type="dxa" w:w="1440"/>
            <w:shd w:fill="C6EFCE" w:val="clear"/>
          </w:tcPr>
          <w:p>
            <w:r>
              <w:rPr>
                <w:sz w:val="17"/>
              </w:rPr>
              <w:t>J+9  ⭐</w:t>
            </w:r>
          </w:p>
        </w:tc>
        <w:tc>
          <w:tcPr>
            <w:tcW w:type="dxa" w:w="1440"/>
            <w:shd w:fill="C6EFCE" w:val="clear"/>
          </w:tcPr>
          <w:p>
            <w:r>
              <w:rPr>
                <w:sz w:val="17"/>
              </w:rPr>
              <w:t>2026-10-29</w:t>
            </w:r>
          </w:p>
        </w:tc>
        <w:tc>
          <w:tcPr>
            <w:tcW w:type="dxa" w:w="1440"/>
            <w:shd w:fill="C6EFCE" w:val="clear"/>
          </w:tcPr>
          <w:p>
            <w:r>
              <w:rPr>
                <w:sz w:val="17"/>
              </w:rPr>
              <w:t>13,044</w:t>
            </w:r>
          </w:p>
        </w:tc>
        <w:tc>
          <w:tcPr>
            <w:tcW w:type="dxa" w:w="1440"/>
            <w:shd w:fill="C6EFCE" w:val="clear"/>
          </w:tcPr>
          <w:p>
            <w:r>
              <w:rPr>
                <w:b/>
                <w:sz w:val="17"/>
              </w:rPr>
              <w:t>15,120</w:t>
            </w:r>
          </w:p>
        </w:tc>
        <w:tc>
          <w:tcPr>
            <w:tcW w:type="dxa" w:w="1440"/>
            <w:shd w:fill="C6EFCE" w:val="clear"/>
          </w:tcPr>
          <w:p>
            <w:r>
              <w:rPr>
                <w:sz w:val="17"/>
              </w:rPr>
              <w:t>17,195</w:t>
            </w:r>
          </w:p>
        </w:tc>
        <w:tc>
          <w:tcPr>
            <w:tcW w:type="dxa" w:w="1440"/>
            <w:shd w:fill="C6EFCE" w:val="clear"/>
          </w:tcPr>
          <w:p>
            <w:r>
              <w:rPr>
                <w:b/>
                <w:color w:val="008000"/>
                <w:sz w:val="17"/>
              </w:rPr>
              <w:t>+2.9%</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12,929</w:t>
            </w:r>
          </w:p>
        </w:tc>
        <w:tc>
          <w:tcPr>
            <w:tcW w:type="dxa" w:w="1440"/>
            <w:shd w:fill="C6EFCE" w:val="clear"/>
          </w:tcPr>
          <w:p>
            <w:r>
              <w:rPr>
                <w:b/>
                <w:sz w:val="17"/>
              </w:rPr>
              <w:t>15,116</w:t>
            </w:r>
          </w:p>
        </w:tc>
        <w:tc>
          <w:tcPr>
            <w:tcW w:type="dxa" w:w="1440"/>
            <w:shd w:fill="C6EFCE" w:val="clear"/>
          </w:tcPr>
          <w:p>
            <w:r>
              <w:rPr>
                <w:sz w:val="17"/>
              </w:rPr>
              <w:t>17,303</w:t>
            </w:r>
          </w:p>
        </w:tc>
        <w:tc>
          <w:tcPr>
            <w:tcW w:type="dxa" w:w="1440"/>
            <w:shd w:fill="C6EFCE" w:val="clear"/>
          </w:tcPr>
          <w:p>
            <w:r>
              <w:rPr>
                <w:b/>
                <w:color w:val="008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 RAPPORT D'ANALYSE FINANCIÈRE — NTLC (Nestlé Côte d'Ivoire S.A.)</w:t>
        <w:br/>
        <w:t>**Bourse Régionale des Valeurs Mobilières (BRVM) — Secteur : Entreprise / Agroalimentaire**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324,43 milliards FCFA, NTLC figure parmi les valeurs les plus capitalisées de la BRVM, ce qui en fait un pilier de l'indice BRVM-30 et un titre de référence pour les investisseurs institutionnels régionaux. Le BPA de 835 FCFA/action signifie que chaque titre génère près de 835 FCFA de bénéfice net, un niveau confortable au regard du cours actuel de 14 700 FCFA. Le PER de 17,6x se situe nettement au-dessus de la moyenne BRVM (~8-12x), traduisant une prime de qualité que le marché consent pour cette valeur défensive à la marque forte, mais qui limite le potentiel de revalorisation à court terme. Le P/B de 10,97x, très supérieur au seuil de 4x, confirme une valorisation exigeante : le marché paie plus de dix fois la valeur comptable des fonds propres (29,59 Mds FCFA), ce qui s'explique par la faible intensité capitalistique et la rentabilité exceptionnelle (ROE de 62,3%). Enfin, l'EV/EBITDA de 8,9x, dans la fourchette raisonnable de 5-10x, suggère que la valeur d'entreprise reste cohérente avec la capacité opérationnelle de génération de cash (EBE de 46,17 Mds FCFA).</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NTLC affiche une variation totale positive de +13,03%, mais la dernière séance (J-1) a enregistré un net repli de -5,16%, signalant une correction récente après un parcours haussier. Le cours a évolué dans un range de 12 800 FCFA (plus bas) à 18 000 FCFA (plus haut), soit une amplitude de 40%, avant de se stabiliser à 14 700 FCFA, positionné dans le bas de cette fourchette. La tendance générale reste haussière sur la période, mais le repli récent et la position sous les moyennes mobiles suggèrent une phase de consolidation. Les statistiques descriptives révèlent une moyenne de 15 754 FCFA supérieure à la médiane de 15 995 FCFA — en réalité proches — avec un mode à 16 900 FCFA, indiquant que le cours a passé l'essentiel de la période autour de 16 000 FCFA avant de corriger ; l'écart-type de 1 183 FCFA et le coefficient de variation de 7,5% traduisent une dispersion modérée. Le kurtosis de 0,307 (mésokurtique) indique une distribution proche de la normale, sans risque de pics extrêmes marqué, tandis que le skewness de -0,848 (asymétrie négative) confirme que le titre a connu davantage de journées au-dessus de la moyenne, cohérent avec la tendance haussière. La volatilité annualisée de 36,2% place NTLC dans la catégorie des titres à volatilité élevée (&gt;30%), ce qui est inhabituel pour une valeur défensive de grande consommation et invite à la prudence sur les horizons courts.</w:t>
      </w:r>
    </w:p>
    <w:p>
      <w:pPr>
        <w:spacing w:after="120" w:line="276" w:lineRule="auto"/>
      </w:pPr>
      <w:r>
        <w:t>---</w:t>
      </w:r>
    </w:p>
    <w:p>
      <w:pPr>
        <w:spacing w:after="120" w:line="276" w:lineRule="auto"/>
      </w:pPr>
      <w:r>
        <w:t>## PARTIE 2 : ANALYSE TECHNIQUE DÉTAILLÉE</w:t>
      </w:r>
    </w:p>
    <w:p>
      <w:pPr>
        <w:spacing w:after="120" w:line="276" w:lineRule="auto"/>
      </w:pPr>
      <w:r>
        <w:t>**Moyennes Mobiles** : La MM20 (15 240,25 FCFA) et la MM50 (16 219,9 FCFA) se situent toutes deux au-dessus du cours actuel (14 700 FCFA), avec une MM20 inférieure à la MM50 — configuration baissière de court terme. Le cours évoluant sous ses deux moyennes, la pression vendeuse domine et justifie la décision technique de **Vente**.</w:t>
      </w:r>
    </w:p>
    <w:p>
      <w:pPr>
        <w:spacing w:after="120" w:line="276" w:lineRule="auto"/>
      </w:pPr>
      <w:r>
        <w:t>**Bandes de Bollinger** : Le cours (14 700 FCFA) se situe dans la moitié basse de la bande, entre la borne inférieure (14 450,88 FCFA) et la borne supérieure (16 029,62 FCFA), sans franchissement des extrêmes. Cette position, proche de la borne basse sans la toucher, traduit une volatilité contenue et une absence de signal directionnel fort, d'où la décision **Neutre**.</w:t>
      </w:r>
    </w:p>
    <w:p>
      <w:pPr>
        <w:spacing w:after="120" w:line="276" w:lineRule="auto"/>
      </w:pPr>
      <w:r>
        <w:t>**MACD** : La valeur du MACD (-290,997) est supérieure à son signal (-317,139), générant un croisement haussier bien que les deux indicateurs restent en territoire négatif. Ce momentum positif naissant, encore fragile, justifie la décision **Achat** mais doit être confirmé par une remontée au-dessus de zéro.</w:t>
      </w:r>
    </w:p>
    <w:p>
      <w:pPr>
        <w:spacing w:after="120" w:line="276" w:lineRule="auto"/>
      </w:pPr>
      <w:r>
        <w:t>**RSI** : À 40,446, le RSI se situe dans la zone neutre (30-70), plus proche de la survente que de la surachat, sans signal extrême. Cette configuration indique une absence de pression acheteuse ou vendeuse dominante, justifiant la décision **Neutre**.</w:t>
      </w:r>
    </w:p>
    <w:p>
      <w:pPr>
        <w:spacing w:after="120" w:line="276" w:lineRule="auto"/>
      </w:pPr>
      <w:r>
        <w:t>**Stochastique** : Le %K à 0,0 (extrême bas) contre un %D à 61,0 révèle un décrochage brutal du %K sous son signal, situation de survente marquée qui précède souvent un rebond technique. Cette divergence extrême justifie la décision **Achat** à court terme, bien que la fiabilité soit limitée par la volatilité du %K.</w:t>
      </w:r>
    </w:p>
    <w:p>
      <w:pPr>
        <w:spacing w:after="120" w:line="276" w:lineRule="auto"/>
      </w:pPr>
      <w:r>
        <w:t>**Conclusion technique** : Les indicateurs sont divergents — les moyennes mobiles sont clairement baissières (cours sous MM20 et MM50), tandis que le MACD et le stochastique génèrent des signaux d'achat contrariens, et que le RSI et les Bollinger restent neutres. Cette configuration mixte traduit une phase de transition : la correction récente (-5,16% en J-1) a ramené le cours en zone de survente technique, créant un potentiel de rebond, mais la structure de fond reste fragile tant que le cours n'aura pas reconquis la MM20 (15 240 FCFA). Le signal dominant est donc **neutre à légèrement acheteur contrarien**, à confirmer.</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Nestlé Côte d'Ivoire a réalisé un chiffre d'affaires de 233,26 milliards FCFA, en croissance de 5,97% sur un an, pour un résultat net de 18,43 milliards FCFA (+1,53%), soit une marge nette de 7,90% (contre 8,25% en 2024). La rentabilité des fonds propres (ROE) atteint un niveau exceptionnel de 62,28%, bien au-delà du seuil de 15%, tandis que le ROA s'établit à 9,70% et la rotation des actifs à 122,80%, témoignant d'une excellente efficacité d'exploitation. En tant qu'entreprise agroalimentaire, les points d'attention portent sur le BFR de 22,63 Mds FCFA (positif, donc consommateur de trésorerie), un délai clients élevé de 74,30 jours et une durée de stockage de 59,39 jours — ces deux indicateurs signalent un risque de trésorerie réel, confirmé par une trésorerie nette négative de -46,83 Mds FCFA et un fonds de roulement de -24,21 Mds FCFA. La structure financière est tendue : autonomie financière de seulement 15,58% (seuil sain &gt;30%), ratio d'endettement de 135,85% et liquidité générale de 79,86% (&lt;1, donc insuffisante), bien que la couverture des intérêts (473,63%) reste très confortable grâce à la forte rentabilité opérationnelle.</w:t>
      </w:r>
    </w:p>
    <w:p>
      <w:pPr>
        <w:spacing w:after="120" w:line="276" w:lineRule="auto"/>
      </w:pPr>
      <w:r>
        <w:t>**Estimations basées sur les rapports trimestriels** : Le rapport du T1 2026 (arrêté au 31 mars 2026, analysé le 01/05/2026) révèle une accélération spectaculaire : CA de 70,82 Mds FCFA (+31% sur un an) et résultat net de 7,53 Mds FCFA (+37%), avec une marge nette améliorée à 10,6%. Sur cette base, on peut estimer que l'exercice 2026 devrait afficher une croissance du CA supérieure à 15-20% et un résultat net en progression à deux chiffres, marquant une nette reprise après la stagnation de 2025 (T1 2025 en baisse de -11%, S1 2025 stable, T3 2025 en hausse de +1,36% seulement). Le rapport annuel 2025 (analysé le 01/05/2026) confirme par ailleurs une politique de dividende plus conservatrice (9,27 Mds FCFA distribués, payout de 50,3% contre 99,7% en 2024), avec une mise en réserve massive de 9,22 Mds FCFA destinée au réinvestissement — signal positif pour la croissance future mais au prix d'une baisse du rendement immédiat.</w:t>
      </w:r>
    </w:p>
    <w:p>
      <w:pPr>
        <w:spacing w:after="120" w:line="276" w:lineRule="auto"/>
      </w:pPr>
      <w:r>
        <w:t>**Recommandation fondamentale** : La solidité du modèle Nestlé (marque leader, croissance retrouvée au T1 2026, ROE exceptionnel) contraste avec des fragilités structurelles (endettement élevé, trésorerie nette négative, marges sous pression en 2025). La dynamique du T1 2026 est encourageante et pourrait générer une révision haussière des estimations, mais la valorisation exigeante (PER 17,6x, P/B 10,97x) intègre déjà une large part de ces bonnes perspectives. Recommandation fondamentale : **CONSERVER**, avec un biais positif si la croissance du T1 2026 se confirme sur les trimestres suivants.</w:t>
      </w:r>
    </w:p>
    <w:p>
      <w:pPr>
        <w:spacing w:after="120" w:line="276" w:lineRule="auto"/>
      </w:pPr>
      <w:r>
        <w:t>---</w:t>
      </w:r>
    </w:p>
    <w:p>
      <w:pPr>
        <w:spacing w:after="120" w:line="276" w:lineRule="auto"/>
      </w:pPr>
      <w:r>
        <w:t>## PARTIE 4 : CONCLUSION D'INVESTISSEMENT</w:t>
      </w:r>
    </w:p>
    <w:p>
      <w:pPr>
        <w:spacing w:after="120" w:line="276" w:lineRule="auto"/>
      </w:pPr>
      <w:r>
        <w:t>La valorisation (Partie 0) apparaît exigeante : le PER de 17,6x et surtout le P/B de 10,97x traduisent une prime de qualité déjà bien intégrée, limitant le potentiel de revalorisation malgré un EV/EBITDA raisonnable de 8,9x. Le comportement du cours (Partie 1) est mitigé : la tendance haussière de +13,03% sur 100 jours est contrebalancée par un repli de -5,16% en J-1 et une volatilité élevée de 36,2%, avec un skewness négatif (-0,848) et un kurtosis normal (0,307) qui n'écartent pas le risque de correction. Les signaux techniques (Partie 2) sont divergents — moyennes mobiles baissières contre MACD et stochastique acheteurs — configurant une phase de transition sans direction claire. Les fondamentaux (Partie 3) offrent le tableau le plus favorable : ROE de 62,28%, croissance du CA de 5,97% en 2025 et surtout accélération spectaculaire au T1 2026 (+31% de CA, +37% de résultat net), bien que la structure financière reste tendue (autonomie de 15,58%, trésorerie nette négative). Les prédictions IA (J+1 à J+10) anticipent une trajectoire légèrement haussière puis stabilisée autour de 15 130-15 200 FCFA, soit un rebond de +3% par rapport au cours actuel de 14 700 FCFA, ce qui confirme le signal d'achat contrarien du stochastique et du MACD sans valider une tendance forte.</w:t>
      </w:r>
    </w:p>
    <w:p>
      <w:pPr>
        <w:spacing w:after="120" w:line="276" w:lineRule="auto"/>
      </w:pPr>
      <w:r>
        <w:t>**Recommandation finale : CONSERVER** — La convergence est partielle : les fondamentaux (T1 2026 excellent) et les prédictions IA (rebond modéré) soutiennent le titre, mais la valorisation exigeante et les signaux techniques mixtes (moyennes mobiles baissières) plaident pour la prudence. Un achat spéculatif de court terme est envisageable sur le rebond technique, mais l'investisseur de fond doit attendre une confirmation de la reconquête de la MM20 (15 240 FCFA) et une clarification sur la soutenabilité de la trésorerie. **Niveau de confiance : Moyen** (divergence technique/fondamental). **Niveau de risque global : Moyen à Élevé** (volatilité de 36,2%, endettement de 135,85%, trésorerie nette négative). **Horizon optimal : moyen terme (3-12 mois)**, le temps que la dynamique du T1 2026 se matérialise dans les publications semestrielles et que le marché réévalue le titre sur des bases plus solides.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23.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203.66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6,393 titres</w:t>
            </w:r>
          </w:p>
        </w:tc>
        <w:tc>
          <w:tcPr>
            <w:tcW w:type="dxa" w:w="2268"/>
            <w:shd w:fill="FFF2CC" w:val="clear"/>
          </w:tcPr>
          <w:p>
            <w:r>
              <w:rPr>
                <w:b/>
                <w:color w:val="503200"/>
                <w:sz w:val="16"/>
              </w:rPr>
              <w:t xml:space="preserve">Cours actuel : </w:t>
            </w:r>
            <w:r>
              <w:rPr>
                <w:color w:val="000000"/>
                <w:sz w:val="17"/>
              </w:rPr>
              <w:t>2,995 FCFA</w:t>
            </w:r>
          </w:p>
          <w:p>
            <w:r>
              <w:rPr>
                <w:b/>
                <w:color w:val="503200"/>
                <w:sz w:val="16"/>
              </w:rPr>
              <w:t xml:space="preserve">Var. 100 jours : </w:t>
            </w:r>
            <w:r>
              <w:rPr>
                <w:b/>
                <w:color w:val="007800"/>
                <w:sz w:val="17"/>
              </w:rPr>
              <w:t>+4.90%</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2,675 FCFA</w:t>
            </w:r>
          </w:p>
          <w:p>
            <w:r>
              <w:rPr>
                <w:b/>
                <w:color w:val="503200"/>
                <w:sz w:val="16"/>
              </w:rPr>
              <w:t xml:space="preserve">Volatilité ann. : </w:t>
            </w:r>
            <w:r>
              <w:rPr>
                <w:color w:val="000000"/>
                <w:sz w:val="17"/>
              </w:rPr>
              <w:t>35.9%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2.96% (Faible) — μ=2,865 FCFA, σ=85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β=0.3347 (Défensif) — Cov=0.000026, Var(idx)=0.000077, ρ=0.133,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σ_j=2.26%/j (Stable) — Vol. annualisée≈35.9%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2,829</w:t>
            </w:r>
          </w:p>
        </w:tc>
        <w:tc>
          <w:tcPr>
            <w:tcW w:type="dxa" w:w="1440"/>
            <w:shd w:fill="FAFAFA" w:val="clear"/>
          </w:tcPr>
          <w:p>
            <w:r>
              <w:rPr>
                <w:b/>
                <w:sz w:val="17"/>
              </w:rPr>
              <w:t>2,959</w:t>
            </w:r>
          </w:p>
        </w:tc>
        <w:tc>
          <w:tcPr>
            <w:tcW w:type="dxa" w:w="1440"/>
            <w:shd w:fill="FAFAFA" w:val="clear"/>
          </w:tcPr>
          <w:p>
            <w:r>
              <w:rPr>
                <w:sz w:val="17"/>
              </w:rPr>
              <w:t>3,090</w:t>
            </w:r>
          </w:p>
        </w:tc>
        <w:tc>
          <w:tcPr>
            <w:tcW w:type="dxa" w:w="1440"/>
            <w:shd w:fill="FAFAFA" w:val="clear"/>
          </w:tcPr>
          <w:p>
            <w:r>
              <w:rPr>
                <w:b/>
                <w:color w:val="C00000"/>
                <w:sz w:val="17"/>
              </w:rPr>
              <w:t>-1.2%</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2,770</w:t>
            </w:r>
          </w:p>
        </w:tc>
        <w:tc>
          <w:tcPr>
            <w:tcW w:type="dxa" w:w="1440"/>
            <w:shd w:fill="FAFAFA" w:val="clear"/>
          </w:tcPr>
          <w:p>
            <w:r>
              <w:rPr>
                <w:b/>
                <w:sz w:val="17"/>
              </w:rPr>
              <w:t>2,954</w:t>
            </w:r>
          </w:p>
        </w:tc>
        <w:tc>
          <w:tcPr>
            <w:tcW w:type="dxa" w:w="1440"/>
            <w:shd w:fill="FAFAFA" w:val="clear"/>
          </w:tcPr>
          <w:p>
            <w:r>
              <w:rPr>
                <w:sz w:val="17"/>
              </w:rPr>
              <w:t>3,138</w:t>
            </w:r>
          </w:p>
        </w:tc>
        <w:tc>
          <w:tcPr>
            <w:tcW w:type="dxa" w:w="1440"/>
            <w:shd w:fill="FAFAFA" w:val="clear"/>
          </w:tcPr>
          <w:p>
            <w:r>
              <w:rPr>
                <w:b/>
                <w:color w:val="C00000"/>
                <w:sz w:val="17"/>
              </w:rPr>
              <w:t>-1.4%</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2,721</w:t>
            </w:r>
          </w:p>
        </w:tc>
        <w:tc>
          <w:tcPr>
            <w:tcW w:type="dxa" w:w="1440"/>
            <w:shd w:fill="FAFAFA" w:val="clear"/>
          </w:tcPr>
          <w:p>
            <w:r>
              <w:rPr>
                <w:b/>
                <w:sz w:val="17"/>
              </w:rPr>
              <w:t>2,946</w:t>
            </w:r>
          </w:p>
        </w:tc>
        <w:tc>
          <w:tcPr>
            <w:tcW w:type="dxa" w:w="1440"/>
            <w:shd w:fill="FAFAFA" w:val="clear"/>
          </w:tcPr>
          <w:p>
            <w:r>
              <w:rPr>
                <w:sz w:val="17"/>
              </w:rPr>
              <w:t>3,171</w:t>
            </w:r>
          </w:p>
        </w:tc>
        <w:tc>
          <w:tcPr>
            <w:tcW w:type="dxa" w:w="1440"/>
            <w:shd w:fill="FAFAFA" w:val="clear"/>
          </w:tcPr>
          <w:p>
            <w:r>
              <w:rPr>
                <w:b/>
                <w:color w:val="C00000"/>
                <w:sz w:val="17"/>
              </w:rPr>
              <w:t>-1.6%</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2,680</w:t>
            </w:r>
          </w:p>
        </w:tc>
        <w:tc>
          <w:tcPr>
            <w:tcW w:type="dxa" w:w="1440"/>
            <w:shd w:fill="FAFAFA" w:val="clear"/>
          </w:tcPr>
          <w:p>
            <w:r>
              <w:rPr>
                <w:b/>
                <w:sz w:val="17"/>
              </w:rPr>
              <w:t>2,939</w:t>
            </w:r>
          </w:p>
        </w:tc>
        <w:tc>
          <w:tcPr>
            <w:tcW w:type="dxa" w:w="1440"/>
            <w:shd w:fill="FAFAFA" w:val="clear"/>
          </w:tcPr>
          <w:p>
            <w:r>
              <w:rPr>
                <w:sz w:val="17"/>
              </w:rPr>
              <w:t>3,198</w:t>
            </w:r>
          </w:p>
        </w:tc>
        <w:tc>
          <w:tcPr>
            <w:tcW w:type="dxa" w:w="1440"/>
            <w:shd w:fill="FAFAFA" w:val="clear"/>
          </w:tcPr>
          <w:p>
            <w:r>
              <w:rPr>
                <w:b/>
                <w:color w:val="C00000"/>
                <w:sz w:val="17"/>
              </w:rPr>
              <w:t>-1.9%</w:t>
            </w:r>
          </w:p>
        </w:tc>
      </w:tr>
      <w:tr>
        <w:tc>
          <w:tcPr>
            <w:tcW w:type="dxa" w:w="1440"/>
            <w:shd w:fill="FFDCE0" w:val="clear"/>
          </w:tcPr>
          <w:p>
            <w:r>
              <w:rPr>
                <w:sz w:val="17"/>
              </w:rPr>
              <w:t>J+5  ⭐</w:t>
            </w:r>
          </w:p>
        </w:tc>
        <w:tc>
          <w:tcPr>
            <w:tcW w:type="dxa" w:w="1440"/>
            <w:shd w:fill="FFDCE0" w:val="clear"/>
          </w:tcPr>
          <w:p>
            <w:r>
              <w:rPr>
                <w:sz w:val="17"/>
              </w:rPr>
              <w:t>2026-10-23</w:t>
            </w:r>
          </w:p>
        </w:tc>
        <w:tc>
          <w:tcPr>
            <w:tcW w:type="dxa" w:w="1440"/>
            <w:shd w:fill="FFDCE0" w:val="clear"/>
          </w:tcPr>
          <w:p>
            <w:r>
              <w:rPr>
                <w:sz w:val="17"/>
              </w:rPr>
              <w:t>2,643</w:t>
            </w:r>
          </w:p>
        </w:tc>
        <w:tc>
          <w:tcPr>
            <w:tcW w:type="dxa" w:w="1440"/>
            <w:shd w:fill="FFDCE0" w:val="clear"/>
          </w:tcPr>
          <w:p>
            <w:r>
              <w:rPr>
                <w:b/>
                <w:sz w:val="17"/>
              </w:rPr>
              <w:t>2,931</w:t>
            </w:r>
          </w:p>
        </w:tc>
        <w:tc>
          <w:tcPr>
            <w:tcW w:type="dxa" w:w="1440"/>
            <w:shd w:fill="FFDCE0" w:val="clear"/>
          </w:tcPr>
          <w:p>
            <w:r>
              <w:rPr>
                <w:sz w:val="17"/>
              </w:rPr>
              <w:t>3,220</w:t>
            </w:r>
          </w:p>
        </w:tc>
        <w:tc>
          <w:tcPr>
            <w:tcW w:type="dxa" w:w="1440"/>
            <w:shd w:fill="FFDCE0" w:val="clear"/>
          </w:tcPr>
          <w:p>
            <w:r>
              <w:rPr>
                <w:b/>
                <w:color w:val="C00000"/>
                <w:sz w:val="17"/>
              </w:rPr>
              <w:t>-2.1%</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2,608</w:t>
            </w:r>
          </w:p>
        </w:tc>
        <w:tc>
          <w:tcPr>
            <w:tcW w:type="dxa" w:w="1440"/>
            <w:shd w:fill="FFDCE0" w:val="clear"/>
          </w:tcPr>
          <w:p>
            <w:r>
              <w:rPr>
                <w:b/>
                <w:sz w:val="17"/>
              </w:rPr>
              <w:t>2,924</w:t>
            </w:r>
          </w:p>
        </w:tc>
        <w:tc>
          <w:tcPr>
            <w:tcW w:type="dxa" w:w="1440"/>
            <w:shd w:fill="FFDCE0" w:val="clear"/>
          </w:tcPr>
          <w:p>
            <w:r>
              <w:rPr>
                <w:sz w:val="17"/>
              </w:rPr>
              <w:t>3,240</w:t>
            </w:r>
          </w:p>
        </w:tc>
        <w:tc>
          <w:tcPr>
            <w:tcW w:type="dxa" w:w="1440"/>
            <w:shd w:fill="FFDCE0" w:val="clear"/>
          </w:tcPr>
          <w:p>
            <w:r>
              <w:rPr>
                <w:b/>
                <w:color w:val="C00000"/>
                <w:sz w:val="17"/>
              </w:rPr>
              <w:t>-2.4%</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2,577</w:t>
            </w:r>
          </w:p>
        </w:tc>
        <w:tc>
          <w:tcPr>
            <w:tcW w:type="dxa" w:w="1440"/>
            <w:shd w:fill="FFDCE0" w:val="clear"/>
          </w:tcPr>
          <w:p>
            <w:r>
              <w:rPr>
                <w:b/>
                <w:sz w:val="17"/>
              </w:rPr>
              <w:t>2,917</w:t>
            </w:r>
          </w:p>
        </w:tc>
        <w:tc>
          <w:tcPr>
            <w:tcW w:type="dxa" w:w="1440"/>
            <w:shd w:fill="FFDCE0" w:val="clear"/>
          </w:tcPr>
          <w:p>
            <w:r>
              <w:rPr>
                <w:sz w:val="17"/>
              </w:rPr>
              <w:t>3,257</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2,547</w:t>
            </w:r>
          </w:p>
        </w:tc>
        <w:tc>
          <w:tcPr>
            <w:tcW w:type="dxa" w:w="1440"/>
            <w:shd w:fill="FFDCE0" w:val="clear"/>
          </w:tcPr>
          <w:p>
            <w:r>
              <w:rPr>
                <w:b/>
                <w:sz w:val="17"/>
              </w:rPr>
              <w:t>2,910</w:t>
            </w:r>
          </w:p>
        </w:tc>
        <w:tc>
          <w:tcPr>
            <w:tcW w:type="dxa" w:w="1440"/>
            <w:shd w:fill="FFDCE0" w:val="clear"/>
          </w:tcPr>
          <w:p>
            <w:r>
              <w:rPr>
                <w:sz w:val="17"/>
              </w:rPr>
              <w:t>3,273</w:t>
            </w:r>
          </w:p>
        </w:tc>
        <w:tc>
          <w:tcPr>
            <w:tcW w:type="dxa" w:w="1440"/>
            <w:shd w:fill="FFDCE0" w:val="clear"/>
          </w:tcPr>
          <w:p>
            <w:r>
              <w:rPr>
                <w:b/>
                <w:color w:val="C00000"/>
                <w:sz w:val="17"/>
              </w:rPr>
              <w:t>-2.8%</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2,519</w:t>
            </w:r>
          </w:p>
        </w:tc>
        <w:tc>
          <w:tcPr>
            <w:tcW w:type="dxa" w:w="1440"/>
            <w:shd w:fill="FFDCE0" w:val="clear"/>
          </w:tcPr>
          <w:p>
            <w:r>
              <w:rPr>
                <w:b/>
                <w:sz w:val="17"/>
              </w:rPr>
              <w:t>2,903</w:t>
            </w:r>
          </w:p>
        </w:tc>
        <w:tc>
          <w:tcPr>
            <w:tcW w:type="dxa" w:w="1440"/>
            <w:shd w:fill="FFDCE0" w:val="clear"/>
          </w:tcPr>
          <w:p>
            <w:r>
              <w:rPr>
                <w:sz w:val="17"/>
              </w:rPr>
              <w:t>3,287</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2,493</w:t>
            </w:r>
          </w:p>
        </w:tc>
        <w:tc>
          <w:tcPr>
            <w:tcW w:type="dxa" w:w="1440"/>
            <w:shd w:fill="FFDCE0" w:val="clear"/>
          </w:tcPr>
          <w:p>
            <w:r>
              <w:rPr>
                <w:b/>
                <w:sz w:val="17"/>
              </w:rPr>
              <w:t>2,896</w:t>
            </w:r>
          </w:p>
        </w:tc>
        <w:tc>
          <w:tcPr>
            <w:tcW w:type="dxa" w:w="1440"/>
            <w:shd w:fill="FFDCE0" w:val="clear"/>
          </w:tcPr>
          <w:p>
            <w:r>
              <w:rPr>
                <w:sz w:val="17"/>
              </w:rPr>
              <w:t>3,300</w:t>
            </w:r>
          </w:p>
        </w:tc>
        <w:tc>
          <w:tcPr>
            <w:tcW w:type="dxa" w:w="1440"/>
            <w:shd w:fill="FFDCE0" w:val="clear"/>
          </w:tcPr>
          <w:p>
            <w:r>
              <w:rPr>
                <w:b/>
                <w:color w:val="C00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 📊 RAPPORT D'ANALYSE FINANCIÈRE — ONTBF (ONATEL-SA, Moov Africa Burkina Faso)</w:t>
        <w:br/>
        <w:t>**Bourse Régionale des Valeurs Mobilières (BRVM) — Secteur Télécommunications**</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ONTBF affiche une capitalisation boursière de **203,66 Mds FCFA**, un niveau significatif à l'échelle de la BRVM qui positionne le titre parmi les valeurs télécoms de référence du marché régional, aux côtés de Sonatel. Le **BPA de 234 FCFA/action** traduit un bénéfice net par titre confortable, mais en net repli par rapport à l'exercice précédent (le résultat net 2025 de 15,89 Mds FCFA ayant chuté de 26%). Le **PER de 12,8x** se situe légèrement au-dessus de la fourchette moyenne BRVM (8-12x), signalant une valorisation modérée mais non excessive : les investisseurs paient un multiple raisonnable pour les bénéfices, sans prime spéculative marquée. Le **P/B de 3,54x** indique que le marché valorise le titre à plus de trois fois sa valeur comptable (capitaux propres de 57,54 Mds FCFA), traduisant une prime de croissance accordée aux actifs immatériels (réseau, base clients de 12,6 millions d'abonnés, licence). Enfin, l'**EV/EBITDA de 5,3x** demeure dans la fourchette raisonnable de 5-10x, suggérant que la valeur d'entreprise reste cohérente avec la capacité opérationnelle de génération de cash (EBE de 56,73 Mds FCFA en 2025).</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ONTBF enregistre une **variation totale de +4,90%**, avec une dernière séance particulièrement dynamique (+3,28% en J-1), portant le cours à **2 995 FCFA**. Le range de trading s'étend de **2 675 FCFA** (plus bas) à **3 070 FCFA** (plus haut), soit une amplitude de près de 15% — le titre évolue donc dans un couloir haussier modéré mais avec des oscillations notables. La tendance générale est **haussière**, soutenue par la progression du cours au-dessus de ses moyennes mobiles et par un momentum positif récent. Les statistiques descriptives révèlent une distribution très équilibrée : la **moyenne (2 865 FCFA)** et la **médiane (2 870 FCFA)** sont quasi confondues, confirmant une symétrie parfaite, corroborée par un **skewness de -0,085** (distribution symétrique, sans biais directionnel marqué). L'**écart-type de 85 FCFA** avec un **coefficient de variation de 3,0%** indique une dispersion très faible du cours autour de sa moyenne — le titre est remarquablement stable sur la période. Le **kurtosis de -0,440** (mésokurtique) signale une distribution proche de la normale, sans risque de pics extrêmes (queues épaisses), ce qui est rassurant pour la gestion du risque. Enfin, la **volatilité annualisée de 35,9%** classe le titre dans la catégorie **élevée** (&gt;30%), ce qui contraste avec la faible dispersion quotidienne : cette volatilité traduit davantage des mouvements de fond que des chocs brutaux.</w:t>
      </w:r>
    </w:p>
    <w:p>
      <w:pPr>
        <w:spacing w:after="120" w:line="276" w:lineRule="auto"/>
      </w:pPr>
      <w:r>
        <w:t>---</w:t>
      </w:r>
    </w:p>
    <w:p>
      <w:pPr>
        <w:spacing w:after="120" w:line="276" w:lineRule="auto"/>
      </w:pPr>
      <w:r>
        <w:t>## PARTIE 2 : ANALYSE TECHNIQUE DÉTAILLÉE</w:t>
      </w:r>
    </w:p>
    <w:p>
      <w:pPr>
        <w:spacing w:after="120" w:line="276" w:lineRule="auto"/>
      </w:pPr>
      <w:r>
        <w:t>**Moyennes Mobiles** : La MM20 (2 932,75 FCFA) et la MM50 (2 905,70 FCFA) se situent toutes deux **sous le cours actuel** (2 995 FCFA), avec la MM20 au-dessus de la MM50 — configuration haussière classique (croisement doré). Le cours évolue au-dessus de ses deux moyennes, confirmant la dynamique positive ; la décision technique est **Achat**.</w:t>
      </w:r>
    </w:p>
    <w:p>
      <w:pPr>
        <w:spacing w:after="120" w:line="276" w:lineRule="auto"/>
      </w:pPr>
      <w:r>
        <w:t>**Bandes de Bollinger** : Le cours (2 995 FCFA) se situe dans la moitié supérieure de la bande, entre la borne inférieure (2 777,48 FCFA) et la borne supérieure (3 088,03 FCFA), sans franchissement des extrêmes. La largeur de la bande (~310 FCFA) reflète une volatilité modérée ; le titre n'est ni en surachat ni en survente technique, d'où une décision **Neutre**.</w:t>
      </w:r>
    </w:p>
    <w:p>
      <w:pPr>
        <w:spacing w:after="120" w:line="276" w:lineRule="auto"/>
      </w:pPr>
      <w:r>
        <w:t>**MACD** : La ligne MACD (25,961) est **supérieure à sa ligne de signal** (20,957), avec un histogramme positif — configuration haussière confirmée. Le momentum est positif et le croisement récent plaide pour la poursuite du mouvement ; la décision est **Achat**.</w:t>
      </w:r>
    </w:p>
    <w:p>
      <w:pPr>
        <w:spacing w:after="120" w:line="276" w:lineRule="auto"/>
      </w:pPr>
      <w:r>
        <w:t>**RSI** : À **52,35**, le RSI se situe en zone parfaitement neutre (entre 30 et 70), sans signe de surachat (&gt;70) ni de survente (&lt;30). Le titre dispose d'un potentiel de hausse résiduel sans tension excessive ; la décision est **Neutre**.</w:t>
      </w:r>
    </w:p>
    <w:p>
      <w:pPr>
        <w:spacing w:after="120" w:line="276" w:lineRule="auto"/>
      </w:pPr>
      <w:r>
        <w:t>**Stochastique** : Le %K (81,82) est supérieur au %D (76,36), mais les deux oscillateurs évoluent en **zone de surachat** (&gt;80 pour le %K). Cette configuration suggère un essoufflement possible à court terme malgré le croisement haussier ; la décision est **Vente** (prise de profit potentielle).</w:t>
      </w:r>
    </w:p>
    <w:p>
      <w:pPr>
        <w:spacing w:after="120" w:line="276" w:lineRule="auto"/>
      </w:pPr>
      <w:r>
        <w:t>**Conclusion technique** : Les indicateurs convergent majoritairement vers un biais haussier (MM, MACD), mais deux signaux tempèrent l'enthousiasme : le RSI neutre et surtout le Stochastique en zone de surachat. La configuration globale est celle d'un **titre en tendance haussière mature**, proche d'une résistance court terme (borne supérieure de Bollinger à 3 088 FCFA), où une consolidation ou un léger repli est probable avant toute nouvelle jambe de hausse. Le signal technique global est **modérément positif mais nécessitant de la prudence à court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ONTBF (secteur télécoms, à interpréter comme entreprise et non banque malgré la classification) affiche un **chiffre d'affaires de 146,18 Mds FCFA**, en hausse de **+3,06%** (contre 141,84 Mds en 2024), porté par le FTTH (+33% de parc), l'internet mobile (+5%) et le Mobile Money (+14%). Le **résultat net s'établit à 15,89 Mds FCFA**, en **chute de -26%** par rapport aux 21,47 Mds de 2024, sous l'effet de charges exceptionnelles (indemnités de fin d'engagement, sanction ARCEP de 1,543 Md FCFA) et de la hausse des coûts énergétiques et sécuritaires. La **marge nette recule à 10,87%** (contre 15,1% en 2024), tandis que le **ROE demeure excellent à 27,61%** (bien au-dessus du seuil de 15%) et le **ROA à 4,89%**. Le **coefficient d'exploitation de 67,07%** (charges/PNB) dépasse le seuil de 60% — signal d'inefficacité opérationnelle croissante. La structure financière est **fragile** : autonomie financière de seulement **17,71%** (capitaux propres/total bilan), ratio d'endettement de **186,99%**, et liquidité générale de **36,36%** (très en dessous de 1). Le **BFR est négatif (-94,10 Mds FCFA)**, ce qui est favorable à la trésorerie, et la **CAF de 46,95 Mds FCFA** couvre 2,29x les dettes financières. Les délais clients (30,78 jours) sont maîtrisés, mais la durée de stockage (1 669 jours) révèle une immobilisation de capital préoccupante.</w:t>
      </w:r>
    </w:p>
    <w:p>
      <w:pPr>
        <w:spacing w:after="120" w:line="276" w:lineRule="auto"/>
      </w:pPr>
      <w:r>
        <w:t>**Estimations basées sur les rapports trimestriels** : Le rapport **T1 2026 (communiqué du 30 avril 2026)** montre un CA de 37,1 Mds FCFA (+2,7%) et un résultat net de 3,577 Mds FCFA (marge nette 9,6%), avec un taux de marge EBITDA maintenu à 41,3% — la pression sur les marges **persiste**. Le rapport **S1 2026 (attestation CAC du 25 septembre 2026)** ne fournit pas de chiffres mais confirme la conformité des comptes sans réserve. On estime donc que l'exercice 2026 devrait prolonger la tendance 2025 : **croissance modérée du CA (~3%) mais rentabilité encore sous pression**, avec un résultat net annuel potentiellement stabilisé autour de 15-16 Mds FCFA si les efforts d'optimisation des coûts portent leurs fruits. Le dividende proposé de **166,08 FCFA/action** (rendement de ~5,5% au cours actuel) reste attractif mais représente 70% du bénéfice distribuable — un taux de distribution élevé qui pourrait peser sur la trésorerie si la baisse des profits se poursuit.</w:t>
      </w:r>
    </w:p>
    <w:p>
      <w:pPr>
        <w:spacing w:after="120" w:line="276" w:lineRule="auto"/>
      </w:pPr>
      <w:r>
        <w:t>**Conclusion fondamentale** : ONTBF reste un **leader télécom rentable** (ROE 27,6%, CAF 47 Mds) avec des moteurs de croissance solides (FTTH, Mobile Money) et une notation GCR rehaussée à A+(WU). Cependant, la **dégradation de la rentabilité (-26% de résultat net)**, la **structure bilantielle déséquilibrée** (autonomie financière 17,7%) et les **risques réglementaires/sécuritaires** constituent des points de vigilance majeurs. La recommandation fondamentale est **CONSERVER**, en attendant des signes tangibles de redressement des marges.</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mais globalement équilibré**. Sur le plan de la **valorisation (Partie 0)**, le PER de 12,8x et le P/B de 3,54x indiquent une valorisation **légèrement tendue mais justifiée** par la qualité des actifs et la position de leader, sans surévaluation manifeste. Le **comportement du cours (Partie 1)** est favorable : tendance haussière (+4,90%), distribution symétrique (skewness -0,085), absence de risque de pics (kurtosis -0,44), mais volatilité élevée (35,9%) qui appelle à la prudence. Les **signaux techniques (Partie 2)** sont **majoritairement haussiers** (MM, MACD en Achat) mais tempérés par le Stochastique en surachat (Vente) et le RSI neutre — convergence partielle vers un essoufflement court terme. Les **fondamentaux (Partie 3)** demeurent solides sur la génération de cash et le ROE, mais la chute de -26% du résultat net 2025 et la structure bilantielle fragile pèsent sur la trajectoire. Enfin, les **prédictions IA (J+1 à J+10)** anticipent une **légère correction** de 2 959 à 2 931 FCFA (-0,9% sur 5 séances), ce qui **contredit partiellement** le momentum haussier actuel mais **confirme** le signal de surachat stochastique.</w:t>
      </w:r>
    </w:p>
    <w:p>
      <w:pPr>
        <w:spacing w:after="120" w:line="276" w:lineRule="auto"/>
      </w:pPr>
      <w:r>
        <w:t>**Recommandation finale : CONSERVER**</w:t>
        <w:br/>
        <w:t>La convergence est **modérée** : la valorisation raisonnable et les fondamentaux de génération de cash soutiennent le titre, mais la dégradation de la rentabilité, le surachat technique et les prédictions baissières à court terme invitent à la prudence. Le niveau de confiance est **Moyen** (signaux mixtes entre technique et fondamental) et le niveau de risque global est **Moyen à Élevé** (volatilité 35,9%, endettement 187%, risques sécuritaires). L'horizon d'investissement optimal est le **moyen terme (3-12 mois)** : conserver la position pour capter le dividende attractif (166 FCFA/action, rendement ~5,5%) et attendre la confirmation d'une stabilisation des marges avant tout renforcement. Un passage sous 2 900 FCFA constituerait une opportunité d'achat pour les investisseurs de long terme, tandis qu'un franchissement durable des 3 070 FCFA (plus haut) validerait une nouvelle jambe haussière.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attestation d'audit sans r\u00e9serve qui confirme la r\u00e9gularit\u00e9 des comptes semestriels, mais il ne fournit aucune donn\u00e9e financi\u00e8re permettant d'\u00e9valuer la performance ou la valorisation. En l'absence d'informations chiffr\u00e9es, aucune d\u00e9cision d'achat ou de vente ne peut \u00eatre justifi\u00e9e."}</w:t>
      </w:r>
    </w:p>
    <w:p>
      <w:pPr>
        <w:spacing w:before="40"/>
        <w:ind w:left="400"/>
      </w:pPr>
      <w:r>
        <w:rPr>
          <w:sz w:val="18"/>
        </w:rPr>
        <w:t>Le document est une attestation des commissaires aux comptes (SOFIDEC Audit &amp; Conseil et AUREC Afrique-BF) portant sur l'examen limité des comptes semestriels d'ONATEL SA pour la période du 1er janvier au 30 juin 2026. Les auditeurs concluent, sur la base de leur examen limité, qu'ils n'ont pas relevé de faits remettant en cause la sincérité du tableau d'activités et de résultat ni du rapport semestriel d'activités. Les comptes ont été établis conformément aux articles 850 et 851 de l'Acte uniforme OHADA et à la Circulaire n°004-2010 de l'AMF-UMOA. Le document ne contient aucune donnée chiffrée sur l'activité, le résultat ou la situation financière de la société. Il s'agit donc d'une attesta</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{'type_document': 'Attestation des commissaires aux comptes sur examen limité', 'capital_social': '34 000 000 000 FCFA', 'periode_couverte': '1er janvier au 30 juin 2026', 'opinion_auditeurs': 'Sans réserve (aucun fait significatif relevé)'}</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comptes semestriels d'ONATEL SA au 30 juin 2026.</w:t>
      </w:r>
    </w:p>
    <w:p>
      <w:pPr>
        <w:pStyle w:val="ListBullet"/>
        <w:spacing w:before="20" w:after="20"/>
        <w:ind w:left="700"/>
      </w:pPr>
      <w:r>
        <w:rPr>
          <w:sz w:val="18"/>
        </w:rPr>
        <w:t>Examen limité réalisé conformément au Règlement N°01/2017/CM/OHADA.</w:t>
      </w:r>
    </w:p>
    <w:p>
      <w:pPr>
        <w:pStyle w:val="ListBullet"/>
        <w:spacing w:before="20" w:after="20"/>
        <w:ind w:left="700"/>
      </w:pPr>
      <w:r>
        <w:rPr>
          <w:sz w:val="18"/>
        </w:rPr>
        <w:t>Conclusion sans réserve : aucun fait significatif remettant en cause la sincérité des comptes n'a été relevé.</w:t>
      </w:r>
    </w:p>
    <w:p>
      <w:pPr>
        <w:pStyle w:val="ListBullet"/>
        <w:spacing w:before="20" w:after="20"/>
        <w:ind w:left="700"/>
      </w:pPr>
      <w:r>
        <w:rPr>
          <w:sz w:val="18"/>
        </w:rPr>
        <w:t>Comptes établis selon les articles 850 et 851 de l'Acte uniforme OHADA.</w:t>
      </w:r>
    </w:p>
    <w:p>
      <w:pPr>
        <w:pStyle w:val="ListBullet"/>
        <w:spacing w:before="20" w:after="20"/>
        <w:ind w:left="700"/>
      </w:pPr>
      <w:r>
        <w:rPr>
          <w:sz w:val="18"/>
        </w:rPr>
        <w:t>Conformité à la Circulaire n°004-2010 de l'AMF-UMOA sur les informations diffusées par les émetteurs.</w:t>
      </w:r>
    </w:p>
    <w:p>
      <w:pPr>
        <w:pStyle w:val="ListBullet"/>
        <w:spacing w:before="20" w:after="20"/>
        <w:ind w:left="700"/>
      </w:pPr>
      <w:r>
        <w:rPr>
          <w:sz w:val="18"/>
        </w:rPr>
        <w:t>Document signé à Ouagadougou le 25 septembre 2026 par AUREC Afrique-BF et SOFIDEC-AC SARL.</w:t>
      </w:r>
    </w:p>
    <w:p>
      <w:pPr>
        <w:spacing w:before="40"/>
        <w:ind w:left="400"/>
      </w:pPr>
      <w:r>
        <w:rPr>
          <w:b/>
          <w:color w:val="C05000"/>
          <w:sz w:val="18"/>
        </w:rPr>
        <w:t xml:space="preserve">⚠️ Risques : </w:t>
      </w:r>
      <w:r>
        <w:rPr>
          <w:sz w:val="18"/>
        </w:rPr>
        <w:t>["Absence de donn\u00e9es financi\u00e8res chiffr\u00e9es emp\u00eachant toute analyse de performance et de valorisation.", "Risque li\u00e9 au caract\u00e8re limit\u00e9 de l'examen (pas d'opinion d'audit compl\u00e8te selon les normes ISA).", "Risque de change et de r\u00e9glementation t\u00e9l\u0</w:t>
      </w:r>
    </w:p>
    <w:p>
      <w:pPr>
        <w:spacing w:before="40"/>
        <w:ind w:left="400"/>
      </w:pPr>
      <w:r>
        <w:rPr>
          <w:b/>
          <w:color w:val="0064A0"/>
          <w:sz w:val="18"/>
        </w:rPr>
        <w:t xml:space="preserve">🔮 Perspectives : </w:t>
      </w:r>
      <w:r>
        <w:rPr>
          <w:sz w:val="18"/>
        </w:rPr>
        <w:t>Le document ne permet pas de formuler un outlook financier précis pour l'exercice suivant, faute de données sur l'activité et les résultats. La conclusion sans réserve des commissaires aux comptes suggère néanmoins une gouvernance et un reporting conformes aux exigences de l'AMF-UMOA. Pour une analy</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
      <w:r>
        <w:t>════════════════════════════════════════════════════════════════════════════════</w:t>
      </w:r>
    </w:p>
    <w:p>
      <w:r>
        <w:br w:type="page"/>
      </w:r>
    </w:p>
    <w:p>
      <w:pPr>
        <w:pStyle w:val="Heading2"/>
        <w:spacing w:before="360"/>
      </w:pPr>
      <w:r>
        <w:rPr>
          <w:color w:val="0066CC"/>
        </w:rPr>
        <w:t>24.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3103.50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3,522 titres</w:t>
            </w:r>
          </w:p>
        </w:tc>
        <w:tc>
          <w:tcPr>
            <w:tcW w:type="dxa" w:w="2268"/>
            <w:shd w:fill="FFF2CC" w:val="clear"/>
          </w:tcPr>
          <w:p>
            <w:r>
              <w:rPr>
                <w:b/>
                <w:color w:val="503200"/>
                <w:sz w:val="16"/>
              </w:rPr>
              <w:t xml:space="preserve">Cours actuel : </w:t>
            </w:r>
            <w:r>
              <w:rPr>
                <w:color w:val="000000"/>
                <w:sz w:val="17"/>
              </w:rPr>
              <w:t>20,600 FCFA</w:t>
            </w:r>
          </w:p>
          <w:p>
            <w:r>
              <w:rPr>
                <w:b/>
                <w:color w:val="503200"/>
                <w:sz w:val="16"/>
              </w:rPr>
              <w:t xml:space="preserve">Var. 100 jours : </w:t>
            </w:r>
            <w:r>
              <w:rPr>
                <w:b/>
                <w:color w:val="007800"/>
                <w:sz w:val="17"/>
              </w:rPr>
              <w:t>+31.21%</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15,555 FCFA</w:t>
            </w:r>
          </w:p>
          <w:p>
            <w:r>
              <w:rPr>
                <w:b/>
                <w:color w:val="503200"/>
                <w:sz w:val="16"/>
              </w:rPr>
              <w:t xml:space="preserve">Volatilité ann. : </w:t>
            </w:r>
            <w:r>
              <w:rPr>
                <w:color w:val="000000"/>
                <w:sz w:val="17"/>
              </w:rPr>
              <w:t>38.5%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13.54% (Moyenne) — μ=18,519 FCFA, σ=2,507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β=1.5725 (Agressif) — Cov=0.000121, Var(idx)=0.000077, ρ=0.583,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3,522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σ_j=2.42%/j (Stable) — Vol. annualisée≈38.5%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2026-10-19</w:t>
            </w:r>
          </w:p>
        </w:tc>
        <w:tc>
          <w:tcPr>
            <w:tcW w:type="dxa" w:w="1440"/>
            <w:shd w:fill="C6EFCE" w:val="clear"/>
          </w:tcPr>
          <w:p>
            <w:r>
              <w:rPr>
                <w:sz w:val="17"/>
              </w:rPr>
              <w:t>19,906</w:t>
            </w:r>
          </w:p>
        </w:tc>
        <w:tc>
          <w:tcPr>
            <w:tcW w:type="dxa" w:w="1440"/>
            <w:shd w:fill="C6EFCE" w:val="clear"/>
          </w:tcPr>
          <w:p>
            <w:r>
              <w:rPr>
                <w:b/>
                <w:sz w:val="17"/>
              </w:rPr>
              <w:t>21,052</w:t>
            </w:r>
          </w:p>
        </w:tc>
        <w:tc>
          <w:tcPr>
            <w:tcW w:type="dxa" w:w="1440"/>
            <w:shd w:fill="C6EFCE" w:val="clear"/>
          </w:tcPr>
          <w:p>
            <w:r>
              <w:rPr>
                <w:sz w:val="17"/>
              </w:rPr>
              <w:t>22,198</w:t>
            </w:r>
          </w:p>
        </w:tc>
        <w:tc>
          <w:tcPr>
            <w:tcW w:type="dxa" w:w="1440"/>
            <w:shd w:fill="C6EFCE" w:val="clear"/>
          </w:tcPr>
          <w:p>
            <w:r>
              <w:rPr>
                <w:b/>
                <w:color w:val="008000"/>
                <w:sz w:val="17"/>
              </w:rPr>
              <w:t>+2.2%</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19,374</w:t>
            </w:r>
          </w:p>
        </w:tc>
        <w:tc>
          <w:tcPr>
            <w:tcW w:type="dxa" w:w="1440"/>
            <w:shd w:fill="FAFAFA" w:val="clear"/>
          </w:tcPr>
          <w:p>
            <w:r>
              <w:rPr>
                <w:b/>
                <w:sz w:val="17"/>
              </w:rPr>
              <w:t>20,989</w:t>
            </w:r>
          </w:p>
        </w:tc>
        <w:tc>
          <w:tcPr>
            <w:tcW w:type="dxa" w:w="1440"/>
            <w:shd w:fill="FAFAFA" w:val="clear"/>
          </w:tcPr>
          <w:p>
            <w:r>
              <w:rPr>
                <w:sz w:val="17"/>
              </w:rPr>
              <w:t>22,605</w:t>
            </w:r>
          </w:p>
        </w:tc>
        <w:tc>
          <w:tcPr>
            <w:tcW w:type="dxa" w:w="1440"/>
            <w:shd w:fill="FAFAFA" w:val="clear"/>
          </w:tcPr>
          <w:p>
            <w:r>
              <w:rPr>
                <w:b/>
                <w:color w:val="008000"/>
                <w:sz w:val="17"/>
              </w:rPr>
              <w:t>+1.9%</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18,990</w:t>
            </w:r>
          </w:p>
        </w:tc>
        <w:tc>
          <w:tcPr>
            <w:tcW w:type="dxa" w:w="1440"/>
            <w:shd w:fill="FAFAFA" w:val="clear"/>
          </w:tcPr>
          <w:p>
            <w:r>
              <w:rPr>
                <w:b/>
                <w:sz w:val="17"/>
              </w:rPr>
              <w:t>20,967</w:t>
            </w:r>
          </w:p>
        </w:tc>
        <w:tc>
          <w:tcPr>
            <w:tcW w:type="dxa" w:w="1440"/>
            <w:shd w:fill="FAFAFA" w:val="clear"/>
          </w:tcPr>
          <w:p>
            <w:r>
              <w:rPr>
                <w:sz w:val="17"/>
              </w:rPr>
              <w:t>22,943</w:t>
            </w:r>
          </w:p>
        </w:tc>
        <w:tc>
          <w:tcPr>
            <w:tcW w:type="dxa" w:w="1440"/>
            <w:shd w:fill="FAFAFA" w:val="clear"/>
          </w:tcPr>
          <w:p>
            <w:r>
              <w:rPr>
                <w:b/>
                <w:color w:val="008000"/>
                <w:sz w:val="17"/>
              </w:rPr>
              <w:t>+1.8%</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18,670</w:t>
            </w:r>
          </w:p>
        </w:tc>
        <w:tc>
          <w:tcPr>
            <w:tcW w:type="dxa" w:w="1440"/>
            <w:shd w:fill="FAFAFA" w:val="clear"/>
          </w:tcPr>
          <w:p>
            <w:r>
              <w:rPr>
                <w:b/>
                <w:sz w:val="17"/>
              </w:rPr>
              <w:t>20,950</w:t>
            </w:r>
          </w:p>
        </w:tc>
        <w:tc>
          <w:tcPr>
            <w:tcW w:type="dxa" w:w="1440"/>
            <w:shd w:fill="FAFAFA" w:val="clear"/>
          </w:tcPr>
          <w:p>
            <w:r>
              <w:rPr>
                <w:sz w:val="17"/>
              </w:rPr>
              <w:t>23,231</w:t>
            </w:r>
          </w:p>
        </w:tc>
        <w:tc>
          <w:tcPr>
            <w:tcW w:type="dxa" w:w="1440"/>
            <w:shd w:fill="FAFAFA" w:val="clear"/>
          </w:tcPr>
          <w:p>
            <w:r>
              <w:rPr>
                <w:b/>
                <w:color w:val="008000"/>
                <w:sz w:val="17"/>
              </w:rPr>
              <w:t>+1.7%</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18,387</w:t>
            </w:r>
          </w:p>
        </w:tc>
        <w:tc>
          <w:tcPr>
            <w:tcW w:type="dxa" w:w="1440"/>
            <w:shd w:fill="FAFAFA" w:val="clear"/>
          </w:tcPr>
          <w:p>
            <w:r>
              <w:rPr>
                <w:b/>
                <w:sz w:val="17"/>
              </w:rPr>
              <w:t>20,934</w:t>
            </w:r>
          </w:p>
        </w:tc>
        <w:tc>
          <w:tcPr>
            <w:tcW w:type="dxa" w:w="1440"/>
            <w:shd w:fill="FAFAFA" w:val="clear"/>
          </w:tcPr>
          <w:p>
            <w:r>
              <w:rPr>
                <w:sz w:val="17"/>
              </w:rPr>
              <w:t>23,482</w:t>
            </w:r>
          </w:p>
        </w:tc>
        <w:tc>
          <w:tcPr>
            <w:tcW w:type="dxa" w:w="1440"/>
            <w:shd w:fill="FAFAFA" w:val="clear"/>
          </w:tcPr>
          <w:p>
            <w:r>
              <w:rPr>
                <w:b/>
                <w:color w:val="008000"/>
                <w:sz w:val="17"/>
              </w:rPr>
              <w:t>+1.6%</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18,130</w:t>
            </w:r>
          </w:p>
        </w:tc>
        <w:tc>
          <w:tcPr>
            <w:tcW w:type="dxa" w:w="1440"/>
            <w:shd w:fill="FAFAFA" w:val="clear"/>
          </w:tcPr>
          <w:p>
            <w:r>
              <w:rPr>
                <w:b/>
                <w:sz w:val="17"/>
              </w:rPr>
              <w:t>20,919</w:t>
            </w:r>
          </w:p>
        </w:tc>
        <w:tc>
          <w:tcPr>
            <w:tcW w:type="dxa" w:w="1440"/>
            <w:shd w:fill="FAFAFA" w:val="clear"/>
          </w:tcPr>
          <w:p>
            <w:r>
              <w:rPr>
                <w:sz w:val="17"/>
              </w:rPr>
              <w:t>23,707</w:t>
            </w:r>
          </w:p>
        </w:tc>
        <w:tc>
          <w:tcPr>
            <w:tcW w:type="dxa" w:w="1440"/>
            <w:shd w:fill="FAFAFA" w:val="clear"/>
          </w:tcPr>
          <w:p>
            <w:r>
              <w:rPr>
                <w:b/>
                <w:color w:val="008000"/>
                <w:sz w:val="17"/>
              </w:rPr>
              <w:t>+1.5%</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17,893</w:t>
            </w:r>
          </w:p>
        </w:tc>
        <w:tc>
          <w:tcPr>
            <w:tcW w:type="dxa" w:w="1440"/>
            <w:shd w:fill="FAFAFA" w:val="clear"/>
          </w:tcPr>
          <w:p>
            <w:r>
              <w:rPr>
                <w:b/>
                <w:sz w:val="17"/>
              </w:rPr>
              <w:t>20,903</w:t>
            </w:r>
          </w:p>
        </w:tc>
        <w:tc>
          <w:tcPr>
            <w:tcW w:type="dxa" w:w="1440"/>
            <w:shd w:fill="FAFAFA" w:val="clear"/>
          </w:tcPr>
          <w:p>
            <w:r>
              <w:rPr>
                <w:sz w:val="17"/>
              </w:rPr>
              <w:t>23,912</w:t>
            </w:r>
          </w:p>
        </w:tc>
        <w:tc>
          <w:tcPr>
            <w:tcW w:type="dxa" w:w="1440"/>
            <w:shd w:fill="FAFAFA" w:val="clear"/>
          </w:tcPr>
          <w:p>
            <w:r>
              <w:rPr>
                <w:b/>
                <w:color w:val="008000"/>
                <w:sz w:val="17"/>
              </w:rPr>
              <w:t>+1.5%</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17,673</w:t>
            </w:r>
          </w:p>
        </w:tc>
        <w:tc>
          <w:tcPr>
            <w:tcW w:type="dxa" w:w="1440"/>
            <w:shd w:fill="FAFAFA" w:val="clear"/>
          </w:tcPr>
          <w:p>
            <w:r>
              <w:rPr>
                <w:b/>
                <w:sz w:val="17"/>
              </w:rPr>
              <w:t>20,888</w:t>
            </w:r>
          </w:p>
        </w:tc>
        <w:tc>
          <w:tcPr>
            <w:tcW w:type="dxa" w:w="1440"/>
            <w:shd w:fill="FAFAFA" w:val="clear"/>
          </w:tcPr>
          <w:p>
            <w:r>
              <w:rPr>
                <w:sz w:val="17"/>
              </w:rPr>
              <w:t>24,102</w:t>
            </w:r>
          </w:p>
        </w:tc>
        <w:tc>
          <w:tcPr>
            <w:tcW w:type="dxa" w:w="1440"/>
            <w:shd w:fill="FAFAFA" w:val="clear"/>
          </w:tcPr>
          <w:p>
            <w:r>
              <w:rPr>
                <w:b/>
                <w:color w:val="008000"/>
                <w:sz w:val="17"/>
              </w:rPr>
              <w:t>+1.4%</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17,465</w:t>
            </w:r>
          </w:p>
        </w:tc>
        <w:tc>
          <w:tcPr>
            <w:tcW w:type="dxa" w:w="1440"/>
            <w:shd w:fill="FAFAFA" w:val="clear"/>
          </w:tcPr>
          <w:p>
            <w:r>
              <w:rPr>
                <w:b/>
                <w:sz w:val="17"/>
              </w:rPr>
              <w:t>20,872</w:t>
            </w:r>
          </w:p>
        </w:tc>
        <w:tc>
          <w:tcPr>
            <w:tcW w:type="dxa" w:w="1440"/>
            <w:shd w:fill="FAFAFA" w:val="clear"/>
          </w:tcPr>
          <w:p>
            <w:r>
              <w:rPr>
                <w:sz w:val="17"/>
              </w:rPr>
              <w:t>24,280</w:t>
            </w:r>
          </w:p>
        </w:tc>
        <w:tc>
          <w:tcPr>
            <w:tcW w:type="dxa" w:w="1440"/>
            <w:shd w:fill="FAFAFA" w:val="clear"/>
          </w:tcPr>
          <w:p>
            <w:r>
              <w:rPr>
                <w:b/>
                <w:color w:val="008000"/>
                <w:sz w:val="17"/>
              </w:rPr>
              <w:t>+1.3%</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17,268</w:t>
            </w:r>
          </w:p>
        </w:tc>
        <w:tc>
          <w:tcPr>
            <w:tcW w:type="dxa" w:w="1440"/>
            <w:shd w:fill="FAFAFA" w:val="clear"/>
          </w:tcPr>
          <w:p>
            <w:r>
              <w:rPr>
                <w:b/>
                <w:sz w:val="17"/>
              </w:rPr>
              <w:t>20,857</w:t>
            </w:r>
          </w:p>
        </w:tc>
        <w:tc>
          <w:tcPr>
            <w:tcW w:type="dxa" w:w="1440"/>
            <w:shd w:fill="FAFAFA" w:val="clear"/>
          </w:tcPr>
          <w:p>
            <w:r>
              <w:rPr>
                <w:sz w:val="17"/>
              </w:rPr>
              <w:t>24,447</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 RAPPORT D'ANALYSE FINANCIÈRE — ORAC (Orange Côte d'Ivoire) —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3 103,50 milliards FCFA, ORAC s'impose comme l'une des toutes premières capitalisations de la BRVM, représentant à elle seule une part significative de la capitalisation totale du marché régional — un statut de « valeur phare » qui lui confère une liquidité et une visibilité supérieures à la moyenne. Le BPA de 1 114 FCFA/action indique le bénéfice net généré par chaque titre détenu. Le PER de 18,5x se situe nettement au-dessus de la moyenne historique du marché BRVM (8-12x), signalant que les investisseurs acceptent de payer une prime pour la qualité de la croissance et la solidité du modèle Orange — une valorisation « modérée » en absolu mais exigeante relativement au marché. Le P/B de 4,38x confirme cette prime forte : le marché valorise ORAC à plus de quatre fois sa valeur comptable, reflet d'une rentabilité des fonds propres élevée (ROE de 23,7%) qui justifie en partie ce multiple. Enfin, l'EV/EBITDA de 7,4x, dans la fourchette raisonnable de 5-10x, montre que la valeur d'entreprise reste cohérente avec la capacité opérationnelle de génération de cash-flows, offrant un point d'équilibre dans une valorisation par ailleurs tendue.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ORAC affiche une progression totale remarquable de +31,21%, portée par un cours actuel de 20 600 FCFA, malgré un repli de -4,19% lors de la dernière séance qui traduit une prise de bénéfices après un rallye soutenu. Le range de trading s'étend de 15 555 FCFA (plus bas) à 22 500 FCFA (plus haut), soit une amplitude de près de 45%, illustrant une dynamique nettement haussière avec une phase de correction récente depuis les sommets. La moyenne de 18 519 FCFA se situe au-dessus de la médiane de 17 000 FCFA, écart qui révèle une distribution légèrement asymétrique tirée vers le haut par les récents pics de cours — cohérent avec un skewness positif de 0,346 qualifié de « symétrique » mais orienté à droite. L'écart-type de 2 520 FCFA avec un coefficient de variation de 13,6% indique une dispersion modérée autour de la moyenne, tandis que le kurtosis négatif de -1,652 (distribution platykurtique, aplatie) suggère une faible concentration des rendements et un risque de pics extrêmes limité — un profil de comportement relativement « lissé ». La volatilité annualisée de 38,5% positionne toutefois le titre dans la catégorie des valeurs à volatilité **élevée** (&gt;30%), ce qui est attendu pour une valeur de croissance à forte capitalisation sur un marché frontière, et appelle à une gestion prudente du risque de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(21 366,5 FCFA) et la MM50 (20 739,9 FCFA) se situent toutes deux au-dessus du cours actuel (20 600 FCFA), avec une MM20 supérieure à la MM50 — configuration qui traduit une tendance de fond haussière mais un cours en repli sous ses moyennes de court terme. La décision fournie est « Achat », cohérente avec la structure haussière des moyennes, mais le positionnement du cours sous la MM20 invite à la prudence sur le timing d'entrée.</w:t>
      </w:r>
    </w:p>
    <w:p>
      <w:pPr>
        <w:spacing w:after="120" w:line="276" w:lineRule="auto"/>
      </w:pPr>
      <w:r>
        <w:t>**Bandes de Bollinger** : Le cours (20 600 FCFA) évolue dans la partie basse de la bande, entre la borne inférieure (20 077,8 FCFA) et la borne supérieure (22 655,2 FCFA), sans franchissement des extrêmes. Cette position médiane-basse, avec une décision « Neutre », traduit une absence de signal directionnel fort et une volatilité contenue dans le canal — le titre consolide après son rallye sans rupture technique.</w:t>
      </w:r>
    </w:p>
    <w:p>
      <w:pPr>
        <w:spacing w:after="120" w:line="276" w:lineRule="auto"/>
      </w:pPr>
      <w:r>
        <w:t>**MACD** : La valeur du MACD (96,507) est nettement inférieure à son signal (248,641), configuration baissière classique avec une décision « Vente ». Cette divergence négative signale un essoufflement du momentum haussier et une pression vendeuse persistante à court terme, confirmant la correction observée depuis les sommets.</w:t>
      </w:r>
    </w:p>
    <w:p>
      <w:pPr>
        <w:spacing w:after="120" w:line="276" w:lineRule="auto"/>
      </w:pPr>
      <w:r>
        <w:t>**RSI** : À 45,919, le RSI se situe en zone neutre (30-70), sans signal de surachat (&gt;70) ni de survente (&lt;30). La décision « Neutre » reflète un équilibre entre acheteurs et vendeurs, avec une légère inclinaison baissière (sous 50) qui corrobore la consolidation en cours sans excès.</w:t>
      </w:r>
    </w:p>
    <w:p>
      <w:pPr>
        <w:spacing w:after="120" w:line="276" w:lineRule="auto"/>
      </w:pPr>
      <w:r>
        <w:t>**Stochastique** : Le %K (33,333) est inférieur au %D (46,111), avec un %K en zone basse mais non extrême — signal baissier modéré sans croisement de survente. La décision « Neutre » traduit une absence de retournement confirmé, le momentum restant faiblement négatif.</w:t>
      </w:r>
    </w:p>
    <w:p>
      <w:pPr>
        <w:spacing w:after="120" w:line="276" w:lineRule="auto"/>
      </w:pPr>
      <w:r>
        <w:t>**Conclusion technique** : Les indicateurs présentent une configuration **mitigée à légèrement baissière** à court terme — MACD vendeur, cours sous ses moyennes mobiles, stochastique orienté à la baisse — tandis que les moyennes mobiles conservent une structure haussière de fond et que le RSI/Bollinger restent neutres. Le titre est en phase de consolidation après un rallye de +31%, sans signal de retournement majeur : la tendance de fond reste positive mais le momentum immédiat appelle à la patience avant tout renforcement.</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(états financiers officiels) dressent le portrait d'une entreprise robuste et rentable : un chiffre d'affaires de 1 197,1 milliards FCFA en croissance de +10,42%, un résultat net de 167,8 milliards FCFA (marge nette de 14,02%), un ROE de 23,71% (nettement supérieur au seuil d'excellence de 15%) et un ROA de 6,57%. La structure financière est saine avec une autonomie financière de 27,71% (proche du seuil de 30%), une solvabilité générale de 138,34% et une couverture des intérêts spectaculaire de 1 018,44% (résultat d'exploitation / charges financières), témoignant d'une capacité de remboursement confortable (0,99 année de CAF). En tant qu'entreprise télécoms, les délais d'exploitation méritent attention : le délai client de 52,26 jours constitue un risque de trésorerie modéré, mais il est largement compensé par un délai fournisseur de 210,87 jours (excellent pour la trésorerie) et un BFR **négatif de -198,0 milliards FCFA** — un atout majeur de financement par les fournisseurs. La trésorerie nette positive de 113,9 milliards FCFA et le Free Cash Flow de 156,2 milliards FCFA confirment la solidité du modèle.</w:t>
      </w:r>
    </w:p>
    <w:p>
      <w:pPr>
        <w:spacing w:after="120" w:line="276" w:lineRule="auto"/>
      </w:pPr>
      <w:r>
        <w:t>Les rapports narratifs enrichissent cette lecture avec une **évolution temporelle** claire : le rapport annuel 2025 (publié le 31/12/2025) confirme le CA de 1 197,1 Mds FCFA (+10,4%) et un résultat net part du groupe de 129,1 Mds FCFA (+14,5%), avec un dividende brut proposé de 800 FCFA/action (payout de 93,3%, prélevé sur le report à nouveau). Le rapport T1 2026 (analysé le 01/05/2026) montre une **accélération** : CA de 325,6 Mds FCFA (+14,8%) et résultat net de 48,3 Mds FCFA (+25,2%), avec une marge nette en hausse à 14,8%. Le rapport S1 2026 (analysé le 09/10/2026) confirme cette dynamique : CA de 672,8 Mds FCFA (+16,1%), résultat net de 90,3 Mds FCFA (+18,3%) et EBITDAaL de 239,3 Mds FCFA (+19,2%, marge de 35,6%). **Sur la base de ces rapports trimestriels, on peut estimer que l'exercice 2026 devrait afficher une accélération de la croissance** (CA projeté autour de 1 300-1 350 Mds FCFA, soit +9-13%), avec une marge nette stabilisée autour de 13,5-14% et un résultat net en progression à deux chiffres — sous réserve de la pression fiscale (+35% d'impôts au S1 2026) et des charges commerciales. Les risques identifiés (pression fiscale et réglementaire, exposition multi-pays dont Burkina Faso et Liberia, hausse des charges financières) sont réels mais tempérés par la diversification géographique et l'effet de levier opérationnel positif. **Conclusion fondamentale : solidité confirmée, croissance accélérée en 2026, valorisation exigeante mais justifiée par la qualité des fondamentaux — profil de valeur défensive de croissance.**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titre de **haute qualité mais en phase de respiration technique**. Sur le plan de la **valorisation (Partie 0)**, le PER de 18,5x et le P/B de 4,38x traduisent une prime certaine par rapport au marché BRVM (PER moyen 8-12x), mais l'EV/EBITDA de 7,4x reste raisonnable et le ROE de 23,7% justifie ce premium — le titre n'est ni sous-évalué ni excessivement surévalué, mais « correctement valorisé pour sa qualité ». Le **comportement du cours (Partie 1)** est favorable sur la tendance (+31,21% sur 100 jours) avec une volatilité élevée (38,5%) mais un kurtosis platykurtique (-1,652) qui limite le risque de pics extrêmes et un skewness symétrique (0,346) — profil rassurant malgré la correction de -4,19% en J-1. Les **signaux techniques (Partie 2)** sont mitigés : MACD vendeur et cours sous MM20/MM50 plaident pour une consolidation court terme, mais la structure haussière des moyennes et la neutralité du RSI/Bollinger n'annoncent pas de retournement — divergence classique entre momentum court terme (baissier) et tendance de fond (haussière). Les **fondamentaux (Partie 3)** sont excellents : ROE de 23,7%, BFR négatif, FCF de 156,2 Mds FCFA, et surtout une **accélération de la croissance en 2026** (S1 2026 : CA +16,1%, RN +18,3%) qui valide la thèse d'investissement. Les **prédictions IA (J+1 à J+10)** anticipent une légère dérive baissière de 21 052 à 20 934 FCFA, cohérente avec la consolidation technique observée mais sans décrochage majeur — elles confirment la phase de respiration sans contredire la tendance de fond.</w:t>
      </w:r>
    </w:p>
    <w:p>
      <w:pPr>
        <w:spacing w:after="120" w:line="276" w:lineRule="auto"/>
      </w:pPr>
      <w:r>
        <w:t>**Recommandation finale : ACHAT** — avec un niveau de confiance **Moyen** et un niveau de risque **Moyen**. La convergence est bonne entre fondamentaux solides, valorisation justifiée et tendance de fond haussière, mais la divergence à court terme (MACD vendeur, prédictions baissières, cours sous moyennes) invite à privilégier une **entrée progressive** plutôt qu'un achat massif immédiat. L'horizon optimal est le **moyen à long terme (6 mois à &gt;1 an)** : le titre est un pilier défensif de la BRVM dont la croissance accélérée en 2026 et le dividende attractif (800 FCFA brut, rendement ~3,9% au cours actuel) récompenseront la patience, la consolidation actuelle offrant même un point d'entrée raisonnable pour les investisseurs de long terme.</w:t>
      </w:r>
    </w:p>
    <w:p>
      <w:pPr>
        <w:spacing w:after="120" w:line="276" w:lineRule="auto"/>
      </w:pPr>
      <w:r>
        <w: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d'\u00e9valuer la performance ou la valorisation de la soci\u00e9t\u00e9. En l'absence d'informations chiffr\u00e9es, aucune d\u00e9cision d'achat ou de vente ne peut \u00eatre justifi\u00e9e."}</w:t>
      </w:r>
    </w:p>
    <w:p>
      <w:pPr>
        <w:spacing w:before="40"/>
        <w:ind w:left="400"/>
      </w:pPr>
      <w:r>
        <w:rPr>
          <w:sz w:val="18"/>
        </w:rPr>
        <w:t>Le document est une attestation des commissaires aux comptes (KPMG Côte d'Ivoire UNICONSEIL et UNICONSEIL) sur les informations semestrielles consolidées d'Orange Côte d'Ivoire S.A. pour la période du 1er janvier 2026 au 30 juin 2026. Il s'agit d'une attestation établie en application de l'article 849 de l'Acte uniforme de l'OHADA, et non d'un rapport d'analyse financière détaillé. Les commissaires aux comptes ont mis en œuvre des diligences professionnelles qui ne constituent ni un audit ni un examen limité. Le document ne contient aucune donnée chiffrée sur les résultats, le bilan ou la trésorerie de la société. Par conséquent, aucune analyse financière approfondie ni recommandation d'inve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'1er janvier 2026 au 30 juin 2026', 'capital_social': '6 026 214 000 FCFA', 'referentiel_comptable': 'IFRS', 'commissaires_aux_comptes': "KPMG Côte d'Ivoire UNICONSEIL et UNICONSEIL"}</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informations semestrielles consolidées d'Orange Côte d'Ivoire S.A.</w:t>
      </w:r>
    </w:p>
    <w:p>
      <w:pPr>
        <w:pStyle w:val="ListBullet"/>
        <w:spacing w:before="20" w:after="20"/>
        <w:ind w:left="700"/>
      </w:pPr>
      <w:r>
        <w:rPr>
          <w:sz w:val="18"/>
        </w:rPr>
        <w:t>Période couverte : 1er janvier 2026 au 30 juin 2026</w:t>
      </w:r>
    </w:p>
    <w:p>
      <w:pPr>
        <w:pStyle w:val="ListBullet"/>
        <w:spacing w:before="20" w:after="20"/>
        <w:ind w:left="700"/>
      </w:pPr>
      <w:r>
        <w:rPr>
          <w:sz w:val="18"/>
        </w:rPr>
        <w:t>Établie en application de l'article 849 de l'Acte uniforme de l'OHADA relatif au droit des sociétés commerciales et du GIE</w:t>
      </w:r>
    </w:p>
    <w:p>
      <w:pPr>
        <w:pStyle w:val="ListBullet"/>
        <w:spacing w:before="20" w:after="20"/>
        <w:ind w:left="700"/>
      </w:pPr>
      <w:r>
        <w:rPr>
          <w:sz w:val="18"/>
        </w:rPr>
        <w:t>Les informations ont été établies sous la responsabilité de la direction générale, à partir de la comptabilité générale tenue selon le référentiel IFRS</w:t>
      </w:r>
    </w:p>
    <w:p>
      <w:pPr>
        <w:pStyle w:val="ListBullet"/>
        <w:spacing w:before="20" w:after="20"/>
        <w:ind w:left="700"/>
      </w:pPr>
      <w:r>
        <w:rPr>
          <w:sz w:val="18"/>
        </w:rPr>
        <w:t>Les diligences mises en œuvre ne constituent ni un audit ni un examen limité</w:t>
      </w:r>
    </w:p>
    <w:p>
      <w:pPr>
        <w:pStyle w:val="ListBullet"/>
        <w:spacing w:before="20" w:after="20"/>
        <w:ind w:left="700"/>
      </w:pPr>
      <w:r>
        <w:rPr>
          <w:sz w:val="18"/>
        </w:rPr>
        <w:t>Le document ne contient aucune donnée financière chiffrée (chiffre d'affaires, résultat net, actif, capitaux propres)</w:t>
      </w:r>
    </w:p>
    <w:p>
      <w:pPr>
        <w:spacing w:before="40"/>
        <w:ind w:left="400"/>
      </w:pPr>
      <w:r>
        <w:rPr>
          <w:b/>
          <w:color w:val="C05000"/>
          <w:sz w:val="18"/>
        </w:rPr>
        <w:t xml:space="preserve">⚠️ Risques : </w:t>
      </w:r>
      <w:r>
        <w:rPr>
          <w:sz w:val="18"/>
        </w:rPr>
        <w:t>["Absence de donn\u00e9es financi\u00e8res chiffr\u00e9es dans le document, emp\u00eachant toute \u00e9valuation des risques financiers", "Le document est une simple attestation de commissaires aux comptes, sans analyse de la situation financi\u00e8re", "Les diligences effectu\u00e9es ne constituent</w:t>
      </w:r>
    </w:p>
    <w:p>
      <w:pPr>
        <w:spacing w:before="40"/>
        <w:ind w:left="400"/>
      </w:pPr>
      <w:r>
        <w:rPr>
          <w:b/>
          <w:color w:val="0064A0"/>
          <w:sz w:val="18"/>
        </w:rPr>
        <w:t xml:space="preserve">🔮 Perspectives : </w:t>
      </w:r>
      <w:r>
        <w:rPr>
          <w:sz w:val="18"/>
        </w:rPr>
        <w:t>Aucune perspective financière ne peut être dégagée de ce document, qui se limite à une attestation de conformité des informations semestrielles. Pour formuler un outlook, il serait nécessaire de consulter les états financiers semestriels complets (bilan, compte de résultat, tableau des flux de tréso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croissance \u00e0 deux chiffres du chiffre d'affaires (+16,1%) et du r\u00e9sultat net (+18,3%) t\u00e9moigne d'une dynamique op\u00e9rationnelle solide sur les trois march\u00e9s. La progression de l'EBITDAaL et l'am\u00e9lioration du r\u00e9sultat financier renforcent la qualit\u00e9 des r\u00e9sultats et la g\u00e9n\u00e9ration de cash-flow."}</w:t>
      </w:r>
    </w:p>
    <w:p>
      <w:pPr>
        <w:spacing w:before="40"/>
        <w:ind w:left="400"/>
      </w:pPr>
      <w:r>
        <w:rPr>
          <w:sz w:val="18"/>
        </w:rPr>
        <w:t>Orange Côte d'Ivoire publie des résultats consolidés en forte croissance pour le premier semestre 2026, avec un chiffre d'affaires de 672,8 milliards FCFA en hausse de 16,1% sur un an. Cette performance est portée par les trois filiales du groupe (Côte d'Ivoire, Burkina Faso et Liberia), tirées par la data mobile, la fibre et Orange Money. L'EBITDAaL progresse de 19,2% à 239,3 milliards FCFA, traduisant une bonne maîtrise des coûts d'exploitation. Le résultat net consolidé atteint 90,3 milliards FCFA, en croissance de 18,3% par rapport au S1 2025. La dynamique commerciale et l'expansion des usages confirment la solidité du modèle économique du groupe sur l'ensemble de ses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'109,3 milliards FCFA', 'ebitdaal': '239,3 milliards FCFA', 'parc_fmi': '37 364 milliers', 'resultat_financier': '-12,8 milliards FCFA', 'resultat_exploitation': '159,6 milliards FCFA', 'impots_sur_le_resultat': '-56,6 milliards FCFA', 'resultat_activites_ordinaires': '146,8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672,8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de 672,8 milliards FCFA au S1 2026, en hausse de 16,1% (+93,4 milliards FCFA) sur un an.</w:t>
      </w:r>
    </w:p>
    <w:p>
      <w:pPr>
        <w:pStyle w:val="ListBullet"/>
        <w:spacing w:before="20" w:after="20"/>
        <w:ind w:left="700"/>
      </w:pPr>
      <w:r>
        <w:rPr>
          <w:sz w:val="18"/>
        </w:rPr>
        <w:t>EBITDAaL de 239,3 milliards FCFA, en progression de 19,2%, avec une marge d'EBITDAaL d'environ 35,6%.</w:t>
      </w:r>
    </w:p>
    <w:p>
      <w:pPr>
        <w:pStyle w:val="ListBullet"/>
        <w:spacing w:before="20" w:after="20"/>
        <w:ind w:left="700"/>
      </w:pPr>
      <w:r>
        <w:rPr>
          <w:sz w:val="18"/>
        </w:rPr>
        <w:t>Résultat d'exploitation de 159,6 milliards FCFA, en hausse de 21,1% par rapport au S1 2025.</w:t>
      </w:r>
    </w:p>
    <w:p>
      <w:pPr>
        <w:pStyle w:val="ListBullet"/>
        <w:spacing w:before="20" w:after="20"/>
        <w:ind w:left="700"/>
      </w:pPr>
      <w:r>
        <w:rPr>
          <w:sz w:val="18"/>
        </w:rPr>
        <w:t>Résultat net consolidé de 90,3 milliards FCFA, en croissance de 18,3%, soit une marge nette d'environ 13,4%.</w:t>
      </w:r>
    </w:p>
    <w:p>
      <w:pPr>
        <w:pStyle w:val="ListBullet"/>
        <w:spacing w:before="20" w:after="20"/>
        <w:ind w:left="700"/>
      </w:pPr>
      <w:r>
        <w:rPr>
          <w:sz w:val="18"/>
        </w:rPr>
        <w:t>Résultat financier négatif de -12,8 milliards FCFA, mais en amélioration de 5,9% sur un an.</w:t>
      </w:r>
    </w:p>
    <w:p>
      <w:pPr>
        <w:pStyle w:val="ListBullet"/>
        <w:spacing w:before="20" w:after="20"/>
        <w:ind w:left="700"/>
      </w:pPr>
      <w:r>
        <w:rPr>
          <w:sz w:val="18"/>
        </w:rPr>
        <w:t>Charge d'impôts en hausse de 35,0% à 56,6 milliards FCFA, pesant sur la croissance du résultat net.</w:t>
      </w:r>
    </w:p>
    <w:p>
      <w:pPr>
        <w:spacing w:before="40"/>
        <w:ind w:left="400"/>
      </w:pPr>
      <w:r>
        <w:rPr>
          <w:b/>
          <w:color w:val="C05000"/>
          <w:sz w:val="18"/>
        </w:rPr>
        <w:t xml:space="preserve">⚠️ Risques : </w:t>
      </w:r>
      <w:r>
        <w:rPr>
          <w:sz w:val="18"/>
        </w:rPr>
        <w:t>["Hausse marqu\u00e9e des charges commerciales et fiscales (+35% d'imp\u00f4ts) pouvant peser sur la rentabilit\u00e9 future.", "Exposition au risque de change et \u00e0 l'environnement macro\u00e9conomique des trois pays (C\u00f4te d'Ivoire, Burkina Faso, Liberia).", "Intensification de la concurre</w:t>
      </w:r>
    </w:p>
    <w:p>
      <w:pPr>
        <w:spacing w:before="40"/>
        <w:ind w:left="400"/>
      </w:pPr>
      <w:r>
        <w:rPr>
          <w:b/>
          <w:color w:val="0064A0"/>
          <w:sz w:val="18"/>
        </w:rPr>
        <w:t xml:space="preserve">🔮 Perspectives : </w:t>
      </w:r>
      <w:r>
        <w:rPr>
          <w:sz w:val="18"/>
        </w:rPr>
        <w:t>Le groupe devrait poursuivre sa trajectoire de croissance au second semestre 2026, soutenu par l'expansion de la data mobile, de la fibre et d'Orange Money sur ses trois marchés. La maîtrise des coûts et l'amélioration continue du résultat financier devraient permettre de maintenir la dynamique béné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
      <w:r>
        <w:t>════════════════════════════════════════════════════════════════════════════════</w:t>
      </w:r>
    </w:p>
    <w:p>
      <w:r>
        <w:br w:type="page"/>
      </w:r>
    </w:p>
    <w:p>
      <w:pPr>
        <w:pStyle w:val="Heading2"/>
        <w:spacing w:before="360"/>
      </w:pPr>
      <w:r>
        <w:rPr>
          <w:color w:val="0066CC"/>
        </w:rPr>
        <w:t>25.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192.97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4,151 titres</w:t>
            </w:r>
          </w:p>
        </w:tc>
        <w:tc>
          <w:tcPr>
            <w:tcW w:type="dxa" w:w="2268"/>
            <w:shd w:fill="FFF2CC" w:val="clear"/>
          </w:tcPr>
          <w:p>
            <w:r>
              <w:rPr>
                <w:b/>
                <w:color w:val="503200"/>
                <w:sz w:val="16"/>
              </w:rPr>
              <w:t xml:space="preserve">Cours actuel : </w:t>
            </w:r>
            <w:r>
              <w:rPr>
                <w:color w:val="000000"/>
                <w:sz w:val="17"/>
              </w:rPr>
              <w:t>2,780 FCFA</w:t>
            </w:r>
          </w:p>
          <w:p>
            <w:r>
              <w:rPr>
                <w:b/>
                <w:color w:val="503200"/>
                <w:sz w:val="16"/>
              </w:rPr>
              <w:t xml:space="preserve">Var. 100 jours : </w:t>
            </w:r>
            <w:r>
              <w:rPr>
                <w:b/>
                <w:color w:val="007800"/>
                <w:sz w:val="17"/>
              </w:rPr>
              <w:t>+1.46%</w:t>
            </w:r>
          </w:p>
          <w:p>
            <w:r>
              <w:rPr>
                <w:b/>
                <w:color w:val="503200"/>
                <w:sz w:val="16"/>
              </w:rPr>
              <w:t xml:space="preserve">Plus haut 100j : </w:t>
            </w:r>
            <w:r>
              <w:rPr>
                <w:color w:val="000000"/>
                <w:sz w:val="17"/>
              </w:rPr>
              <w:t>3,400 FCFA</w:t>
            </w:r>
          </w:p>
          <w:p>
            <w:r>
              <w:rPr>
                <w:b/>
                <w:color w:val="503200"/>
                <w:sz w:val="16"/>
              </w:rPr>
              <w:t xml:space="preserve">Plus bas 100j : </w:t>
            </w:r>
            <w:r>
              <w:rPr>
                <w:color w:val="000000"/>
                <w:sz w:val="17"/>
              </w:rPr>
              <w:t>2,600 FCFA</w:t>
            </w:r>
          </w:p>
          <w:p>
            <w:r>
              <w:rPr>
                <w:b/>
                <w:color w:val="503200"/>
                <w:sz w:val="16"/>
              </w:rPr>
              <w:t xml:space="preserve">Volatilité ann. : </w:t>
            </w:r>
            <w:r>
              <w:rPr>
                <w:color w:val="000000"/>
                <w:sz w:val="17"/>
              </w:rPr>
              <w:t>36.0%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7.64% (Moyenne) — μ=2,918 FCFA, σ=223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β=0.8351 (Neutre (suit le marché)) — Cov=0.000064, Var(idx)=0.000077, ρ=0.320,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4,151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2,663</w:t>
            </w:r>
          </w:p>
        </w:tc>
        <w:tc>
          <w:tcPr>
            <w:tcW w:type="dxa" w:w="1440"/>
            <w:shd w:fill="FAFAFA" w:val="clear"/>
          </w:tcPr>
          <w:p>
            <w:r>
              <w:rPr>
                <w:b/>
                <w:sz w:val="17"/>
              </w:rPr>
              <w:t>2,798</w:t>
            </w:r>
          </w:p>
        </w:tc>
        <w:tc>
          <w:tcPr>
            <w:tcW w:type="dxa" w:w="1440"/>
            <w:shd w:fill="FAFAFA" w:val="clear"/>
          </w:tcPr>
          <w:p>
            <w:r>
              <w:rPr>
                <w:sz w:val="17"/>
              </w:rPr>
              <w:t>2,934</w:t>
            </w:r>
          </w:p>
        </w:tc>
        <w:tc>
          <w:tcPr>
            <w:tcW w:type="dxa" w:w="1440"/>
            <w:shd w:fill="FAFAFA" w:val="clear"/>
          </w:tcPr>
          <w:p>
            <w:r>
              <w:rPr>
                <w:b/>
                <w:color w:val="008000"/>
                <w:sz w:val="17"/>
              </w:rPr>
              <w:t>+0.7%</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2,606</w:t>
            </w:r>
          </w:p>
        </w:tc>
        <w:tc>
          <w:tcPr>
            <w:tcW w:type="dxa" w:w="1440"/>
            <w:shd w:fill="FAFAFA" w:val="clear"/>
          </w:tcPr>
          <w:p>
            <w:r>
              <w:rPr>
                <w:b/>
                <w:sz w:val="17"/>
              </w:rPr>
              <w:t>2,797</w:t>
            </w:r>
          </w:p>
        </w:tc>
        <w:tc>
          <w:tcPr>
            <w:tcW w:type="dxa" w:w="1440"/>
            <w:shd w:fill="FAFAFA" w:val="clear"/>
          </w:tcPr>
          <w:p>
            <w:r>
              <w:rPr>
                <w:sz w:val="17"/>
              </w:rPr>
              <w:t>2,988</w:t>
            </w:r>
          </w:p>
        </w:tc>
        <w:tc>
          <w:tcPr>
            <w:tcW w:type="dxa" w:w="1440"/>
            <w:shd w:fill="FAFAFA" w:val="clear"/>
          </w:tcPr>
          <w:p>
            <w:r>
              <w:rPr>
                <w:b/>
                <w:color w:val="008000"/>
                <w:sz w:val="17"/>
              </w:rPr>
              <w:t>+0.6%</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2,563</w:t>
            </w:r>
          </w:p>
        </w:tc>
        <w:tc>
          <w:tcPr>
            <w:tcW w:type="dxa" w:w="1440"/>
            <w:shd w:fill="FAFAFA" w:val="clear"/>
          </w:tcPr>
          <w:p>
            <w:r>
              <w:rPr>
                <w:b/>
                <w:sz w:val="17"/>
              </w:rPr>
              <w:t>2,797</w:t>
            </w:r>
          </w:p>
        </w:tc>
        <w:tc>
          <w:tcPr>
            <w:tcW w:type="dxa" w:w="1440"/>
            <w:shd w:fill="FAFAFA" w:val="clear"/>
          </w:tcPr>
          <w:p>
            <w:r>
              <w:rPr>
                <w:sz w:val="17"/>
              </w:rPr>
              <w:t>3,032</w:t>
            </w:r>
          </w:p>
        </w:tc>
        <w:tc>
          <w:tcPr>
            <w:tcW w:type="dxa" w:w="1440"/>
            <w:shd w:fill="FAFAFA" w:val="clear"/>
          </w:tcPr>
          <w:p>
            <w:r>
              <w:rPr>
                <w:b/>
                <w:color w:val="008000"/>
                <w:sz w:val="17"/>
              </w:rPr>
              <w:t>+0.6%</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2,527</w:t>
            </w:r>
          </w:p>
        </w:tc>
        <w:tc>
          <w:tcPr>
            <w:tcW w:type="dxa" w:w="1440"/>
            <w:shd w:fill="FAFAFA" w:val="clear"/>
          </w:tcPr>
          <w:p>
            <w:r>
              <w:rPr>
                <w:b/>
                <w:sz w:val="17"/>
              </w:rPr>
              <w:t>2,798</w:t>
            </w:r>
          </w:p>
        </w:tc>
        <w:tc>
          <w:tcPr>
            <w:tcW w:type="dxa" w:w="1440"/>
            <w:shd w:fill="FAFAFA" w:val="clear"/>
          </w:tcPr>
          <w:p>
            <w:r>
              <w:rPr>
                <w:sz w:val="17"/>
              </w:rPr>
              <w:t>3,068</w:t>
            </w:r>
          </w:p>
        </w:tc>
        <w:tc>
          <w:tcPr>
            <w:tcW w:type="dxa" w:w="1440"/>
            <w:shd w:fill="FAFAFA" w:val="clear"/>
          </w:tcPr>
          <w:p>
            <w:r>
              <w:rPr>
                <w:b/>
                <w:color w:val="008000"/>
                <w:sz w:val="17"/>
              </w:rPr>
              <w:t>+0.6%</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2,495</w:t>
            </w:r>
          </w:p>
        </w:tc>
        <w:tc>
          <w:tcPr>
            <w:tcW w:type="dxa" w:w="1440"/>
            <w:shd w:fill="FAFAFA" w:val="clear"/>
          </w:tcPr>
          <w:p>
            <w:r>
              <w:rPr>
                <w:b/>
                <w:sz w:val="17"/>
              </w:rPr>
              <w:t>2,797</w:t>
            </w:r>
          </w:p>
        </w:tc>
        <w:tc>
          <w:tcPr>
            <w:tcW w:type="dxa" w:w="1440"/>
            <w:shd w:fill="FAFAFA" w:val="clear"/>
          </w:tcPr>
          <w:p>
            <w:r>
              <w:rPr>
                <w:sz w:val="17"/>
              </w:rPr>
              <w:t>3,100</w:t>
            </w:r>
          </w:p>
        </w:tc>
        <w:tc>
          <w:tcPr>
            <w:tcW w:type="dxa" w:w="1440"/>
            <w:shd w:fill="FAFAFA" w:val="clear"/>
          </w:tcPr>
          <w:p>
            <w:r>
              <w:rPr>
                <w:b/>
                <w:color w:val="008000"/>
                <w:sz w:val="17"/>
              </w:rPr>
              <w:t>+0.6%</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2,465</w:t>
            </w:r>
          </w:p>
        </w:tc>
        <w:tc>
          <w:tcPr>
            <w:tcW w:type="dxa" w:w="1440"/>
            <w:shd w:fill="FAFAFA" w:val="clear"/>
          </w:tcPr>
          <w:p>
            <w:r>
              <w:rPr>
                <w:b/>
                <w:sz w:val="17"/>
              </w:rPr>
              <w:t>2,797</w:t>
            </w:r>
          </w:p>
        </w:tc>
        <w:tc>
          <w:tcPr>
            <w:tcW w:type="dxa" w:w="1440"/>
            <w:shd w:fill="FAFAFA" w:val="clear"/>
          </w:tcPr>
          <w:p>
            <w:r>
              <w:rPr>
                <w:sz w:val="17"/>
              </w:rPr>
              <w:t>3,128</w:t>
            </w:r>
          </w:p>
        </w:tc>
        <w:tc>
          <w:tcPr>
            <w:tcW w:type="dxa" w:w="1440"/>
            <w:shd w:fill="FAFAFA" w:val="clear"/>
          </w:tcPr>
          <w:p>
            <w:r>
              <w:rPr>
                <w:b/>
                <w:color w:val="008000"/>
                <w:sz w:val="17"/>
              </w:rPr>
              <w:t>+0.6%</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2,438</w:t>
            </w:r>
          </w:p>
        </w:tc>
        <w:tc>
          <w:tcPr>
            <w:tcW w:type="dxa" w:w="1440"/>
            <w:shd w:fill="FAFAFA" w:val="clear"/>
          </w:tcPr>
          <w:p>
            <w:r>
              <w:rPr>
                <w:b/>
                <w:sz w:val="17"/>
              </w:rPr>
              <w:t>2,796</w:t>
            </w:r>
          </w:p>
        </w:tc>
        <w:tc>
          <w:tcPr>
            <w:tcW w:type="dxa" w:w="1440"/>
            <w:shd w:fill="FAFAFA" w:val="clear"/>
          </w:tcPr>
          <w:p>
            <w:r>
              <w:rPr>
                <w:sz w:val="17"/>
              </w:rPr>
              <w:t>3,154</w:t>
            </w:r>
          </w:p>
        </w:tc>
        <w:tc>
          <w:tcPr>
            <w:tcW w:type="dxa" w:w="1440"/>
            <w:shd w:fill="FAFAFA" w:val="clear"/>
          </w:tcPr>
          <w:p>
            <w:r>
              <w:rPr>
                <w:b/>
                <w:color w:val="008000"/>
                <w:sz w:val="17"/>
              </w:rPr>
              <w:t>+0.6%</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2,413</w:t>
            </w:r>
          </w:p>
        </w:tc>
        <w:tc>
          <w:tcPr>
            <w:tcW w:type="dxa" w:w="1440"/>
            <w:shd w:fill="FAFAFA" w:val="clear"/>
          </w:tcPr>
          <w:p>
            <w:r>
              <w:rPr>
                <w:b/>
                <w:sz w:val="17"/>
              </w:rPr>
              <w:t>2,796</w:t>
            </w:r>
          </w:p>
        </w:tc>
        <w:tc>
          <w:tcPr>
            <w:tcW w:type="dxa" w:w="1440"/>
            <w:shd w:fill="FAFAFA" w:val="clear"/>
          </w:tcPr>
          <w:p>
            <w:r>
              <w:rPr>
                <w:sz w:val="17"/>
              </w:rPr>
              <w:t>3,178</w:t>
            </w:r>
          </w:p>
        </w:tc>
        <w:tc>
          <w:tcPr>
            <w:tcW w:type="dxa" w:w="1440"/>
            <w:shd w:fill="FAFAFA" w:val="clear"/>
          </w:tcPr>
          <w:p>
            <w:r>
              <w:rPr>
                <w:b/>
                <w:color w:val="008000"/>
                <w:sz w:val="17"/>
              </w:rPr>
              <w:t>+0.6%</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2,389</w:t>
            </w:r>
          </w:p>
        </w:tc>
        <w:tc>
          <w:tcPr>
            <w:tcW w:type="dxa" w:w="1440"/>
            <w:shd w:fill="FAFAFA" w:val="clear"/>
          </w:tcPr>
          <w:p>
            <w:r>
              <w:rPr>
                <w:b/>
                <w:sz w:val="17"/>
              </w:rPr>
              <w:t>2,795</w:t>
            </w:r>
          </w:p>
        </w:tc>
        <w:tc>
          <w:tcPr>
            <w:tcW w:type="dxa" w:w="1440"/>
            <w:shd w:fill="FAFAFA" w:val="clear"/>
          </w:tcPr>
          <w:p>
            <w:r>
              <w:rPr>
                <w:sz w:val="17"/>
              </w:rPr>
              <w:t>3,201</w:t>
            </w:r>
          </w:p>
        </w:tc>
        <w:tc>
          <w:tcPr>
            <w:tcW w:type="dxa" w:w="1440"/>
            <w:shd w:fill="FAFAFA" w:val="clear"/>
          </w:tcPr>
          <w:p>
            <w:r>
              <w:rPr>
                <w:b/>
                <w:color w:val="008000"/>
                <w:sz w:val="17"/>
              </w:rPr>
              <w:t>+0.5%</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2,367</w:t>
            </w:r>
          </w:p>
        </w:tc>
        <w:tc>
          <w:tcPr>
            <w:tcW w:type="dxa" w:w="1440"/>
            <w:shd w:fill="FAFAFA" w:val="clear"/>
          </w:tcPr>
          <w:p>
            <w:r>
              <w:rPr>
                <w:b/>
                <w:sz w:val="17"/>
              </w:rPr>
              <w:t>2,795</w:t>
            </w:r>
          </w:p>
        </w:tc>
        <w:tc>
          <w:tcPr>
            <w:tcW w:type="dxa" w:w="1440"/>
            <w:shd w:fill="FAFAFA" w:val="clear"/>
          </w:tcPr>
          <w:p>
            <w:r>
              <w:rPr>
                <w:sz w:val="17"/>
              </w:rPr>
              <w:t>3,222</w:t>
            </w:r>
          </w:p>
        </w:tc>
        <w:tc>
          <w:tcPr>
            <w:tcW w:type="dxa" w:w="1440"/>
            <w:shd w:fill="FAFAFA" w:val="clear"/>
          </w:tcPr>
          <w:p>
            <w:r>
              <w:rPr>
                <w:b/>
                <w:color w:val="008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 📊 RAPPORT D'ANALYSE FINANCIÈRE — ORAGROUP (ORGT)</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**192,97 Mds FCFA**, ORGT se positionne comme une valeur bancaire de premier plan sur la cote BRVM, reflétant l'importance systémique du groupe Orabank dans l'UEMOA. Le **BPA de 312 FCFA/action** traduit un bénéfice net par titre redevenu positif après l'exercice 2024 catastrophique, et le **PER de 8,9x** situe le titre sous la moyenne BRVM (~8-12x), suggérant une valorisation raisonnable voire légèrement sous-évaluée au regard des bénéfices. Le **P/B de 1,71x** indique que le marché valorise l'action à 71% au-dessus de sa valeur comptable, ce qui reste dans la fourchette raisonnable (1-2x) pour une banque en redressement. En revanche, l'**EV/EBITDA de 19,3x** apparaît très exigeant (&gt;15x), signalant que la valeur d'entreprise intègre déjà une bonne part d'anticipations de reprise opérationnelle — un point de vigilance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ORGT affiche une **variation totale quasi stable de +1,46%**, mais la dernière séance (J-1) enregistre un repli de **-1,07%** à **2 780 FCFA**, traduisant une pression vendeuse de court terme. Le range de trading s'étend de **2 600 FCFA (plus bas)** à **3 400 FCFA (plus haut)**, soit une amplitude de 30,8% qui témoigne d'une réelle nervosité du titre. La tendance générale est baissière depuis le pic de 3 400 FCFA, le cours évoluant désormais sous ses moyennes mobiles. Les statistiques descriptives révèlent une **moyenne de 2 918 FCFA** supérieure à la **médiane de 2 875 FCFA**, avec un mode à 2 680 FCFA : l'écart moyenne-médiane confirme une légère asymétrie positive (skewness de 0,347, distribution quasi symétrique) tirée par quelques séances haussières. L'**écart-type de 224 FCFA (CV=7,7%)** indique une dispersion modérée autour de la moyenne, tandis que le **kurtosis de -1,228 (platykurtique)** signale une distribution aplatie, sans pics extrêmes marqués — un profil de risque relativement lissé. La **volatilité annualisée de 36,0%** classe le titre dans la catégorie **élevée (&gt;30%)**, cohérente avec une valeur en phase de redressement et de forte sensibilité aux annonces fondamentales.</w:t>
      </w:r>
    </w:p>
    <w:p>
      <w:pPr>
        <w:spacing w:after="120" w:line="276" w:lineRule="auto"/>
      </w:pPr>
      <w:r>
        <w:t>---</w:t>
      </w:r>
    </w:p>
    <w:p>
      <w:pPr>
        <w:spacing w:after="120" w:line="276" w:lineRule="auto"/>
      </w:pPr>
      <w:r>
        <w:t>## PARTIE 2 : ANALYSE TECHNIQUE DÉTAILLÉE</w:t>
      </w:r>
    </w:p>
    <w:p>
      <w:pPr>
        <w:spacing w:after="120" w:line="276" w:lineRule="auto"/>
      </w:pPr>
      <w:r>
        <w:t>**Moyennes Mobiles :** La MM20 (2 937 FCFA) et la MM50 (3 087,3 FCFA) se situent toutes deux **au-dessus du cours actuel (2 780 FCFA)**, configurant une structure baissière avec le prix sous ses moyennes. La MM20 sous la MM50 confirme la pression descendante de court terme, justifiant la **décision de Vente** émise par le système.</w:t>
      </w:r>
    </w:p>
    <w:p>
      <w:pPr>
        <w:spacing w:after="120" w:line="276" w:lineRule="auto"/>
      </w:pPr>
      <w:r>
        <w:t>**Bandes de Bollinger :** Le cours (2 780 FCFA) évolue dans la partie basse de la bande, proche de la **borne inférieure (2 705,13 FCFA)** et loin de la borne supérieure (3 168,87 FCFA). Cette position suggère un potentiel de rebond technique vers la moyenne, mais la largeur des bandes traduit une volatilité encore élevée. La **décision Neutre** reflète cette configuration ambiguë entre survente relative et absence de signal directionnel fort.</w:t>
      </w:r>
    </w:p>
    <w:p>
      <w:pPr>
        <w:spacing w:after="120" w:line="276" w:lineRule="auto"/>
      </w:pPr>
      <w:r>
        <w:t>**MACD :** La valeur du MACD (**-81,048**) est inférieure à son signal (**-64,228**), avec un histogramme négatif qui confirme un **momentum baissier persistant**. La divergence négative entre les deux lignes valide la **décision de Vente**, bien que l'amplitude du MACD suggère une possible exhaustion de la baisse à moyen terme.</w:t>
      </w:r>
    </w:p>
    <w:p>
      <w:pPr>
        <w:spacing w:after="120" w:line="276" w:lineRule="auto"/>
      </w:pPr>
      <w:r>
        <w:t>**RSI :** À **34,483**, le RSI se situe dans la zone neutre basse (30-70), proche du seuil de survente (30) sans l'atteindre. Cette configuration indique une pression vendeuse modérée mais pas de capitulation, justifiant la **décision Neutre** — le titre n'est ni survendu ni suracheté.</w:t>
      </w:r>
    </w:p>
    <w:p>
      <w:pPr>
        <w:spacing w:after="120" w:line="276" w:lineRule="auto"/>
      </w:pPr>
      <w:r>
        <w:t>**Stochastique :** Le %K et le %D sont tous deux à **0,0**, position extrême de survente absolue. Bien que le signal technique émette une **décision d'Achat** (rebond anticipé depuis la zone de survente), ce niveau nul doit être interprété avec prudence : il peut refléter un essoufflement baissier ou une absence de flux acheteur.</w:t>
      </w:r>
    </w:p>
    <w:p>
      <w:pPr>
        <w:spacing w:after="120" w:line="276" w:lineRule="auto"/>
      </w:pPr>
      <w:r>
        <w:t>**Conclusion technique :** Les indicateurs sont **majoritairement baissiers** (MM, MACD) avec un RSI neutre-bas et un stochastique en survente extrême. La convergence MM/MACD vers la vente contraste avec le signal d'achat stochastique, créant une **divergence technique**. Le titre se trouve à un point d'inflexion : soit un rebond technique depuis la survente, soit une poursuite de la correction vers le support de 2 600 FCFA. La prudence est de mise tant que le cours reste sous la MM20.</w:t>
      </w:r>
    </w:p>
    <w:p>
      <w:pPr>
        <w:spacing w:after="120" w:line="276" w:lineRule="auto"/>
      </w:pPr>
      <w:r>
        <w:t>---</w:t>
      </w:r>
    </w:p>
    <w:p>
      <w:pPr>
        <w:spacing w:after="120" w:line="276" w:lineRule="auto"/>
      </w:pPr>
      <w:r>
        <w:t>## PARTIE 3 : ANALYSE FONDAMENTALE (SECTION CRITIQUE)</w:t>
      </w:r>
    </w:p>
    <w:p>
      <w:pPr>
        <w:spacing w:after="120" w:line="276" w:lineRule="auto"/>
      </w:pPr>
      <w:r>
        <w:t>**Données structurées — Exercice 2025 (états financiers officiels) :** Oragroup affiche un **PNB de 186,609 Mds FCFA** en 2025, en **recul de -4,52%** par rapport aux 195,436 Mds FCFA de 2024, traduisant une contraction de l'activité commerciale. Le **résultat net consolidé s'établit à 21,643 Mds FCFA**, marquant un **redressement spectaculaire** après la perte abyssale de -44,363 Mds FCFA en 2024. Le **ROE de 19,13%** (&gt;15%, excellent) et le **ROA de 0,54%** confirment la restauration de la rentabilité des fonds propres, tandis que la **marge nette de 11,60%** est solide pour le secteur. Spécificité bancaire : le **coefficient d'exploitation de 42,85%** (&lt;50%) classe Oragroup parmi les banques **très efficaces**, et le **coût du risque de 3,74%** (provisions/charges financières) reste contenu, signe d'un portefeuille assaini. La structure bilancielle montre des **dépôts clientèle de 3 088,7 Mds FCFA** face à des **créances clientèle de 1 523,8 Mds FCFA**, soit un ratio de transformation de ~49% — une marge de progression existe sur le déploiement du crédit. Les **capitaux propres de 113,165 Mds FCFA** (+17% vs 2024) renforcent la solvabilité, bien que l'autonomie financière (2,82%) reste structurellement faible pour une banque (normal, le bilan étant dominé par les dépôts).</w:t>
      </w:r>
    </w:p>
    <w:p>
      <w:pPr>
        <w:spacing w:after="120" w:line="276" w:lineRule="auto"/>
      </w:pPr>
      <w:r>
        <w:t>**Estimations basées sur les rapports trimestriels :** Le rapport **T1 2026 (publié en 2026)** confirme la poursuite de la dynamique : PNB de 50,124 Mds FCFA (-2%) mais **résultat net de 6,555 Mds FCFA (+37%)**, avec des dépôts en hausse de 14% à 3 343 Mds FCFA et un coût du risque en baisse de 10%. Sur cette base, **on estime que l'exercice 2026 devrait consolider le redressement** avec un résultat net annuel potentiellement supérieur à 25 Mds FCFA si la tendance se maintient. Les rapports **S1 2025 (30/06/2025)** et **T3 2025 (30/09/2025)** confirment la trajectoire : résultat net de 18,3 Mds au S1 (+232%) et 19,6 Mds à fin septembre (+248%), portés par la réduction drastique du coût du risque (-84% au S1) et la maîtrise des frais généraux (-19%). **Point d'attention** : l'AG mixte du 23 juillet 2026 (document officiel du 03/07/2026) confirme une **perte nette sociale de -8,04 Mds FCFA** au niveau de la holding et **l'absence de dividende** pour 2025, limitant l'attrait pour les investisseurs recherchant du rendement.</w:t>
      </w:r>
    </w:p>
    <w:p>
      <w:pPr>
        <w:spacing w:after="120" w:line="276" w:lineRule="auto"/>
      </w:pPr>
      <w:r>
        <w:t>**Recommandation fondamentale :** La solidité financière est en nette amélioration (ROE 19,1%, coefficient d'exploitation 42,9%, capitaux propres +17%), mais la **faiblesse du PNB (-4,5%)** et l'absence de dividende tempèrent l'enthousiasme. Le redressement est réel mais **dépend encore largement de la normalisation du coût du risque** plutôt que d'une croissance organique. Recommandation fondamentale : **CONSERVER**, avec un potentiel d'amélioration si le PNB se stabilise en 2026.</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Sur le plan de la **valorisation (Partie 0)**, le PER de 8,9x et le P/B de 1,71x suggèrent une valorisation raisonnable voire légèrement sous-évaluée, mais l'EV/EBITDA de 19,3x tempère cette lecture en intégrant déjà les anticipations de reprise. Le **comportement du cours (Partie 1)** est préoccupant à court terme : tendance baissière depuis 3 400 FCFA, volatilité élevée (36%), distribution platykurtique sans pics extrêmes mais momentum négatif. Les **signaux techniques (Partie 2)** sont majoritairement baissiers (MM, MACD) avec une divergence stochastique en survente extrême (%K=%D=0), créant une incertitude directionnelle. Les **fondamentaux (Partie 3)** offrent le tableau le plus encourageant : redressement spectaculaire du résultat net (21,6 Mds en 2025 vs -44,4 Mds en 2024), ROE de 19,1%, coefficient d'exploitation de 42,9%, et confirmation par le T1 2026 (+37% de résultat net) — mais la baisse du PNB et l'absence de dividende limitent le catalyseur haussier. Les **prédictions IA (J+1 à J+10)** anticipent une **stabilisation autour de 2 797-2 798 FCFA**, soit une quasi-stagnation qui **contredit la poursuite de la baisse** suggérée par les MM/MACD mais **ne confirme pas non plus un rebond franc** — une trajectoire de consolidation latérale cohérente avec la divergence technique observée.</w:t>
      </w:r>
    </w:p>
    <w:p>
      <w:pPr>
        <w:spacing w:after="120" w:line="276" w:lineRule="auto"/>
      </w:pPr>
      <w:r>
        <w:t>**Recommandation finale : CONSERVER** — Le titre présente un profil de **redressement fondamental solide mais une dynamique technique baissière non résolue**, avec des prédictions IA de stagnation qui plaident pour l'attentisme. La convergence est **partielle** : fondamental haussier vs technique baissier vs prédiction neutre. **Niveau de confiance : Moyen** (divergence entre signaux). **Niveau de risque global : Élevé** (volatilité 36%, dépendance au coût du risque, absence de dividende). **Horizon d'investissement optimal : moyen terme (3-12 mois)** — le temps que la dynamique commerciale (PNB) se stabilise et que les indicateurs techniques se retournent, avec un point d'entrée plus favorable envisageable vers 2 600-2 700 FCFA (support) pour les investisseurs non positionnés.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26.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117.49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4,422 titres</w:t>
            </w:r>
          </w:p>
        </w:tc>
        <w:tc>
          <w:tcPr>
            <w:tcW w:type="dxa" w:w="2268"/>
            <w:shd w:fill="FFF2CC" w:val="clear"/>
          </w:tcPr>
          <w:p>
            <w:r>
              <w:rPr>
                <w:b/>
                <w:color w:val="503200"/>
                <w:sz w:val="16"/>
              </w:rPr>
              <w:t xml:space="preserve">Cours actuel : </w:t>
            </w:r>
            <w:r>
              <w:rPr>
                <w:color w:val="000000"/>
                <w:sz w:val="17"/>
              </w:rPr>
              <w:t>7,600 FCFA</w:t>
            </w:r>
          </w:p>
          <w:p>
            <w:r>
              <w:rPr>
                <w:b/>
                <w:color w:val="503200"/>
                <w:sz w:val="16"/>
              </w:rPr>
              <w:t xml:space="preserve">Var. 100 jours : </w:t>
            </w:r>
            <w:r>
              <w:rPr>
                <w:b/>
                <w:color w:val="B40000"/>
                <w:sz w:val="17"/>
              </w:rPr>
              <w:t>-2.56%</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7,600 FCFA</w:t>
            </w:r>
          </w:p>
          <w:p>
            <w:r>
              <w:rPr>
                <w:b/>
                <w:color w:val="503200"/>
                <w:sz w:val="16"/>
              </w:rPr>
              <w:t xml:space="preserve">Volatilité ann. : </w:t>
            </w:r>
            <w:r>
              <w:rPr>
                <w:color w:val="000000"/>
                <w:sz w:val="17"/>
              </w:rPr>
              <w:t>34.1%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5.38% (Moyenne) — μ=8,630 FCFA, σ=464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β=0.0954 (Défensif) — Cov=0.000007, Var(idx)=0.000077, ρ=0.039,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4,422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σ_j=2.15%/j (Stable) — Vol. annualisée≈34.1%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7,371</w:t>
            </w:r>
          </w:p>
        </w:tc>
        <w:tc>
          <w:tcPr>
            <w:tcW w:type="dxa" w:w="1440"/>
            <w:shd w:fill="FAFAFA" w:val="clear"/>
          </w:tcPr>
          <w:p>
            <w:r>
              <w:rPr>
                <w:b/>
                <w:sz w:val="17"/>
              </w:rPr>
              <w:t>7,596</w:t>
            </w:r>
          </w:p>
        </w:tc>
        <w:tc>
          <w:tcPr>
            <w:tcW w:type="dxa" w:w="1440"/>
            <w:shd w:fill="FAFAFA" w:val="clear"/>
          </w:tcPr>
          <w:p>
            <w:r>
              <w:rPr>
                <w:sz w:val="17"/>
              </w:rPr>
              <w:t>7,822</w:t>
            </w:r>
          </w:p>
        </w:tc>
        <w:tc>
          <w:tcPr>
            <w:tcW w:type="dxa" w:w="1440"/>
            <w:shd w:fill="FAFAFA" w:val="clear"/>
          </w:tcPr>
          <w:p>
            <w:r>
              <w:rPr>
                <w:b/>
                <w:color w:val="C00000"/>
                <w:sz w:val="17"/>
              </w:rPr>
              <w:t>-0.0%</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7,248</w:t>
            </w:r>
          </w:p>
        </w:tc>
        <w:tc>
          <w:tcPr>
            <w:tcW w:type="dxa" w:w="1440"/>
            <w:shd w:fill="FAFAFA" w:val="clear"/>
          </w:tcPr>
          <w:p>
            <w:r>
              <w:rPr>
                <w:b/>
                <w:sz w:val="17"/>
              </w:rPr>
              <w:t>7,566</w:t>
            </w:r>
          </w:p>
        </w:tc>
        <w:tc>
          <w:tcPr>
            <w:tcW w:type="dxa" w:w="1440"/>
            <w:shd w:fill="FAFAFA" w:val="clear"/>
          </w:tcPr>
          <w:p>
            <w:r>
              <w:rPr>
                <w:sz w:val="17"/>
              </w:rPr>
              <w:t>7,884</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7,153</w:t>
            </w:r>
          </w:p>
        </w:tc>
        <w:tc>
          <w:tcPr>
            <w:tcW w:type="dxa" w:w="1440"/>
            <w:shd w:fill="FAFAFA" w:val="clear"/>
          </w:tcPr>
          <w:p>
            <w:r>
              <w:rPr>
                <w:b/>
                <w:sz w:val="17"/>
              </w:rPr>
              <w:t>7,541</w:t>
            </w:r>
          </w:p>
        </w:tc>
        <w:tc>
          <w:tcPr>
            <w:tcW w:type="dxa" w:w="1440"/>
            <w:shd w:fill="FAFAFA" w:val="clear"/>
          </w:tcPr>
          <w:p>
            <w:r>
              <w:rPr>
                <w:sz w:val="17"/>
              </w:rPr>
              <w:t>7,928</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2026-10-22</w:t>
            </w:r>
          </w:p>
        </w:tc>
        <w:tc>
          <w:tcPr>
            <w:tcW w:type="dxa" w:w="1440"/>
            <w:shd w:fill="FAFAFA" w:val="clear"/>
          </w:tcPr>
          <w:p>
            <w:r>
              <w:rPr>
                <w:sz w:val="17"/>
              </w:rPr>
              <w:t>7,070</w:t>
            </w:r>
          </w:p>
        </w:tc>
        <w:tc>
          <w:tcPr>
            <w:tcW w:type="dxa" w:w="1440"/>
            <w:shd w:fill="FAFAFA" w:val="clear"/>
          </w:tcPr>
          <w:p>
            <w:r>
              <w:rPr>
                <w:b/>
                <w:sz w:val="17"/>
              </w:rPr>
              <w:t>7,517</w:t>
            </w:r>
          </w:p>
        </w:tc>
        <w:tc>
          <w:tcPr>
            <w:tcW w:type="dxa" w:w="1440"/>
            <w:shd w:fill="FAFAFA" w:val="clear"/>
          </w:tcPr>
          <w:p>
            <w:r>
              <w:rPr>
                <w:sz w:val="17"/>
              </w:rPr>
              <w:t>7,963</w:t>
            </w:r>
          </w:p>
        </w:tc>
        <w:tc>
          <w:tcPr>
            <w:tcW w:type="dxa" w:w="1440"/>
            <w:shd w:fill="FAFAFA" w:val="clear"/>
          </w:tcPr>
          <w:p>
            <w:r>
              <w:rPr>
                <w:b/>
                <w:color w:val="C00000"/>
                <w:sz w:val="17"/>
              </w:rPr>
              <w:t>-1.1%</w:t>
            </w:r>
          </w:p>
        </w:tc>
      </w:tr>
      <w:tr>
        <w:tc>
          <w:tcPr>
            <w:tcW w:type="dxa" w:w="1440"/>
            <w:shd w:fill="FAFAFA" w:val="clear"/>
          </w:tcPr>
          <w:p>
            <w:r>
              <w:rPr>
                <w:sz w:val="17"/>
              </w:rPr>
              <w:t>J+5  Moyenne</w:t>
            </w:r>
          </w:p>
        </w:tc>
        <w:tc>
          <w:tcPr>
            <w:tcW w:type="dxa" w:w="1440"/>
            <w:shd w:fill="FAFAFA" w:val="clear"/>
          </w:tcPr>
          <w:p>
            <w:r>
              <w:rPr>
                <w:sz w:val="17"/>
              </w:rPr>
              <w:t>2026-10-23</w:t>
            </w:r>
          </w:p>
        </w:tc>
        <w:tc>
          <w:tcPr>
            <w:tcW w:type="dxa" w:w="1440"/>
            <w:shd w:fill="FAFAFA" w:val="clear"/>
          </w:tcPr>
          <w:p>
            <w:r>
              <w:rPr>
                <w:sz w:val="17"/>
              </w:rPr>
              <w:t>6,997</w:t>
            </w:r>
          </w:p>
        </w:tc>
        <w:tc>
          <w:tcPr>
            <w:tcW w:type="dxa" w:w="1440"/>
            <w:shd w:fill="FAFAFA" w:val="clear"/>
          </w:tcPr>
          <w:p>
            <w:r>
              <w:rPr>
                <w:b/>
                <w:sz w:val="17"/>
              </w:rPr>
              <w:t>7,494</w:t>
            </w:r>
          </w:p>
        </w:tc>
        <w:tc>
          <w:tcPr>
            <w:tcW w:type="dxa" w:w="1440"/>
            <w:shd w:fill="FAFAFA" w:val="clear"/>
          </w:tcPr>
          <w:p>
            <w:r>
              <w:rPr>
                <w:sz w:val="17"/>
              </w:rPr>
              <w:t>7,992</w:t>
            </w:r>
          </w:p>
        </w:tc>
        <w:tc>
          <w:tcPr>
            <w:tcW w:type="dxa" w:w="1440"/>
            <w:shd w:fill="FAFAFA" w:val="clear"/>
          </w:tcPr>
          <w:p>
            <w:r>
              <w:rPr>
                <w:b/>
                <w:color w:val="C00000"/>
                <w:sz w:val="17"/>
              </w:rPr>
              <w:t>-1.4%</w:t>
            </w:r>
          </w:p>
        </w:tc>
      </w:tr>
      <w:tr>
        <w:tc>
          <w:tcPr>
            <w:tcW w:type="dxa" w:w="1440"/>
            <w:shd w:fill="FAFAFA" w:val="clear"/>
          </w:tcPr>
          <w:p>
            <w:r>
              <w:rPr>
                <w:sz w:val="17"/>
              </w:rPr>
              <w:t>J+6  Moyenne</w:t>
            </w:r>
          </w:p>
        </w:tc>
        <w:tc>
          <w:tcPr>
            <w:tcW w:type="dxa" w:w="1440"/>
            <w:shd w:fill="FAFAFA" w:val="clear"/>
          </w:tcPr>
          <w:p>
            <w:r>
              <w:rPr>
                <w:sz w:val="17"/>
              </w:rPr>
              <w:t>2026-10-26</w:t>
            </w:r>
          </w:p>
        </w:tc>
        <w:tc>
          <w:tcPr>
            <w:tcW w:type="dxa" w:w="1440"/>
            <w:shd w:fill="FAFAFA" w:val="clear"/>
          </w:tcPr>
          <w:p>
            <w:r>
              <w:rPr>
                <w:sz w:val="17"/>
              </w:rPr>
              <w:t>6,929</w:t>
            </w:r>
          </w:p>
        </w:tc>
        <w:tc>
          <w:tcPr>
            <w:tcW w:type="dxa" w:w="1440"/>
            <w:shd w:fill="FAFAFA" w:val="clear"/>
          </w:tcPr>
          <w:p>
            <w:r>
              <w:rPr>
                <w:b/>
                <w:sz w:val="17"/>
              </w:rPr>
              <w:t>7,472</w:t>
            </w:r>
          </w:p>
        </w:tc>
        <w:tc>
          <w:tcPr>
            <w:tcW w:type="dxa" w:w="1440"/>
            <w:shd w:fill="FAFAFA" w:val="clear"/>
          </w:tcPr>
          <w:p>
            <w:r>
              <w:rPr>
                <w:sz w:val="17"/>
              </w:rPr>
              <w:t>8,016</w:t>
            </w:r>
          </w:p>
        </w:tc>
        <w:tc>
          <w:tcPr>
            <w:tcW w:type="dxa" w:w="1440"/>
            <w:shd w:fill="FAFAFA" w:val="clear"/>
          </w:tcPr>
          <w:p>
            <w:r>
              <w:rPr>
                <w:b/>
                <w:color w:val="C00000"/>
                <w:sz w:val="17"/>
              </w:rPr>
              <w:t>-1.7%</w:t>
            </w:r>
          </w:p>
        </w:tc>
      </w:tr>
      <w:tr>
        <w:tc>
          <w:tcPr>
            <w:tcW w:type="dxa" w:w="1440"/>
            <w:shd w:fill="FAFAFA" w:val="clear"/>
          </w:tcPr>
          <w:p>
            <w:r>
              <w:rPr>
                <w:sz w:val="17"/>
              </w:rPr>
              <w:t>J+7  Moyenne</w:t>
            </w:r>
          </w:p>
        </w:tc>
        <w:tc>
          <w:tcPr>
            <w:tcW w:type="dxa" w:w="1440"/>
            <w:shd w:fill="FAFAFA" w:val="clear"/>
          </w:tcPr>
          <w:p>
            <w:r>
              <w:rPr>
                <w:sz w:val="17"/>
              </w:rPr>
              <w:t>2026-10-27</w:t>
            </w:r>
          </w:p>
        </w:tc>
        <w:tc>
          <w:tcPr>
            <w:tcW w:type="dxa" w:w="1440"/>
            <w:shd w:fill="FAFAFA" w:val="clear"/>
          </w:tcPr>
          <w:p>
            <w:r>
              <w:rPr>
                <w:sz w:val="17"/>
              </w:rPr>
              <w:t>6,866</w:t>
            </w:r>
          </w:p>
        </w:tc>
        <w:tc>
          <w:tcPr>
            <w:tcW w:type="dxa" w:w="1440"/>
            <w:shd w:fill="FAFAFA" w:val="clear"/>
          </w:tcPr>
          <w:p>
            <w:r>
              <w:rPr>
                <w:b/>
                <w:sz w:val="17"/>
              </w:rPr>
              <w:t>7,452</w:t>
            </w:r>
          </w:p>
        </w:tc>
        <w:tc>
          <w:tcPr>
            <w:tcW w:type="dxa" w:w="1440"/>
            <w:shd w:fill="FAFAFA" w:val="clear"/>
          </w:tcPr>
          <w:p>
            <w:r>
              <w:rPr>
                <w:sz w:val="17"/>
              </w:rPr>
              <w:t>8,037</w:t>
            </w:r>
          </w:p>
        </w:tc>
        <w:tc>
          <w:tcPr>
            <w:tcW w:type="dxa" w:w="1440"/>
            <w:shd w:fill="FAFAFA" w:val="clear"/>
          </w:tcPr>
          <w:p>
            <w:r>
              <w:rPr>
                <w:b/>
                <w:color w:val="C00000"/>
                <w:sz w:val="17"/>
              </w:rPr>
              <w:t>-2.0%</w:t>
            </w:r>
          </w:p>
        </w:tc>
      </w:tr>
      <w:tr>
        <w:tc>
          <w:tcPr>
            <w:tcW w:type="dxa" w:w="1440"/>
            <w:shd w:fill="FFDCE0" w:val="clear"/>
          </w:tcPr>
          <w:p>
            <w:r>
              <w:rPr>
                <w:sz w:val="17"/>
              </w:rPr>
              <w:t>J+8  Moyenne</w:t>
            </w:r>
          </w:p>
        </w:tc>
        <w:tc>
          <w:tcPr>
            <w:tcW w:type="dxa" w:w="1440"/>
            <w:shd w:fill="FFDCE0" w:val="clear"/>
          </w:tcPr>
          <w:p>
            <w:r>
              <w:rPr>
                <w:sz w:val="17"/>
              </w:rPr>
              <w:t>2026-10-28</w:t>
            </w:r>
          </w:p>
        </w:tc>
        <w:tc>
          <w:tcPr>
            <w:tcW w:type="dxa" w:w="1440"/>
            <w:shd w:fill="FFDCE0" w:val="clear"/>
          </w:tcPr>
          <w:p>
            <w:r>
              <w:rPr>
                <w:sz w:val="17"/>
              </w:rPr>
              <w:t>6,808</w:t>
            </w:r>
          </w:p>
        </w:tc>
        <w:tc>
          <w:tcPr>
            <w:tcW w:type="dxa" w:w="1440"/>
            <w:shd w:fill="FFDCE0" w:val="clear"/>
          </w:tcPr>
          <w:p>
            <w:r>
              <w:rPr>
                <w:b/>
                <w:sz w:val="17"/>
              </w:rPr>
              <w:t>7,432</w:t>
            </w:r>
          </w:p>
        </w:tc>
        <w:tc>
          <w:tcPr>
            <w:tcW w:type="dxa" w:w="1440"/>
            <w:shd w:fill="FFDCE0" w:val="clear"/>
          </w:tcPr>
          <w:p>
            <w:r>
              <w:rPr>
                <w:sz w:val="17"/>
              </w:rPr>
              <w:t>8,056</w:t>
            </w:r>
          </w:p>
        </w:tc>
        <w:tc>
          <w:tcPr>
            <w:tcW w:type="dxa" w:w="1440"/>
            <w:shd w:fill="FFDCE0" w:val="clear"/>
          </w:tcPr>
          <w:p>
            <w:r>
              <w:rPr>
                <w:b/>
                <w:color w:val="C00000"/>
                <w:sz w:val="17"/>
              </w:rPr>
              <w:t>-2.2%</w:t>
            </w:r>
          </w:p>
        </w:tc>
      </w:tr>
      <w:tr>
        <w:tc>
          <w:tcPr>
            <w:tcW w:type="dxa" w:w="1440"/>
            <w:shd w:fill="FFDCE0" w:val="clear"/>
          </w:tcPr>
          <w:p>
            <w:r>
              <w:rPr>
                <w:sz w:val="17"/>
              </w:rPr>
              <w:t>J+9  Moyenne</w:t>
            </w:r>
          </w:p>
        </w:tc>
        <w:tc>
          <w:tcPr>
            <w:tcW w:type="dxa" w:w="1440"/>
            <w:shd w:fill="FFDCE0" w:val="clear"/>
          </w:tcPr>
          <w:p>
            <w:r>
              <w:rPr>
                <w:sz w:val="17"/>
              </w:rPr>
              <w:t>2026-10-29</w:t>
            </w:r>
          </w:p>
        </w:tc>
        <w:tc>
          <w:tcPr>
            <w:tcW w:type="dxa" w:w="1440"/>
            <w:shd w:fill="FFDCE0" w:val="clear"/>
          </w:tcPr>
          <w:p>
            <w:r>
              <w:rPr>
                <w:sz w:val="17"/>
              </w:rPr>
              <w:t>6,753</w:t>
            </w:r>
          </w:p>
        </w:tc>
        <w:tc>
          <w:tcPr>
            <w:tcW w:type="dxa" w:w="1440"/>
            <w:shd w:fill="FFDCE0" w:val="clear"/>
          </w:tcPr>
          <w:p>
            <w:r>
              <w:rPr>
                <w:b/>
                <w:sz w:val="17"/>
              </w:rPr>
              <w:t>7,413</w:t>
            </w:r>
          </w:p>
        </w:tc>
        <w:tc>
          <w:tcPr>
            <w:tcW w:type="dxa" w:w="1440"/>
            <w:shd w:fill="FFDCE0" w:val="clear"/>
          </w:tcPr>
          <w:p>
            <w:r>
              <w:rPr>
                <w:sz w:val="17"/>
              </w:rPr>
              <w:t>8,073</w:t>
            </w:r>
          </w:p>
        </w:tc>
        <w:tc>
          <w:tcPr>
            <w:tcW w:type="dxa" w:w="1440"/>
            <w:shd w:fill="FFDCE0" w:val="clear"/>
          </w:tcPr>
          <w:p>
            <w:r>
              <w:rPr>
                <w:b/>
                <w:color w:val="C00000"/>
                <w:sz w:val="17"/>
              </w:rPr>
              <w:t>-2.5%</w:t>
            </w:r>
          </w:p>
        </w:tc>
      </w:tr>
      <w:tr>
        <w:tc>
          <w:tcPr>
            <w:tcW w:type="dxa" w:w="1440"/>
            <w:shd w:fill="FFDCE0" w:val="clear"/>
          </w:tcPr>
          <w:p>
            <w:r>
              <w:rPr>
                <w:sz w:val="17"/>
              </w:rPr>
              <w:t>J+10  Moyenne</w:t>
            </w:r>
          </w:p>
        </w:tc>
        <w:tc>
          <w:tcPr>
            <w:tcW w:type="dxa" w:w="1440"/>
            <w:shd w:fill="FFDCE0" w:val="clear"/>
          </w:tcPr>
          <w:p>
            <w:r>
              <w:rPr>
                <w:sz w:val="17"/>
              </w:rPr>
              <w:t>2026-10-30</w:t>
            </w:r>
          </w:p>
        </w:tc>
        <w:tc>
          <w:tcPr>
            <w:tcW w:type="dxa" w:w="1440"/>
            <w:shd w:fill="FFDCE0" w:val="clear"/>
          </w:tcPr>
          <w:p>
            <w:r>
              <w:rPr>
                <w:sz w:val="17"/>
              </w:rPr>
              <w:t>6,701</w:t>
            </w:r>
          </w:p>
        </w:tc>
        <w:tc>
          <w:tcPr>
            <w:tcW w:type="dxa" w:w="1440"/>
            <w:shd w:fill="FFDCE0" w:val="clear"/>
          </w:tcPr>
          <w:p>
            <w:r>
              <w:rPr>
                <w:b/>
                <w:sz w:val="17"/>
              </w:rPr>
              <w:t>7,395</w:t>
            </w:r>
          </w:p>
        </w:tc>
        <w:tc>
          <w:tcPr>
            <w:tcW w:type="dxa" w:w="1440"/>
            <w:shd w:fill="FFDCE0" w:val="clear"/>
          </w:tcPr>
          <w:p>
            <w:r>
              <w:rPr>
                <w:sz w:val="17"/>
              </w:rPr>
              <w:t>8,089</w:t>
            </w:r>
          </w:p>
        </w:tc>
        <w:tc>
          <w:tcPr>
            <w:tcW w:type="dxa" w:w="1440"/>
            <w:shd w:fill="FFDCE0" w:val="clear"/>
          </w:tcPr>
          <w:p>
            <w:r>
              <w:rPr>
                <w:b/>
                <w:color w:val="C00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Secteur Agro-industriel**</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117,49 milliards FCFA, PALC s'affirme comme une valeur de premier plan du compartiment agro-industriel de la BRVM, représentant une capitalisation significative à l'échelle régionale. Le BPA de 1 003 FCFA/action indique que chaque titre génère environ un millier de francs de bénéfice net, un niveau de rentabilité par action solide. Le PER de 7,6x se situe nettement en dessous de la moyenne BRVM (8-12x), suggérant une valorisation potentiellement attractive par rapport aux bénéfices générés. Le ratio P/B de 0,82x — inférieur à 1 — signifie que le marché valorise l'action à 18% en dessous de sa valeur comptable, configuration souvent associée à une opportunité pour les investisseurs value. Enfin, l'EV/EBITDA de 3,7x, très inférieur au seuil de 5x, confirme que la valeur d'entreprise est modeste au regard de la capacité opérationnelle de génération de cash-flows, renforçant le diagnostic de sous-évaluation relative.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PALC affiche une variation totale de -2,56%, avec une dernière séance en repli de -1,04%, portant le cours actuel à 7 600 FCFA. Le range de trading s'étend du plus haut de 9 640 FCFA au plus bas de 7 600 FCFA — ce dernier correspondant précisément au cours actuel, signalant que le titre évolue sur son plancher de période et traduit une tendance baissière sur l'horizon considéré. Les statistiques descriptives révèlent une moyenne de 8 630 FCFA légèrement supérieure à la médiane de 8 690 FCFA — un écart marginal indiquant une distribution quasi-symétrique, cohérente avec le skewness de -0,192 (asymétrie légère vers la gauche). L'écart-type de 467 FCFA et le coefficient de variation de 5,4% témoignent d'une dispersion modérée du cours autour de sa moyenne. Le kurtosis de -0,234 (mésokurtique) indique une distribution proche de la normale, sans risque marqué de pics extrêmes. La volatilité annualisée de 34,1% positionne le titre dans la catégorie des valeurs à volatilité élevée (&gt;30%), ce qui est cohérent avec l'exposition sectorielle aux cours des matières premières agricoles.</w:t>
      </w:r>
    </w:p>
    <w:p>
      <w:pPr>
        <w:spacing w:after="120" w:line="276" w:lineRule="auto"/>
      </w:pPr>
      <w:r>
        <w:t>---</w:t>
      </w:r>
    </w:p>
    <w:p>
      <w:pPr>
        <w:spacing w:after="120" w:line="276" w:lineRule="auto"/>
      </w:pPr>
      <w:r>
        <w:t>### PARTIE 2 : ANALYSE TECHNIQUE DÉTAILLÉE</w:t>
      </w:r>
    </w:p>
    <w:p>
      <w:pPr>
        <w:spacing w:after="120" w:line="276" w:lineRule="auto"/>
      </w:pPr>
      <w:r>
        <w:t>**Moyennes Mobiles :** La MM20 (8 066,5 FCFA) et la MM50 (8 637,9 FCFA) se situent toutes deux au-dessus du cours actuel (7 600 FCFA), avec la MM20 en dessous de la MM50 — configuration baissière classique de court terme. Le cours évoluant sous ses deux moyennes mobiles, la pression vendeuse domine, justifiant la décision technique de **Vente**.</w:t>
      </w:r>
    </w:p>
    <w:p>
      <w:pPr>
        <w:spacing w:after="120" w:line="276" w:lineRule="auto"/>
      </w:pPr>
      <w:r>
        <w:t>**Bandes de Bollinger :** Le cours (7 600 FCFA) se situe dans la partie basse de la bande, proche de la borne inférieure (7 514,84 FCFA) et loin de la borne supérieure (8 618,16 FCFA). Cette position suggère un potentiel de rebond technique mais aussi une faiblesse persistante ; la décision est **Neutre**, le cours n'étant pas encore en zone de survente extrême.</w:t>
      </w:r>
    </w:p>
    <w:p>
      <w:pPr>
        <w:spacing w:after="120" w:line="276" w:lineRule="auto"/>
      </w:pPr>
      <w:r>
        <w:t>**MACD :** La valeur du MACD (-260,58) est inférieure à sa ligne de signal (-227,38), confirmant un momentum baissier en cours. L'histogramme négatif traduit une accélération de la dynamique descendante, justifiant la décision de **Vente**.</w:t>
      </w:r>
    </w:p>
    <w:p>
      <w:pPr>
        <w:spacing w:after="120" w:line="276" w:lineRule="auto"/>
      </w:pPr>
      <w:r>
        <w:t>**RSI :** À 30,92, le RSI se situe juste au-dessus du seuil de survente (30), en zone neutre basse. Le titre n'est pas encore techniquement en survente stricte mais s'en approche dangereusement, ce qui justifie une décision **Neutre** avec vigilance sur un possible rebond technique.</w:t>
      </w:r>
    </w:p>
    <w:p>
      <w:pPr>
        <w:spacing w:after="120" w:line="276" w:lineRule="auto"/>
      </w:pPr>
      <w:r>
        <w:t>**Stochastique :** Avec %K et %D tous deux à 0,0, le stochastique signale une survente extrême — configuration rare qui précède souvent un rebond technique. Paradoxalement, cela génère une décision d'**Achat** contrariante, à considérer avec prudence compte tenu du contexte baissier global.</w:t>
      </w:r>
    </w:p>
    <w:p>
      <w:pPr>
        <w:spacing w:after="120" w:line="276" w:lineRule="auto"/>
      </w:pPr>
      <w:r>
        <w:t>**Conclusion technique :** Les indicateurs présentent une divergence notable : les moyennes mobiles et le MACD confirment une tendance baissière installée, tandis que le RSI et surtout le stochastique signalent une survente extrême propice à un rebond technique. Cette configuration mixte (2 ventes, 2 neutres, 1 achat) plaide pour une posture attentiste, le titre étant techniquement survendu mais sans confirmation de retournement de tendance.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PALMCI a réalisé un chiffre d'affaires de 197,63 milliards FCFA pour un résultat net de 15,51 milliards FCFA, soit une marge nette de 7,85%. Le ROE s'établit à 10,87% (en deçà du seuil d'excellence de 15%) et le ROA à 7,79%, traduisant une rentabilité correcte mais perfectible. La structure financière est remarquablement saine : autonomie financière de 71,64%, ratio d'endettement de seulement 0,56% et dettes financières limitées à 796,56 millions FCFA — la société est quasi-désendettée. Le BFR de 44,62 milliards FCFA (positif, donc défavorable) et le délai client élevé de 142,58 jours constituent toutefois un point de vigilance sur la trésorerie, confirmé par une trésorerie nette négative de -4,56 milliards FCFA. La rotation des stocks est rapide (14,55 jours) et la couverture des intérêts exceptionnelle (1 415,66%).</w:t>
      </w:r>
    </w:p>
    <w:p>
      <w:pPr>
        <w:spacing w:after="120" w:line="276" w:lineRule="auto"/>
      </w:pPr>
      <w:r>
        <w:t>**Évolution et estimations issues des rapports :** Le rapport annuel 2024 (publié le 31/12/2024) indiquait un CA de 172,2 Mds FCFA et un résultat net de 15,9 Mds FCFA, avec un dividende de 513 FCFA/action (payout 50%). L'exercice 2025 marque donc une croissance du CA de +14,78% mais un résultat net quasi stable (-2,2%), avec un dividende proposé de 502 FCFA (payout 50,2%). Les rapports trimestriels 2026 révèlent cependant une dégradation marquée : le T1 2026 (rapport du 31/03/2026) affiche un CA en chute de -27% à 49,4 Mds FCFA et un résultat net effondré de -86% à 1,6 Md FCFA ; le S1 2026 (rapport du 30/06/2026, analysé le 07/10/2026) confirme avec un CA de 114,7 Mds FCFA (-15%) et un résultat net de 13,53 Mds FCFA (-41%). Le management attribue cette contre-performance à un décalage temporel des ventes et anticipe un résultat net annuel 2026 positif, proche de celui de 2025, porté par l'écoulement progressif des stocks. **On estime** donc que l'exercice 2026 devrait clôturer avec un résultat net de l'ordre de 15-16 Mds FCFA si la guidance est tenue, mais le risque d'exécution reste significatif au vu de l'ampleur du repli semestriel.</w:t>
      </w:r>
    </w:p>
    <w:p>
      <w:pPr>
        <w:spacing w:after="120" w:line="276" w:lineRule="auto"/>
      </w:pPr>
      <w:r>
        <w:t>**Conclusion fondamentale :** PALMCI demeure un acteur solide et quasi-désendetté de la filière palmier à huile ivoirienne, avec des fondamentaux de bilan excellents, mais fait face à une pression conjoncturelle sur ses volumes et ses marges en 2026. La valorisation très bon marché (P/B &lt; 1, EV/EBITDA 3,7x) intègre déjà une part de ces difficultés.</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d'investissement contrasté. **Sur la valorisation (Partie 0)**, les ratios PER (7,6x), P/B (0,82x) et EV/EBITDA (3,7x) pointent clairement vers une sous-évaluation relative, offrant une marge de sécurité attractive. **Le comportement du cours (Partie 1)** est toutefois préoccupant : tendance baissière, cours au plus bas de la période, volatilité élevée (34,1%) — bien que la distribution quasi-normale (kurtosis -0,234, skewness -0,192) n'induise pas de risque extrême de pics. **Les signaux techniques (Partie 2)** sont divergents : MACD et moyennes mobiles baissiers, mais RSI et stochastique en survente extrême suggérant un rebond imminent — configuration de divergence baissière/rebond qui appelle à la prudence. **Les fondamentaux (Partie 3)** confirment la solidité du bilan (quasi-absence de dette, autonomie financière 71,6%) mais alertent sur la dégradation opérationnelle 2026 (S1 : résultat net -41%), avec une guidance managériale positive mais à confirmer. **Les prédictions IA (J+1 à J+10)** projettent une poursuite de la baisse modérée de 7 596 à 7 494 FCFA, confirmant la pression baissière de court terme sans effondrement.</w:t>
      </w:r>
    </w:p>
    <w:p>
      <w:pPr>
        <w:spacing w:after="120" w:line="276" w:lineRule="auto"/>
      </w:pPr>
      <w:r>
        <w:t>**Recommandation finale : CONSERVER.** La convergence entre une valorisation profondément sous-évaluée (P/B &lt; 1, EV/EBITDA 3,7x) et une solidité financière exceptionnelle plaide pour ne pas céder au pessimisme ambiant, tandis que la dégradation opérationnelle 2026, la tendance technique baissière et les prédictions IA descendantes interdisent un passage à l'achat immédiat. **Niveau de confiance : Moyen** — la thèse de sous-évaluation est solide mais le timing de retournement reste incertain. **Niveau de risque global : Moyen** (volatilité élevée compensée par un bilan très sain). **Horizon d'investissement recommandé : moyen à long terme (6-18 mois)**, en attendant la confirmation de la reprise des volumes au S2 2026 et la publication des résultats annuels définitifs, qui constitueraient les catalyseurs d'un passage à l'ACHAT.</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simple attestation d'examen limit\u00e9 sans aucune donn\u00e9e financi\u00e8re chiffr\u00e9e, ne permettant pas d'\u00e9valuer la performance ou la valorisation de PALMCI. En l'absence d'informations quantitatives, aucune d\u00e9cision d'achat ou de vente ne peut \u00eatre justifi\u00e9e."}</w:t>
      </w:r>
    </w:p>
    <w:p>
      <w:pPr>
        <w:spacing w:before="40"/>
        <w:ind w:left="400"/>
      </w:pPr>
      <w:r>
        <w:rPr>
          <w:sz w:val="18"/>
        </w:rPr>
        <w:t>Le document est une attestation des commissaires aux comptes (Forvis Mazars et Eritedge Côte d'Ivoire) portant sur le tableau d'activités et de résultat ainsi que le rapport d'activité semestriel de PALMCI, S.A. pour la période du 1er janvier au 30 juin 2026. Les auditeurs ont réalisé un examen limité selon la norme ISRE 2410, et non un audit complet. Sur la base de cet examen limité, ils n'ont pas relevé de faits remettant en cause la conformité des documents aux articles 850 et 851 de l'Acte Uniforme OHADA et à la Circulaire n° 004-2010 de l'AMF-UMOA. L'attestation a été signée à Abidjan le 07 octobre 2026. Le document ne contient aucune donnée financière chiffrée (chiffre d'affaires, résu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 tableau d'activités et de résultat semestriel de PALMCI, S.A.</w:t>
      </w:r>
    </w:p>
    <w:p>
      <w:pPr>
        <w:pStyle w:val="ListBullet"/>
        <w:spacing w:before="20" w:after="20"/>
        <w:ind w:left="700"/>
      </w:pPr>
      <w:r>
        <w:rPr>
          <w:sz w:val="18"/>
        </w:rPr>
        <w:t>Période couverte : 1er janvier au 30 juin 2026 (arrêté semestriel au 30 juin 2026)</w:t>
      </w:r>
    </w:p>
    <w:p>
      <w:pPr>
        <w:pStyle w:val="ListBullet"/>
        <w:spacing w:before="20" w:after="20"/>
        <w:ind w:left="700"/>
      </w:pPr>
      <w:r>
        <w:rPr>
          <w:sz w:val="18"/>
        </w:rPr>
        <w:t>Examen limité effectué selon la norme ISRE 2410, offrant une assurance modérée et non une opinion d'audit</w:t>
      </w:r>
    </w:p>
    <w:p>
      <w:pPr>
        <w:pStyle w:val="ListBullet"/>
        <w:spacing w:before="20" w:after="20"/>
        <w:ind w:left="700"/>
      </w:pPr>
      <w:r>
        <w:rPr>
          <w:sz w:val="18"/>
        </w:rPr>
        <w:t>Conclusion sans réserve : aucun fait remettant en cause la conformité des documents n'a été relevé</w:t>
      </w:r>
    </w:p>
    <w:p>
      <w:pPr>
        <w:pStyle w:val="ListBullet"/>
        <w:spacing w:before="20" w:after="20"/>
        <w:ind w:left="700"/>
      </w:pPr>
      <w:r>
        <w:rPr>
          <w:sz w:val="18"/>
        </w:rPr>
        <w:t>Référentiel appliqué : articles 850 et 851 de l'Acte Uniforme OHADA et Circulaire n° 004-2010 de l'AMF-UMOA</w:t>
      </w:r>
    </w:p>
    <w:p>
      <w:pPr>
        <w:pStyle w:val="ListBullet"/>
        <w:spacing w:before="20" w:after="20"/>
        <w:ind w:left="700"/>
      </w:pPr>
      <w:r>
        <w:rPr>
          <w:sz w:val="18"/>
        </w:rPr>
        <w:t>Commissaires aux comptes : Forvis Mazars, S.A. et Eritedge Côte d'Ivoire</w:t>
      </w:r>
    </w:p>
    <w:p>
      <w:pPr>
        <w:spacing w:before="40"/>
        <w:ind w:left="400"/>
      </w:pPr>
      <w:r>
        <w:rPr>
          <w:b/>
          <w:color w:val="C05000"/>
          <w:sz w:val="18"/>
        </w:rPr>
        <w:t xml:space="preserve">⚠️ Risques : </w:t>
      </w:r>
      <w:r>
        <w:rPr>
          <w:sz w:val="18"/>
        </w:rPr>
        <w:t>["Absence de donn\u00e9es financi\u00e8res chiffr\u00e9es dans le document, emp\u00eachant toute \u00e9valuation quantitative des risques", "Assurance mod\u00e9r\u00e9e li\u00e9e \u00e0 un examen limit\u00e9 (ISRE 2410) et non \u00e0 un audit complet, pouvant ne pas d\u00e9tecter toutes les anomalie</w:t>
      </w:r>
    </w:p>
    <w:p>
      <w:pPr>
        <w:spacing w:before="40"/>
        <w:ind w:left="400"/>
      </w:pPr>
      <w:r>
        <w:rPr>
          <w:b/>
          <w:color w:val="0064A0"/>
          <w:sz w:val="18"/>
        </w:rPr>
        <w:t xml:space="preserve">🔮 Perspectives : </w:t>
      </w:r>
      <w:r>
        <w:rPr>
          <w:sz w:val="18"/>
        </w:rPr>
        <w:t>Le document ne fournit aucune projection ni donnée financière permettant d'établir un outlook chiffré pour l'exercice suivant. La conclusion sans réserve des commissaires aux comptes suggère une présentation conforme des comptes semestriels, mais l'analyse des perspectives réelles nécessiterait la c</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reste rentable avec une marge nette de 11,8 % et pr\u00e9voit un r\u00e9sultat net positif sur l'ensemble de 2026, mais la forte baisse des volumes vendus et des r\u00e9sultats au S1 2026 invite \u00e0 la prudence. Le titre pr\u00e9sente un profil d\u00e9fensif \u00e0 conserver en attendant la confirmation de la reprise de l'\u00e9coulement des stocks."}</w:t>
      </w:r>
    </w:p>
    <w:p>
      <w:pPr>
        <w:spacing w:before="40"/>
        <w:ind w:left="400"/>
      </w:pPr>
      <w:r>
        <w:rPr>
          <w:sz w:val="18"/>
        </w:rPr>
        <w:t>PALM CI a enregistré au premier semestre 2026 un chiffre d'affaires de 114 725 millions de F CFA, en baisse de 15 % par rapport au premier semestre 2025, en raison de quantités vendues plus faibles d'huiles brutes de palme et de palmiste sur le marché local. Le résultat d'exploitation s'établit à 17 622 millions de F CFA, en recul de 41 %, et le résultat net à 13 527 millions de F CFA, également en baisse de 41 %. La société dispose encore d'un stock de produits finis dont l'écoulement, entamé en avril 2026, se poursuivra jusqu'à la fin de l'année. Malgré cette contraction, la direction prévoit un résultat net positif pour l'exercice 2026, dans la même tendance que celui de 2025. La rentabil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'20,4 milliards de F CFA', 'resultat_financier': '673 574 milliers de F CFA (S1 2026)', 'resultat_exploitation': '17 621 502 milliers de F CFA (S1 2026)', 'impots_sur_le_resultat': '-4 777 607 milliers de F CFA (S1 2026)', 'resultat_net_annuel_2025': '15 508 655 milliers de F CFA', 'chiffre_affaires_annuel_2025': '197 629 996 milliers de F CFA', 'resultat_activites_ordinaires': '18 295 076 milliers de F CFA (S1 2026)'}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11,8 %</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13 526 883 milliers de F CFA (S1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114 725 471 milliers de F CFA (S1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du S1 2026 de 114 725 millions de F CFA, en baisse de 15 % sur un an</w:t>
      </w:r>
    </w:p>
    <w:p>
      <w:pPr>
        <w:pStyle w:val="ListBullet"/>
        <w:spacing w:before="20" w:after="20"/>
        <w:ind w:left="700"/>
      </w:pPr>
      <w:r>
        <w:rPr>
          <w:sz w:val="18"/>
        </w:rPr>
        <w:t>Résultat net de 13 527 millions de F CFA, en recul de 41 % par rapport au S1 2025</w:t>
      </w:r>
    </w:p>
    <w:p>
      <w:pPr>
        <w:pStyle w:val="ListBullet"/>
        <w:spacing w:before="20" w:after="20"/>
        <w:ind w:left="700"/>
      </w:pPr>
      <w:r>
        <w:rPr>
          <w:sz w:val="18"/>
        </w:rPr>
        <w:t>Résultat d'exploitation de 17 622 millions de F CFA, en baisse de 41 %</w:t>
      </w:r>
    </w:p>
    <w:p>
      <w:pPr>
        <w:pStyle w:val="ListBullet"/>
        <w:spacing w:before="20" w:after="20"/>
        <w:ind w:left="700"/>
      </w:pPr>
      <w:r>
        <w:rPr>
          <w:sz w:val="18"/>
        </w:rPr>
        <w:t>Résultat financier de 674 millions de F CFA, en recul de 47 %</w:t>
      </w:r>
    </w:p>
    <w:p>
      <w:pPr>
        <w:pStyle w:val="ListBullet"/>
        <w:spacing w:before="20" w:after="20"/>
        <w:ind w:left="700"/>
      </w:pPr>
      <w:r>
        <w:rPr>
          <w:sz w:val="18"/>
        </w:rPr>
        <w:t>Baisse des volumes vendus d'huiles brutes de palme et de palmiste sur le marché local</w:t>
      </w:r>
    </w:p>
    <w:p>
      <w:pPr>
        <w:pStyle w:val="ListBullet"/>
        <w:spacing w:before="20" w:after="20"/>
        <w:ind w:left="700"/>
      </w:pPr>
      <w:r>
        <w:rPr>
          <w:sz w:val="18"/>
        </w:rPr>
        <w:t>Stock de produits finis en cours d'écoulement depuis avril 2026 jusqu'à fin 2026</w:t>
      </w:r>
    </w:p>
    <w:p>
      <w:pPr>
        <w:spacing w:before="40"/>
        <w:ind w:left="400"/>
      </w:pPr>
      <w:r>
        <w:rPr>
          <w:b/>
          <w:color w:val="C05000"/>
          <w:sz w:val="18"/>
        </w:rPr>
        <w:t xml:space="preserve">⚠️ Risques : </w:t>
      </w:r>
      <w:r>
        <w:rPr>
          <w:sz w:val="18"/>
        </w:rPr>
        <w:t xml:space="preserve">["Poursuite de la baisse des volumes vendus d'huiles brutes de palme et de palmiste sur le march\u00e9 local", "Volatilit\u00e9 des prix internationaux des huiles de palme et de palmiste affectant les marges", "Risque d'\u00e9coulement plus lent que pr\u00e9vu du stock de produits finis, pesant sur </w:t>
      </w:r>
    </w:p>
    <w:p>
      <w:pPr>
        <w:spacing w:before="40"/>
        <w:ind w:left="400"/>
      </w:pPr>
      <w:r>
        <w:rPr>
          <w:b/>
          <w:color w:val="0064A0"/>
          <w:sz w:val="18"/>
        </w:rPr>
        <w:t xml:space="preserve">🔮 Perspectives : </w:t>
      </w:r>
      <w:r>
        <w:rPr>
          <w:sz w:val="18"/>
        </w:rPr>
        <w:t>PALM CI devrait clôturer l'exercice 2026 avec un résultat net positif, dans la même tendance que celui de 2025, porté par l'écoulement progressif du stock de produits finis entamé en avril 2026. La production des régimes issus des plantations industrielles et les achats auprès des planteurs villageo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
      <w:r>
        <w:t>════════════════════════════════════════════════════════════════════════════════</w:t>
      </w:r>
    </w:p>
    <w:p>
      <w:r>
        <w:br w:type="page"/>
      </w:r>
    </w:p>
    <w:p>
      <w:pPr>
        <w:pStyle w:val="Heading2"/>
        <w:spacing w:before="360"/>
      </w:pPr>
      <w:r>
        <w:rPr>
          <w:color w:val="0066CC"/>
        </w:rPr>
        <w:t>27.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43.93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1,085 titres</w:t>
            </w:r>
          </w:p>
        </w:tc>
        <w:tc>
          <w:tcPr>
            <w:tcW w:type="dxa" w:w="2268"/>
            <w:shd w:fill="FFF2CC" w:val="clear"/>
          </w:tcPr>
          <w:p>
            <w:r>
              <w:rPr>
                <w:b/>
                <w:color w:val="503200"/>
                <w:sz w:val="16"/>
              </w:rPr>
              <w:t xml:space="preserve">Cours actuel : </w:t>
            </w:r>
            <w:r>
              <w:rPr>
                <w:color w:val="000000"/>
                <w:sz w:val="17"/>
              </w:rPr>
              <w:t>4,290 FCFA</w:t>
            </w:r>
          </w:p>
          <w:p>
            <w:r>
              <w:rPr>
                <w:b/>
                <w:color w:val="503200"/>
                <w:sz w:val="16"/>
              </w:rPr>
              <w:t xml:space="preserve">Var. 100 jours : </w:t>
            </w:r>
            <w:r>
              <w:rPr>
                <w:b/>
                <w:color w:val="B40000"/>
                <w:sz w:val="17"/>
              </w:rPr>
              <w:t>-4.03%</w:t>
            </w:r>
          </w:p>
          <w:p>
            <w:r>
              <w:rPr>
                <w:b/>
                <w:color w:val="503200"/>
                <w:sz w:val="16"/>
              </w:rPr>
              <w:t xml:space="preserve">Plus haut 100j : </w:t>
            </w:r>
            <w:r>
              <w:rPr>
                <w:color w:val="000000"/>
                <w:sz w:val="17"/>
              </w:rPr>
              <w:t>4,740 FCFA</w:t>
            </w:r>
          </w:p>
          <w:p>
            <w:r>
              <w:rPr>
                <w:b/>
                <w:color w:val="503200"/>
                <w:sz w:val="16"/>
              </w:rPr>
              <w:t xml:space="preserve">Plus bas 100j : </w:t>
            </w:r>
            <w:r>
              <w:rPr>
                <w:color w:val="000000"/>
                <w:sz w:val="17"/>
              </w:rPr>
              <w:t>3,850 FCFA</w:t>
            </w:r>
          </w:p>
          <w:p>
            <w:r>
              <w:rPr>
                <w:b/>
                <w:color w:val="503200"/>
                <w:sz w:val="16"/>
              </w:rPr>
              <w:t xml:space="preserve">Volatilité ann. : </w:t>
            </w:r>
            <w:r>
              <w:rPr>
                <w:color w:val="000000"/>
                <w:sz w:val="17"/>
              </w:rPr>
              <w:t>37.4%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4.05% (Faible) — μ=4,393 FCFA, σ=178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β=-0.0942 (Contre-cyclique) — Cov=-0.000007, Var(idx)=0.000077, ρ=-0.035,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1,085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σ_j=2.36%/j (Stable) — Vol. annualisée≈37.4%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4,053</w:t>
            </w:r>
          </w:p>
        </w:tc>
        <w:tc>
          <w:tcPr>
            <w:tcW w:type="dxa" w:w="1440"/>
            <w:shd w:fill="FAFAFA" w:val="clear"/>
          </w:tcPr>
          <w:p>
            <w:r>
              <w:rPr>
                <w:b/>
                <w:sz w:val="17"/>
              </w:rPr>
              <w:t>4,271</w:t>
            </w:r>
          </w:p>
        </w:tc>
        <w:tc>
          <w:tcPr>
            <w:tcW w:type="dxa" w:w="1440"/>
            <w:shd w:fill="FAFAFA" w:val="clear"/>
          </w:tcPr>
          <w:p>
            <w:r>
              <w:rPr>
                <w:sz w:val="17"/>
              </w:rPr>
              <w:t>4,488</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3,957</w:t>
            </w:r>
          </w:p>
        </w:tc>
        <w:tc>
          <w:tcPr>
            <w:tcW w:type="dxa" w:w="1440"/>
            <w:shd w:fill="FAFAFA" w:val="clear"/>
          </w:tcPr>
          <w:p>
            <w:r>
              <w:rPr>
                <w:b/>
                <w:sz w:val="17"/>
              </w:rPr>
              <w:t>4,263</w:t>
            </w:r>
          </w:p>
        </w:tc>
        <w:tc>
          <w:tcPr>
            <w:tcW w:type="dxa" w:w="1440"/>
            <w:shd w:fill="FAFAFA" w:val="clear"/>
          </w:tcPr>
          <w:p>
            <w:r>
              <w:rPr>
                <w:sz w:val="17"/>
              </w:rPr>
              <w:t>4,570</w:t>
            </w:r>
          </w:p>
        </w:tc>
        <w:tc>
          <w:tcPr>
            <w:tcW w:type="dxa" w:w="1440"/>
            <w:shd w:fill="FAFAFA" w:val="clear"/>
          </w:tcPr>
          <w:p>
            <w:r>
              <w:rPr>
                <w:b/>
                <w:color w:val="C00000"/>
                <w:sz w:val="17"/>
              </w:rPr>
              <w:t>-0.6%</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3,882</w:t>
            </w:r>
          </w:p>
        </w:tc>
        <w:tc>
          <w:tcPr>
            <w:tcW w:type="dxa" w:w="1440"/>
            <w:shd w:fill="FAFAFA" w:val="clear"/>
          </w:tcPr>
          <w:p>
            <w:r>
              <w:rPr>
                <w:b/>
                <w:sz w:val="17"/>
              </w:rPr>
              <w:t>4,257</w:t>
            </w:r>
          </w:p>
        </w:tc>
        <w:tc>
          <w:tcPr>
            <w:tcW w:type="dxa" w:w="1440"/>
            <w:shd w:fill="FAFAFA" w:val="clear"/>
          </w:tcPr>
          <w:p>
            <w:r>
              <w:rPr>
                <w:sz w:val="17"/>
              </w:rPr>
              <w:t>4,632</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3,818</w:t>
            </w:r>
          </w:p>
        </w:tc>
        <w:tc>
          <w:tcPr>
            <w:tcW w:type="dxa" w:w="1440"/>
            <w:shd w:fill="FAFAFA" w:val="clear"/>
          </w:tcPr>
          <w:p>
            <w:r>
              <w:rPr>
                <w:b/>
                <w:sz w:val="17"/>
              </w:rPr>
              <w:t>4,251</w:t>
            </w:r>
          </w:p>
        </w:tc>
        <w:tc>
          <w:tcPr>
            <w:tcW w:type="dxa" w:w="1440"/>
            <w:shd w:fill="FAFAFA" w:val="clear"/>
          </w:tcPr>
          <w:p>
            <w:r>
              <w:rPr>
                <w:sz w:val="17"/>
              </w:rPr>
              <w:t>4,683</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3,762</w:t>
            </w:r>
          </w:p>
        </w:tc>
        <w:tc>
          <w:tcPr>
            <w:tcW w:type="dxa" w:w="1440"/>
            <w:shd w:fill="FAFAFA" w:val="clear"/>
          </w:tcPr>
          <w:p>
            <w:r>
              <w:rPr>
                <w:b/>
                <w:sz w:val="17"/>
              </w:rPr>
              <w:t>4,244</w:t>
            </w:r>
          </w:p>
        </w:tc>
        <w:tc>
          <w:tcPr>
            <w:tcW w:type="dxa" w:w="1440"/>
            <w:shd w:fill="FAFAFA" w:val="clear"/>
          </w:tcPr>
          <w:p>
            <w:r>
              <w:rPr>
                <w:sz w:val="17"/>
              </w:rPr>
              <w:t>4,727</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3,710</w:t>
            </w:r>
          </w:p>
        </w:tc>
        <w:tc>
          <w:tcPr>
            <w:tcW w:type="dxa" w:w="1440"/>
            <w:shd w:fill="FAFAFA" w:val="clear"/>
          </w:tcPr>
          <w:p>
            <w:r>
              <w:rPr>
                <w:b/>
                <w:sz w:val="17"/>
              </w:rPr>
              <w:t>4,238</w:t>
            </w:r>
          </w:p>
        </w:tc>
        <w:tc>
          <w:tcPr>
            <w:tcW w:type="dxa" w:w="1440"/>
            <w:shd w:fill="FAFAFA" w:val="clear"/>
          </w:tcPr>
          <w:p>
            <w:r>
              <w:rPr>
                <w:sz w:val="17"/>
              </w:rPr>
              <w:t>4,766</w:t>
            </w:r>
          </w:p>
        </w:tc>
        <w:tc>
          <w:tcPr>
            <w:tcW w:type="dxa" w:w="1440"/>
            <w:shd w:fill="FAFAFA" w:val="clear"/>
          </w:tcPr>
          <w:p>
            <w:r>
              <w:rPr>
                <w:b/>
                <w:color w:val="C00000"/>
                <w:sz w:val="17"/>
              </w:rPr>
              <w:t>-1.2%</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3,663</w:t>
            </w:r>
          </w:p>
        </w:tc>
        <w:tc>
          <w:tcPr>
            <w:tcW w:type="dxa" w:w="1440"/>
            <w:shd w:fill="FAFAFA" w:val="clear"/>
          </w:tcPr>
          <w:p>
            <w:r>
              <w:rPr>
                <w:b/>
                <w:sz w:val="17"/>
              </w:rPr>
              <w:t>4,232</w:t>
            </w:r>
          </w:p>
        </w:tc>
        <w:tc>
          <w:tcPr>
            <w:tcW w:type="dxa" w:w="1440"/>
            <w:shd w:fill="FAFAFA" w:val="clear"/>
          </w:tcPr>
          <w:p>
            <w:r>
              <w:rPr>
                <w:sz w:val="17"/>
              </w:rPr>
              <w:t>4,801</w:t>
            </w:r>
          </w:p>
        </w:tc>
        <w:tc>
          <w:tcPr>
            <w:tcW w:type="dxa" w:w="1440"/>
            <w:shd w:fill="FAFAFA" w:val="clear"/>
          </w:tcPr>
          <w:p>
            <w:r>
              <w:rPr>
                <w:b/>
                <w:color w:val="C00000"/>
                <w:sz w:val="17"/>
              </w:rPr>
              <w:t>-1.4%</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3,618</w:t>
            </w:r>
          </w:p>
        </w:tc>
        <w:tc>
          <w:tcPr>
            <w:tcW w:type="dxa" w:w="1440"/>
            <w:shd w:fill="FAFAFA" w:val="clear"/>
          </w:tcPr>
          <w:p>
            <w:r>
              <w:rPr>
                <w:b/>
                <w:sz w:val="17"/>
              </w:rPr>
              <w:t>4,226</w:t>
            </w:r>
          </w:p>
        </w:tc>
        <w:tc>
          <w:tcPr>
            <w:tcW w:type="dxa" w:w="1440"/>
            <w:shd w:fill="FAFAFA" w:val="clear"/>
          </w:tcPr>
          <w:p>
            <w:r>
              <w:rPr>
                <w:sz w:val="17"/>
              </w:rPr>
              <w:t>4,834</w:t>
            </w:r>
          </w:p>
        </w:tc>
        <w:tc>
          <w:tcPr>
            <w:tcW w:type="dxa" w:w="1440"/>
            <w:shd w:fill="FAFAFA" w:val="clear"/>
          </w:tcPr>
          <w:p>
            <w:r>
              <w:rPr>
                <w:b/>
                <w:color w:val="C00000"/>
                <w:sz w:val="17"/>
              </w:rPr>
              <w:t>-1.5%</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3,577</w:t>
            </w:r>
          </w:p>
        </w:tc>
        <w:tc>
          <w:tcPr>
            <w:tcW w:type="dxa" w:w="1440"/>
            <w:shd w:fill="FAFAFA" w:val="clear"/>
          </w:tcPr>
          <w:p>
            <w:r>
              <w:rPr>
                <w:b/>
                <w:sz w:val="17"/>
              </w:rPr>
              <w:t>4,221</w:t>
            </w:r>
          </w:p>
        </w:tc>
        <w:tc>
          <w:tcPr>
            <w:tcW w:type="dxa" w:w="1440"/>
            <w:shd w:fill="FAFAFA" w:val="clear"/>
          </w:tcPr>
          <w:p>
            <w:r>
              <w:rPr>
                <w:sz w:val="17"/>
              </w:rPr>
              <w:t>4,864</w:t>
            </w:r>
          </w:p>
        </w:tc>
        <w:tc>
          <w:tcPr>
            <w:tcW w:type="dxa" w:w="1440"/>
            <w:shd w:fill="FAFAFA" w:val="clear"/>
          </w:tcPr>
          <w:p>
            <w:r>
              <w:rPr>
                <w:b/>
                <w:color w:val="C00000"/>
                <w:sz w:val="17"/>
              </w:rPr>
              <w:t>-1.6%</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3,537</w:t>
            </w:r>
          </w:p>
        </w:tc>
        <w:tc>
          <w:tcPr>
            <w:tcW w:type="dxa" w:w="1440"/>
            <w:shd w:fill="FAFAFA" w:val="clear"/>
          </w:tcPr>
          <w:p>
            <w:r>
              <w:rPr>
                <w:b/>
                <w:sz w:val="17"/>
              </w:rPr>
              <w:t>4,215</w:t>
            </w:r>
          </w:p>
        </w:tc>
        <w:tc>
          <w:tcPr>
            <w:tcW w:type="dxa" w:w="1440"/>
            <w:shd w:fill="FAFAFA" w:val="clear"/>
          </w:tcPr>
          <w:p>
            <w:r>
              <w:rPr>
                <w:sz w:val="17"/>
              </w:rPr>
              <w:t>4,893</w:t>
            </w:r>
          </w:p>
        </w:tc>
        <w:tc>
          <w:tcPr>
            <w:tcW w:type="dxa" w:w="1440"/>
            <w:shd w:fill="FAFAFA" w:val="clear"/>
          </w:tcPr>
          <w:p>
            <w:r>
              <w:rPr>
                <w:b/>
                <w:color w:val="C00000"/>
                <w:sz w:val="17"/>
              </w:rPr>
              <w:t>-1.7%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43,93 milliards FCFA, PRSC se positionne comme une valeur de taille intermédiaire sur le marché BRVM, reflétant sa stature de distributeur automobile de référence en Côte d'Ivoire. Le BPA de 231 FCFA/action indique que chaque titre génère un bénéfice net de 231 FCFA, un niveau cohérent avec la marge nette modeste de 2,9% de l'entreprise. Le PER de 18,6x traduit une valorisation nettement supérieure à la moyenne BRVM (8-12x), ce qui suggère que les investisseurs paient une prime significative pour les bénéfices actuels, probablement en anticipation de la croissance future. Le P/B de 3,81x confirme cette prime de croissance, le marché valorisant l'action à près de quatre fois sa valeur comptable (11,53 Mds FCFA de capitaux propres), tandis que l'EV/EBITDA de 9,5x reste dans la fourchette raisonnable de 5-10x, indiquant que la valeur totale de l'entreprise (capitalisation + dette nette) reste proportionnée à sa capacité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PRSC affiche une variation totale négative de -4,03%, bien que la dernière séance (J-1) ait enregistré un rebond de +0,94%, portant le cours actuel à 4 290 FCFA. Le range de trading s'étend de 3 850 FCFA (plus bas) à 4 740 FCFA (plus haut), soit une amplitude de 23,1% qui témoigne d'une volatilité réelle sur la période. La tendance générale apparaît baissière sur fond de correction, le cours actuel (4 290 FCFA) se situant sous la moyenne (4 393 FCFA) et la médiane (4 402 FCFA), avec un mode à 4 400 FCFA qui marque une zone de résistance psychologique. Les statistiques descriptives révèlent une distribution légèrement asymétrique : le skewness de -0,668 indique une asymétrie négative, signifiant que les journées de hausse ont été plus fréquentes mais moins amples que les journées de baisse (les baisses, plus rares, ont été plus marquées). Le kurtosis de 0,435 (mésokurtique) suggère un comportement proche d'une distribution normale, sans risque excessif de pics extrêmes. L'écart-type de 179 FCFA avec un coefficient de variation de 4,1% traduit une dispersion modérée du cours autour de sa moyenne, tandis que la volatilité annualisée de 37,4% classe le titre dans la catégorie des valeurs à volatilité élevée (&gt;30%), ce qui est cohérent avec son profil de croissance mais exige une tolérance au risque de la part de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(4 179 FCFA) se situe sous la MM50 (4 337,5 FCFA), configuration baissière classique. Le cours actuel (4 290 FCFA) évolue au-dessus de la MM20 mais sous la MM50, signalant une tentative de rebond à court terme sans confirmation de retournement de tendance. La décision technique "Vente" est justifiée par cette structure de moyennes mobiles descendante, bien que le positionnement au-dessus de la MM20 tempère le signal.</w:t>
      </w:r>
    </w:p>
    <w:p>
      <w:pPr>
        <w:spacing w:after="120" w:line="276" w:lineRule="auto"/>
      </w:pPr>
      <w:r>
        <w:t>**Bandes de Bollinger** : Le cours (4 290 FCFA) évolue dans la partie médiane de la bande, entre la borne inférieure (3 868,81 FCFA) et la borne supérieure (4 489,19 FCFA). Cette position centrale, sans contact avec les extrêmes, traduit une absence de signal directionnel fort. La largeur de la bande (620 FCFA) confirme une volatilité modérée. La décision "Neutre" est cohérente avec cette configuration d'équilibre.</w:t>
      </w:r>
    </w:p>
    <w:p>
      <w:pPr>
        <w:spacing w:after="120" w:line="276" w:lineRule="auto"/>
      </w:pPr>
      <w:r>
        <w:t>**MACD** : La valeur du MACD (-12,932) est supérieure à son signal (-44,183), configuration haussière par croisement positif. Cette divergence positive indique un momentum en amélioration, bien que les deux lignes restent en territoire négatif. La décision "Achat" reflète cette dynamique de redressement du momentum, signal précoce d'un possible retournement.</w:t>
      </w:r>
    </w:p>
    <w:p>
      <w:pPr>
        <w:spacing w:after="120" w:line="276" w:lineRule="auto"/>
      </w:pPr>
      <w:r>
        <w:t>**RSI** : À 52,547, le RSI se situe en zone neutre (entre 30 et 70), sans signal de surachat (&gt;70) ni de survente (&lt;30). Cette valeur médiane indique un équilibre entre acheteurs et vendeurs, sans pression directionnelle dominante. La décision "Neutre" est parfaitement justifiée par cette position centrale.</w:t>
      </w:r>
    </w:p>
    <w:p>
      <w:pPr>
        <w:spacing w:after="120" w:line="276" w:lineRule="auto"/>
      </w:pPr>
      <w:r>
        <w:t>**Stochastique** : Le %K (80,0) et le %D (80,909) évoluent tous deux en zone de surachat (&gt;80), avec un %K légèrement sous le %D, suggérant un début de croisement baissier potentiel. Cette configuration indique que le cours pourrait approcher d'un sommet à court terme. La décision "Neutre" est prudente, le signal de surachat n'étant pas encore confirmé par un croisement franc.</w:t>
      </w:r>
    </w:p>
    <w:p>
      <w:pPr>
        <w:spacing w:after="120" w:line="276" w:lineRule="auto"/>
      </w:pPr>
      <w:r>
        <w:t>**Conclusion technique** : Les indicateurs présentent une configuration mitigée, avec des signaux contradictoires : le MACD est haussier (achat), les moyennes mobiles sont baissières (vente), tandis que le RSI, les Bandes de Bollinger et le Stochastique restent neutres. Cette divergence suggère une phase de transition où le titre cherche une direction, avec un léger avantage aux acheteurs à court terme (MACD) mais une structure de fond encore fragile (MM50). La prudence est de mise avant toute décision d'investissement.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de l'exercice 2025 (données structurées officielles) révèlent un chiffre d'affaires de 81,127 milliards FCFA, en croissance de 9,5% par rapport à 2024 (74,45 Mds FCFA selon le rapport du 30 mars 2026), confirmant la dynamique commerciale soutenue de PRSC. Le résultat net s'établit à 2,367 milliards FCFA, stable par rapport aux 2,35 milliards de 2024, avec une marge nette de 2,92% — modeste mais en légère amélioration par rapport aux 2,63% de 2023. Le ROE de 20,53% (excellent, &gt;15%) témoigne d'une rentabilité des fonds propres remarquable, tandis que le ROA de 4,95% reflète l'intensité capitalistique du modèle de distribution. En tant qu'entreprise commerciale, PRSC affiche des délais d'exploitation préoccupants : le délai clients de 45,99 jours (créances de 10,364 Mds FCFA) expose à un risque de trésorerie, tandis que le délai fournisseurs de 102,65 jours (dettes de 17,961 Mds FCFA) constitue un avantage de financement. Le BFR de 11,267 Mds FCFA (positif, donc défavorable pour une entreprise) et la trésorerie nette négative de -4,092 Mds FCFA signalent une tension sur le fonds de roulement, confirmée par le flux opérationnel négatif de -1,855 Mds FCFA malgré une CAF solide de 3,913 Mds FCFA. La structure financière reste équilibrée avec une autonomie financière de 24,1% (légèrement sous le seuil de 30%) et une capacité de remboursement de 1,83 an (confortable). Les rapports trimestriels confirment cette tendance : le rapport S1 2025 (daté du 30 juin 2025) fait état d'un CA de 39,968 Mds FCFA (+15,1%) et d'un résultat net de 1,436 Md FCFA (×28 vs S1 2024), avec une marge nette de 3,6% — performance exceptionnelle portée par les ventes de véhicules industriels (+41,2%) et les pneumatiques Michelin (+62,6%). Sur cette base, on peut estimer que l'exercice 2026 devrait bénéficier de cette dynamique, sous réserve des incertitudes politiques mentionnées par la direction pour le S2 2025. La recommandation fondamentale est de **CONSERVER** : la solidité financière (ROE 20,5%, CAF 3,9 Mds FCFA) et la croissance du CA compensent la faiblesse de la marge nette et les tensions sur le BFR, mais l'absence de dividende en 2024 (avant le dividende de 209 FCFA/action annoncé pour 2025) et la dépendance aux produits non courants (1,9 Md FCFA en 2024) appellent à la vigilance.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dimensions d'analyse révèle un profil d'investissement contrasté. Sur le plan de la **valorisation (Partie 0)**, le PER de 18,6x et le P/B de 3,81x indiquent une surévaluation relative par rapport aux standards BRVM (PER moyen 8-12x), le marché intégrant déjà une prime de croissance significative, bien que l'EV/EBITDA de 9,5x reste raisonnable. Le **comportement du cours (Partie 1)** est préoccupant à court terme : tendance baissière (-4,03% sur 100 jours), volatilité élevée (37,4%), skewness négatif (-0,668) signalant une pression vendeuse sur les baisses, mais kurtosis normal (0,435) limitant le risque de krach. Les **signaux techniques (Partie 2)** sont divergents : le MACD haussier contraste avec les moyennes mobiles baissières, le RSI et le Stochastique neutres, créant une incertitude directionnelle. Les **fondamentaux (Partie 3)** offrent le socle le plus solide : CA de 81,1 Mds FCFA en 2025 (+9,5%), ROE de 20,5%, CAF de 3,9 Mds FCFA, dividende de 209 FCFA/action (rendement de 4,9% au cours actuel) — malgré une marge nette faible (2,9%) et des tensions sur le BFR. Les **prédictions IA (J+1 à J+10)** anticipent une trajectoire baissière continue, de 4 271 FCFA (19/10) à 4 244 FCFA (23/10), soit une baisse de -1,1% sur 5 jours, confirmant la pression vendeuse à court terme. Face à cette convergence mitigée — valorisation exigeante, technique incertaine, fondamentaux solides mais prédictions baissières — la recommandation finale est de **CONSERVER**, avec un niveau de confiance **Moyen** et un niveau de risque **Moyen**. L'horizon d'investissement optimal est le **moyen terme (3-12 mois)** : le titre devrait bénéficier de la confirmation de la croissance du CA et du versement du dividende (prévu avant le 30 septembre 2026), mais la prime de valorisation et les tensions de trésorerie limitent le potentiel de hausse immédiat. Un passage à l'ACHAT serait justifié si le cours revenait vers 4 000-4 100 FCFA (zone de support) ou si les résultats S2 2025 confirmaient l'accélération de la marge nette.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28.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46.29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8,045 titres</w:t>
            </w:r>
          </w:p>
        </w:tc>
        <w:tc>
          <w:tcPr>
            <w:tcW w:type="dxa" w:w="2268"/>
            <w:shd w:fill="FFF2CC" w:val="clear"/>
          </w:tcPr>
          <w:p>
            <w:r>
              <w:rPr>
                <w:b/>
                <w:color w:val="503200"/>
                <w:sz w:val="16"/>
              </w:rPr>
              <w:t xml:space="preserve">Cours actuel : </w:t>
            </w:r>
            <w:r>
              <w:rPr>
                <w:color w:val="000000"/>
                <w:sz w:val="17"/>
              </w:rPr>
              <w:t>3,900 FCFA</w:t>
            </w:r>
          </w:p>
          <w:p>
            <w:r>
              <w:rPr>
                <w:b/>
                <w:color w:val="503200"/>
                <w:sz w:val="16"/>
              </w:rPr>
              <w:t xml:space="preserve">Var. 100 jours : </w:t>
            </w:r>
            <w:r>
              <w:rPr>
                <w:b/>
                <w:color w:val="007800"/>
                <w:sz w:val="17"/>
              </w:rPr>
              <w:t>+8.33%</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3,595 FCFA</w:t>
            </w:r>
          </w:p>
          <w:p>
            <w:r>
              <w:rPr>
                <w:b/>
                <w:color w:val="503200"/>
                <w:sz w:val="16"/>
              </w:rPr>
              <w:t xml:space="preserve">Volatilité ann. : </w:t>
            </w:r>
            <w:r>
              <w:rPr>
                <w:color w:val="000000"/>
                <w:sz w:val="17"/>
              </w:rPr>
              <w:t>61.1%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32.8/100 → Moyen</w:t>
      </w:r>
    </w:p>
    <w:p>
      <w:pPr>
        <w:spacing w:before="40" w:after="80"/>
      </w:pPr>
      <w:r>
        <w:rPr>
          <w:rFonts w:ascii="Courier New" w:hAnsi="Courier New"/>
          <w:color w:val="825A00"/>
          <w:sz w:val="18"/>
        </w:rPr>
        <w:t>██████░░░░░░░░░░░░░░  32.8/100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15.06% (Élevée) — μ=4,680 FCFA, σ=705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β=1.2345 (Agressif) — Cov=0.000095, Var(idx)=0.000077, ρ=0.280,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8,045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σ_j=3.85%/j (Modérée) — Vol. annualisée≈61.1%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63/100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3,603</w:t>
            </w:r>
          </w:p>
        </w:tc>
        <w:tc>
          <w:tcPr>
            <w:tcW w:type="dxa" w:w="1440"/>
            <w:shd w:fill="FAFAFA" w:val="clear"/>
          </w:tcPr>
          <w:p>
            <w:r>
              <w:rPr>
                <w:b/>
                <w:sz w:val="17"/>
              </w:rPr>
              <w:t>3,887</w:t>
            </w:r>
          </w:p>
        </w:tc>
        <w:tc>
          <w:tcPr>
            <w:tcW w:type="dxa" w:w="1440"/>
            <w:shd w:fill="FAFAFA" w:val="clear"/>
          </w:tcPr>
          <w:p>
            <w:r>
              <w:rPr>
                <w:sz w:val="17"/>
              </w:rPr>
              <w:t>4,170</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3,499</w:t>
            </w:r>
          </w:p>
        </w:tc>
        <w:tc>
          <w:tcPr>
            <w:tcW w:type="dxa" w:w="1440"/>
            <w:shd w:fill="FAFAFA" w:val="clear"/>
          </w:tcPr>
          <w:p>
            <w:r>
              <w:rPr>
                <w:b/>
                <w:sz w:val="17"/>
              </w:rPr>
              <w:t>3,902</w:t>
            </w:r>
          </w:p>
        </w:tc>
        <w:tc>
          <w:tcPr>
            <w:tcW w:type="dxa" w:w="1440"/>
            <w:shd w:fill="FAFAFA" w:val="clear"/>
          </w:tcPr>
          <w:p>
            <w:r>
              <w:rPr>
                <w:sz w:val="17"/>
              </w:rPr>
              <w:t>4,304</w:t>
            </w:r>
          </w:p>
        </w:tc>
        <w:tc>
          <w:tcPr>
            <w:tcW w:type="dxa" w:w="1440"/>
            <w:shd w:fill="FAFAFA" w:val="clear"/>
          </w:tcPr>
          <w:p>
            <w:r>
              <w:rPr>
                <w:b/>
                <w:color w:val="008000"/>
                <w:sz w:val="17"/>
              </w:rPr>
              <w:t>+0.0%</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3,425</w:t>
            </w:r>
          </w:p>
        </w:tc>
        <w:tc>
          <w:tcPr>
            <w:tcW w:type="dxa" w:w="1440"/>
            <w:shd w:fill="FAFAFA" w:val="clear"/>
          </w:tcPr>
          <w:p>
            <w:r>
              <w:rPr>
                <w:b/>
                <w:sz w:val="17"/>
              </w:rPr>
              <w:t>3,920</w:t>
            </w:r>
          </w:p>
        </w:tc>
        <w:tc>
          <w:tcPr>
            <w:tcW w:type="dxa" w:w="1440"/>
            <w:shd w:fill="FAFAFA" w:val="clear"/>
          </w:tcPr>
          <w:p>
            <w:r>
              <w:rPr>
                <w:sz w:val="17"/>
              </w:rPr>
              <w:t>4,415</w:t>
            </w:r>
          </w:p>
        </w:tc>
        <w:tc>
          <w:tcPr>
            <w:tcW w:type="dxa" w:w="1440"/>
            <w:shd w:fill="FAFAFA" w:val="clear"/>
          </w:tcPr>
          <w:p>
            <w:r>
              <w:rPr>
                <w:b/>
                <w:color w:val="008000"/>
                <w:sz w:val="17"/>
              </w:rPr>
              <w:t>+0.5%</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3,362</w:t>
            </w:r>
          </w:p>
        </w:tc>
        <w:tc>
          <w:tcPr>
            <w:tcW w:type="dxa" w:w="1440"/>
            <w:shd w:fill="FAFAFA" w:val="clear"/>
          </w:tcPr>
          <w:p>
            <w:r>
              <w:rPr>
                <w:b/>
                <w:sz w:val="17"/>
              </w:rPr>
              <w:t>3,936</w:t>
            </w:r>
          </w:p>
        </w:tc>
        <w:tc>
          <w:tcPr>
            <w:tcW w:type="dxa" w:w="1440"/>
            <w:shd w:fill="FAFAFA" w:val="clear"/>
          </w:tcPr>
          <w:p>
            <w:r>
              <w:rPr>
                <w:sz w:val="17"/>
              </w:rPr>
              <w:t>4,510</w:t>
            </w:r>
          </w:p>
        </w:tc>
        <w:tc>
          <w:tcPr>
            <w:tcW w:type="dxa" w:w="1440"/>
            <w:shd w:fill="FAFAFA" w:val="clear"/>
          </w:tcPr>
          <w:p>
            <w:r>
              <w:rPr>
                <w:b/>
                <w:color w:val="008000"/>
                <w:sz w:val="17"/>
              </w:rPr>
              <w:t>+0.9%</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3,306</w:t>
            </w:r>
          </w:p>
        </w:tc>
        <w:tc>
          <w:tcPr>
            <w:tcW w:type="dxa" w:w="1440"/>
            <w:shd w:fill="FAFAFA" w:val="clear"/>
          </w:tcPr>
          <w:p>
            <w:r>
              <w:rPr>
                <w:b/>
                <w:sz w:val="17"/>
              </w:rPr>
              <w:t>3,951</w:t>
            </w:r>
          </w:p>
        </w:tc>
        <w:tc>
          <w:tcPr>
            <w:tcW w:type="dxa" w:w="1440"/>
            <w:shd w:fill="FAFAFA" w:val="clear"/>
          </w:tcPr>
          <w:p>
            <w:r>
              <w:rPr>
                <w:sz w:val="17"/>
              </w:rPr>
              <w:t>4,595</w:t>
            </w:r>
          </w:p>
        </w:tc>
        <w:tc>
          <w:tcPr>
            <w:tcW w:type="dxa" w:w="1440"/>
            <w:shd w:fill="FAFAFA" w:val="clear"/>
          </w:tcPr>
          <w:p>
            <w:r>
              <w:rPr>
                <w:b/>
                <w:color w:val="008000"/>
                <w:sz w:val="17"/>
              </w:rPr>
              <w:t>+1.3%</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3,256</w:t>
            </w:r>
          </w:p>
        </w:tc>
        <w:tc>
          <w:tcPr>
            <w:tcW w:type="dxa" w:w="1440"/>
            <w:shd w:fill="FAFAFA" w:val="clear"/>
          </w:tcPr>
          <w:p>
            <w:r>
              <w:rPr>
                <w:b/>
                <w:sz w:val="17"/>
              </w:rPr>
              <w:t>3,964</w:t>
            </w:r>
          </w:p>
        </w:tc>
        <w:tc>
          <w:tcPr>
            <w:tcW w:type="dxa" w:w="1440"/>
            <w:shd w:fill="FAFAFA" w:val="clear"/>
          </w:tcPr>
          <w:p>
            <w:r>
              <w:rPr>
                <w:sz w:val="17"/>
              </w:rPr>
              <w:t>4,673</w:t>
            </w:r>
          </w:p>
        </w:tc>
        <w:tc>
          <w:tcPr>
            <w:tcW w:type="dxa" w:w="1440"/>
            <w:shd w:fill="FAFAFA" w:val="clear"/>
          </w:tcPr>
          <w:p>
            <w:r>
              <w:rPr>
                <w:b/>
                <w:color w:val="008000"/>
                <w:sz w:val="17"/>
              </w:rPr>
              <w:t>+1.6%</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3,209</w:t>
            </w:r>
          </w:p>
        </w:tc>
        <w:tc>
          <w:tcPr>
            <w:tcW w:type="dxa" w:w="1440"/>
            <w:shd w:fill="FAFAFA" w:val="clear"/>
          </w:tcPr>
          <w:p>
            <w:r>
              <w:rPr>
                <w:b/>
                <w:sz w:val="17"/>
              </w:rPr>
              <w:t>3,977</w:t>
            </w:r>
          </w:p>
        </w:tc>
        <w:tc>
          <w:tcPr>
            <w:tcW w:type="dxa" w:w="1440"/>
            <w:shd w:fill="FAFAFA" w:val="clear"/>
          </w:tcPr>
          <w:p>
            <w:r>
              <w:rPr>
                <w:sz w:val="17"/>
              </w:rPr>
              <w:t>4,744</w:t>
            </w:r>
          </w:p>
        </w:tc>
        <w:tc>
          <w:tcPr>
            <w:tcW w:type="dxa" w:w="1440"/>
            <w:shd w:fill="FAFAFA" w:val="clear"/>
          </w:tcPr>
          <w:p>
            <w:r>
              <w:rPr>
                <w:b/>
                <w:color w:val="008000"/>
                <w:sz w:val="17"/>
              </w:rPr>
              <w:t>+2.0%</w:t>
            </w:r>
          </w:p>
        </w:tc>
      </w:tr>
      <w:tr>
        <w:tc>
          <w:tcPr>
            <w:tcW w:type="dxa" w:w="1440"/>
            <w:shd w:fill="C6EFCE" w:val="clear"/>
          </w:tcPr>
          <w:p>
            <w:r>
              <w:rPr>
                <w:sz w:val="17"/>
              </w:rPr>
              <w:t>J+8  ⭐</w:t>
            </w:r>
          </w:p>
        </w:tc>
        <w:tc>
          <w:tcPr>
            <w:tcW w:type="dxa" w:w="1440"/>
            <w:shd w:fill="C6EFCE" w:val="clear"/>
          </w:tcPr>
          <w:p>
            <w:r>
              <w:rPr>
                <w:sz w:val="17"/>
              </w:rPr>
              <w:t>2026-10-28</w:t>
            </w:r>
          </w:p>
        </w:tc>
        <w:tc>
          <w:tcPr>
            <w:tcW w:type="dxa" w:w="1440"/>
            <w:shd w:fill="C6EFCE" w:val="clear"/>
          </w:tcPr>
          <w:p>
            <w:r>
              <w:rPr>
                <w:sz w:val="17"/>
              </w:rPr>
              <w:t>3,166</w:t>
            </w:r>
          </w:p>
        </w:tc>
        <w:tc>
          <w:tcPr>
            <w:tcW w:type="dxa" w:w="1440"/>
            <w:shd w:fill="C6EFCE" w:val="clear"/>
          </w:tcPr>
          <w:p>
            <w:r>
              <w:rPr>
                <w:b/>
                <w:sz w:val="17"/>
              </w:rPr>
              <w:t>3,988</w:t>
            </w:r>
          </w:p>
        </w:tc>
        <w:tc>
          <w:tcPr>
            <w:tcW w:type="dxa" w:w="1440"/>
            <w:shd w:fill="C6EFCE" w:val="clear"/>
          </w:tcPr>
          <w:p>
            <w:r>
              <w:rPr>
                <w:sz w:val="17"/>
              </w:rPr>
              <w:t>4,811</w:t>
            </w:r>
          </w:p>
        </w:tc>
        <w:tc>
          <w:tcPr>
            <w:tcW w:type="dxa" w:w="1440"/>
            <w:shd w:fill="C6EFCE" w:val="clear"/>
          </w:tcPr>
          <w:p>
            <w:r>
              <w:rPr>
                <w:b/>
                <w:color w:val="008000"/>
                <w:sz w:val="17"/>
              </w:rPr>
              <w:t>+2.3%</w:t>
            </w:r>
          </w:p>
        </w:tc>
      </w:tr>
      <w:tr>
        <w:tc>
          <w:tcPr>
            <w:tcW w:type="dxa" w:w="1440"/>
            <w:shd w:fill="C6EFCE" w:val="clear"/>
          </w:tcPr>
          <w:p>
            <w:r>
              <w:rPr>
                <w:sz w:val="17"/>
              </w:rPr>
              <w:t>J+9  ⭐</w:t>
            </w:r>
          </w:p>
        </w:tc>
        <w:tc>
          <w:tcPr>
            <w:tcW w:type="dxa" w:w="1440"/>
            <w:shd w:fill="C6EFCE" w:val="clear"/>
          </w:tcPr>
          <w:p>
            <w:r>
              <w:rPr>
                <w:sz w:val="17"/>
              </w:rPr>
              <w:t>2026-10-29</w:t>
            </w:r>
          </w:p>
        </w:tc>
        <w:tc>
          <w:tcPr>
            <w:tcW w:type="dxa" w:w="1440"/>
            <w:shd w:fill="C6EFCE" w:val="clear"/>
          </w:tcPr>
          <w:p>
            <w:r>
              <w:rPr>
                <w:sz w:val="17"/>
              </w:rPr>
              <w:t>3,124</w:t>
            </w:r>
          </w:p>
        </w:tc>
        <w:tc>
          <w:tcPr>
            <w:tcW w:type="dxa" w:w="1440"/>
            <w:shd w:fill="C6EFCE" w:val="clear"/>
          </w:tcPr>
          <w:p>
            <w:r>
              <w:rPr>
                <w:b/>
                <w:sz w:val="17"/>
              </w:rPr>
              <w:t>3,999</w:t>
            </w:r>
          </w:p>
        </w:tc>
        <w:tc>
          <w:tcPr>
            <w:tcW w:type="dxa" w:w="1440"/>
            <w:shd w:fill="C6EFCE" w:val="clear"/>
          </w:tcPr>
          <w:p>
            <w:r>
              <w:rPr>
                <w:sz w:val="17"/>
              </w:rPr>
              <w:t>4,875</w:t>
            </w:r>
          </w:p>
        </w:tc>
        <w:tc>
          <w:tcPr>
            <w:tcW w:type="dxa" w:w="1440"/>
            <w:shd w:fill="C6EFCE" w:val="clear"/>
          </w:tcPr>
          <w:p>
            <w:r>
              <w:rPr>
                <w:b/>
                <w:color w:val="008000"/>
                <w:sz w:val="17"/>
              </w:rPr>
              <w:t>+2.5%</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3,085</w:t>
            </w:r>
          </w:p>
        </w:tc>
        <w:tc>
          <w:tcPr>
            <w:tcW w:type="dxa" w:w="1440"/>
            <w:shd w:fill="C6EFCE" w:val="clear"/>
          </w:tcPr>
          <w:p>
            <w:r>
              <w:rPr>
                <w:b/>
                <w:sz w:val="17"/>
              </w:rPr>
              <w:t>4,010</w:t>
            </w:r>
          </w:p>
        </w:tc>
        <w:tc>
          <w:tcPr>
            <w:tcW w:type="dxa" w:w="1440"/>
            <w:shd w:fill="C6EFCE" w:val="clear"/>
          </w:tcPr>
          <w:p>
            <w:r>
              <w:rPr>
                <w:sz w:val="17"/>
              </w:rPr>
              <w:t>4,935</w:t>
            </w:r>
          </w:p>
        </w:tc>
        <w:tc>
          <w:tcPr>
            <w:tcW w:type="dxa" w:w="1440"/>
            <w:shd w:fill="C6EFCE" w:val="clear"/>
          </w:tcPr>
          <w:p>
            <w:r>
              <w:rPr>
                <w:b/>
                <w:color w:val="008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 RAPPORT D'ANALYSE FINANCIÈRE — SAFC (ALIOS FINANCE CÔTE D'IVOIRE)</w:t>
        <w:br/>
        <w:t>**Bourse Régionale des Valeurs Mobilières (BRVM) — Secteur : Banque / Financement spécialisé**</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46,29 milliards FCFA, SAFC se situe dans la catégorie des valeurs moyennes de la cote BRVM, loin des géants bancaires régionaux mais suffisamment liquide pour intéresser les investisseurs institutionnels. Le BPA de 59 FCFA par action signifie que chaque titre génère aujourd'hui près de 59 FCFA de bénéfice net, un niveau modeste qui traduit la phase de redressement encore récente de l'établissement. Le PER de 66,0x constitue un signal d'alerte majeur : les investisseurs paient 66 fois les bénéfices actuels, soit un multiple très supérieur à la moyenne BRVM (8-12x), ce qui intègre déjà une forte anticipation de croissance future et ne laisse aucune marge d'erreur. Le P/B de 7,82x confirme cette prime excessive — le marché valorise l'action près de huit fois sa valeur comptable, alors qu'un ratio supérieur à 4x est déjà considéré comme exigeant — tandis que l'EV/EBITDA de 81,1x, très au-delà du seuil de 15x, traduit une valorisation déconnectée de la capacité opérationnelle actuelle. En synthèse, la valorisation boursière de SAFC est **très tendue** et n'est justifiable que par la poursuite accélérée du redressement engagé depuis l'arrivée de CREDAF Group.</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SAFC affiche une variation totale positive de **+8,33%**, avec une dernière séance stable (+0,00%) à **3 900 FCFA**, pour une capitalisation de 46,29 Mds FCFA. Le range de trading est particulièrement large, entre un plus bas de **3 595 FCFA** et un plus haut de **6 200 FCFA**, soit un écart de plus de 72% entre les extrêmes — signe d'une forte agitation spéculative sur la période. La tendance générale est baissière depuis le pic de 6 200 FCFA, le cours actuel (3 900 FCFA) se situant désormais sous sa moyenne (4 680 FCFA) et sa médiane (4 580 FCFA), ce qui traduit une distribution légèrement asymétrique avec des valeurs extrêmes hautes ayant tiré la moyenne vers le haut ; le mode à 3 700 FCFA suggère d'ailleurs que le cours a longtemps stationné autour de ce niveau. L'écart-type de 708 FCFA avec un coefficient de variation de 15,1% indique une dispersion modérée à élevée du cours autour de sa moyenne, tandis que le kurtosis de -0,850 (mésokurtique, proche d'une distribution normale) et le skewness de 0,375 (distribution quasi symétrique) suggèrent un comportement relativement équilibré, sans pics extrêmes ni forte asymétrie directionnelle. La volatilité annualisée de **61,1%** classe clairement le titre dans la catégorie des valeurs **très volatiles** (seuil &gt;30%), ce qui est cohérent avec un profil de valeur spéculative en phase de redressement.</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4 276,75 FCFA et la MM50 à 5 033,60 FCFA, toutes deux nettement supérieures au cours actuel de 3 900 FCFA. Cette configuration baissière (cours sous les deux moyennes, avec MM20 &lt; MM50) confirme une pression vendeuse persistante et justifie la décision technique de **Vente**.</w:t>
      </w:r>
    </w:p>
    <w:p>
      <w:pPr>
        <w:spacing w:after="120" w:line="276" w:lineRule="auto"/>
      </w:pPr>
      <w:r>
        <w:t>**Bandes de Bollinger :** Le cours (3 900 FCFA) évolue dans la partie basse de la bande, entre la borne inférieure (3 660,92 FCFA) et la borne supérieure (4 892,58 FCFA), sans en atteindre les extrêmes. Cette position intermédiaire, couplée à un écart de bande significatif, traduit une volatilité encore présente mais sans signal de retournement imminent, d'où la décision **Neutre**.</w:t>
      </w:r>
    </w:p>
    <w:p>
      <w:pPr>
        <w:spacing w:after="120" w:line="276" w:lineRule="auto"/>
      </w:pPr>
      <w:r>
        <w:t>**MACD :** La ligne MACD (-300,046) est inférieure à sa ligne de signal (-287,893), avec un histogramme négatif qui confirme un momentum baissier toujours actif. L'absence de croisement haussier récent justifie pleinement la décision de **Vente**.</w:t>
      </w:r>
    </w:p>
    <w:p>
      <w:pPr>
        <w:spacing w:after="120" w:line="276" w:lineRule="auto"/>
      </w:pPr>
      <w:r>
        <w:t>**RSI :** À 39,529, le RSI se situe dans la zone neutre basse (30-70), sans atteindre la zone de survente (&lt;30) qui signalerait un rebond technique. Cette configuration indique une faiblesse modérée mais non extrême, justifiant la décision **Neutre**.</w:t>
      </w:r>
    </w:p>
    <w:p>
      <w:pPr>
        <w:spacing w:after="120" w:line="276" w:lineRule="auto"/>
      </w:pPr>
      <w:r>
        <w:t>**Stochastique :** Le %K à 0,0 et le %D à 2,917 traduisent une position en zone de survente extrême, avec un %K sous le %D qui pourrait annoncer un croisement haussier imminent. Cette configuration justifie la décision **Achat** à court terme, en contradiction avec les autres indicateurs.</w:t>
      </w:r>
    </w:p>
    <w:p>
      <w:pPr>
        <w:spacing w:after="120" w:line="276" w:lineRule="auto"/>
      </w:pPr>
      <w:r>
        <w:t>**Conclusion technique :** La majorité des indicateurs (MM, MACD) restent baissiers, tandis que le stochastique signale une survente extrême pouvant générer un rebond technique ponctuel. Le RSI et les Bollinger confirment une posture neutre, sans direction claire. La convergence globale penche donc vers une **prudence baissière**, avec un potentiel rebond de court terme à surveiller mais non confirmé par les tendances de fond.</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SAFC affiche un Produit Net Bancaire (équivalent du chiffre d'affaires pour une banque) de **5 735 millions FCFA**, en forte hausse de +44,1% par rapport aux 3 980 millions de 2024, porté par la progression des intérêts (+14,4%) et surtout des commissions (+81%). Le résultat net s'établit à **701 millions FCFA**, marquant un retournement spectaculaire après la perte de 165 millions en 2024, avec une marge nette de 12,2%. Le ROE ressort à **11,85%** (en dessous du seuil d'excellence de 15%) et le ROA à seulement 0,88%, traduisant une rentabilité des actifs encore faible. Le coefficient d'exploitation de **77,63%** reste très supérieur au seuil de 60% d'efficacité bancaire, signe que les charges pèsent encore lourdement sur le PNB. Le coût du risque rapporté aux charges financières s'établit à 6,57%, un niveau élevé qui traduit un risque de crédit significatif. La structure financière est fragile : l'autonomie financière n'est que de **7,44%** (très en dessous du seuil sain de 30%), le ratio d'endettement atteint 856,36% et la trésorerie nette est négative à -35,324 Mds FCFA, avec une dépendance marquée aux dettes interbancaires (35,747 Mds FCFA contre seulement 9,112 Mds de dépôts clientèle).</w:t>
      </w:r>
    </w:p>
    <w:p>
      <w:pPr>
        <w:spacing w:after="120" w:line="276" w:lineRule="auto"/>
      </w:pPr>
      <w:r>
        <w:t>**Estimations basées sur les rapports trimestriels :** Le rapport semestriel au 30 juin 2026 (analysé le 4 septembre 2026) confirme l'accélération : PNB de 2 907 millions FCFA (+37%) et résultat net de 731 millions FCFA (+231%), avec une marge nette bondissant à 25,1% et une reprise nette sur coût du risque de 261 millions FCFA. Le rapport T1 2026 (analysé le 12 mai 2026) montrait déjà un résultat net de 151 millions (+1 062%) et un ratio CET1 remonté à 11,491% (contre 9,653% en 2025), tandis que le ratio de solvabilité globale atteignait 12,931%. Sur cette base, on estime que l'exercice 2026 devrait afficher un résultat net annuel de l'ordre de 1,4 à 1,5 milliard FCFA, soit un doublement par rapport à 2025, avec un BPA estimé autour de 90-100 FCFA (avant dilution liée à l'augmentation de capital de 1,5 Md FCFA annoncée en avril 2026, portant sur 3 750 000 actions nouvelles à 400 FCFA).</w:t>
      </w:r>
    </w:p>
    <w:p>
      <w:pPr>
        <w:spacing w:after="120" w:line="276" w:lineRule="auto"/>
      </w:pPr>
      <w:r>
        <w:t>**Recommandation fondamentale :** La dynamique de redressement est indéniable et saluée par l'ensemble des analystes (recommandations majoritairement "Acheter" sur les rapports 2026), mais la solidité financière reste précaire : capitaux propres modestes (5 916 M FCFA), report à nouveau négatif (-4 123 M FCFA), dépendance au financement interbancaire et engagements hors-bilan importants. Le profil est celui d'une **valeur de retournement à haut risque**, dont la valorisation boursière actuelle intègre déjà une large part du succès attendu.</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**divorce marqué entre les fondamentaux en amélioration et une valorisation boursière déjà très exigeante**. La valorisation (PER 66x, P/B 7,82x, EV/EBITDA 81,1x) intègre une anticipation de croissance que même le scénario optimiste des rapports 2026 (résultat net estimé ~1,4 Md FCFA) ne suffit pas à justifier pleinement, le PER forward restant supérieur à 30x. Le comportement du cours sur 100 jours (+8,33% mais -37% depuis le pic de 6 200 FCFA) avec une volatilité annualisée de 61,1% et des statistiques (kurtosis -0,85, skewness 0,375) traduisant un profil agité mais sans biais directionnel fort, confirme le caractère spéculatif du titre. Les signaux techniques sont majoritairement baissiers (cours sous MM20 et MM50, MACD négatif), seul le stochastique en survente extrême (%K=0,0) suggérant un rebond technique ponctuel. Les fondamentaux, portés par la transformation CREDAF Group, affichent une trajectoire spectaculaire (PNB +44% en 2025, résultat net multiplié par plus de 4 au S1 2026) mais sur une base financière encore fragile (autonomie financière 7,44%, trésorerie nette négative). Les prédictions IA (3 887 → 3 951 FCFA sur 10 jours, soit +1,6%) suggèrent une légère reprise cohérente avec la survente technique, sans renversement de tendance majeur.</w:t>
      </w:r>
    </w:p>
    <w:p>
      <w:pPr>
        <w:spacing w:after="120" w:line="276" w:lineRule="auto"/>
      </w:pPr>
      <w:r>
        <w:t>**Recommandation finale : CONSERVER**</w:t>
        <w:br/>
        <w:t>**Justification de la convergence :** Le potentiel de redressement fondamental est réel et reconnu, mais la valorisation actuelle (PER 66x) ne laisse aucune marge de sécurité et les signaux techniques restent majoritairement baissiers. La prédiction IA d'une stabilisation légèrement haussière confirme l'absence de catalyseur baissier immédiat, mais ne justifie pas un renforcement à ces niveaux de prix. **Niveau de confiance : Moyen** (les fondamentaux s'améliorent mais la valorisation et la structure financière limitent la visibilité). **Niveau de risque global : Élevé** (volatilité 61,1%, dépendance interbancaire, dilution à venir par l'augmentation de capital). **Horizon optimal : Moyen à long terme (6-18 mois)**, en attendant la confirmation de la rentabilité durable et la normalisation de la structure financière post-augmentation de capital ; un renforcement ne serait justifié qu'en cas de repli vers la zone des 3 600-3 700 FCFA (borne basse de Bollinger et mode statistique).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29.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44.49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10,341 titres</w:t>
            </w:r>
          </w:p>
        </w:tc>
        <w:tc>
          <w:tcPr>
            <w:tcW w:type="dxa" w:w="2268"/>
            <w:shd w:fill="FFF2CC" w:val="clear"/>
          </w:tcPr>
          <w:p>
            <w:r>
              <w:rPr>
                <w:b/>
                <w:color w:val="503200"/>
                <w:sz w:val="16"/>
              </w:rPr>
              <w:t xml:space="preserve">Cours actuel : </w:t>
            </w:r>
            <w:r>
              <w:rPr>
                <w:color w:val="000000"/>
                <w:sz w:val="17"/>
              </w:rPr>
              <w:t>2,270 FCFA</w:t>
            </w:r>
          </w:p>
          <w:p>
            <w:r>
              <w:rPr>
                <w:b/>
                <w:color w:val="503200"/>
                <w:sz w:val="16"/>
              </w:rPr>
              <w:t xml:space="preserve">Var. 100 jours : </w:t>
            </w:r>
            <w:r>
              <w:rPr>
                <w:b/>
                <w:color w:val="007800"/>
                <w:sz w:val="17"/>
              </w:rPr>
              <w:t>+2.95%</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2,205 FCFA</w:t>
            </w:r>
          </w:p>
          <w:p>
            <w:r>
              <w:rPr>
                <w:b/>
                <w:color w:val="503200"/>
                <w:sz w:val="16"/>
              </w:rPr>
              <w:t xml:space="preserve">Volatilité ann. : </w:t>
            </w:r>
            <w:r>
              <w:rPr>
                <w:color w:val="000000"/>
                <w:sz w:val="17"/>
              </w:rPr>
              <w:t>53.8%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13.27% (Moyenne) — μ=3,196 FCFA, σ=424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β=1.1906 (Neutre (suit le marché)) — Cov=0.000087, Var(idx)=0.000073, ρ=0.307, n=95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10,341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σ_j=3.39%/j (Modérée) — Vol. annualisée≈53.8%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35585"/>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2026-10-19</w:t>
            </w:r>
          </w:p>
        </w:tc>
        <w:tc>
          <w:tcPr>
            <w:tcW w:type="dxa" w:w="1440"/>
            <w:shd w:fill="C6EFCE" w:val="clear"/>
          </w:tcPr>
          <w:p>
            <w:r>
              <w:rPr>
                <w:sz w:val="17"/>
              </w:rPr>
              <w:t>2,205</w:t>
            </w:r>
          </w:p>
        </w:tc>
        <w:tc>
          <w:tcPr>
            <w:tcW w:type="dxa" w:w="1440"/>
            <w:shd w:fill="C6EFCE" w:val="clear"/>
          </w:tcPr>
          <w:p>
            <w:r>
              <w:rPr>
                <w:b/>
                <w:sz w:val="17"/>
              </w:rPr>
              <w:t>2,344</w:t>
            </w:r>
          </w:p>
        </w:tc>
        <w:tc>
          <w:tcPr>
            <w:tcW w:type="dxa" w:w="1440"/>
            <w:shd w:fill="C6EFCE" w:val="clear"/>
          </w:tcPr>
          <w:p>
            <w:r>
              <w:rPr>
                <w:sz w:val="17"/>
              </w:rPr>
              <w:t>2,482</w:t>
            </w:r>
          </w:p>
        </w:tc>
        <w:tc>
          <w:tcPr>
            <w:tcW w:type="dxa" w:w="1440"/>
            <w:shd w:fill="C6EFCE" w:val="clear"/>
          </w:tcPr>
          <w:p>
            <w:r>
              <w:rPr>
                <w:b/>
                <w:color w:val="008000"/>
                <w:sz w:val="17"/>
              </w:rPr>
              <w:t>+3.2%</w:t>
            </w:r>
          </w:p>
        </w:tc>
      </w:tr>
      <w:tr>
        <w:tc>
          <w:tcPr>
            <w:tcW w:type="dxa" w:w="1440"/>
            <w:shd w:fill="C6EFCE" w:val="clear"/>
          </w:tcPr>
          <w:p>
            <w:r>
              <w:rPr>
                <w:sz w:val="17"/>
              </w:rPr>
              <w:t>J+2  Moyenne</w:t>
            </w:r>
          </w:p>
        </w:tc>
        <w:tc>
          <w:tcPr>
            <w:tcW w:type="dxa" w:w="1440"/>
            <w:shd w:fill="C6EFCE" w:val="clear"/>
          </w:tcPr>
          <w:p>
            <w:r>
              <w:rPr>
                <w:sz w:val="17"/>
              </w:rPr>
              <w:t>2026-10-20</w:t>
            </w:r>
          </w:p>
        </w:tc>
        <w:tc>
          <w:tcPr>
            <w:tcW w:type="dxa" w:w="1440"/>
            <w:shd w:fill="C6EFCE" w:val="clear"/>
          </w:tcPr>
          <w:p>
            <w:r>
              <w:rPr>
                <w:sz w:val="17"/>
              </w:rPr>
              <w:t>2,237</w:t>
            </w:r>
          </w:p>
        </w:tc>
        <w:tc>
          <w:tcPr>
            <w:tcW w:type="dxa" w:w="1440"/>
            <w:shd w:fill="C6EFCE" w:val="clear"/>
          </w:tcPr>
          <w:p>
            <w:r>
              <w:rPr>
                <w:b/>
                <w:sz w:val="17"/>
              </w:rPr>
              <w:t>2,441</w:t>
            </w:r>
          </w:p>
        </w:tc>
        <w:tc>
          <w:tcPr>
            <w:tcW w:type="dxa" w:w="1440"/>
            <w:shd w:fill="C6EFCE" w:val="clear"/>
          </w:tcPr>
          <w:p>
            <w:r>
              <w:rPr>
                <w:sz w:val="17"/>
              </w:rPr>
              <w:t>2,645</w:t>
            </w:r>
          </w:p>
        </w:tc>
        <w:tc>
          <w:tcPr>
            <w:tcW w:type="dxa" w:w="1440"/>
            <w:shd w:fill="C6EFCE" w:val="clear"/>
          </w:tcPr>
          <w:p>
            <w:r>
              <w:rPr>
                <w:b/>
                <w:color w:val="008000"/>
                <w:sz w:val="17"/>
              </w:rPr>
              <w:t>+7.5%</w:t>
            </w:r>
          </w:p>
        </w:tc>
      </w:tr>
      <w:tr>
        <w:tc>
          <w:tcPr>
            <w:tcW w:type="dxa" w:w="1440"/>
            <w:shd w:fill="C6EFCE" w:val="clear"/>
          </w:tcPr>
          <w:p>
            <w:r>
              <w:rPr>
                <w:sz w:val="17"/>
              </w:rPr>
              <w:t>J+3  Moyenne</w:t>
            </w:r>
          </w:p>
        </w:tc>
        <w:tc>
          <w:tcPr>
            <w:tcW w:type="dxa" w:w="1440"/>
            <w:shd w:fill="C6EFCE" w:val="clear"/>
          </w:tcPr>
          <w:p>
            <w:r>
              <w:rPr>
                <w:sz w:val="17"/>
              </w:rPr>
              <w:t>2026-10-21</w:t>
            </w:r>
          </w:p>
        </w:tc>
        <w:tc>
          <w:tcPr>
            <w:tcW w:type="dxa" w:w="1440"/>
            <w:shd w:fill="C6EFCE" w:val="clear"/>
          </w:tcPr>
          <w:p>
            <w:r>
              <w:rPr>
                <w:sz w:val="17"/>
              </w:rPr>
              <w:t>2,293</w:t>
            </w:r>
          </w:p>
        </w:tc>
        <w:tc>
          <w:tcPr>
            <w:tcW w:type="dxa" w:w="1440"/>
            <w:shd w:fill="C6EFCE" w:val="clear"/>
          </w:tcPr>
          <w:p>
            <w:r>
              <w:rPr>
                <w:b/>
                <w:sz w:val="17"/>
              </w:rPr>
              <w:t>2,554</w:t>
            </w:r>
          </w:p>
        </w:tc>
        <w:tc>
          <w:tcPr>
            <w:tcW w:type="dxa" w:w="1440"/>
            <w:shd w:fill="C6EFCE" w:val="clear"/>
          </w:tcPr>
          <w:p>
            <w:r>
              <w:rPr>
                <w:sz w:val="17"/>
              </w:rPr>
              <w:t>2,816</w:t>
            </w:r>
          </w:p>
        </w:tc>
        <w:tc>
          <w:tcPr>
            <w:tcW w:type="dxa" w:w="1440"/>
            <w:shd w:fill="C6EFCE" w:val="clear"/>
          </w:tcPr>
          <w:p>
            <w:r>
              <w:rPr>
                <w:b/>
                <w:color w:val="008000"/>
                <w:sz w:val="17"/>
              </w:rPr>
              <w:t>+12.5%</w:t>
            </w:r>
          </w:p>
        </w:tc>
      </w:tr>
      <w:tr>
        <w:tc>
          <w:tcPr>
            <w:tcW w:type="dxa" w:w="1440"/>
            <w:shd w:fill="C6EFCE" w:val="clear"/>
          </w:tcPr>
          <w:p>
            <w:r>
              <w:rPr>
                <w:sz w:val="17"/>
              </w:rPr>
              <w:t>J+4  ⭐</w:t>
            </w:r>
          </w:p>
        </w:tc>
        <w:tc>
          <w:tcPr>
            <w:tcW w:type="dxa" w:w="1440"/>
            <w:shd w:fill="C6EFCE" w:val="clear"/>
          </w:tcPr>
          <w:p>
            <w:r>
              <w:rPr>
                <w:sz w:val="17"/>
              </w:rPr>
              <w:t>2026-10-22</w:t>
            </w:r>
          </w:p>
        </w:tc>
        <w:tc>
          <w:tcPr>
            <w:tcW w:type="dxa" w:w="1440"/>
            <w:shd w:fill="C6EFCE" w:val="clear"/>
          </w:tcPr>
          <w:p>
            <w:r>
              <w:rPr>
                <w:sz w:val="17"/>
              </w:rPr>
              <w:t>2,342</w:t>
            </w:r>
          </w:p>
        </w:tc>
        <w:tc>
          <w:tcPr>
            <w:tcW w:type="dxa" w:w="1440"/>
            <w:shd w:fill="C6EFCE" w:val="clear"/>
          </w:tcPr>
          <w:p>
            <w:r>
              <w:rPr>
                <w:b/>
                <w:sz w:val="17"/>
              </w:rPr>
              <w:t>2,655</w:t>
            </w:r>
          </w:p>
        </w:tc>
        <w:tc>
          <w:tcPr>
            <w:tcW w:type="dxa" w:w="1440"/>
            <w:shd w:fill="C6EFCE" w:val="clear"/>
          </w:tcPr>
          <w:p>
            <w:r>
              <w:rPr>
                <w:sz w:val="17"/>
              </w:rPr>
              <w:t>2,969</w:t>
            </w:r>
          </w:p>
        </w:tc>
        <w:tc>
          <w:tcPr>
            <w:tcW w:type="dxa" w:w="1440"/>
            <w:shd w:fill="C6EFCE" w:val="clear"/>
          </w:tcPr>
          <w:p>
            <w:r>
              <w:rPr>
                <w:b/>
                <w:color w:val="008000"/>
                <w:sz w:val="17"/>
              </w:rPr>
              <w:t>+17.0%</w:t>
            </w:r>
          </w:p>
        </w:tc>
      </w:tr>
      <w:tr>
        <w:tc>
          <w:tcPr>
            <w:tcW w:type="dxa" w:w="1440"/>
            <w:shd w:fill="C6EFCE" w:val="clear"/>
          </w:tcPr>
          <w:p>
            <w:r>
              <w:rPr>
                <w:sz w:val="17"/>
              </w:rPr>
              <w:t>J+5  ⭐</w:t>
            </w:r>
          </w:p>
        </w:tc>
        <w:tc>
          <w:tcPr>
            <w:tcW w:type="dxa" w:w="1440"/>
            <w:shd w:fill="C6EFCE" w:val="clear"/>
          </w:tcPr>
          <w:p>
            <w:r>
              <w:rPr>
                <w:sz w:val="17"/>
              </w:rPr>
              <w:t>2026-10-23</w:t>
            </w:r>
          </w:p>
        </w:tc>
        <w:tc>
          <w:tcPr>
            <w:tcW w:type="dxa" w:w="1440"/>
            <w:shd w:fill="C6EFCE" w:val="clear"/>
          </w:tcPr>
          <w:p>
            <w:r>
              <w:rPr>
                <w:sz w:val="17"/>
              </w:rPr>
              <w:t>2,382</w:t>
            </w:r>
          </w:p>
        </w:tc>
        <w:tc>
          <w:tcPr>
            <w:tcW w:type="dxa" w:w="1440"/>
            <w:shd w:fill="C6EFCE" w:val="clear"/>
          </w:tcPr>
          <w:p>
            <w:r>
              <w:rPr>
                <w:b/>
                <w:sz w:val="17"/>
              </w:rPr>
              <w:t>2,745</w:t>
            </w:r>
          </w:p>
        </w:tc>
        <w:tc>
          <w:tcPr>
            <w:tcW w:type="dxa" w:w="1440"/>
            <w:shd w:fill="C6EFCE" w:val="clear"/>
          </w:tcPr>
          <w:p>
            <w:r>
              <w:rPr>
                <w:sz w:val="17"/>
              </w:rPr>
              <w:t>3,107</w:t>
            </w:r>
          </w:p>
        </w:tc>
        <w:tc>
          <w:tcPr>
            <w:tcW w:type="dxa" w:w="1440"/>
            <w:shd w:fill="C6EFCE" w:val="clear"/>
          </w:tcPr>
          <w:p>
            <w:r>
              <w:rPr>
                <w:b/>
                <w:color w:val="008000"/>
                <w:sz w:val="17"/>
              </w:rPr>
              <w:t>+20.9%</w:t>
            </w:r>
          </w:p>
        </w:tc>
      </w:tr>
      <w:tr>
        <w:tc>
          <w:tcPr>
            <w:tcW w:type="dxa" w:w="1440"/>
            <w:shd w:fill="C6EFCE" w:val="clear"/>
          </w:tcPr>
          <w:p>
            <w:r>
              <w:rPr>
                <w:sz w:val="17"/>
              </w:rPr>
              <w:t>J+6  ⭐</w:t>
            </w:r>
          </w:p>
        </w:tc>
        <w:tc>
          <w:tcPr>
            <w:tcW w:type="dxa" w:w="1440"/>
            <w:shd w:fill="C6EFCE" w:val="clear"/>
          </w:tcPr>
          <w:p>
            <w:r>
              <w:rPr>
                <w:sz w:val="17"/>
              </w:rPr>
              <w:t>2026-10-26</w:t>
            </w:r>
          </w:p>
        </w:tc>
        <w:tc>
          <w:tcPr>
            <w:tcW w:type="dxa" w:w="1440"/>
            <w:shd w:fill="C6EFCE" w:val="clear"/>
          </w:tcPr>
          <w:p>
            <w:r>
              <w:rPr>
                <w:sz w:val="17"/>
              </w:rPr>
              <w:t>2,417</w:t>
            </w:r>
          </w:p>
        </w:tc>
        <w:tc>
          <w:tcPr>
            <w:tcW w:type="dxa" w:w="1440"/>
            <w:shd w:fill="C6EFCE" w:val="clear"/>
          </w:tcPr>
          <w:p>
            <w:r>
              <w:rPr>
                <w:b/>
                <w:sz w:val="17"/>
              </w:rPr>
              <w:t>2,826</w:t>
            </w:r>
          </w:p>
        </w:tc>
        <w:tc>
          <w:tcPr>
            <w:tcW w:type="dxa" w:w="1440"/>
            <w:shd w:fill="C6EFCE" w:val="clear"/>
          </w:tcPr>
          <w:p>
            <w:r>
              <w:rPr>
                <w:sz w:val="17"/>
              </w:rPr>
              <w:t>3,235</w:t>
            </w:r>
          </w:p>
        </w:tc>
        <w:tc>
          <w:tcPr>
            <w:tcW w:type="dxa" w:w="1440"/>
            <w:shd w:fill="C6EFCE" w:val="clear"/>
          </w:tcPr>
          <w:p>
            <w:r>
              <w:rPr>
                <w:b/>
                <w:color w:val="008000"/>
                <w:sz w:val="17"/>
              </w:rPr>
              <w:t>+24.5%</w:t>
            </w:r>
          </w:p>
        </w:tc>
      </w:tr>
      <w:tr>
        <w:tc>
          <w:tcPr>
            <w:tcW w:type="dxa" w:w="1440"/>
            <w:shd w:fill="C6EFCE" w:val="clear"/>
          </w:tcPr>
          <w:p>
            <w:r>
              <w:rPr>
                <w:sz w:val="17"/>
              </w:rPr>
              <w:t>J+7  ⭐</w:t>
            </w:r>
          </w:p>
        </w:tc>
        <w:tc>
          <w:tcPr>
            <w:tcW w:type="dxa" w:w="1440"/>
            <w:shd w:fill="C6EFCE" w:val="clear"/>
          </w:tcPr>
          <w:p>
            <w:r>
              <w:rPr>
                <w:sz w:val="17"/>
              </w:rPr>
              <w:t>2026-10-27</w:t>
            </w:r>
          </w:p>
        </w:tc>
        <w:tc>
          <w:tcPr>
            <w:tcW w:type="dxa" w:w="1440"/>
            <w:shd w:fill="C6EFCE" w:val="clear"/>
          </w:tcPr>
          <w:p>
            <w:r>
              <w:rPr>
                <w:sz w:val="17"/>
              </w:rPr>
              <w:t>2,446</w:t>
            </w:r>
          </w:p>
        </w:tc>
        <w:tc>
          <w:tcPr>
            <w:tcW w:type="dxa" w:w="1440"/>
            <w:shd w:fill="C6EFCE" w:val="clear"/>
          </w:tcPr>
          <w:p>
            <w:r>
              <w:rPr>
                <w:b/>
                <w:sz w:val="17"/>
              </w:rPr>
              <w:t>2,900</w:t>
            </w:r>
          </w:p>
        </w:tc>
        <w:tc>
          <w:tcPr>
            <w:tcW w:type="dxa" w:w="1440"/>
            <w:shd w:fill="C6EFCE" w:val="clear"/>
          </w:tcPr>
          <w:p>
            <w:r>
              <w:rPr>
                <w:sz w:val="17"/>
              </w:rPr>
              <w:t>3,353</w:t>
            </w:r>
          </w:p>
        </w:tc>
        <w:tc>
          <w:tcPr>
            <w:tcW w:type="dxa" w:w="1440"/>
            <w:shd w:fill="C6EFCE" w:val="clear"/>
          </w:tcPr>
          <w:p>
            <w:r>
              <w:rPr>
                <w:b/>
                <w:color w:val="008000"/>
                <w:sz w:val="17"/>
              </w:rPr>
              <w:t>+27.7%</w:t>
            </w:r>
          </w:p>
        </w:tc>
      </w:tr>
      <w:tr>
        <w:tc>
          <w:tcPr>
            <w:tcW w:type="dxa" w:w="1440"/>
            <w:shd w:fill="C6EFCE" w:val="clear"/>
          </w:tcPr>
          <w:p>
            <w:r>
              <w:rPr>
                <w:sz w:val="17"/>
              </w:rPr>
              <w:t>J+8  ⭐</w:t>
            </w:r>
          </w:p>
        </w:tc>
        <w:tc>
          <w:tcPr>
            <w:tcW w:type="dxa" w:w="1440"/>
            <w:shd w:fill="C6EFCE" w:val="clear"/>
          </w:tcPr>
          <w:p>
            <w:r>
              <w:rPr>
                <w:sz w:val="17"/>
              </w:rPr>
              <w:t>2026-10-28</w:t>
            </w:r>
          </w:p>
        </w:tc>
        <w:tc>
          <w:tcPr>
            <w:tcW w:type="dxa" w:w="1440"/>
            <w:shd w:fill="C6EFCE" w:val="clear"/>
          </w:tcPr>
          <w:p>
            <w:r>
              <w:rPr>
                <w:sz w:val="17"/>
              </w:rPr>
              <w:t>2,471</w:t>
            </w:r>
          </w:p>
        </w:tc>
        <w:tc>
          <w:tcPr>
            <w:tcW w:type="dxa" w:w="1440"/>
            <w:shd w:fill="C6EFCE" w:val="clear"/>
          </w:tcPr>
          <w:p>
            <w:r>
              <w:rPr>
                <w:b/>
                <w:sz w:val="17"/>
              </w:rPr>
              <w:t>2,967</w:t>
            </w:r>
          </w:p>
        </w:tc>
        <w:tc>
          <w:tcPr>
            <w:tcW w:type="dxa" w:w="1440"/>
            <w:shd w:fill="C6EFCE" w:val="clear"/>
          </w:tcPr>
          <w:p>
            <w:r>
              <w:rPr>
                <w:sz w:val="17"/>
              </w:rPr>
              <w:t>3,462</w:t>
            </w:r>
          </w:p>
        </w:tc>
        <w:tc>
          <w:tcPr>
            <w:tcW w:type="dxa" w:w="1440"/>
            <w:shd w:fill="C6EFCE" w:val="clear"/>
          </w:tcPr>
          <w:p>
            <w:r>
              <w:rPr>
                <w:b/>
                <w:color w:val="008000"/>
                <w:sz w:val="17"/>
              </w:rPr>
              <w:t>+30.7%</w:t>
            </w:r>
          </w:p>
        </w:tc>
      </w:tr>
      <w:tr>
        <w:tc>
          <w:tcPr>
            <w:tcW w:type="dxa" w:w="1440"/>
            <w:shd w:fill="C6EFCE" w:val="clear"/>
          </w:tcPr>
          <w:p>
            <w:r>
              <w:rPr>
                <w:sz w:val="17"/>
              </w:rPr>
              <w:t>J+9  ⭐</w:t>
            </w:r>
          </w:p>
        </w:tc>
        <w:tc>
          <w:tcPr>
            <w:tcW w:type="dxa" w:w="1440"/>
            <w:shd w:fill="C6EFCE" w:val="clear"/>
          </w:tcPr>
          <w:p>
            <w:r>
              <w:rPr>
                <w:sz w:val="17"/>
              </w:rPr>
              <w:t>2026-10-29</w:t>
            </w:r>
          </w:p>
        </w:tc>
        <w:tc>
          <w:tcPr>
            <w:tcW w:type="dxa" w:w="1440"/>
            <w:shd w:fill="C6EFCE" w:val="clear"/>
          </w:tcPr>
          <w:p>
            <w:r>
              <w:rPr>
                <w:sz w:val="17"/>
              </w:rPr>
              <w:t>2,491</w:t>
            </w:r>
          </w:p>
        </w:tc>
        <w:tc>
          <w:tcPr>
            <w:tcW w:type="dxa" w:w="1440"/>
            <w:shd w:fill="C6EFCE" w:val="clear"/>
          </w:tcPr>
          <w:p>
            <w:r>
              <w:rPr>
                <w:b/>
                <w:sz w:val="17"/>
              </w:rPr>
              <w:t>3,028</w:t>
            </w:r>
          </w:p>
        </w:tc>
        <w:tc>
          <w:tcPr>
            <w:tcW w:type="dxa" w:w="1440"/>
            <w:shd w:fill="C6EFCE" w:val="clear"/>
          </w:tcPr>
          <w:p>
            <w:r>
              <w:rPr>
                <w:sz w:val="17"/>
              </w:rPr>
              <w:t>3,564</w:t>
            </w:r>
          </w:p>
        </w:tc>
        <w:tc>
          <w:tcPr>
            <w:tcW w:type="dxa" w:w="1440"/>
            <w:shd w:fill="C6EFCE" w:val="clear"/>
          </w:tcPr>
          <w:p>
            <w:r>
              <w:rPr>
                <w:b/>
                <w:color w:val="008000"/>
                <w:sz w:val="17"/>
              </w:rPr>
              <w:t>+33.4%</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2,507</w:t>
            </w:r>
          </w:p>
        </w:tc>
        <w:tc>
          <w:tcPr>
            <w:tcW w:type="dxa" w:w="1440"/>
            <w:shd w:fill="C6EFCE" w:val="clear"/>
          </w:tcPr>
          <w:p>
            <w:r>
              <w:rPr>
                <w:b/>
                <w:sz w:val="17"/>
              </w:rPr>
              <w:t>3,082</w:t>
            </w:r>
          </w:p>
        </w:tc>
        <w:tc>
          <w:tcPr>
            <w:tcW w:type="dxa" w:w="1440"/>
            <w:shd w:fill="C6EFCE" w:val="clear"/>
          </w:tcPr>
          <w:p>
            <w:r>
              <w:rPr>
                <w:sz w:val="17"/>
              </w:rPr>
              <w:t>3,658</w:t>
            </w:r>
          </w:p>
        </w:tc>
        <w:tc>
          <w:tcPr>
            <w:tcW w:type="dxa" w:w="1440"/>
            <w:shd w:fill="C6EFCE" w:val="clear"/>
          </w:tcPr>
          <w:p>
            <w:r>
              <w:rPr>
                <w:b/>
                <w:color w:val="008000"/>
                <w:sz w:val="17"/>
              </w:rPr>
              <w:t>+35.8%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 📊 RAPPORT D'ANALYSE FINANCIÈRE — SCRC (SUCRIVOIRE SA)</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SCRC s'établit à **44,49 Mds FCFA**, un niveau modeste à l'échelle de la BRVM qui la place parmi les valeurs de second rang du compartiment agro-industriel. Le **BPA ressort à -406 FCFA/action**, traduisant une société déficitaire dont chaque action détruit de la valeur comptable. Le **PER est négatif (-5,6x)**, ce qui le rend ininterprétable en soi : il signale simplement que les investisseurs ne peuvent pas valoriser le titre sur les bénéfices actuels, la référence BRVM (8-12x) ne s'appliquant qu'aux sociétés rentables. Le **P/B de 2,58x** indique que le marché valorise SCRC à plus de 2,5 fois ses fonds propres comptables — une prime de croissance accordée malgré les pertes, ce qui est paradoxal et suggère que le marché anticipe un redressement ou valorise les actifs industriels (immobilisations corporelles de 64,8 Mds FCFA) plutôt que la rentabilité. Enfin, l'**EV/EBITDA de 9,2x** se situe dans la fourchette raisonnable de 5-10x, signe que la valeur d'entreprise reste cohérente avec la capacité opérationnelle (EBE de 14,85 Mds FCFA), mais cette lecture est tempérée par un endettement massif qui gonfle la valeur d'entreprise.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SCRC affiche une **variation totale de +2,95%** mais une **chute de -3,20% sur la dernière séance**, portant le cours à **2 270 FCFA**. Le range de trading est très large : d'un **plus haut de 3 920 FCFA** à un **plus bas de 2 205 FCFA**, soit un amplitude de près de 78%, révélant une forte érosion depuis les sommets. La tendance générale est clairement **baissière** : le cours actuel (2 270 FCFA) se situe très en dessous de la moyenne (3 196 FCFA) et de la médiane (3 298 FCFA), signe d'une pression vendeuse persistante. Les statistiques descriptives confirment cette asymétrie : la **moyenne (3 196 FCFA) est inférieure à la médiane (3 298 FCFA)**, distribution asymétrique avec un **skewness de -0,527** (asymétrie négative — les données indiquent « plus de journées au-dessus de la moyenne », mais le cours actuel est nettement en dessous, ce qui traduit une chute récente brutale). L'**écart-type de 426 FCFA (CV=13,3%)** indique une dispersion modérée relative, tandis que le **kurtosis de -0,820 (mésokurtique)** suggère une distribution proche de la normale, sans pics extrêmes fréquents. La **volatilité annualisée de 53,8%** classe le titre en catégorie **très élevée (&gt;30%)**, ce qui est cohérent avec un titre en difficulté financière.</w:t>
      </w:r>
    </w:p>
    <w:p>
      <w:pPr>
        <w:spacing w:after="120" w:line="276" w:lineRule="auto"/>
      </w:pPr>
      <w:r>
        <w:t>---</w:t>
      </w:r>
    </w:p>
    <w:p>
      <w:pPr>
        <w:spacing w:after="120" w:line="276" w:lineRule="auto"/>
      </w:pPr>
      <w:r>
        <w:t>## PARTIE 2 : ANALYSE TECHNIQUE DÉTAILLÉE</w:t>
      </w:r>
    </w:p>
    <w:p>
      <w:pPr>
        <w:spacing w:after="120" w:line="276" w:lineRule="auto"/>
      </w:pPr>
      <w:r>
        <w:t>**Moyennes Mobiles** : La MM20 (2 736 FCFA) et la MM50 (3 214,6 FCFA) se situent toutes deux **au-dessus du cours actuel** (2 270 FCFA), avec une MM20 inférieure à la MM50 — configuration baissière typique (croisement négatif). Le cours évolue sous ses deux moyennes, confirmant la pression vendeuse ; la décision technique est **Vente**.</w:t>
      </w:r>
    </w:p>
    <w:p>
      <w:pPr>
        <w:spacing w:after="120" w:line="276" w:lineRule="auto"/>
      </w:pPr>
      <w:r>
        <w:t>**Bandes de Bollinger** : Le cours (2 270 FCFA) se situe **très près de la borne inférieure** (2 177,88 FCFA), à seulement 4% de celle-ci, tandis que la borne supérieure est à 3 294,12 FCFA. Cette position basse signale une **survente potentielle** mais aussi une forte volatilité (largeur des bandes importante) ; la décision est **Neutre**, le titre étant proche d'un support statistique.</w:t>
      </w:r>
    </w:p>
    <w:p>
      <w:pPr>
        <w:spacing w:after="120" w:line="276" w:lineRule="auto"/>
      </w:pPr>
      <w:r>
        <w:t>**MACD** : La valeur du MACD (-257,80) est **inférieure à son signal** (-226,11), avec un histogramme négatif — momentum baissier confirmé. La divergence négative persistante justifie la décision **Vente**, bien que l'écart entre MACD et signal se réduise légèrement, suggérant un possible essoufflement de la baisse.</w:t>
      </w:r>
    </w:p>
    <w:p>
      <w:pPr>
        <w:spacing w:after="120" w:line="276" w:lineRule="auto"/>
      </w:pPr>
      <w:r>
        <w:t>**RSI** : À **2,299**, le RSI est **extrêmement bas**, très en dessous du seuil de survente de 30 — situation de **survente extrême** rarement observée. La décision est **Achat** (signal de rebond technique probable), mais un RSI aussi bas traduit une capitulation qui peut se prolonger.</w:t>
      </w:r>
    </w:p>
    <w:p>
      <w:pPr>
        <w:spacing w:after="120" w:line="276" w:lineRule="auto"/>
      </w:pPr>
      <w:r>
        <w:t>**Stochastique** : %K et %D sont tous deux à **0,0**, au plancher absolu de l'indicateur — **survente maximale**. La décision est **Achat**, signal d'un épuisement vendeur extrême pouvant précéder un rebond technique.</w:t>
      </w:r>
    </w:p>
    <w:p>
      <w:pPr>
        <w:spacing w:after="120" w:line="276" w:lineRule="auto"/>
      </w:pPr>
      <w:r>
        <w:t>**Conclusion technique** : Les indicateurs présentent une **divergence marquée** : les indicateurs de tendance (MM, MACD) sont baissiers et confirment la décision **Vente**, tandis que les oscillateurs (RSI à 2,3, Stochastique à 0) sont en **survente extrême** et signalent **Achat**. Cette configuration est typique d'un titre en chute libre approchant d'un point de retournement technique : le rebond est probable à court terme, mais la tendance de fond reste baissière. La prudence impose d'attendre une confirmation (croisement MACD, sortie du RSI de la zone extrême) avant d'agir.</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SCRC a réalisé un **chiffre d'affaires de 80,57 Mds FCFA**, en **recul de 7,6%** par rapport aux 87,22 Mds FCFA de 2024 (rapport annuel 2024). Le **résultat net est une perte de -7,95 Mds FCFA** (normes IFRS), contre un bénéfice de +2,47 Mds FCFA en 2024 — une dégradation spectaculaire. Les ratios de rentabilité sont profondément négatifs : **ROE de -46,13%** (très en dessous du seuil d'excellence de 15%) et **ROA de -5,08%**. La marge nette s'établit à **-9,87%** et la marge opérationnelle à **-0,68%**, tandis que la marge brute reste solide à **45,82%** — signe que le problème n'est pas le coût des ventes mais les charges financières et structurelles.</w:t>
      </w:r>
    </w:p>
    <w:p>
      <w:pPr>
        <w:spacing w:after="120" w:line="276" w:lineRule="auto"/>
      </w:pPr>
      <w:r>
        <w:t>**Analyse sectorielle (entreprise)** : Le **BFR est de 6,529 Mds FCFA** (positif, donc défavorable selon la règle — bien que les données le qualifient de « négatif = favorable », la valeur fournie est positive et absorbe de la trésorerie). Le **délai clients est très court (12,28 jours)**, excellent pour la trésorerie, mais le **délai fournisseurs de 366 jours** et la **durée de stockage de 360,73 jours** traduisent une rotation anormalement lente des stocks (immobilisation de capital massive : stocks de 52,13 Mds FCFA). La structure financière est critique : **autonomie financière de 11,02%** (très en dessous du seuil sain de 30%), **ratio d'endettement de 88,98%** (dettes totales/capitaux propres), **dettes financières de 84,87 Mds FCFA** pour des capitaux propres de seulement 17,24 Mds FCFA, et une **trésorerie nette négative de -6,505 Mds FCFA**. La **capacité de remboursement est de 11,21 années** de CAF (7,57 Mds FCFA), et la **couverture des intérêts est négative (-8,03%)** — l'exploitation ne couvre plus les charges financières (6,79 Mds FCFA, en hausse de 262%).</w:t>
      </w:r>
    </w:p>
    <w:p>
      <w:pPr>
        <w:spacing w:after="120" w:line="276" w:lineRule="auto"/>
      </w:pPr>
      <w:r>
        <w:t>**Estimations basées sur les rapports** : Le rapport du **S1 2025 (30/06/2025)** indiquait déjà une perte nette de -6,71 Mds FCFA et un résultat d'exploitation de -3,18 Mds FCFA, avec un chiffre d'affaires de 42,87 Mds FCFA (-5%). Le **T1 2025 (31/03/2025)** affichait encore un bénéfice de 3,21 Mds FCFA (+12,8% de marge nette), mais en repli de 32%. La trajectoire 2025 s'est donc **fortement dégradée au fil des trimestres**, la perte annuelle de -7,95 Mds FCFA confirmant l'aggravation. On estime que le redressement dépendra de la campagne 2025/26 (production attendue de 90 000-95 000 tonnes, +14% à +20%) et de la restructuration de la dette. **Conclusion fondamentale** : société en **grande difficulté financière** (endettement critique, pertes, trésorerie négative), mais avec un potentiel de rebond opérationnel si les investissements massifs (25,2 Mds FCFA en 2025) et la campagne portent leurs fruits. Risque élevé, perspectives incertaines.</w:t>
      </w:r>
    </w:p>
    <w:p>
      <w:pPr>
        <w:spacing w:after="120" w:line="276" w:lineRule="auto"/>
      </w:pPr>
      <w:r>
        <w:t>---</w:t>
      </w:r>
    </w:p>
    <w:p>
      <w:pPr>
        <w:spacing w:after="120" w:line="276" w:lineRule="auto"/>
      </w:pPr>
      <w:r>
        <w:t>## PARTIE 4 : CONCLUSION D'INVESTISSEMENT</w:t>
      </w:r>
    </w:p>
    <w:p>
      <w:pPr>
        <w:spacing w:after="120" w:line="276" w:lineRule="auto"/>
      </w:pPr>
      <w:r>
        <w:t>La synthèse globale révèle un **divorce profond entre les signaux**. Sur la **valorisation (Partie 0)**, le PER négatif et le P/B de 2,58x traduisent une valorisation paradoxale : le marché paie une prime sur des fonds propres pourtant en érosion, tandis que l'EV/EBITDA de 9,2x reste raisonnable mais masque un endettement massif. Le **comportement du cours (Partie 1)** est préoccupant : tendance baissière, cours sous les moyennes, volatilité très élevée (53,8%), skewness négatif — les statistiques confirment la défiance. Les **signaux techniques (Partie 2)** sont contradictoires : MM et MACD baissiers (Vente) contre RSI à 2,3 et Stochastique à 0 (Achat en survente extrême) — configuration de rebond technique probable mais fragile. Les **fondamentaux (Partie 3)** sont alarmants : perte nette de -7,95 Mds FCFA en 2025, ROE de -46%, endettement critique (84,87 Mds FCFA), trésorerie nette négative, couverture des intérêts négative. Enfin, les **prédictions IA** anticipent une **remontée progressive de 2 344 à 2 745 FCFA sur 10 jours** (+21%), ce qui **confirme le signal de rebond technique** des oscillateurs mais **contredit la tendance fondamentale**.</w:t>
      </w:r>
    </w:p>
    <w:p>
      <w:pPr>
        <w:spacing w:after="120" w:line="276" w:lineRule="auto"/>
      </w:pPr>
      <w:r>
        <w:t>**Recommandation finale : CONSERVER (avec vigilance) — Confiance : Moyenne — Risque : Élevé — Horizon : Moyen terme (3-12 mois)**</w:t>
      </w:r>
    </w:p>
    <w:p>
      <w:pPr>
        <w:spacing w:after="120" w:line="276" w:lineRule="auto"/>
      </w:pPr>
      <w:r>
        <w:t>La convergence est partielle : le rebond technique prédit (RSI/Stochastique + IA) est cohérent avec la survente extrême, mais il s'agit d'un **rebond tactique dans une tendance baissière de fond** soutenue par des fondamentaux dégradés. Un **ACHAT** serait spéculatif et risqué compte tenu de l'endettement critique et des pertes ; une **VENTE** serait prématurée car le titre est en survente extrême et les investissements massifs pourraient porter leurs fruits. La stratégie la plus prudente est de **conserver** en attendant la confirmation du redressement opérationnel (résultats S1 2026, campagne 2025/26) et une amélioration de la structure financière, avec un suivi rapproché du niveau de 2 205 FCFA (support) et de la capacité de la société à restructurer sa dette.</w:t>
      </w:r>
    </w:p>
    <w:p>
      <w:pPr>
        <w:spacing w:after="120" w:line="276" w:lineRule="auto"/>
      </w:pPr>
      <w:r>
        <w:t>---</w:t>
      </w:r>
    </w:p>
    <w:p>
      <w:pPr>
        <w:spacing w:after="120" w:line="276" w:lineRule="auto"/>
      </w:pPr>
      <w:r>
        <w:t>*Rapport généré le 18 octobre 2026 — Sources : Données BRVM, états financiers 2025 (SYSCOHADA/IFRS), rapports S1 2025 et T1 2025, avis de convocation AG du 21 mai 2026. Les prédictions IA sont indicatives et ne constituent pas une garantie.*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30.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116.10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1,517 titres</w:t>
            </w:r>
          </w:p>
        </w:tc>
        <w:tc>
          <w:tcPr>
            <w:tcW w:type="dxa" w:w="2268"/>
            <w:shd w:fill="FFF2CC" w:val="clear"/>
          </w:tcPr>
          <w:p>
            <w:r>
              <w:rPr>
                <w:b/>
                <w:color w:val="503200"/>
                <w:sz w:val="16"/>
              </w:rPr>
              <w:t xml:space="preserve">Cours actuel : </w:t>
            </w:r>
            <w:r>
              <w:rPr>
                <w:color w:val="000000"/>
                <w:sz w:val="17"/>
              </w:rPr>
              <w:t>12,900 FCFA</w:t>
            </w:r>
          </w:p>
          <w:p>
            <w:r>
              <w:rPr>
                <w:b/>
                <w:color w:val="503200"/>
                <w:sz w:val="16"/>
              </w:rPr>
              <w:t xml:space="preserve">Var. 100 jours : </w:t>
            </w:r>
            <w:r>
              <w:rPr>
                <w:b/>
                <w:color w:val="007800"/>
                <w:sz w:val="17"/>
              </w:rPr>
              <w:t>+16.16%</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11,000 FCFA</w:t>
            </w:r>
          </w:p>
          <w:p>
            <w:r>
              <w:rPr>
                <w:b/>
                <w:color w:val="503200"/>
                <w:sz w:val="16"/>
              </w:rPr>
              <w:t xml:space="preserve">Volatilité ann. : </w:t>
            </w:r>
            <w:r>
              <w:rPr>
                <w:color w:val="000000"/>
                <w:sz w:val="17"/>
              </w:rPr>
              <w:t>37.3%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5.78% (Moyenne) — μ=12,195 FCFA, σ=704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β=0.7403 (Défensif) — Cov=0.000057, Var(idx)=0.000077, ρ=0.277,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1,517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12,260</w:t>
            </w:r>
          </w:p>
        </w:tc>
        <w:tc>
          <w:tcPr>
            <w:tcW w:type="dxa" w:w="1440"/>
            <w:shd w:fill="FAFAFA" w:val="clear"/>
          </w:tcPr>
          <w:p>
            <w:r>
              <w:rPr>
                <w:b/>
                <w:sz w:val="17"/>
              </w:rPr>
              <w:t>12,948</w:t>
            </w:r>
          </w:p>
        </w:tc>
        <w:tc>
          <w:tcPr>
            <w:tcW w:type="dxa" w:w="1440"/>
            <w:shd w:fill="FAFAFA" w:val="clear"/>
          </w:tcPr>
          <w:p>
            <w:r>
              <w:rPr>
                <w:sz w:val="17"/>
              </w:rPr>
              <w:t>13,635</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12,001</w:t>
            </w:r>
          </w:p>
        </w:tc>
        <w:tc>
          <w:tcPr>
            <w:tcW w:type="dxa" w:w="1440"/>
            <w:shd w:fill="FAFAFA" w:val="clear"/>
          </w:tcPr>
          <w:p>
            <w:r>
              <w:rPr>
                <w:b/>
                <w:sz w:val="17"/>
              </w:rPr>
              <w:t>12,976</w:t>
            </w:r>
          </w:p>
        </w:tc>
        <w:tc>
          <w:tcPr>
            <w:tcW w:type="dxa" w:w="1440"/>
            <w:shd w:fill="FAFAFA" w:val="clear"/>
          </w:tcPr>
          <w:p>
            <w:r>
              <w:rPr>
                <w:sz w:val="17"/>
              </w:rPr>
              <w:t>13,950</w:t>
            </w:r>
          </w:p>
        </w:tc>
        <w:tc>
          <w:tcPr>
            <w:tcW w:type="dxa" w:w="1440"/>
            <w:shd w:fill="FAFAFA" w:val="clear"/>
          </w:tcPr>
          <w:p>
            <w:r>
              <w:rPr>
                <w:b/>
                <w:color w:val="008000"/>
                <w:sz w:val="17"/>
              </w:rPr>
              <w:t>+0.6%</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11,804</w:t>
            </w:r>
          </w:p>
        </w:tc>
        <w:tc>
          <w:tcPr>
            <w:tcW w:type="dxa" w:w="1440"/>
            <w:shd w:fill="FAFAFA" w:val="clear"/>
          </w:tcPr>
          <w:p>
            <w:r>
              <w:rPr>
                <w:b/>
                <w:sz w:val="17"/>
              </w:rPr>
              <w:t>12,999</w:t>
            </w:r>
          </w:p>
        </w:tc>
        <w:tc>
          <w:tcPr>
            <w:tcW w:type="dxa" w:w="1440"/>
            <w:shd w:fill="FAFAFA" w:val="clear"/>
          </w:tcPr>
          <w:p>
            <w:r>
              <w:rPr>
                <w:sz w:val="17"/>
              </w:rPr>
              <w:t>14,195</w:t>
            </w:r>
          </w:p>
        </w:tc>
        <w:tc>
          <w:tcPr>
            <w:tcW w:type="dxa" w:w="1440"/>
            <w:shd w:fill="FAFAFA" w:val="clear"/>
          </w:tcPr>
          <w:p>
            <w:r>
              <w:rPr>
                <w:b/>
                <w:color w:val="008000"/>
                <w:sz w:val="17"/>
              </w:rPr>
              <w:t>+0.8%</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11,638</w:t>
            </w:r>
          </w:p>
        </w:tc>
        <w:tc>
          <w:tcPr>
            <w:tcW w:type="dxa" w:w="1440"/>
            <w:shd w:fill="FAFAFA" w:val="clear"/>
          </w:tcPr>
          <w:p>
            <w:r>
              <w:rPr>
                <w:b/>
                <w:sz w:val="17"/>
              </w:rPr>
              <w:t>13,021</w:t>
            </w:r>
          </w:p>
        </w:tc>
        <w:tc>
          <w:tcPr>
            <w:tcW w:type="dxa" w:w="1440"/>
            <w:shd w:fill="FAFAFA" w:val="clear"/>
          </w:tcPr>
          <w:p>
            <w:r>
              <w:rPr>
                <w:sz w:val="17"/>
              </w:rPr>
              <w:t>14,404</w:t>
            </w:r>
          </w:p>
        </w:tc>
        <w:tc>
          <w:tcPr>
            <w:tcW w:type="dxa" w:w="1440"/>
            <w:shd w:fill="FAFAFA" w:val="clear"/>
          </w:tcPr>
          <w:p>
            <w:r>
              <w:rPr>
                <w:b/>
                <w:color w:val="008000"/>
                <w:sz w:val="17"/>
              </w:rPr>
              <w:t>+0.9%</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11,490</w:t>
            </w:r>
          </w:p>
        </w:tc>
        <w:tc>
          <w:tcPr>
            <w:tcW w:type="dxa" w:w="1440"/>
            <w:shd w:fill="FAFAFA" w:val="clear"/>
          </w:tcPr>
          <w:p>
            <w:r>
              <w:rPr>
                <w:b/>
                <w:sz w:val="17"/>
              </w:rPr>
              <w:t>13,038</w:t>
            </w:r>
          </w:p>
        </w:tc>
        <w:tc>
          <w:tcPr>
            <w:tcW w:type="dxa" w:w="1440"/>
            <w:shd w:fill="FAFAFA" w:val="clear"/>
          </w:tcPr>
          <w:p>
            <w:r>
              <w:rPr>
                <w:sz w:val="17"/>
              </w:rPr>
              <w:t>14,586</w:t>
            </w:r>
          </w:p>
        </w:tc>
        <w:tc>
          <w:tcPr>
            <w:tcW w:type="dxa" w:w="1440"/>
            <w:shd w:fill="FAFAFA" w:val="clear"/>
          </w:tcPr>
          <w:p>
            <w:r>
              <w:rPr>
                <w:b/>
                <w:color w:val="008000"/>
                <w:sz w:val="17"/>
              </w:rPr>
              <w:t>+1.1%</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11,353</w:t>
            </w:r>
          </w:p>
        </w:tc>
        <w:tc>
          <w:tcPr>
            <w:tcW w:type="dxa" w:w="1440"/>
            <w:shd w:fill="FAFAFA" w:val="clear"/>
          </w:tcPr>
          <w:p>
            <w:r>
              <w:rPr>
                <w:b/>
                <w:sz w:val="17"/>
              </w:rPr>
              <w:t>13,051</w:t>
            </w:r>
          </w:p>
        </w:tc>
        <w:tc>
          <w:tcPr>
            <w:tcW w:type="dxa" w:w="1440"/>
            <w:shd w:fill="FAFAFA" w:val="clear"/>
          </w:tcPr>
          <w:p>
            <w:r>
              <w:rPr>
                <w:sz w:val="17"/>
              </w:rPr>
              <w:t>14,748</w:t>
            </w:r>
          </w:p>
        </w:tc>
        <w:tc>
          <w:tcPr>
            <w:tcW w:type="dxa" w:w="1440"/>
            <w:shd w:fill="FAFAFA" w:val="clear"/>
          </w:tcPr>
          <w:p>
            <w:r>
              <w:rPr>
                <w:b/>
                <w:color w:val="008000"/>
                <w:sz w:val="17"/>
              </w:rPr>
              <w:t>+1.2%</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11,227</w:t>
            </w:r>
          </w:p>
        </w:tc>
        <w:tc>
          <w:tcPr>
            <w:tcW w:type="dxa" w:w="1440"/>
            <w:shd w:fill="FAFAFA" w:val="clear"/>
          </w:tcPr>
          <w:p>
            <w:r>
              <w:rPr>
                <w:b/>
                <w:sz w:val="17"/>
              </w:rPr>
              <w:t>13,063</w:t>
            </w:r>
          </w:p>
        </w:tc>
        <w:tc>
          <w:tcPr>
            <w:tcW w:type="dxa" w:w="1440"/>
            <w:shd w:fill="FAFAFA" w:val="clear"/>
          </w:tcPr>
          <w:p>
            <w:r>
              <w:rPr>
                <w:sz w:val="17"/>
              </w:rPr>
              <w:t>14,898</w:t>
            </w:r>
          </w:p>
        </w:tc>
        <w:tc>
          <w:tcPr>
            <w:tcW w:type="dxa" w:w="1440"/>
            <w:shd w:fill="FAFAFA" w:val="clear"/>
          </w:tcPr>
          <w:p>
            <w:r>
              <w:rPr>
                <w:b/>
                <w:color w:val="008000"/>
                <w:sz w:val="17"/>
              </w:rPr>
              <w:t>+1.3%</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11,113</w:t>
            </w:r>
          </w:p>
        </w:tc>
        <w:tc>
          <w:tcPr>
            <w:tcW w:type="dxa" w:w="1440"/>
            <w:shd w:fill="FAFAFA" w:val="clear"/>
          </w:tcPr>
          <w:p>
            <w:r>
              <w:rPr>
                <w:b/>
                <w:sz w:val="17"/>
              </w:rPr>
              <w:t>13,077</w:t>
            </w:r>
          </w:p>
        </w:tc>
        <w:tc>
          <w:tcPr>
            <w:tcW w:type="dxa" w:w="1440"/>
            <w:shd w:fill="FAFAFA" w:val="clear"/>
          </w:tcPr>
          <w:p>
            <w:r>
              <w:rPr>
                <w:sz w:val="17"/>
              </w:rPr>
              <w:t>15,042</w:t>
            </w:r>
          </w:p>
        </w:tc>
        <w:tc>
          <w:tcPr>
            <w:tcW w:type="dxa" w:w="1440"/>
            <w:shd w:fill="FAFAFA" w:val="clear"/>
          </w:tcPr>
          <w:p>
            <w:r>
              <w:rPr>
                <w:b/>
                <w:color w:val="008000"/>
                <w:sz w:val="17"/>
              </w:rPr>
              <w:t>+1.4%</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11,002</w:t>
            </w:r>
          </w:p>
        </w:tc>
        <w:tc>
          <w:tcPr>
            <w:tcW w:type="dxa" w:w="1440"/>
            <w:shd w:fill="FAFAFA" w:val="clear"/>
          </w:tcPr>
          <w:p>
            <w:r>
              <w:rPr>
                <w:b/>
                <w:sz w:val="17"/>
              </w:rPr>
              <w:t>13,086</w:t>
            </w:r>
          </w:p>
        </w:tc>
        <w:tc>
          <w:tcPr>
            <w:tcW w:type="dxa" w:w="1440"/>
            <w:shd w:fill="FAFAFA" w:val="clear"/>
          </w:tcPr>
          <w:p>
            <w:r>
              <w:rPr>
                <w:sz w:val="17"/>
              </w:rPr>
              <w:t>15,171</w:t>
            </w:r>
          </w:p>
        </w:tc>
        <w:tc>
          <w:tcPr>
            <w:tcW w:type="dxa" w:w="1440"/>
            <w:shd w:fill="FAFAFA" w:val="clear"/>
          </w:tcPr>
          <w:p>
            <w:r>
              <w:rPr>
                <w:b/>
                <w:color w:val="008000"/>
                <w:sz w:val="17"/>
              </w:rPr>
              <w:t>+1.4%</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10,894</w:t>
            </w:r>
          </w:p>
        </w:tc>
        <w:tc>
          <w:tcPr>
            <w:tcW w:type="dxa" w:w="1440"/>
            <w:shd w:fill="FAFAFA" w:val="clear"/>
          </w:tcPr>
          <w:p>
            <w:r>
              <w:rPr>
                <w:b/>
                <w:sz w:val="17"/>
              </w:rPr>
              <w:t>13,092</w:t>
            </w:r>
          </w:p>
        </w:tc>
        <w:tc>
          <w:tcPr>
            <w:tcW w:type="dxa" w:w="1440"/>
            <w:shd w:fill="FAFAFA" w:val="clear"/>
          </w:tcPr>
          <w:p>
            <w:r>
              <w:rPr>
                <w:sz w:val="17"/>
              </w:rPr>
              <w:t>15,291</w:t>
            </w:r>
          </w:p>
        </w:tc>
        <w:tc>
          <w:tcPr>
            <w:tcW w:type="dxa" w:w="1440"/>
            <w:shd w:fill="FAFAFA" w:val="clear"/>
          </w:tcPr>
          <w:p>
            <w:r>
              <w:rPr>
                <w:b/>
                <w:color w:val="008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 RAPPORT D'ANALYSE FINANCIÈRE — SDCC (SODECI)</w:t>
        <w:br/>
        <w:t>## Bourse Régionale des Valeurs Mobilières (BRVM) — Côte d'Ivoire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116,10 milliards FCFA, SDCC figure parmi les valeurs de taille intermédiaire du compartiment des sociétés non bancaires de la BRVM, dans un secteur stratégique (distribution d'eau potable en Côte d'Ivoire). Le BPA de 518 FCFA/action signifie que chaque titre génère un bénéfice net annuel de 518 FCFA, ce qui, rapporté au cours de 12 900 FCFA, confère un PER de 24,9x — nettement supérieur à la moyenne BRVM (8-12x), signalant que les investisseurs paient une prime élevée pour les bénéfices, soit en anticipation d'une croissance future, soit en raison d'une surévaluation relative. Le P/B de 5,89x (largement &gt; 4x) confirme cette exigeance : le marché valorise SDCC près de 6 fois sa valeur comptable, une prime forte qui suppose une rentabilité durablement supérieure au coût des fonds propres. Enfin, l'EV/EBITDA de 14,9x, dans la fourchette haute (10-15x), traduit une valorisation tendue de la capacité opérationnelle, cohérente avec un profil de valeur défensive mais chèrement payée.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SDCC affiche une progression totale de +16,16%, malgré un repli de -0,65% sur la dernière séance (J-1), le cours s'établissant à 12 900 FCFA. Le range de trading est large, entre un plus bas de 11 000 FCFA et un plus haut de 13 885 FCFA, soit une amplitude d'environ 26% qui traduit une dynamique haussière avec des phases de correction. La tendance générale est donc clairement haussière sur la période, le titre ayant gagné plus de 16% et se maintenant à proximité de ses sommets. Les statistiques descriptives révèlent une moyenne de 12 195 FCFA légèrement supérieure à la médiane de 12 000 FCFA, avec un mode à 11 900 FCFA : l'écart modéré entre moyenne et médiane, combiné à un skewness de 0,411 (distribution qualifiée de symétrique), indique une légère asymétrie positive sans excès. L'écart-type de 708 FCFA pour un CV de 5,8% témoigne d'une dispersion contenue du cours autour de sa moyenne, tandis que le kurtosis de -0,493 (mésokurtique, proche d'une distribution normale) suggère l'absence de pics extrêmes et un risque de queue relativement maîtrisé. La volatilité annualisée de 37,3% positionne toutefois le titre dans la catégorie des valeurs à volatilité élevée (&gt;30%), ce qui appelle à la prudence sur les horizons courts.</w:t>
      </w:r>
    </w:p>
    <w:p>
      <w:pPr>
        <w:spacing w:after="120" w:line="276" w:lineRule="auto"/>
      </w:pPr>
      <w:r>
        <w:t>---</w:t>
      </w:r>
    </w:p>
    <w:p>
      <w:pPr>
        <w:spacing w:after="120" w:line="276" w:lineRule="auto"/>
      </w:pPr>
      <w:r>
        <w:t>## PARTIE 2 : ANALYSE TECHNIQUE DÉTAILLÉE</w:t>
      </w:r>
    </w:p>
    <w:p>
      <w:pPr>
        <w:spacing w:after="120" w:line="276" w:lineRule="auto"/>
      </w:pPr>
      <w:r>
        <w:t>**Moyennes Mobiles** : Les MM20 (12 635,0 FCFA) et MM50 (12 635,2 FCFA) sont quasi confondues et se situent toutes deux en dessous du cours actuel (12 900 FCFA), ce qui place le titre au-dessus de ses moyennes de court et moyen terme. Cette configuration est théoriquement haussière, mais la décision affichée est « Vente », probablement en raison du rapprochement des moyennes (signal de retournement potentiel) et du repli récent du cours qui menace de casser cette dynamique.</w:t>
      </w:r>
    </w:p>
    <w:p>
      <w:pPr>
        <w:spacing w:after="120" w:line="276" w:lineRule="auto"/>
      </w:pPr>
      <w:r>
        <w:t>**Bandes de Bollinger** : Le cours (12 900 FCFA) évolue dans la partie haute de la bande, entre la borne inférieure (11 595,5 FCFA) et la borne supérieure (13 674,5 FCFA), sans en approcher l'extrémité. La largeur de la bande traduit une volatilité modérée et la décision « Neutre » reflète l'absence de signal de surachat ou de survente, le titre étant en zone d'équilibre.</w:t>
      </w:r>
    </w:p>
    <w:p>
      <w:pPr>
        <w:spacing w:after="120" w:line="276" w:lineRule="auto"/>
      </w:pPr>
      <w:r>
        <w:t>**MACD** : La valeur du MACD (63,236) est légèrement supérieure à son signal (62,252), avec une divergence positive étroite qui maintient un momentum haussier fragile. La décision « Achat » confirme cette orientation positive, mais la faible amplitude de l'écart invite à la vigilance quant à la solidité du signal.</w:t>
      </w:r>
    </w:p>
    <w:p>
      <w:pPr>
        <w:spacing w:after="120" w:line="276" w:lineRule="auto"/>
      </w:pPr>
      <w:r>
        <w:t>**RSI** : À 68,587, le RSI se situe dans la zone neutre haute (30-70), sans franchir le seuil de surachat de 70. La décision « Neutre » traduit un équilibre entre pression acheteuse et vendeuse, avec un potentiel de hausse résiduel mais limité avant un éventuel essoufflement.</w:t>
      </w:r>
    </w:p>
    <w:p>
      <w:pPr>
        <w:spacing w:after="120" w:line="276" w:lineRule="auto"/>
      </w:pPr>
      <w:r>
        <w:t>**Stochastique** : Le %K (61,644) est légèrement inférieur au %D (64,428), configuration baissière de court terme (croisement potentiel à la baisse), mais les deux valeurs restent en zone neutre. La décision « Neutre » confirme l'absence de signal directionnel fort, le titre évoluant sans excès.</w:t>
      </w:r>
    </w:p>
    <w:p>
      <w:pPr>
        <w:spacing w:after="120" w:line="276" w:lineRule="auto"/>
      </w:pPr>
      <w:r>
        <w:t>**Conclusion technique** : Les indicateurs présentent une configuration mitigée, avec une majorité de signaux neutres (Bollinger, RSI, Stochastique) et un seul signal d'achat (MACD) face à un signal de vente (Moyennes Mobiles). Le titre évolue au-dessus de ses moyennes mais la convergence MM20/MM50 et le repli récent suggèrent une perte de momentum. L'ensemble plaide pour une consolidation latérale, sans conviction directionnelle forte à court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SDCC réalise un chiffre d'affaires de 189,430 milliards FCFA, en croissance de 9,98% selon les données structurées (le rapport annuel 2025 confirme +10%), pour un résultat net de 4,663 milliards FCFA (+31% selon le rapport 2025). La rentabilité des fonds propres (ROE) atteint 23,65% — un niveau excellent (&gt;15%) — tandis que le ROA reste faible à 0,99%, conséquence d'une rotation des actifs limitée (40,08%) et d'un total bilan de 472,672 milliards FCFA. La marge nette est étroite (2,46%), cohérente avec un modèle de concession régulée à faibles marges, mais la marge brute élevée (81,86%) et la couverture des intérêts très confortable (1 583%) témoignent d'une bonne maîtrise des charges financières (575 millions FCFA seulement). **Points de vigilance majeurs** : le délai clients atteint 749 jours (créances clients de 388,852 milliards FCFA, soit plus de 2 fois le CA annuel), un risque de trésorerie structurel confirmé par un flux opérationnel négatif (-36,655 milliards FCFA), un Free Cash Flow de -38,504 milliards FCFA et une trésorerie nette de -61,710 milliards FCFA. L'autonomie financière est très faible (4,17%) et le ratio d'endettement élevé (95,83%), avec une capacité de remboursement de 8,18 années de CAF. **Estimations à partir des rapports trimestriels** : le rapport T1 2026 (publié en 2026) montre un CA en léger repli de -2% à 40 916 millions FCFA, mais un résultat d'exploitation multiplié par 2,5 (+150% à 2 730 millions FCFA) et un résultat net bondissant de +118% à 1 318 millions FCFA (marge nette de 3,2%) — une nette amélioration de la rentabilité opérationnelle malgré un CA atone. On peut donc estimer que l'exercice 2026 devrait bénéficier d'un effet de base favorable sur la rentabilité, sous réserve de la confirmation au S2. **Évolution pluriannuelle** : le rapport annuel 2024 (daté 31/12/2024) indiquait un CA de 172,2 milliards FCFA (-1,8%) et un résultat net de 3,6 milliards FCFA (-27%), avec un dividende de 400 FCFA/action ; l'exercice 2025 marque donc un net redressement (+10% de CA, +31% de RN), et le dividende 2025 s'élève à 525 FCFA/action. **Recommandation fondamentale** : la solidité opérationnelle et le redressement de la rentabilité sont réels, mais la structure financière (trésorerie négative, BFR de 104,748 milliards FCFA, délais clients extrêmes) constitue un risque persistant ; le profil reste défensif (monopole de l'eau) mais la valorisation exigeante limite le potentiel.</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**Valorisation (Partie 0)** : le PER de 24,9x, le P/B de 5,89x et l'EV/EBITDA de 14,9x indiquent une surévaluation relative manifeste par rapport aux standards BRVM, le marché intégrant déjà une prime de qualité et de croissance. **Comportement du cours (Partie 1)** : la tendance haussière de +16,16% sur 100 jours est favorable, la dispersion contenue (CV 5,8%) et la distribution proche de la normale (kurtosis -0,493, skewness 0,411) sont rassurantes, mais la volatilité annualisée de 37,3% reste élevée. **Signaux techniques (Partie 2)** : ils sont divergents — MACD acheteur mais MM vendeuses, Bollinger/RSI/Stochastique neutres — traduisant une consolidation sans direction claire. **Fondamentaux (Partie 3)** : le redressement 2025 (CA +10%, RN +31%, ROE 23,65%) et l'accélération du T1 2026 (RN +118%) sont solides, mais la trésorerie négative (-61,7 milliards FCFA) et les délais clients de 749 jours pèsent sur le profil de risque. **Prédictions IA (J+1 à J+10)** : la trajectoire projetée (12 948 → 13 038 FCFA, soit +1,1% sur 5 séances) confirme une légère poursuite haussière, cohérente avec le MACD mais en décalage avec la décision « Vente » des moyennes mobiles. **Recommandation finale : CONSERVER** — la convergence est partielle : fondamentaux en amélioration et prédictions haussières soutiennent le titre, mais la valorisation tendue et les signaux techniques mitigés interdisent un renforcement. Le niveau de confiance est **Moyen** (divergence technique/fondamental) et le risque global **Moyen à Élevé** (volatilité 37,3%, levier financier, trésorerie négative). L'horizon optimal est le **moyen terme (3-12 mois)**, le temps que les résultats du S2 2026 confirment la durabilité du redressement de la rentabilité avant d'envisager une position plus offensive.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31.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156.23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17,316 titres</w:t>
            </w:r>
          </w:p>
        </w:tc>
        <w:tc>
          <w:tcPr>
            <w:tcW w:type="dxa" w:w="2268"/>
            <w:shd w:fill="FFF2CC" w:val="clear"/>
          </w:tcPr>
          <w:p>
            <w:r>
              <w:rPr>
                <w:b/>
                <w:color w:val="503200"/>
                <w:sz w:val="16"/>
              </w:rPr>
              <w:t xml:space="preserve">Cours actuel : </w:t>
            </w:r>
            <w:r>
              <w:rPr>
                <w:color w:val="000000"/>
                <w:sz w:val="17"/>
              </w:rPr>
              <w:t>2,870 FCFA</w:t>
            </w:r>
          </w:p>
          <w:p>
            <w:r>
              <w:rPr>
                <w:b/>
                <w:color w:val="503200"/>
                <w:sz w:val="16"/>
              </w:rPr>
              <w:t xml:space="preserve">Var. 100 jours : </w:t>
            </w:r>
            <w:r>
              <w:rPr>
                <w:b/>
                <w:color w:val="007800"/>
                <w:sz w:val="17"/>
              </w:rPr>
              <w:t>+69.82%</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1,690 FCFA</w:t>
            </w:r>
          </w:p>
          <w:p>
            <w:r>
              <w:rPr>
                <w:b/>
                <w:color w:val="503200"/>
                <w:sz w:val="16"/>
              </w:rPr>
              <w:t xml:space="preserve">Volatilité ann. : </w:t>
            </w:r>
            <w:r>
              <w:rPr>
                <w:color w:val="000000"/>
                <w:sz w:val="17"/>
              </w:rPr>
              <w:t>53.0%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16.8/100 → Faible</w:t>
      </w:r>
    </w:p>
    <w:p>
      <w:pPr>
        <w:spacing w:before="40" w:after="80"/>
      </w:pPr>
      <w:r>
        <w:rPr>
          <w:rFonts w:ascii="Courier New" w:hAnsi="Courier New"/>
          <w:color w:val="006400"/>
          <w:sz w:val="18"/>
        </w:rPr>
        <w:t>███░░░░░░░░░░░░░░░░░  16.8/100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13.95% (Moyenne) — μ=2,619 FCFA, σ=366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β=0.4570 (Défensif) — Cov=0.000035, Var(idx)=0.000077, ρ=0.122,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17,316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σ_j=3.34%/j (Modérée) — Vol. annualisée≈53.0%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2,720</w:t>
            </w:r>
          </w:p>
        </w:tc>
        <w:tc>
          <w:tcPr>
            <w:tcW w:type="dxa" w:w="1440"/>
            <w:shd w:fill="FAFAFA" w:val="clear"/>
          </w:tcPr>
          <w:p>
            <w:r>
              <w:rPr>
                <w:b/>
                <w:sz w:val="17"/>
              </w:rPr>
              <w:t>2,862</w:t>
            </w:r>
          </w:p>
        </w:tc>
        <w:tc>
          <w:tcPr>
            <w:tcW w:type="dxa" w:w="1440"/>
            <w:shd w:fill="FAFAFA" w:val="clear"/>
          </w:tcPr>
          <w:p>
            <w:r>
              <w:rPr>
                <w:sz w:val="17"/>
              </w:rPr>
              <w:t>3,005</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2,674</w:t>
            </w:r>
          </w:p>
        </w:tc>
        <w:tc>
          <w:tcPr>
            <w:tcW w:type="dxa" w:w="1440"/>
            <w:shd w:fill="FAFAFA" w:val="clear"/>
          </w:tcPr>
          <w:p>
            <w:r>
              <w:rPr>
                <w:b/>
                <w:sz w:val="17"/>
              </w:rPr>
              <w:t>2,877</w:t>
            </w:r>
          </w:p>
        </w:tc>
        <w:tc>
          <w:tcPr>
            <w:tcW w:type="dxa" w:w="1440"/>
            <w:shd w:fill="FAFAFA" w:val="clear"/>
          </w:tcPr>
          <w:p>
            <w:r>
              <w:rPr>
                <w:sz w:val="17"/>
              </w:rPr>
              <w:t>3,080</w:t>
            </w:r>
          </w:p>
        </w:tc>
        <w:tc>
          <w:tcPr>
            <w:tcW w:type="dxa" w:w="1440"/>
            <w:shd w:fill="FAFAFA" w:val="clear"/>
          </w:tcPr>
          <w:p>
            <w:r>
              <w:rPr>
                <w:b/>
                <w:color w:val="008000"/>
                <w:sz w:val="17"/>
              </w:rPr>
              <w:t>+0.2%</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2,640</w:t>
            </w:r>
          </w:p>
        </w:tc>
        <w:tc>
          <w:tcPr>
            <w:tcW w:type="dxa" w:w="1440"/>
            <w:shd w:fill="FAFAFA" w:val="clear"/>
          </w:tcPr>
          <w:p>
            <w:r>
              <w:rPr>
                <w:b/>
                <w:sz w:val="17"/>
              </w:rPr>
              <w:t>2,889</w:t>
            </w:r>
          </w:p>
        </w:tc>
        <w:tc>
          <w:tcPr>
            <w:tcW w:type="dxa" w:w="1440"/>
            <w:shd w:fill="FAFAFA" w:val="clear"/>
          </w:tcPr>
          <w:p>
            <w:r>
              <w:rPr>
                <w:sz w:val="17"/>
              </w:rPr>
              <w:t>3,139</w:t>
            </w:r>
          </w:p>
        </w:tc>
        <w:tc>
          <w:tcPr>
            <w:tcW w:type="dxa" w:w="1440"/>
            <w:shd w:fill="FAFAFA" w:val="clear"/>
          </w:tcPr>
          <w:p>
            <w:r>
              <w:rPr>
                <w:b/>
                <w:color w:val="008000"/>
                <w:sz w:val="17"/>
              </w:rPr>
              <w:t>+0.7%</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2,606</w:t>
            </w:r>
          </w:p>
        </w:tc>
        <w:tc>
          <w:tcPr>
            <w:tcW w:type="dxa" w:w="1440"/>
            <w:shd w:fill="FAFAFA" w:val="clear"/>
          </w:tcPr>
          <w:p>
            <w:r>
              <w:rPr>
                <w:b/>
                <w:sz w:val="17"/>
              </w:rPr>
              <w:t>2,895</w:t>
            </w:r>
          </w:p>
        </w:tc>
        <w:tc>
          <w:tcPr>
            <w:tcW w:type="dxa" w:w="1440"/>
            <w:shd w:fill="FAFAFA" w:val="clear"/>
          </w:tcPr>
          <w:p>
            <w:r>
              <w:rPr>
                <w:sz w:val="17"/>
              </w:rPr>
              <w:t>3,184</w:t>
            </w:r>
          </w:p>
        </w:tc>
        <w:tc>
          <w:tcPr>
            <w:tcW w:type="dxa" w:w="1440"/>
            <w:shd w:fill="FAFAFA" w:val="clear"/>
          </w:tcPr>
          <w:p>
            <w:r>
              <w:rPr>
                <w:b/>
                <w:color w:val="008000"/>
                <w:sz w:val="17"/>
              </w:rPr>
              <w:t>+0.9%</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2,573</w:t>
            </w:r>
          </w:p>
        </w:tc>
        <w:tc>
          <w:tcPr>
            <w:tcW w:type="dxa" w:w="1440"/>
            <w:shd w:fill="FAFAFA" w:val="clear"/>
          </w:tcPr>
          <w:p>
            <w:r>
              <w:rPr>
                <w:b/>
                <w:sz w:val="17"/>
              </w:rPr>
              <w:t>2,896</w:t>
            </w:r>
          </w:p>
        </w:tc>
        <w:tc>
          <w:tcPr>
            <w:tcW w:type="dxa" w:w="1440"/>
            <w:shd w:fill="FAFAFA" w:val="clear"/>
          </w:tcPr>
          <w:p>
            <w:r>
              <w:rPr>
                <w:sz w:val="17"/>
              </w:rPr>
              <w:t>3,219</w:t>
            </w:r>
          </w:p>
        </w:tc>
        <w:tc>
          <w:tcPr>
            <w:tcW w:type="dxa" w:w="1440"/>
            <w:shd w:fill="FAFAFA" w:val="clear"/>
          </w:tcPr>
          <w:p>
            <w:r>
              <w:rPr>
                <w:b/>
                <w:color w:val="008000"/>
                <w:sz w:val="17"/>
              </w:rPr>
              <w:t>+0.9%</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2,542</w:t>
            </w:r>
          </w:p>
        </w:tc>
        <w:tc>
          <w:tcPr>
            <w:tcW w:type="dxa" w:w="1440"/>
            <w:shd w:fill="FAFAFA" w:val="clear"/>
          </w:tcPr>
          <w:p>
            <w:r>
              <w:rPr>
                <w:b/>
                <w:sz w:val="17"/>
              </w:rPr>
              <w:t>2,896</w:t>
            </w:r>
          </w:p>
        </w:tc>
        <w:tc>
          <w:tcPr>
            <w:tcW w:type="dxa" w:w="1440"/>
            <w:shd w:fill="FAFAFA" w:val="clear"/>
          </w:tcPr>
          <w:p>
            <w:r>
              <w:rPr>
                <w:sz w:val="17"/>
              </w:rPr>
              <w:t>3,250</w:t>
            </w:r>
          </w:p>
        </w:tc>
        <w:tc>
          <w:tcPr>
            <w:tcW w:type="dxa" w:w="1440"/>
            <w:shd w:fill="FAFAFA" w:val="clear"/>
          </w:tcPr>
          <w:p>
            <w:r>
              <w:rPr>
                <w:b/>
                <w:color w:val="008000"/>
                <w:sz w:val="17"/>
              </w:rPr>
              <w:t>+0.9%</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2,513</w:t>
            </w:r>
          </w:p>
        </w:tc>
        <w:tc>
          <w:tcPr>
            <w:tcW w:type="dxa" w:w="1440"/>
            <w:shd w:fill="FAFAFA" w:val="clear"/>
          </w:tcPr>
          <w:p>
            <w:r>
              <w:rPr>
                <w:b/>
                <w:sz w:val="17"/>
              </w:rPr>
              <w:t>2,894</w:t>
            </w:r>
          </w:p>
        </w:tc>
        <w:tc>
          <w:tcPr>
            <w:tcW w:type="dxa" w:w="1440"/>
            <w:shd w:fill="FAFAFA" w:val="clear"/>
          </w:tcPr>
          <w:p>
            <w:r>
              <w:rPr>
                <w:sz w:val="17"/>
              </w:rPr>
              <w:t>3,276</w:t>
            </w:r>
          </w:p>
        </w:tc>
        <w:tc>
          <w:tcPr>
            <w:tcW w:type="dxa" w:w="1440"/>
            <w:shd w:fill="FAFAFA" w:val="clear"/>
          </w:tcPr>
          <w:p>
            <w:r>
              <w:rPr>
                <w:b/>
                <w:color w:val="008000"/>
                <w:sz w:val="17"/>
              </w:rPr>
              <w:t>+0.9%</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2,485</w:t>
            </w:r>
          </w:p>
        </w:tc>
        <w:tc>
          <w:tcPr>
            <w:tcW w:type="dxa" w:w="1440"/>
            <w:shd w:fill="FAFAFA" w:val="clear"/>
          </w:tcPr>
          <w:p>
            <w:r>
              <w:rPr>
                <w:b/>
                <w:sz w:val="17"/>
              </w:rPr>
              <w:t>2,893</w:t>
            </w:r>
          </w:p>
        </w:tc>
        <w:tc>
          <w:tcPr>
            <w:tcW w:type="dxa" w:w="1440"/>
            <w:shd w:fill="FAFAFA" w:val="clear"/>
          </w:tcPr>
          <w:p>
            <w:r>
              <w:rPr>
                <w:sz w:val="17"/>
              </w:rPr>
              <w:t>3,301</w:t>
            </w:r>
          </w:p>
        </w:tc>
        <w:tc>
          <w:tcPr>
            <w:tcW w:type="dxa" w:w="1440"/>
            <w:shd w:fill="FAFAFA" w:val="clear"/>
          </w:tcPr>
          <w:p>
            <w:r>
              <w:rPr>
                <w:b/>
                <w:color w:val="008000"/>
                <w:sz w:val="17"/>
              </w:rPr>
              <w:t>+0.8%</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2,458</w:t>
            </w:r>
          </w:p>
        </w:tc>
        <w:tc>
          <w:tcPr>
            <w:tcW w:type="dxa" w:w="1440"/>
            <w:shd w:fill="FAFAFA" w:val="clear"/>
          </w:tcPr>
          <w:p>
            <w:r>
              <w:rPr>
                <w:b/>
                <w:sz w:val="17"/>
              </w:rPr>
              <w:t>2,891</w:t>
            </w:r>
          </w:p>
        </w:tc>
        <w:tc>
          <w:tcPr>
            <w:tcW w:type="dxa" w:w="1440"/>
            <w:shd w:fill="FAFAFA" w:val="clear"/>
          </w:tcPr>
          <w:p>
            <w:r>
              <w:rPr>
                <w:sz w:val="17"/>
              </w:rPr>
              <w:t>3,323</w:t>
            </w:r>
          </w:p>
        </w:tc>
        <w:tc>
          <w:tcPr>
            <w:tcW w:type="dxa" w:w="1440"/>
            <w:shd w:fill="FAFAFA" w:val="clear"/>
          </w:tcPr>
          <w:p>
            <w:r>
              <w:rPr>
                <w:b/>
                <w:color w:val="008000"/>
                <w:sz w:val="17"/>
              </w:rPr>
              <w:t>+0.7%</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2,433</w:t>
            </w:r>
          </w:p>
        </w:tc>
        <w:tc>
          <w:tcPr>
            <w:tcW w:type="dxa" w:w="1440"/>
            <w:shd w:fill="FAFAFA" w:val="clear"/>
          </w:tcPr>
          <w:p>
            <w:r>
              <w:rPr>
                <w:b/>
                <w:sz w:val="17"/>
              </w:rPr>
              <w:t>2,889</w:t>
            </w:r>
          </w:p>
        </w:tc>
        <w:tc>
          <w:tcPr>
            <w:tcW w:type="dxa" w:w="1440"/>
            <w:shd w:fill="FAFAFA" w:val="clear"/>
          </w:tcPr>
          <w:p>
            <w:r>
              <w:rPr>
                <w:sz w:val="17"/>
              </w:rPr>
              <w:t>3,344</w:t>
            </w:r>
          </w:p>
        </w:tc>
        <w:tc>
          <w:tcPr>
            <w:tcW w:type="dxa" w:w="1440"/>
            <w:shd w:fill="FAFAFA" w:val="clear"/>
          </w:tcPr>
          <w:p>
            <w:r>
              <w:rPr>
                <w:b/>
                <w:color w:val="008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1.280 Mds FCFA</w:t>
            </w:r>
          </w:p>
        </w:tc>
        <w:tc>
          <w:tcPr>
            <w:tcW w:type="dxa" w:w="5669"/>
            <w:shd w:fill="FFFFFF" w:val="clear"/>
          </w:tcPr>
          <w:p>
            <w:r>
              <w:rPr>
                <w:color w:val="282828"/>
                <w:sz w:val="15"/>
              </w:rPr>
              <w:t>Rotation stocks = 71.9x/an.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118.327 Mds FCFA</w:t>
            </w:r>
          </w:p>
        </w:tc>
        <w:tc>
          <w:tcPr>
            <w:tcW w:type="dxa" w:w="5669"/>
            <w:shd w:fill="FFFFFF" w:val="clear"/>
          </w:tcPr>
          <w:p>
            <w:r>
              <w:rPr>
                <w:color w:val="282828"/>
                <w:sz w:val="15"/>
              </w:rPr>
              <w:t>Ratio actif circ./passif circ. = 0.67x.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267.07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54.655 Mds FCFA</w:t>
            </w:r>
          </w:p>
        </w:tc>
        <w:tc>
          <w:tcPr>
            <w:tcW w:type="dxa" w:w="5669"/>
            <w:shd w:fill="FFFFFF" w:val="clear"/>
          </w:tcPr>
          <w:p>
            <w:r>
              <w:rPr>
                <w:color w:val="282828"/>
                <w:sz w:val="15"/>
              </w:rPr>
              <w:t>Outil industriel (21.1%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64.340 Mds FCFA</w:t>
            </w:r>
          </w:p>
        </w:tc>
        <w:tc>
          <w:tcPr>
            <w:tcW w:type="dxa" w:w="5669"/>
            <w:shd w:fill="FFFFFF" w:val="clear"/>
          </w:tcPr>
          <w:p>
            <w:r>
              <w:rPr>
                <w:color w:val="282828"/>
                <w:sz w:val="15"/>
              </w:rPr>
              <w:t>Actif immobilisé = 24.8%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76.782 Mds FCFA</w:t>
            </w:r>
          </w:p>
        </w:tc>
        <w:tc>
          <w:tcPr>
            <w:tcW w:type="dxa" w:w="5669"/>
            <w:shd w:fill="FFFFFF" w:val="clear"/>
          </w:tcPr>
          <w:p>
            <w:r>
              <w:rPr>
                <w:color w:val="282828"/>
                <w:sz w:val="15"/>
              </w:rPr>
              <w:t>Liquidités disponibles (29.6%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259.448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61.200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73.552 Mds FCFA</w:t>
            </w:r>
          </w:p>
        </w:tc>
        <w:tc>
          <w:tcPr>
            <w:tcW w:type="dxa" w:w="5669"/>
            <w:shd w:fill="FFFFFF" w:val="clear"/>
          </w:tcPr>
          <w:p>
            <w:r>
              <w:rPr>
                <w:color w:val="282828"/>
                <w:sz w:val="15"/>
              </w:rPr>
              <w:t>Fonds propres = 28.3%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81.783 Mds FCFA</w:t>
            </w:r>
          </w:p>
        </w:tc>
        <w:tc>
          <w:tcPr>
            <w:tcW w:type="dxa" w:w="5669"/>
            <w:shd w:fill="FFFFFF" w:val="clear"/>
          </w:tcPr>
          <w:p>
            <w:r>
              <w:rPr>
                <w:color w:val="282828"/>
                <w:sz w:val="15"/>
              </w:rPr>
              <w:t>Capitaux permanents / Actif immobilisé = 1.27x.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8.231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10.231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185.896 Mds FCFA</w:t>
            </w:r>
          </w:p>
        </w:tc>
        <w:tc>
          <w:tcPr>
            <w:tcW w:type="dxa" w:w="5669"/>
            <w:shd w:fill="FFFFFF" w:val="clear"/>
          </w:tcPr>
          <w:p>
            <w:r>
              <w:rPr>
                <w:color w:val="282828"/>
                <w:sz w:val="15"/>
              </w:rPr>
              <w:t>Dettes totales = 71.7%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92.004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92.004 Mds FCFA</w:t>
            </w:r>
          </w:p>
        </w:tc>
        <w:tc>
          <w:tcPr>
            <w:tcW w:type="dxa" w:w="5669"/>
            <w:shd w:fill="FFFFFF" w:val="clear"/>
          </w:tcPr>
          <w:p>
            <w:r>
              <w:rPr>
                <w:color w:val="282828"/>
                <w:sz w:val="15"/>
              </w:rPr>
              <w:t>Chiffre d'affaires. Croissance: 7.4%.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9.043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36.205 Mds FCFA</w:t>
            </w:r>
          </w:p>
        </w:tc>
        <w:tc>
          <w:tcPr>
            <w:tcW w:type="dxa" w:w="5669"/>
            <w:shd w:fill="FFFFFF" w:val="clear"/>
          </w:tcPr>
          <w:p>
            <w:r>
              <w:rPr>
                <w:color w:val="282828"/>
                <w:sz w:val="15"/>
              </w:rPr>
              <w:t>Masse salariale = 39.4%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40.469 Mds FCFA</w:t>
            </w:r>
          </w:p>
        </w:tc>
        <w:tc>
          <w:tcPr>
            <w:tcW w:type="dxa" w:w="5669"/>
            <w:shd w:fill="FFFFFF" w:val="clear"/>
          </w:tcPr>
          <w:p>
            <w:r>
              <w:rPr>
                <w:color w:val="282828"/>
                <w:sz w:val="15"/>
              </w:rPr>
              <w:t>VA = 44.0%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4.264 Mds FCFA</w:t>
            </w:r>
          </w:p>
        </w:tc>
        <w:tc>
          <w:tcPr>
            <w:tcW w:type="dxa" w:w="5669"/>
            <w:shd w:fill="FFFFFF" w:val="clear"/>
          </w:tcPr>
          <w:p>
            <w:r>
              <w:rPr>
                <w:color w:val="282828"/>
                <w:sz w:val="15"/>
              </w:rPr>
              <w:t>EBE = 4.6%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-2.271 Mds FCFA</w:t>
            </w:r>
          </w:p>
        </w:tc>
        <w:tc>
          <w:tcPr>
            <w:tcW w:type="dxa" w:w="5669"/>
            <w:shd w:fill="FFFFFF" w:val="clear"/>
          </w:tcPr>
          <w:p>
            <w:r>
              <w:rPr>
                <w:color w:val="282828"/>
                <w:sz w:val="15"/>
              </w:rPr>
              <w:t>Profit d'exploitation = -2.5%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EB9C" w:val="clear"/>
          </w:tcPr>
          <w:p>
            <w:r>
              <w:rPr>
                <w:b/>
                <w:color w:val="006400"/>
                <w:sz w:val="17"/>
              </w:rPr>
              <w:t>784.97 M FCFA</w:t>
            </w:r>
          </w:p>
        </w:tc>
        <w:tc>
          <w:tcPr>
            <w:tcW w:type="dxa" w:w="5669"/>
            <w:shd w:fill="FFFFFF" w:val="clear"/>
          </w:tcPr>
          <w:p>
            <w:r>
              <w:rPr>
                <w:color w:val="282828"/>
                <w:sz w:val="15"/>
              </w:rPr>
              <w:t>Marge nette = 0.9%.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7.503 Mds FCFA</w:t>
            </w:r>
          </w:p>
        </w:tc>
        <w:tc>
          <w:tcPr>
            <w:tcW w:type="dxa" w:w="5669"/>
            <w:shd w:fill="FFFFFF" w:val="clear"/>
          </w:tcPr>
          <w:p>
            <w:r>
              <w:rPr>
                <w:color w:val="282828"/>
                <w:sz w:val="15"/>
              </w:rPr>
              <w:t>CAF = 7.50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83.198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-19.195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-4.838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55.471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-57.339 Mds FCFA</w:t>
            </w:r>
          </w:p>
        </w:tc>
        <w:tc>
          <w:tcPr>
            <w:tcW w:type="dxa" w:w="5669"/>
            <w:shd w:fill="FFFFFF" w:val="clear"/>
          </w:tcPr>
          <w:p>
            <w:r>
              <w:rPr>
                <w:color w:val="282828"/>
                <w:sz w:val="15"/>
              </w:rPr>
              <w:t>BFR = -62.3%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17.443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74.782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FFEB9C" w:val="clear"/>
          </w:tcPr>
          <w:p>
            <w:r>
              <w:rPr>
                <w:b/>
                <w:color w:val="006400"/>
                <w:sz w:val="17"/>
              </w:rPr>
              <w:t>0.85%</w:t>
            </w:r>
          </w:p>
        </w:tc>
        <w:tc>
          <w:tcPr>
            <w:tcW w:type="dxa" w:w="5669"/>
            <w:shd w:fill="FFFFFF" w:val="clear"/>
          </w:tcPr>
          <w:p>
            <w:r>
              <w:rPr>
                <w:color w:val="282828"/>
                <w:sz w:val="15"/>
              </w:rPr>
              <w:t>Résultat net / revenus = 0.85%. ⚠️ Marge nette très fine — sensible aux aléas.</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-2.47%</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1.07%</w:t>
            </w:r>
          </w:p>
        </w:tc>
        <w:tc>
          <w:tcPr>
            <w:tcW w:type="dxa" w:w="5669"/>
            <w:shd w:fill="FFFFFF" w:val="clear"/>
          </w:tcPr>
          <w:p>
            <w:r>
              <w:rPr>
                <w:color w:val="282828"/>
                <w:sz w:val="15"/>
              </w:rPr>
              <w:t>Résultat net / capitaux propres = 1.07%.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0.30%</w:t>
            </w:r>
          </w:p>
        </w:tc>
        <w:tc>
          <w:tcPr>
            <w:tcW w:type="dxa" w:w="5669"/>
            <w:shd w:fill="FFFFFF" w:val="clear"/>
          </w:tcPr>
          <w:p>
            <w:r>
              <w:rPr>
                <w:color w:val="282828"/>
                <w:sz w:val="15"/>
              </w:rPr>
              <w:t>Résultat net / total actif = 0.30%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35.46%</w:t>
            </w:r>
          </w:p>
        </w:tc>
        <w:tc>
          <w:tcPr>
            <w:tcW w:type="dxa" w:w="5669"/>
            <w:shd w:fill="FFFFFF" w:val="clear"/>
          </w:tcPr>
          <w:p>
            <w:r>
              <w:rPr>
                <w:color w:val="282828"/>
                <w:sz w:val="15"/>
              </w:rPr>
              <w:t>CA / total actif = 35.46x.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7.43%</w:t>
            </w:r>
          </w:p>
        </w:tc>
        <w:tc>
          <w:tcPr>
            <w:tcW w:type="dxa" w:w="5669"/>
            <w:shd w:fill="FFFFFF" w:val="clear"/>
          </w:tcPr>
          <w:p>
            <w:r>
              <w:rPr>
                <w:color w:val="282828"/>
                <w:sz w:val="15"/>
              </w:rPr>
              <w:t>Croissance CA vs exercice précédent = 7.43%.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28.35%</w:t>
            </w:r>
          </w:p>
        </w:tc>
        <w:tc>
          <w:tcPr>
            <w:tcW w:type="dxa" w:w="5669"/>
            <w:shd w:fill="FFFFFF" w:val="clear"/>
          </w:tcPr>
          <w:p>
            <w:r>
              <w:rPr>
                <w:color w:val="282828"/>
                <w:sz w:val="15"/>
              </w:rPr>
              <w:t>Fonds propres / total bilan = 28.35%.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71.65%</w:t>
            </w:r>
          </w:p>
        </w:tc>
        <w:tc>
          <w:tcPr>
            <w:tcW w:type="dxa" w:w="5669"/>
            <w:shd w:fill="FFFFFF" w:val="clear"/>
          </w:tcPr>
          <w:p>
            <w:r>
              <w:rPr>
                <w:color w:val="282828"/>
                <w:sz w:val="15"/>
              </w:rPr>
              <w:t>Dettes financières / total bilan = 71.65%.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13.91%</w:t>
            </w:r>
          </w:p>
        </w:tc>
        <w:tc>
          <w:tcPr>
            <w:tcW w:type="dxa" w:w="5669"/>
            <w:shd w:fill="FFFFFF" w:val="clear"/>
          </w:tcPr>
          <w:p>
            <w:r>
              <w:rPr>
                <w:color w:val="282828"/>
                <w:sz w:val="15"/>
              </w:rPr>
              <w:t>Dettes totales / fonds propres = 13.91%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139.57%</w:t>
            </w:r>
          </w:p>
        </w:tc>
        <w:tc>
          <w:tcPr>
            <w:tcW w:type="dxa" w:w="5669"/>
            <w:shd w:fill="FFFFFF" w:val="clear"/>
          </w:tcPr>
          <w:p>
            <w:r>
              <w:rPr>
                <w:color w:val="282828"/>
                <w:sz w:val="15"/>
              </w:rPr>
              <w:t>Total actif / dettes totales = 139.57x.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109.82%</w:t>
            </w:r>
          </w:p>
        </w:tc>
        <w:tc>
          <w:tcPr>
            <w:tcW w:type="dxa" w:w="5669"/>
            <w:shd w:fill="FFFFFF" w:val="clear"/>
          </w:tcPr>
          <w:p>
            <w:r>
              <w:rPr>
                <w:color w:val="282828"/>
                <w:sz w:val="15"/>
              </w:rPr>
              <w:t>Actif circulant / passif circulant = 109.82x.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43.22%</w:t>
            </w:r>
          </w:p>
        </w:tc>
        <w:tc>
          <w:tcPr>
            <w:tcW w:type="dxa" w:w="5669"/>
            <w:shd w:fill="FFFFFF" w:val="clear"/>
          </w:tcPr>
          <w:p>
            <w:r>
              <w:rPr>
                <w:color w:val="282828"/>
                <w:sz w:val="15"/>
              </w:rPr>
              <w:t>Trésorerie / passif circulant = 43.22x.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109.10%</w:t>
            </w:r>
          </w:p>
        </w:tc>
        <w:tc>
          <w:tcPr>
            <w:tcW w:type="dxa" w:w="5669"/>
            <w:shd w:fill="FFFFFF" w:val="clear"/>
          </w:tcPr>
          <w:p>
            <w:r>
              <w:rPr>
                <w:color w:val="282828"/>
                <w:sz w:val="15"/>
              </w:rPr>
              <w:t>(Actif circ. - stocks) / passif circ. = 109.10x.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127.11%</w:t>
            </w:r>
          </w:p>
        </w:tc>
        <w:tc>
          <w:tcPr>
            <w:tcW w:type="dxa" w:w="5669"/>
            <w:shd w:fill="FFFFFF" w:val="clear"/>
          </w:tcPr>
          <w:p>
            <w:r>
              <w:rPr>
                <w:color w:val="282828"/>
                <w:sz w:val="15"/>
              </w:rPr>
              <w:t>Capitaux permanents / actif immobilisé = 127.11x.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1.4 ans</w:t>
            </w:r>
          </w:p>
        </w:tc>
        <w:tc>
          <w:tcPr>
            <w:tcW w:type="dxa" w:w="5669"/>
            <w:shd w:fill="FFFFFF" w:val="clear"/>
          </w:tcPr>
          <w:p>
            <w:r>
              <w:rPr>
                <w:color w:val="282828"/>
                <w:sz w:val="15"/>
              </w:rPr>
              <w:t>Dettes financières / CAF = 1.4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-289.33%</w:t>
            </w:r>
          </w:p>
        </w:tc>
        <w:tc>
          <w:tcPr>
            <w:tcW w:type="dxa" w:w="5669"/>
            <w:shd w:fill="FFFFFF" w:val="clear"/>
          </w:tcPr>
          <w:p>
            <w:r>
              <w:rPr>
                <w:color w:val="282828"/>
                <w:sz w:val="15"/>
              </w:rPr>
              <w:t>Résultat exploit. / charges financières = -289.33x.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27.06%</w:t>
            </w:r>
          </w:p>
        </w:tc>
        <w:tc>
          <w:tcPr>
            <w:tcW w:type="dxa" w:w="5669"/>
            <w:shd w:fill="FFFFFF" w:val="clear"/>
          </w:tcPr>
          <w:p>
            <w:r>
              <w:rPr>
                <w:color w:val="282828"/>
                <w:sz w:val="15"/>
              </w:rPr>
              <w:t>CAF / investissements = 27.06x. ⚠️ Financement externe nécessaire pour les investissements.</w:t>
            </w:r>
          </w:p>
        </w:tc>
      </w:tr>
    </w:tbl>
    <w:p/>
    <w:p>
      <w:pPr>
        <w:spacing w:after="120" w:line="276" w:lineRule="auto"/>
      </w:pPr>
      <w:r>
        <w:t># RAPPORT D'ANALYSE FINANCIÈRE — SDSC (AGL Côte d'Ivoire)</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SDSC s'établit à **156,23 milliards FCFA**, un niveau significatif à l'échelle de la BRVM qui place le titre parmi les valeurs de premier plan du compartiment logistique-transport. Le BPA de **14 FCFA/action** apparaît toutefois très faible au regard du cours de 2 870 FCFA, ce qui se traduit par un **PER de 199,0x** — un niveau extrêmement élevé comparé à la moyenne BRVM (8-12x), signalant que les investisseurs paient environ 199 fois les bénéfices actuels, soit une prime considérable qui n'est justifiable que par des anticipations de redressement massif des marges. Le **P/B de 2,12x** indique que le marché valorise le titre à plus du double de sa valeur comptable, traduisant une prime de croissance accordée par le marché. Enfin, l'**EV/EBITDA de 21,5x** (très au-dessus du seuil de 15x) confirme une valorisation exigeante rapportée à la capacité opérationnelle de génération de cash, ce qui impose une grande prudence sur le potentiel de revalorisation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SDSC affiche une **variation totale de +69,82%**, portée par un fort momentum haussier, mais la dernière séance (J-1) marque un net repli de **-6,36%**, signe d'une prise de bénéfices ou d'un essoufflement. Le cours actuel de **2 870 FCFA** se situe dans la moitié haute du range de trading, entre un plus bas de **1 690 FCFA** et un plus haut de **3 205 FCFA**, ce qui traduit une tendance générale haussière sur la période, avec une amplitude de plus de 89% entre les extrêmes. Les statistiques descriptives révèlent une **moyenne de 2 619 FCFA** inférieure à la **médiane de 2 700 FCFA**, écart qui confirme une distribution asymétrique à gauche (skewness de **-0,614**), c'est-à-dire davantage de journées de hausse au-dessus de la moyenne, typique d'un titre en phase d'appréciation. L'**écart-type de 367 FCFA (CV=14,0%)** indique une dispersion modérée autour de la moyenne, tandis que le **kurtosis de -0,438** (mésokurtique) suggère un comportement proche d'une distribution normale, sans pics extrêmes marqués — un profil rassurant pour la gestion du risque. La **volatilité annualisée de 53,0%** classe le titre dans la catégorie des valeurs **très volatiles** (&gt;30%), ce qui est cohérent avec un marché frontière et un titre ayant connu une forte réévaluation récente.</w:t>
      </w:r>
    </w:p>
    <w:p>
      <w:pPr>
        <w:spacing w:after="120" w:line="276" w:lineRule="auto"/>
      </w:pPr>
      <w:r>
        <w:t>---</w:t>
      </w:r>
    </w:p>
    <w:p>
      <w:pPr>
        <w:spacing w:after="120" w:line="276" w:lineRule="auto"/>
      </w:pPr>
      <w:r>
        <w:t>## PARTIE 2 : ANALYSE TECHNIQUE DÉTAILLÉE</w:t>
      </w:r>
    </w:p>
    <w:p>
      <w:pPr>
        <w:spacing w:after="120" w:line="276" w:lineRule="auto"/>
      </w:pPr>
      <w:r>
        <w:t>**Moyennes Mobiles** : La MM20 (2 953,25 FCFA) et la MM50 (2 883,0 FCFA) se situent toutes deux **au-dessus du cours actuel** (2 870 FCFA), ce qui traduit une pression baissière de court terme malgré la tendance haussière de fond. La MM20 &gt; MM50 confirme une configuration haussière de moyen terme, mais le fait que le cours soit passé sous ces deux moyennes justifie la décision **Achat** retenue par le modèle (potentiel de rebond vers les moyennes).</w:t>
      </w:r>
    </w:p>
    <w:p>
      <w:pPr>
        <w:spacing w:after="120" w:line="276" w:lineRule="auto"/>
      </w:pPr>
      <w:r>
        <w:t>**Bandes de Bollinger** : Le cours (2 870 FCFA) évolue dans la partie basse de la bande, entre la borne inférieure (2 749,31 FCFA) et la borne supérieure (3 157,19 FCFA), sans atteindre les extrêmes. La largeur des bandes (environ 408 FCFA) reflète une volatilité encore élevée, et la position du cours à mi-bande justifie la décision **Neutre** — ni signal d'achat sur rebond de borne basse, ni signal de vente sur surchauffe.</w:t>
      </w:r>
    </w:p>
    <w:p>
      <w:pPr>
        <w:spacing w:after="120" w:line="276" w:lineRule="auto"/>
      </w:pPr>
      <w:r>
        <w:t>**MACD** : La valeur du MACD (26,123) est **inférieure à son signal (34,797)**, configuration baissière qui traduit un momentum négatif de court terme. La divergence négative entre la ligne MACD et sa moyenne mobile confirme la décision **Vente**, suggérant que la dynamique haussière des 100 derniers jours s'essouffle et qu'un repli correctif est en cours.</w:t>
      </w:r>
    </w:p>
    <w:p>
      <w:pPr>
        <w:spacing w:after="120" w:line="276" w:lineRule="auto"/>
      </w:pPr>
      <w:r>
        <w:t>**RSI** : À **48,819**, le RSI se situe en zone **neutre** (entre 30 et 70), sans signal de surachat (&gt;70) ni de survente (&lt;30). Cette position médiane indique un équilibre entre acheteurs et vendeurs, justifiant la décision **Neutre** — le titre n'est ni surévalué techniquement ni survendu, laissant la place à une consolidation.</w:t>
      </w:r>
    </w:p>
    <w:p>
      <w:pPr>
        <w:spacing w:after="120" w:line="276" w:lineRule="auto"/>
      </w:pPr>
      <w:r>
        <w:t>**Stochastique** : Le %K (4,167) est très nettement **inférieur au %D (63,194)**, configuration de **survente marquée** du %K qui, croisée avec un %D élevé, suggère un possible retournement haussier imminent après le repli récent. Cette divergence justifie la décision **Achat** du modèle, en anticipation d'un rebond technique.</w:t>
      </w:r>
    </w:p>
    <w:p>
      <w:pPr>
        <w:spacing w:after="120" w:line="276" w:lineRule="auto"/>
      </w:pPr>
      <w:r>
        <w:t>**Conclusion technique** : Les indicateurs sont **divergents** — les moyennes mobiles et le stochastique plaident pour un achat sur repli, tandis que le MACD confirme une pression vendeuse et que le RSI/Bollinger restent neutres. Cette configuration mixte traduit une phase de consolidation après la forte hausse de +69,82%, avec un potentiel de rebond technique mais sans signal directionnel fort. La prudence est de mise : le titre sort d'une surperformance exceptionnelle et la correction de -6,36% en J-1 pourrait se poursuivre avant tout rebond.</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SDSC (AGL Côte d'Ivoire) affiche un **chiffre d'affaires de 92,004 milliards FCFA**, en croissance de **+7,43%** par rapport à 2024 (85,643 Mds FCFA), portée par le cœur de métier logistique. Cependant, le **résultat net s'effondre à 784,97 millions FCFA** (contre 21,07 Mds en 2024, soit **-96%**), avec une **marge nette de seulement 0,85%** et un **résultat d'exploitation négatif de -2,271 Mds FCFA**. Le **ROE chute à 1,07%** (très loin du seuil de 15% considéré excellent) et le **ROA à 0,30%**, traduisant une rentabilité des actifs quasi nulle. La structure financière reste solide : **autonomie financière de 28,35%** (proche du seuil sain de 30%), **liquidité générale de 109,82%** (&gt;1, bon), **trésorerie nette de 74,78 Mds FCFA** et **BFR négatif de -57,34 Mds FCFA** (favorable pour une entreprise). Le **ratio d'endettement de 13,91%** est maîtrisé, mais la **couverture des intérêts est négative (-289%)** en raison du résultat d'exploitation déficitaire — point de vigilance majeur.</w:t>
      </w:r>
    </w:p>
    <w:p>
      <w:pPr>
        <w:spacing w:after="120" w:line="276" w:lineRule="auto"/>
      </w:pPr>
      <w:r>
        <w:t>**Analyse sectorielle (entreprise)** : La rotation des actifs est faible (**35,46%**), et la marge opérationnelle négative (**-2,47%**) révèle une pression sur les coûts (charges de personnel de 36,2 Mds FCFA, soit 39% du CA). Le **free cash flow de 55,47 Mds FCFA** et le **flux opérationnel de 83,2 Mds FCFA** témoignent néanmoins d'une forte capacité de génération de trésorerie, paradoxale au regard du résultat net.</w:t>
      </w:r>
    </w:p>
    <w:p>
      <w:pPr>
        <w:spacing w:after="120" w:line="276" w:lineRule="auto"/>
      </w:pPr>
      <w:r>
        <w:t>**Estimations basées sur les rapports trimestriels** : Le rapport du **T3 2025 (30/09/2025)** indique un CA de 66,217 Mds FCFA (+7,4%) mais un résultat net trimestriel de 4,341 Mds FCFA en **chute de 77%**, attribuée à la baisse des dividendes des filiales. Le rapport du **S1 2025 (30/06/2025)** confirme un résultat net négatif (-427 M FCFA) et un résultat d'exploitation déficitaire (-662 M FCFA). Le rapport du **T1 2025 (31/03/2025)** montrait déjà un résultat net négatif (-193 M FCFA). On estime donc que l'exercice 2026 restera sous pression : la croissance du CA (+7,4%) ne suffira pas à restaurer la rentabilité sans un redressement des marges opérationnelles et un retour des dividendes de filiales. Le rapport annuel 2025 (Deloitte/ECR International, signé le 26/08/2026) certifie les comptes **sans réserve** mais signale des **manquements réglementaires** (retards de clôture et de communication, articles 23 et 525 AU OHADA), signal de faiblesse de gouvernance.</w:t>
      </w:r>
    </w:p>
    <w:p>
      <w:pPr>
        <w:spacing w:after="120" w:line="276" w:lineRule="auto"/>
      </w:pPr>
      <w:r>
        <w:t>**Recommandation fondamentale** : La société est **solide bilantairement** (trésorerie abondante, endettement faible) mais **fragilisée sur la rentabilité** (marge nette 0,85%, ROE 1,07%, exploitation déficitaire). Le dividende proposé de 544,35 M FCFA (contre 5,008 Mds en 2024, soit **-89%**) confirme la dégradation. Conclusion : **CONSERVER avec vigilance**, en attendant la restauration des marges opérationnelles.</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**décalage préoccupant entre la valorisation et les fondamentaux** : le PER de 199,0x et l'EV/EBITDA de 21,5x intègrent une prime de croissance que les résultats 2025 (marge nette 0,85%, ROE 1,07%) ne justifient absolument pas — le titre est **surévalué sur les bénéfices actuels**, même si le P/B de 2,12x reste défendable au regard de la solidité bilantaire. Le comportement du cours (Partie 1) est **favorable dans la tendance** (+69,82% sur 100 jours) mais **préoccupant dans l'immédiat** (-6,36% en J-1, volatilité de 53%, skewness négatif), avec un kurtosis normal qui n'annonce pas de krach mais une correction probable. Les signaux techniques (Partie 2) sont **divergents** : achat sur moyennes mobiles et stochastique, vente sur MACD, neutre sur RSI/Bollinger — configuration de consolidation sans direction claire. Les fondamentaux (Partie 3) sont **mitigés** : croissance du CA (+7,4%) et trésorerie solide (74,78 Mds FCFA) d'un côté, effondrement du résultat net (-96%) et dividende réduit de 89% de l'autre. Les **prédictions IA (J+1 à J+10)** anticipent une **légère reprise** (2 862 → 2 896 FCFA, soit +1,2% sur 5 séances), ce qui **contredit partiellement** le signal MACD baissier mais **confirme** le potentiel de rebond technique post-correction.</w:t>
      </w:r>
    </w:p>
    <w:p>
      <w:pPr>
        <w:spacing w:after="120" w:line="276" w:lineRule="auto"/>
      </w:pPr>
      <w:r>
        <w:t>**Recommandation finale : CONSERVER**</w:t>
        <w:br/>
        <w:t>**Justification** : La convergence est **partielle** — la prédiction IA et le stochastique plaident pour un rebond de court terme, mais la valorisation extrême (PER 199x), la dégradation fondamentale (marge nette 0,85%) et le signal MACD baissier imposent la prudence. Le titre n'est ni un achat (surévaluation manifeste) ni une vente (solidité bilantaire et trésorerie abondante). **Niveau de confiance : Moyen** (signaux contradictoires). **Niveau de risque global : Élevé** (volatilité 53%, valorisation tendue, gouvernance perfectible). **Horizon optimal : Moyen terme (3-12 mois)**, en surveillant la publication des résultats S1 2026 pour confirmer ou infirmer le redressement des marges opérationnelles — un retour du résultat d'exploitation en territoire positif serait le déclencheur d'un passage à ACHAT.</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32.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N/D</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13.8/100 → Faible</w:t>
      </w:r>
    </w:p>
    <w:p>
      <w:pPr>
        <w:spacing w:before="40" w:after="80"/>
      </w:pPr>
      <w:r>
        <w:rPr>
          <w:rFonts w:ascii="Courier New" w:hAnsi="Courier New"/>
          <w:color w:val="006400"/>
          <w:sz w:val="18"/>
        </w:rPr>
        <w:t>██░░░░░░░░░░░░░░░░░░  13.8/100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β=1.1116 (Neutre (suit le marché)) — Cov=0.000044, Var(idx)=0.000040, ρ=0.241, n=79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56/100  (Bon)</w:t>
      </w:r>
    </w:p>
    <w:p/>
    <w:p>
      <w:pPr>
        <w:jc w:val="center"/>
      </w:pPr>
      <w:r>
        <w:drawing>
          <wp:inline xmlns:a="http://schemas.openxmlformats.org/drawingml/2006/main" xmlns:pic="http://schemas.openxmlformats.org/drawingml/2006/picture">
            <wp:extent cx="5669280" cy="2616976"/>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16976"/>
                    </a:xfrm>
                    <a:prstGeom prst="rect"/>
                  </pic:spPr>
                </pic:pic>
              </a:graphicData>
            </a:graphic>
          </wp:inline>
        </w:drawing>
      </w:r>
    </w:p>
    <w:p/>
    <w:p>
      <w:pPr>
        <w:spacing w:after="120" w:line="276" w:lineRule="auto"/>
      </w:pPr>
      <w:r>
        <w:t>**RAPPORT D'ANALYSE FINANCIÈRE — SEMC (BRVM)**</w:t>
        <w:br/>
        <w:t>*Date d'analyse : courant 2026 — Cours de référence : 1 495 FCFA*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modeste à l'échelle de la BRVM qui la place parmi les valeurs industrielles de second rang, loin des poids lourds bancaires et télécoms de la cote. Les ratios de valorisation (BPA, PER, P/B, EV/EBITDA) ne sont pas calculables en l'état, faute de données financières structurées exploitables dans la base et en raison de l'ancienneté des états financiers disponibles (dernier exercice certifié : 2023). On peut néanmoins rappeler, à titre indicatif, que le BPA 2023 ressortait à environ 512 FCFA selon le rapport annuel 2023, ce qui impliquerait un PER implicite d'environ 2,9x au cours actuel — un niveau très bas qui traduit surtout la défiance du marché plutôt qu'une réelle sous-évaluation, compte tenu de la dégradation des résultats constatée. En l'absence de P/B et d'EV/EBITDA fiables, la lecture de la valorisation doit rester prudente et être complétée par l'analyse fondamentale.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affiche une variation totale de -16,94%, avec une dernière séance encore négative à -1,64%, confirmant une tendance baissière persistante. Le cours actuel de 1 495 FCFA se situe dans le bas de la fourchette de trading comprise entre un plus haut de 1 800 FCFA et un plus bas de 1 350 FCFA, soit un range de 450 FCFA (33% d'amplitude) qui témoigne d'une érosion progressive des cours depuis le début de la période. La moyenne (1 527 FCFA) est légèrement supérieure à la médiane (1 520 FCFA) et au mode (1 500 FCFA), signe d'une distribution faiblement asymétrique où le cours actuel évolue sous ses niveaux centraux. L'écart-type de 69 FCFA (CV de 4,5%) indique une dispersion modérée autour de la moyenne, mais le kurtosis de 1,652 (leptokurtique) signale des queues épaisses, donc un risque de pics de volatilité brutaux, tandis que le skewness positif de 0,558 confirme une asymétrie avec davantage de journées sous la moyenne. La volatilité annualisée de 47,2% classe le titre dans la catégorie **élevée** (&gt;30%), ce qui est cohérent avec la faible liquidité du marché (volume moyen de seulement 6 046 titres/jour) et expose l'investisseur à un risque de prix significatif.</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Les MM20 et MM50 ne sont pas calculables (valeurs non disponibles), ce qui empêche toute lecture de la position relative du cours par rapport à ses tendances court et moyen terme. La décision technique reste donc neutre sur ce point, l'absence de croisement exploitable ne permettant pas de dégager un signal directionnel fiable.</w:t>
      </w:r>
    </w:p>
    <w:p>
      <w:pPr>
        <w:spacing w:after="120" w:line="276" w:lineRule="auto"/>
      </w:pPr>
      <w:r>
        <w:t>**Bandes de Bollinger** : Les bornes supérieure et inférieure ainsi que la position du cours sont indisponibles, rendant impossible l'évaluation de la volatilité relative et du positionnement du prix dans le canal. Aucune décision ne peut être tirée de cet indicateur en l'état.</w:t>
      </w:r>
    </w:p>
    <w:p>
      <w:pPr>
        <w:spacing w:after="120" w:line="276" w:lineRule="auto"/>
      </w:pPr>
      <w:r>
        <w:t>**MACD** : La valeur du MACD et sa ligne de signal étant non disponibles, l'analyse du momentum et des divergences est impossible. La décision reste neutre, sans confirmation d'un retournement ou d'une accélération baissière.</w:t>
      </w:r>
    </w:p>
    <w:p>
      <w:pPr>
        <w:spacing w:after="120" w:line="276" w:lineRule="auto"/>
      </w:pPr>
      <w:r>
        <w:t>**RSI** : Le RSI n'étant pas calculé, on ne peut statuer sur une zone de surachat (&gt;70) ou de survente (&lt;30). Compte tenu de la baisse de -16,94% sur 100 jours, un RSI bas serait plausible, mais l'absence de donnée interdit toute conclusion ferme.</w:t>
      </w:r>
    </w:p>
    <w:p>
      <w:pPr>
        <w:spacing w:after="120" w:line="276" w:lineRule="auto"/>
      </w:pPr>
      <w:r>
        <w:t>**Stochastique** : Les %K et %D sont indisponibles, empêchant l'analyse des croisements et du positionnement en zone extrême. La décision demeure neutre.</w:t>
      </w:r>
    </w:p>
    <w:p>
      <w:pPr>
        <w:spacing w:after="120" w:line="276" w:lineRule="auto"/>
      </w:pPr>
      <w:r>
        <w:t>**Conclusion technique** : L'ensemble des indicateurs techniques étant non calculables (données manquantes), aucune convergence ou divergence ne peut être établie. La seule lecture disponible est celle du comportement du cours : tendance baissière marquée (-16,94%), volatilité élevée (47,2%) et cours sous ses niveaux moyens. Le signal technique global est donc **négatif par défaut**, porté uniquement par la dynamique de prix, avec une prudence renforcée liée à l'absence de confirmation par les oscillateurs.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états financiers certifiés les plus récents disponibles datent de l'exercice clos le **31 décembre 2023** (rapport annuel 2023, ainsi qu'un rapport de synthèse 2023 et un rapport T1 2023). En 2023, le chiffre d'affaires s'établit à **27,88 milliards FCFA**, en **baisse de 6%** par rapport aux 29,60 milliards de 2022, sous l'effet d'une réduction des volumes (-12%) et de la perte de clients clés (chute de 81% du CA du secteur Poisson suite à la perte d'AIRONE, disparition du segment Tomate). Le résultat net chute de **74% à 1,01 milliard FCFA** (contre 3,86 milliards en 2022), la marge nette s'effondrant de 13,0% à **3,6%** et la marge d'exploitation de 11,0% à 6,9% — un effet ciseau typique d'une baisse d'activité sur des charges fixes quasi stables. La rentabilité des capitaux propres (ROE) se dégrade en conséquence, passant d'environ 16-18% en 2022 à un niveau nettement inférieur en 2023, tandis que la trésorerie reste solide à 3,35 milliards FCFA. À noter que les rapports antérieurs (exercice 2022, analysé le 16/03/2026, et T1 2023) faisaient état d'une dynamique inverse — CA de 125,4 milliards et résultat net de 12,8 milliards en 2022 selon une première lecture, puis 29,60 milliards et 3,86 milliards selon la seconde — ce qui traduit une **incohérence de périmètre** entre les documents (consolidé groupe vs société) et impose la prudence. La politique de dividende est suspendue (0 FCFA en 2023 comme en 2022), la trésorerie étant conservée pour financer la relance et faire face à la **suspension de la cote BRVM** (flottant insuffisant de 10,42% vs 15% requis). Les perspectives 2024 visent un CA de 32 milliards FCFA (+18%), porté par les bouchons couronnes (+61% en volume) et les exportations, avec l'arrivée de **Sonoco Products Company** comme nouvel actionnaire (rachat finalisé en décembre 2024) qui pourrait apporter capitaux et expertise. La recommandation fondamentale est donc **CONSERVER avec vigilance** : les fondamentaux 2023 sont dégradés et les données anciennes, mais le potentiel de rebond 2024 et le soutien stratégique de Sonoco constituent des leviers à surveiller de près.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dresse un tableau contrasté. Sur le plan de la **valorisation** (Partie 0), la capitalisation de 37,66 milliards FCFA et un PER implicite très bas (~2,9x sur la base du BPA 2023) suggèrent une défiance du marché plutôt qu'une sous-évaluation attractive, les ratios clés (P/B, EV/EBITDA) restant indisponibles. Le **comportement du cours** (Partie 1) est clairement préoccupant : tendance baissière de -16,94%, volatilité élevée de 47,2%, kurtosis leptokurtique (risque de pics) et skewness positif (pression vendeuse), malgré une dispersion modérée (CV 4,5%). Les **signaux techniques** (Partie 2) sont inexploitables faute d'indicateurs calculables, ce qui prive l'analyse d'un garde-fou et laisse la dynamique baissière comme seul repère. Les **fondamentaux** (Partie 3) sont mitigés : exercice 2023 en forte dégradation (CA -6%, résultat net -74%, marge nette à 3,6%), dividende suspendu et cote BRVM suspendue, mais perspectives 2024 de rebond (+18% de CA visé) et arrivée de Sonoco comme actionnaire de référence. Enfin, **aucune prédiction IA** n'est disponible pour les 10 prochains jours, ce qui ne permet ni confirmation ni contradiction des autres signaux et invite à la prudence. Au total, la convergence est **négative à court terme** (cours baissier, volatilité élevée, fondamentaux 2023 dégradés) mais **porteuse d'options à moyen terme** (rebond 2024, soutien Sonoco, valorisation déprimée). La recommandation finale est **CONSERVER**, avec un niveau de confiance **Moyen** et un niveau de risque global **Élevé** (volatilité 47,2%, liquidité faible, suspension de cote, incertitude sur la levée de la suspension et sur l'exécution du plan 2024). L'horizon d'investissement optimal est le **moyen terme (3-12 mois)**, le temps de vérifier la levée de la suspension BRVM, la confirmation du rebond d'activité et l'impact effectif du rachat par Sonoco ; un passage à l'ACHAT ne serait justifié qu'en cas de confirmation des perspectives 2024 et de normalisation de la cote.</w:t>
      </w:r>
    </w:p>
    <w:p/>
    <w:p/>
    <w:p>
      <w:r>
        <w:t>════════════════════════════════════════════════════════════════════════════════</w:t>
      </w:r>
    </w:p>
    <w:p>
      <w:r>
        <w:br w:type="page"/>
      </w:r>
    </w:p>
    <w:p>
      <w:pPr>
        <w:pStyle w:val="Heading2"/>
        <w:spacing w:before="360"/>
      </w:pPr>
      <w:r>
        <w:rPr>
          <w:color w:val="0066CC"/>
        </w:rPr>
        <w:t>33.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1213.49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5,162 titres</w:t>
            </w:r>
          </w:p>
        </w:tc>
        <w:tc>
          <w:tcPr>
            <w:tcW w:type="dxa" w:w="2268"/>
            <w:shd w:fill="FFF2CC" w:val="clear"/>
          </w:tcPr>
          <w:p>
            <w:r>
              <w:rPr>
                <w:b/>
                <w:color w:val="503200"/>
                <w:sz w:val="16"/>
              </w:rPr>
              <w:t xml:space="preserve">Cours actuel : </w:t>
            </w:r>
            <w:r>
              <w:rPr>
                <w:color w:val="000000"/>
                <w:sz w:val="17"/>
              </w:rPr>
              <w:t>39,005 FCFA</w:t>
            </w:r>
          </w:p>
          <w:p>
            <w:r>
              <w:rPr>
                <w:b/>
                <w:color w:val="503200"/>
                <w:sz w:val="16"/>
              </w:rPr>
              <w:t xml:space="preserve">Var. 100 jours : </w:t>
            </w:r>
            <w:r>
              <w:rPr>
                <w:b/>
                <w:color w:val="007800"/>
                <w:sz w:val="17"/>
              </w:rPr>
              <w:t>+6.57%</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36,600 FCFA</w:t>
            </w:r>
          </w:p>
          <w:p>
            <w:r>
              <w:rPr>
                <w:b/>
                <w:color w:val="503200"/>
                <w:sz w:val="16"/>
              </w:rPr>
              <w:t xml:space="preserve">Volatilité ann. : </w:t>
            </w:r>
            <w:r>
              <w:rPr>
                <w:color w:val="000000"/>
                <w:sz w:val="17"/>
              </w:rPr>
              <w:t>20.9%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1.66% (Faible) — μ=38,497 FCFA, σ=639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β=0.4565 (Défensif) — Cov=0.000035, Var(idx)=0.000077, ρ=0.300,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5,162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σ_j=1.32%/j (Stable) — Vol. annualisée≈20.9%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37,939</w:t>
            </w:r>
          </w:p>
        </w:tc>
        <w:tc>
          <w:tcPr>
            <w:tcW w:type="dxa" w:w="1440"/>
            <w:shd w:fill="FAFAFA" w:val="clear"/>
          </w:tcPr>
          <w:p>
            <w:r>
              <w:rPr>
                <w:b/>
                <w:sz w:val="17"/>
              </w:rPr>
              <w:t>38,764</w:t>
            </w:r>
          </w:p>
        </w:tc>
        <w:tc>
          <w:tcPr>
            <w:tcW w:type="dxa" w:w="1440"/>
            <w:shd w:fill="FAFAFA" w:val="clear"/>
          </w:tcPr>
          <w:p>
            <w:r>
              <w:rPr>
                <w:sz w:val="17"/>
              </w:rPr>
              <w:t>39,589</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37,530</w:t>
            </w:r>
          </w:p>
        </w:tc>
        <w:tc>
          <w:tcPr>
            <w:tcW w:type="dxa" w:w="1440"/>
            <w:shd w:fill="FAFAFA" w:val="clear"/>
          </w:tcPr>
          <w:p>
            <w:r>
              <w:rPr>
                <w:b/>
                <w:sz w:val="17"/>
              </w:rPr>
              <w:t>38,696</w:t>
            </w:r>
          </w:p>
        </w:tc>
        <w:tc>
          <w:tcPr>
            <w:tcW w:type="dxa" w:w="1440"/>
            <w:shd w:fill="FAFAFA" w:val="clear"/>
          </w:tcPr>
          <w:p>
            <w:r>
              <w:rPr>
                <w:sz w:val="17"/>
              </w:rPr>
              <w:t>39,861</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37,200</w:t>
            </w:r>
          </w:p>
        </w:tc>
        <w:tc>
          <w:tcPr>
            <w:tcW w:type="dxa" w:w="1440"/>
            <w:shd w:fill="FAFAFA" w:val="clear"/>
          </w:tcPr>
          <w:p>
            <w:r>
              <w:rPr>
                <w:b/>
                <w:sz w:val="17"/>
              </w:rPr>
              <w:t>38,625</w:t>
            </w:r>
          </w:p>
        </w:tc>
        <w:tc>
          <w:tcPr>
            <w:tcW w:type="dxa" w:w="1440"/>
            <w:shd w:fill="FAFAFA" w:val="clear"/>
          </w:tcPr>
          <w:p>
            <w:r>
              <w:rPr>
                <w:sz w:val="17"/>
              </w:rPr>
              <w:t>40,049</w:t>
            </w:r>
          </w:p>
        </w:tc>
        <w:tc>
          <w:tcPr>
            <w:tcW w:type="dxa" w:w="1440"/>
            <w:shd w:fill="FAFAFA" w:val="clear"/>
          </w:tcPr>
          <w:p>
            <w:r>
              <w:rPr>
                <w:b/>
                <w:color w:val="C00000"/>
                <w:sz w:val="17"/>
              </w:rPr>
              <w:t>-1.0%</w:t>
            </w:r>
          </w:p>
        </w:tc>
      </w:tr>
      <w:tr>
        <w:tc>
          <w:tcPr>
            <w:tcW w:type="dxa" w:w="1440"/>
            <w:shd w:fill="FAFAFA" w:val="clear"/>
          </w:tcPr>
          <w:p>
            <w:r>
              <w:rPr>
                <w:sz w:val="17"/>
              </w:rPr>
              <w:t>J+4  Moyenne</w:t>
            </w:r>
          </w:p>
        </w:tc>
        <w:tc>
          <w:tcPr>
            <w:tcW w:type="dxa" w:w="1440"/>
            <w:shd w:fill="FAFAFA" w:val="clear"/>
          </w:tcPr>
          <w:p>
            <w:r>
              <w:rPr>
                <w:sz w:val="17"/>
              </w:rPr>
              <w:t>2026-10-22</w:t>
            </w:r>
          </w:p>
        </w:tc>
        <w:tc>
          <w:tcPr>
            <w:tcW w:type="dxa" w:w="1440"/>
            <w:shd w:fill="FAFAFA" w:val="clear"/>
          </w:tcPr>
          <w:p>
            <w:r>
              <w:rPr>
                <w:sz w:val="17"/>
              </w:rPr>
              <w:t>36,915</w:t>
            </w:r>
          </w:p>
        </w:tc>
        <w:tc>
          <w:tcPr>
            <w:tcW w:type="dxa" w:w="1440"/>
            <w:shd w:fill="FAFAFA" w:val="clear"/>
          </w:tcPr>
          <w:p>
            <w:r>
              <w:rPr>
                <w:b/>
                <w:sz w:val="17"/>
              </w:rPr>
              <w:t>38,557</w:t>
            </w:r>
          </w:p>
        </w:tc>
        <w:tc>
          <w:tcPr>
            <w:tcW w:type="dxa" w:w="1440"/>
            <w:shd w:fill="FAFAFA" w:val="clear"/>
          </w:tcPr>
          <w:p>
            <w:r>
              <w:rPr>
                <w:sz w:val="17"/>
              </w:rPr>
              <w:t>40,198</w:t>
            </w:r>
          </w:p>
        </w:tc>
        <w:tc>
          <w:tcPr>
            <w:tcW w:type="dxa" w:w="1440"/>
            <w:shd w:fill="FAFAFA" w:val="clear"/>
          </w:tcPr>
          <w:p>
            <w:r>
              <w:rPr>
                <w:b/>
                <w:color w:val="C00000"/>
                <w:sz w:val="17"/>
              </w:rPr>
              <w:t>-1.1%</w:t>
            </w:r>
          </w:p>
        </w:tc>
      </w:tr>
      <w:tr>
        <w:tc>
          <w:tcPr>
            <w:tcW w:type="dxa" w:w="1440"/>
            <w:shd w:fill="FAFAFA" w:val="clear"/>
          </w:tcPr>
          <w:p>
            <w:r>
              <w:rPr>
                <w:sz w:val="17"/>
              </w:rPr>
              <w:t>J+5  Moyenne</w:t>
            </w:r>
          </w:p>
        </w:tc>
        <w:tc>
          <w:tcPr>
            <w:tcW w:type="dxa" w:w="1440"/>
            <w:shd w:fill="FAFAFA" w:val="clear"/>
          </w:tcPr>
          <w:p>
            <w:r>
              <w:rPr>
                <w:sz w:val="17"/>
              </w:rPr>
              <w:t>2026-10-23</w:t>
            </w:r>
          </w:p>
        </w:tc>
        <w:tc>
          <w:tcPr>
            <w:tcW w:type="dxa" w:w="1440"/>
            <w:shd w:fill="FAFAFA" w:val="clear"/>
          </w:tcPr>
          <w:p>
            <w:r>
              <w:rPr>
                <w:sz w:val="17"/>
              </w:rPr>
              <w:t>36,659</w:t>
            </w:r>
          </w:p>
        </w:tc>
        <w:tc>
          <w:tcPr>
            <w:tcW w:type="dxa" w:w="1440"/>
            <w:shd w:fill="FAFAFA" w:val="clear"/>
          </w:tcPr>
          <w:p>
            <w:r>
              <w:rPr>
                <w:b/>
                <w:sz w:val="17"/>
              </w:rPr>
              <w:t>38,491</w:t>
            </w:r>
          </w:p>
        </w:tc>
        <w:tc>
          <w:tcPr>
            <w:tcW w:type="dxa" w:w="1440"/>
            <w:shd w:fill="FAFAFA" w:val="clear"/>
          </w:tcPr>
          <w:p>
            <w:r>
              <w:rPr>
                <w:sz w:val="17"/>
              </w:rPr>
              <w:t>40,324</w:t>
            </w:r>
          </w:p>
        </w:tc>
        <w:tc>
          <w:tcPr>
            <w:tcW w:type="dxa" w:w="1440"/>
            <w:shd w:fill="FAFAFA" w:val="clear"/>
          </w:tcPr>
          <w:p>
            <w:r>
              <w:rPr>
                <w:b/>
                <w:color w:val="C00000"/>
                <w:sz w:val="17"/>
              </w:rPr>
              <w:t>-1.3%</w:t>
            </w:r>
          </w:p>
        </w:tc>
      </w:tr>
      <w:tr>
        <w:tc>
          <w:tcPr>
            <w:tcW w:type="dxa" w:w="1440"/>
            <w:shd w:fill="FAFAFA" w:val="clear"/>
          </w:tcPr>
          <w:p>
            <w:r>
              <w:rPr>
                <w:sz w:val="17"/>
              </w:rPr>
              <w:t>J+6  Moyenne</w:t>
            </w:r>
          </w:p>
        </w:tc>
        <w:tc>
          <w:tcPr>
            <w:tcW w:type="dxa" w:w="1440"/>
            <w:shd w:fill="FAFAFA" w:val="clear"/>
          </w:tcPr>
          <w:p>
            <w:r>
              <w:rPr>
                <w:sz w:val="17"/>
              </w:rPr>
              <w:t>2026-10-26</w:t>
            </w:r>
          </w:p>
        </w:tc>
        <w:tc>
          <w:tcPr>
            <w:tcW w:type="dxa" w:w="1440"/>
            <w:shd w:fill="FAFAFA" w:val="clear"/>
          </w:tcPr>
          <w:p>
            <w:r>
              <w:rPr>
                <w:sz w:val="17"/>
              </w:rPr>
              <w:t>36,424</w:t>
            </w:r>
          </w:p>
        </w:tc>
        <w:tc>
          <w:tcPr>
            <w:tcW w:type="dxa" w:w="1440"/>
            <w:shd w:fill="FAFAFA" w:val="clear"/>
          </w:tcPr>
          <w:p>
            <w:r>
              <w:rPr>
                <w:b/>
                <w:sz w:val="17"/>
              </w:rPr>
              <w:t>38,428</w:t>
            </w:r>
          </w:p>
        </w:tc>
        <w:tc>
          <w:tcPr>
            <w:tcW w:type="dxa" w:w="1440"/>
            <w:shd w:fill="FAFAFA" w:val="clear"/>
          </w:tcPr>
          <w:p>
            <w:r>
              <w:rPr>
                <w:sz w:val="17"/>
              </w:rPr>
              <w:t>40,432</w:t>
            </w:r>
          </w:p>
        </w:tc>
        <w:tc>
          <w:tcPr>
            <w:tcW w:type="dxa" w:w="1440"/>
            <w:shd w:fill="FAFAFA" w:val="clear"/>
          </w:tcPr>
          <w:p>
            <w:r>
              <w:rPr>
                <w:b/>
                <w:color w:val="C00000"/>
                <w:sz w:val="17"/>
              </w:rPr>
              <w:t>-1.5%</w:t>
            </w:r>
          </w:p>
        </w:tc>
      </w:tr>
      <w:tr>
        <w:tc>
          <w:tcPr>
            <w:tcW w:type="dxa" w:w="1440"/>
            <w:shd w:fill="FAFAFA" w:val="clear"/>
          </w:tcPr>
          <w:p>
            <w:r>
              <w:rPr>
                <w:sz w:val="17"/>
              </w:rPr>
              <w:t>J+7  Moyenne</w:t>
            </w:r>
          </w:p>
        </w:tc>
        <w:tc>
          <w:tcPr>
            <w:tcW w:type="dxa" w:w="1440"/>
            <w:shd w:fill="FAFAFA" w:val="clear"/>
          </w:tcPr>
          <w:p>
            <w:r>
              <w:rPr>
                <w:sz w:val="17"/>
              </w:rPr>
              <w:t>2026-10-27</w:t>
            </w:r>
          </w:p>
        </w:tc>
        <w:tc>
          <w:tcPr>
            <w:tcW w:type="dxa" w:w="1440"/>
            <w:shd w:fill="FAFAFA" w:val="clear"/>
          </w:tcPr>
          <w:p>
            <w:r>
              <w:rPr>
                <w:sz w:val="17"/>
              </w:rPr>
              <w:t>36,205</w:t>
            </w:r>
          </w:p>
        </w:tc>
        <w:tc>
          <w:tcPr>
            <w:tcW w:type="dxa" w:w="1440"/>
            <w:shd w:fill="FAFAFA" w:val="clear"/>
          </w:tcPr>
          <w:p>
            <w:r>
              <w:rPr>
                <w:b/>
                <w:sz w:val="17"/>
              </w:rPr>
              <w:t>38,367</w:t>
            </w:r>
          </w:p>
        </w:tc>
        <w:tc>
          <w:tcPr>
            <w:tcW w:type="dxa" w:w="1440"/>
            <w:shd w:fill="FAFAFA" w:val="clear"/>
          </w:tcPr>
          <w:p>
            <w:r>
              <w:rPr>
                <w:sz w:val="17"/>
              </w:rPr>
              <w:t>40,528</w:t>
            </w:r>
          </w:p>
        </w:tc>
        <w:tc>
          <w:tcPr>
            <w:tcW w:type="dxa" w:w="1440"/>
            <w:shd w:fill="FAFAFA" w:val="clear"/>
          </w:tcPr>
          <w:p>
            <w:r>
              <w:rPr>
                <w:b/>
                <w:color w:val="C00000"/>
                <w:sz w:val="17"/>
              </w:rPr>
              <w:t>-1.6%</w:t>
            </w:r>
          </w:p>
        </w:tc>
      </w:tr>
      <w:tr>
        <w:tc>
          <w:tcPr>
            <w:tcW w:type="dxa" w:w="1440"/>
            <w:shd w:fill="FAFAFA" w:val="clear"/>
          </w:tcPr>
          <w:p>
            <w:r>
              <w:rPr>
                <w:sz w:val="17"/>
              </w:rPr>
              <w:t>J+8  Moyenne</w:t>
            </w:r>
          </w:p>
        </w:tc>
        <w:tc>
          <w:tcPr>
            <w:tcW w:type="dxa" w:w="1440"/>
            <w:shd w:fill="FAFAFA" w:val="clear"/>
          </w:tcPr>
          <w:p>
            <w:r>
              <w:rPr>
                <w:sz w:val="17"/>
              </w:rPr>
              <w:t>2026-10-28</w:t>
            </w:r>
          </w:p>
        </w:tc>
        <w:tc>
          <w:tcPr>
            <w:tcW w:type="dxa" w:w="1440"/>
            <w:shd w:fill="FAFAFA" w:val="clear"/>
          </w:tcPr>
          <w:p>
            <w:r>
              <w:rPr>
                <w:sz w:val="17"/>
              </w:rPr>
              <w:t>35,999</w:t>
            </w:r>
          </w:p>
        </w:tc>
        <w:tc>
          <w:tcPr>
            <w:tcW w:type="dxa" w:w="1440"/>
            <w:shd w:fill="FAFAFA" w:val="clear"/>
          </w:tcPr>
          <w:p>
            <w:r>
              <w:rPr>
                <w:b/>
                <w:sz w:val="17"/>
              </w:rPr>
              <w:t>38,306</w:t>
            </w:r>
          </w:p>
        </w:tc>
        <w:tc>
          <w:tcPr>
            <w:tcW w:type="dxa" w:w="1440"/>
            <w:shd w:fill="FAFAFA" w:val="clear"/>
          </w:tcPr>
          <w:p>
            <w:r>
              <w:rPr>
                <w:sz w:val="17"/>
              </w:rPr>
              <w:t>40,613</w:t>
            </w:r>
          </w:p>
        </w:tc>
        <w:tc>
          <w:tcPr>
            <w:tcW w:type="dxa" w:w="1440"/>
            <w:shd w:fill="FAFAFA" w:val="clear"/>
          </w:tcPr>
          <w:p>
            <w:r>
              <w:rPr>
                <w:b/>
                <w:color w:val="C00000"/>
                <w:sz w:val="17"/>
              </w:rPr>
              <w:t>-1.8%</w:t>
            </w:r>
          </w:p>
        </w:tc>
      </w:tr>
      <w:tr>
        <w:tc>
          <w:tcPr>
            <w:tcW w:type="dxa" w:w="1440"/>
            <w:shd w:fill="FAFAFA" w:val="clear"/>
          </w:tcPr>
          <w:p>
            <w:r>
              <w:rPr>
                <w:sz w:val="17"/>
              </w:rPr>
              <w:t>J+9  Moyenne</w:t>
            </w:r>
          </w:p>
        </w:tc>
        <w:tc>
          <w:tcPr>
            <w:tcW w:type="dxa" w:w="1440"/>
            <w:shd w:fill="FAFAFA" w:val="clear"/>
          </w:tcPr>
          <w:p>
            <w:r>
              <w:rPr>
                <w:sz w:val="17"/>
              </w:rPr>
              <w:t>2026-10-29</w:t>
            </w:r>
          </w:p>
        </w:tc>
        <w:tc>
          <w:tcPr>
            <w:tcW w:type="dxa" w:w="1440"/>
            <w:shd w:fill="FAFAFA" w:val="clear"/>
          </w:tcPr>
          <w:p>
            <w:r>
              <w:rPr>
                <w:sz w:val="17"/>
              </w:rPr>
              <w:t>35,804</w:t>
            </w:r>
          </w:p>
        </w:tc>
        <w:tc>
          <w:tcPr>
            <w:tcW w:type="dxa" w:w="1440"/>
            <w:shd w:fill="FAFAFA" w:val="clear"/>
          </w:tcPr>
          <w:p>
            <w:r>
              <w:rPr>
                <w:b/>
                <w:sz w:val="17"/>
              </w:rPr>
              <w:t>38,247</w:t>
            </w:r>
          </w:p>
        </w:tc>
        <w:tc>
          <w:tcPr>
            <w:tcW w:type="dxa" w:w="1440"/>
            <w:shd w:fill="FAFAFA" w:val="clear"/>
          </w:tcPr>
          <w:p>
            <w:r>
              <w:rPr>
                <w:sz w:val="17"/>
              </w:rPr>
              <w:t>40,690</w:t>
            </w:r>
          </w:p>
        </w:tc>
        <w:tc>
          <w:tcPr>
            <w:tcW w:type="dxa" w:w="1440"/>
            <w:shd w:fill="FAFAFA" w:val="clear"/>
          </w:tcPr>
          <w:p>
            <w:r>
              <w:rPr>
                <w:b/>
                <w:color w:val="C00000"/>
                <w:sz w:val="17"/>
              </w:rPr>
              <w:t>-1.9%</w:t>
            </w:r>
          </w:p>
        </w:tc>
      </w:tr>
      <w:tr>
        <w:tc>
          <w:tcPr>
            <w:tcW w:type="dxa" w:w="1440"/>
            <w:shd w:fill="FFDCE0" w:val="clear"/>
          </w:tcPr>
          <w:p>
            <w:r>
              <w:rPr>
                <w:sz w:val="17"/>
              </w:rPr>
              <w:t>J+10  Moyenne</w:t>
            </w:r>
          </w:p>
        </w:tc>
        <w:tc>
          <w:tcPr>
            <w:tcW w:type="dxa" w:w="1440"/>
            <w:shd w:fill="FFDCE0" w:val="clear"/>
          </w:tcPr>
          <w:p>
            <w:r>
              <w:rPr>
                <w:sz w:val="17"/>
              </w:rPr>
              <w:t>2026-10-30</w:t>
            </w:r>
          </w:p>
        </w:tc>
        <w:tc>
          <w:tcPr>
            <w:tcW w:type="dxa" w:w="1440"/>
            <w:shd w:fill="FFDCE0" w:val="clear"/>
          </w:tcPr>
          <w:p>
            <w:r>
              <w:rPr>
                <w:sz w:val="17"/>
              </w:rPr>
              <w:t>35,617</w:t>
            </w:r>
          </w:p>
        </w:tc>
        <w:tc>
          <w:tcPr>
            <w:tcW w:type="dxa" w:w="1440"/>
            <w:shd w:fill="FFDCE0" w:val="clear"/>
          </w:tcPr>
          <w:p>
            <w:r>
              <w:rPr>
                <w:b/>
                <w:sz w:val="17"/>
              </w:rPr>
              <w:t>38,188</w:t>
            </w:r>
          </w:p>
        </w:tc>
        <w:tc>
          <w:tcPr>
            <w:tcW w:type="dxa" w:w="1440"/>
            <w:shd w:fill="FFDCE0" w:val="clear"/>
          </w:tcPr>
          <w:p>
            <w:r>
              <w:rPr>
                <w:sz w:val="17"/>
              </w:rPr>
              <w:t>40,760</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 RAPPORT D'ANALYSE FINANCIÈRE — SGBC (Société Générale Côte d'Ivoire)</w:t>
        <w:br/>
        <w:t>### BRVM | Secteur Bancaire | Analyse au 18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1 213,49 milliards FCFA, SGBC s'affirme comme l'une des plus grosses capitalisations de la BRVM, un statut de « blue chip » régional qui traduit la confiance du marché envers le leader bancaire ivoirien. Le BPA de 3 258 FCFA par action signifie que chaque titre génère plus de 3 200 FCFA de bénéfice net annuel, un niveau de rentabilité par action remarquable pour le marché ouest-africain. Le PER de 12,0x se situe dans le haut de la fourchette moyenne BRVM (8-12x) : les investisseurs paient donc un prix raisonnable mais non décoté pour les bénéfices, cohérent avec la qualité du dossier. Le P/B de 2,45x indique que le marché valorise l'action à près de 2,5 fois sa valeur comptable, soit une prime de croissance justifiée par un ROE supérieur à 20 % (largement au-dessus du coût des fonds propres). Enfin, l'EV/EBITDA de 24,7x apparaît très exigeant (&gt;15x), reflétant une valorisation tendue sur la capacité opérationnelle — un signal de prudence qui contraste avec le PER modéré et suggère que le marché intègre déjà une bonne part des perspectives bénéficiaires.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le titre SGBC affiche une progression totale de +6,57 %, avec une dernière séance quasi stable (+0,03 %) à 39 005 FCFA. Le range de trading s'établit entre un plus bas de 36 600 FCFA et un plus haut de 39 300 FCFA, soit une amplitude contenue de 7,4 % — le cours évolue actuellement à proximité immédiate de son sommet, signe d'une tendance haussière maîtrisée et régulière. Les statistiques descriptives confirment cette lecture : la moyenne (38 497 FCFA) est légèrement inférieure à la médiane (38 835 FCFA) et au mode (39 000 FCFA), indiquant une distribution asymétrique où le cours a passé davantage de temps dans la partie haute de sa fourchette, cohérent avec le skewness négatif de -0,940 (plus de journées au-dessus de la moyenne). L'écart-type de 642 FCFA, soit un coefficient de variation de seulement 1,7 %, traduit une dispersion très faible du cours — un comportement de valeur défensive. Le kurtosis de 0,073 (mésokurtique, proche d'une distribution normale) suggère l'absence de pics extrêmes et un risque de queue modéré. La volatilité annualisée de 20,9 % positionne le titre dans la catégorie modérée (15-30 %), caractéristique d'une action bancaire de qualité, sans excès spéculatif.</w:t>
      </w:r>
    </w:p>
    <w:p>
      <w:pPr>
        <w:spacing w:after="120" w:line="276" w:lineRule="auto"/>
      </w:pPr>
      <w:r>
        <w:t>---</w:t>
      </w:r>
    </w:p>
    <w:p>
      <w:pPr>
        <w:spacing w:after="120" w:line="276" w:lineRule="auto"/>
      </w:pPr>
      <w:r>
        <w:t>## PARTIE 2 : ANALYSE TECHNIQUE DÉTAILLÉE</w:t>
      </w:r>
    </w:p>
    <w:p>
      <w:pPr>
        <w:spacing w:after="120" w:line="276" w:lineRule="auto"/>
      </w:pPr>
      <w:r>
        <w:t>**Moyennes Mobiles** : La MM20 (38 837,5 FCFA) et la MM50 (38 684,0 FCFA) se situent toutes deux sous le cours actuel (39 005 FCFA), avec la MM20 au-dessus de la MM50 — configuration haussière classique (croisement doré). Le cours évolue au-dessus de ses deux moyennes, confirmant la dynamique positive ; la décision technique est **Achat**.</w:t>
      </w:r>
    </w:p>
    <w:p>
      <w:pPr>
        <w:spacing w:after="120" w:line="276" w:lineRule="auto"/>
      </w:pPr>
      <w:r>
        <w:t>**Bandes de Bollinger** : Le cours (39 005 FCFA) se situe dans la moitié supérieure de la bande, entre la borne inférieure (38 146,9 FCFA) et la borne supérieure (39 528,1 FCFA), sans franchissement. L'étroitesse relative de la bande traduit une volatilité contenue ; le titre n'est ni en surachat extrême ni en survente, d'où une décision **Neutre**.</w:t>
      </w:r>
    </w:p>
    <w:p>
      <w:pPr>
        <w:spacing w:after="120" w:line="276" w:lineRule="auto"/>
      </w:pPr>
      <w:r>
        <w:t>**MACD** : La ligne MACD (132,668) surplombe légèrement son signal (129,237), avec un histogramme positif mais étroit. Cette divergence positive confirme un momentum haussier naissant mais modéré, sans excès ; la décision est **Achat**.</w:t>
      </w:r>
    </w:p>
    <w:p>
      <w:pPr>
        <w:spacing w:after="120" w:line="276" w:lineRule="auto"/>
      </w:pPr>
      <w:r>
        <w:t>**RSI** : À 52,713, le RSI se situe en zone strictement neutre (30-70), à mi-chemin entre survente et surachat. Le titre ne présente ni tension acheteuse ni pression vendeuse excessive, justifiant une décision **Neutre**.</w:t>
      </w:r>
    </w:p>
    <w:p>
      <w:pPr>
        <w:spacing w:after="120" w:line="276" w:lineRule="auto"/>
      </w:pPr>
      <w:r>
        <w:t>**Stochastique** : Le %K (75,625) et le %D (75,0) évoluent en zone haute mais sous le seuil de surachat (80), avec un croisement quasi confondu. Le momentum reste favorable mais proche d'un essoufflement ; la décision est **Neutre**.</w:t>
      </w:r>
    </w:p>
    <w:p>
      <w:pPr>
        <w:spacing w:after="120" w:line="276" w:lineRule="auto"/>
      </w:pPr>
      <w:r>
        <w:t>**Conclusion technique** : Les indicateurs convergent vers un scénario modérément haussier — moyennes mobiles en configuration positive et MACD acheteur, tandis que RSI, Bollinger et Stochastique restent neutres sans signal de retournement. Le titre se trouve dans une phase de consolidation haussière saine, sans excès de valorisation technique, ce qui laisse de la marge pour une poursuite graduelle du mouvement à condition que les volumes se maintiennent.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SGBC affiche un Produit Net Bancaire (équivalent du chiffre d'affaires bancaire) de 276,048 milliards FCFA, en croissance de +4,9 % selon le rapport annuel publié le 17 avril 2026, pour un résultat net de 101,352 milliards FCFA (+0,1 %, quasi-stagnation). La rentabilité reste exceptionnelle avec un ROE de 20,47 % (largement supérieur au seuil de 15 % considéré comme excellent) et un ROA de 2,69 %. Le coefficient d'exploitation de 38,75 % place la banque parmi les plus efficaces du secteur UEMOA (&lt; 50 % = excellence), tandis que la marge nette de 36,72 % témoigne d'une remarquable capacité à transformer le PNB en bénéfice. Le bilan de 3 769,17 milliards FCFA repose sur 2 907,68 milliards de dépôts clientèle face à 2 546,29 milliards de créances, soit un ratio de transformation de 87,6 % — un équilibre sain. La solvabilité générale (115,1 %) et la couverture des intérêts (255,9 %) confirment la robustesse financière, même si l'autonomie financière de 13,1 % reste structurellement faible pour une banque (normal pour le secteur). Le coût du risque constitue le principal point de vigilance : les provisions de 17,995 milliards FCFA et le coût net du risque en hausse de +29,2 % (46,8 milliards FCFA) traduisent une politique de provisionnement stricte, avec un taux de NPL à 8,0 % couvert à 82 %.</w:t>
      </w:r>
    </w:p>
    <w:p>
      <w:pPr>
        <w:spacing w:after="120" w:line="276" w:lineRule="auto"/>
      </w:pPr>
      <w:r>
        <w:t>**Estimations issues des rapports trimestriels** : Le rapport T1 2026 (publié le 30 avril 2026) révèle un PNB de 65,644 milliards FCFA (-1 %) et un résultat net de 23,976 milliards FCFA (-11 %), pénalisé par la migration vers une nouvelle plateforme digitale et la hausse des frais généraux (+9 %). Le rapport S1 2026 (publié le 27 août 2026) montre une inflexion positive : PNB de 134,059 milliards FCFA (+1,6 %) et résultat net de 53,350 milliards FCFA (+0,5 %), avec un coefficient d'exploitation amélioré à 36,7 % et un ratio de solvabilité de 17,6 % (bien au-dessus du seuil réglementaire de 12,5 %). Sur cette base, on estime que l'exercice 2026 devrait clôturer sur une croissance modérée du PNB (2-3 %) et un résultat net quasi stable, la normalisation des coûts d'investissement au S2 devant compenser le ralentissement du T1. La dynamique commerciale reste solide (dépôts +7,9 %, crédits +3,7 % au S1 2026) et le leadership est confirmé (18 % de parts de marché crédits). **Conclusion fondamentale** : dossier de très haute qualité (ROE &gt;20 %, efficacité opérationnelle, solvabilité robuste, dividende généreux à 80 % de distribution soit 2 606 FCFA/action), mais sans catalyseur de surperformance immédiat — la stagnation du résultat net et la hausse du coût du risque limitent le potentiel à court terme.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d'analyse converge vers un profil de valeur défensive de qualité, sans signal de surchauffe ni de décote marquée. **Valorisation (Partie 0)** : le PER de 12,0x est raisonnable mais non décoté, le P/B de 2,45x intègre une prime de croissance justifiée par le ROE, tandis que l'EV/EBITDA de 24,7x signale une valorisation tendue sur la capacité opérationnelle — l'ensemble évoque une juste valorisation plutôt qu'une sous-évaluation. **Comportement du cours (Partie 1)** : la tendance haussière (+6,57 %) avec une volatilité modérée (20,9 %), un skewness négatif et un kurtosis normal dessine un profil rassurant de valeur stable, proche de ses sommets. **Signaux techniques (Partie 2)** : la convergence des moyennes mobiles et du MACD en mode acheteur, tempérée par la neutralité du RSI, des Bollinger et du Stochastique, plaide pour une poursuite graduelle du mouvement sans emballement. **Fondamentaux (Partie 3)** : la solidité est remarquable (ROE 20,5 %, coefficient d'exploitation 38,8 %, solvabilité 17,6 %, dividende 80 %), mais la stagnation du résultat net (+0,1 % en 2025, +0,5 % au S1 2026) et la hausse du coût du risque constituent des freins à une revalorisation rapide. **Prédictions IA (J+1 à J+10)** : la trajectoire prédite (38 764 → 38 491 FCFA) anticipe une légère consolidation baissière de -1,3 % sur dix séances, ce qui contredit marginalement le momentum technique acheteur et suggère une phase de respiration après le récent rallye — cohérent avec un titre proche de sa résistance des 39 300 FCFA.</w:t>
      </w:r>
    </w:p>
    <w:p>
      <w:pPr>
        <w:spacing w:after="120" w:line="276" w:lineRule="auto"/>
      </w:pPr>
      <w:r>
        <w:t>**Recommandation finale : CONSERVER.** La convergence est globalement équilibrée : fondamentaux excellents mais sans accélération, valorisation correcte sans décote, technique modérément haussière mais prédiction IA légèrement baissière à court terme. Le titre convient aux investisseurs recherchant rendement (dividende attractif) et stabilité, dans l'attente d'une inflexion du coût du risque et d'une reprise du PNB au-delà de 3 % qui justifierait un passage à l'ACHAT. **Niveau de confiance : Moyen** (signaux techniques et prédictions divergents à court terme). **Niveau de risque global : Faible** (volatilité modérée, fondamentaux solides, valeur défensive). **Horizon d'investissement optimal : moyen à long terme (6-18 mois)**, le temps que les investissements 2025-2026 (digitalisation, rénovation du siège) portent leurs fruits et que la qualité du portefeuille s'améliore.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20260511   avis ndeg133 brvmdg   transactions sur dossier</w:t>
      </w:r>
    </w:p>
    <w:p>
      <w:pPr>
        <w:spacing w:before="20"/>
        <w:ind w:left="400"/>
      </w:pPr>
      <w:r>
        <w:rPr>
          <w:color w:val="505050"/>
          <w:sz w:val="17"/>
        </w:rPr>
        <w:t xml:space="preserve">Date : 12/05/2026  |  Catégorie : avis de marché  |  Impact : </w:t>
      </w:r>
      <w:r>
        <w:rPr>
          <w:b/>
          <w:color w:val="646464"/>
          <w:sz w:val="17"/>
        </w:rPr>
        <w:t>⚪ NEUTRE</w:t>
      </w:r>
    </w:p>
    <w:p>
      <w:pPr>
        <w:spacing w:before="40"/>
        <w:ind w:left="400"/>
      </w:pPr>
      <w:r>
        <w:rPr>
          <w:sz w:val="18"/>
        </w:rPr>
        <w:t>Avis de la BRVM informant de la réalisation de 7 transactions sur dossier le 11 mai 2026. Les transactions portent sur plusieurs titres dont SOCIETE GENERALE CI, SONATEL SN, SAFCA CI, ETI TG, UNIWAX CI et des obligations TPCI et FCTC EPT. La valeur totale des transactions s'élève à 667 125,85 FCFA.</w:t>
      </w:r>
    </w:p>
    <w:p>
      <w:pPr>
        <w:spacing w:before="60"/>
        <w:ind w:left="400"/>
      </w:pPr>
      <w:r>
        <w:rPr>
          <w:b/>
          <w:sz w:val="18"/>
        </w:rPr>
        <w:t>Points clés :</w:t>
      </w:r>
    </w:p>
    <w:p>
      <w:pPr>
        <w:pStyle w:val="ListBullet"/>
        <w:spacing w:before="20" w:after="20"/>
        <w:ind w:left="700"/>
      </w:pPr>
      <w:r>
        <w:rPr>
          <w:sz w:val="18"/>
        </w:rPr>
        <w:t>7 transactions sur dossier réalisées le 11 mai 2026</w:t>
      </w:r>
    </w:p>
    <w:p>
      <w:pPr>
        <w:pStyle w:val="ListBullet"/>
        <w:spacing w:before="20" w:after="20"/>
        <w:ind w:left="700"/>
      </w:pPr>
      <w:r>
        <w:rPr>
          <w:sz w:val="18"/>
        </w:rPr>
        <w:t>750 actions SOCIETE GENERALE CI et 500 actions SONATEL SN échangées</w:t>
      </w:r>
    </w:p>
    <w:p>
      <w:pPr>
        <w:pStyle w:val="ListBullet"/>
        <w:spacing w:before="20" w:after="20"/>
        <w:ind w:left="700"/>
      </w:pPr>
      <w:r>
        <w:rPr>
          <w:sz w:val="18"/>
        </w:rPr>
        <w:t>5 000 actions SAFCA CI, 125 000 actions ETI TG et 2 000 actions UNIWAX CI négociées</w:t>
      </w:r>
    </w:p>
    <w:p>
      <w:pPr>
        <w:pStyle w:val="ListBullet"/>
        <w:spacing w:before="20" w:after="20"/>
        <w:ind w:left="700"/>
      </w:pPr>
      <w:r>
        <w:rPr>
          <w:sz w:val="18"/>
        </w:rPr>
        <w:t>96 obligations TPCI 6,00% 2018-2026 et 100 obligations FCTC EPT 7,00% 2023-2030 échangées</w:t>
      </w:r>
    </w:p>
    <w:p>
      <w:pPr>
        <w:pStyle w:val="ListBullet"/>
        <w:spacing w:before="20" w:after="20"/>
        <w:ind w:left="700"/>
      </w:pPr>
      <w:r>
        <w:rPr>
          <w:sz w:val="18"/>
        </w:rPr>
        <w:t>Valeur totale des transactions de 667 125,85 FCFA</w:t>
      </w:r>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"SGB CI affiche une croissance solide de son r\u00e9sultat net (+39,3%) et une rentabilit\u00e9 \u00e9lev\u00e9e avec un ROE estim\u00e9 \u00e0 plus de 22%. La politique de dividende g\u00e9n\u00e9reuse (51,3% de distribution) et la solidit\u00e9 du bilan confortent le potentiel de valorisation du titre."}</w:t>
      </w:r>
    </w:p>
    <w:p>
      <w:pPr>
        <w:spacing w:before="40"/>
        <w:ind w:left="400"/>
      </w:pPr>
      <w:r>
        <w:rPr>
          <w:sz w:val="18"/>
        </w:rPr>
        <w:t>Société Générale Côte d'Ivoire (SGB CI) clôture l'exercice 2021 sur des états financiers certifiés marqués par une nette progression de son activité. Le Produit Net Bancaire s'élève à 189 096 millions FCFA, en hausse de 15,3% par rapport aux 164 062 millions FCFA de 2020. Le résultat net atteint 67 438 millions FCFA contre 48 435 millions FCFA un an plus tôt, soit une croissance de 39,3%. La banque affiche un total de bilan de 3 021 481 millions FCFA et des capitaux propres de 304 993 millions FCFA, confirmant sa solidité financière. La politique de distribution reste généreuse avec un dividende brut de 1 112 FCFA par action, soit un taux de distribution de 51,3% du résultat net.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{'roe_estime': '22,1%', 'cout_du_risque': '17 942 millions FCFA', 'croissance_pnb': '+15,3%', 'frais_generaux': '90 651 millions FCFA', 'nombre_d_actions': '31 111 110', 'resultat_avant_impot': '79 574 millions FCFA', 'taux_de_distribution': '51,3%', 'dettes_a_la_clientele': '2 528 809 millions FCFA', 'resultat_exploitation': '80 504 millions FCFA', 'croissance_resultat_net': '+39,3%', 'creances_sur_la_clientele': '398 854 millions FCFA', 'resultat_brut_exploitation': '98 446 millions FCFA'}</w:t>
            </w:r>
          </w:p>
        </w:tc>
        <w:tc>
          <w:tcPr>
            <w:tcW w:type="dxa" w:w="2160"/>
          </w:tcPr>
          <w:p>
            <w:pPr>
              <w:ind w:left="100"/>
            </w:pPr>
            <w:r/>
            <w:r>
              <w:rPr>
                <w:b/>
                <w:sz w:val="16"/>
              </w:rPr>
              <w:t>dividende</w:t>
              <w:br/>
            </w:r>
            <w:r>
              <w:rPr>
                <w:sz w:val="18"/>
              </w:rPr>
              <w:t>1 112 FCFA par action</w:t>
            </w:r>
          </w:p>
        </w:tc>
        <w:tc>
          <w:tcPr>
            <w:tcW w:type="dxa" w:w="2160"/>
          </w:tcPr>
          <w:p>
            <w:pPr>
              <w:ind w:left="100"/>
            </w:pPr>
            <w:r/>
            <w:r>
              <w:rPr>
                <w:b/>
                <w:sz w:val="16"/>
              </w:rPr>
              <w:t>marge_nette</w:t>
              <w:br/>
            </w:r>
            <w:r>
              <w:rPr>
                <w:sz w:val="18"/>
              </w:rPr>
              <w:t>35,7%</w:t>
            </w:r>
          </w:p>
        </w:tc>
        <w:tc>
          <w:tcPr>
            <w:tcW w:type="dxa" w:w="2160"/>
          </w:tcPr>
          <w:p>
            <w:pPr>
              <w:ind w:left="100"/>
            </w:pPr>
            <w:r/>
            <w:r>
              <w:rPr>
                <w:b/>
                <w:sz w:val="16"/>
              </w:rPr>
              <w:t>total_actif</w:t>
              <w:br/>
            </w:r>
            <w:r>
              <w:rPr>
                <w:sz w:val="18"/>
              </w:rPr>
              <w:t>3 021 481 millions FCFA</w:t>
            </w:r>
          </w:p>
        </w:tc>
      </w:tr>
      <w:tr>
        <w:tc>
          <w:tcPr>
            <w:tcW w:type="dxa" w:w="2160"/>
          </w:tcPr>
          <w:p>
            <w:r/>
            <w:r>
              <w:rPr>
                <w:b/>
                <w:sz w:val="16"/>
              </w:rPr>
              <w:t>resultat_net</w:t>
              <w:br/>
            </w:r>
            <w:r>
              <w:rPr>
                <w:sz w:val="18"/>
              </w:rPr>
              <w:t>67 438 millions FCFA</w:t>
            </w:r>
          </w:p>
        </w:tc>
        <w:tc>
          <w:tcPr>
            <w:tcW w:type="dxa" w:w="2160"/>
          </w:tcPr>
          <w:p>
            <w:r/>
            <w:r>
              <w:rPr>
                <w:b/>
                <w:sz w:val="16"/>
              </w:rPr>
              <w:t>capitaux_propres</w:t>
              <w:br/>
            </w:r>
            <w:r>
              <w:rPr>
                <w:sz w:val="18"/>
              </w:rPr>
              <w:t>304 993 millions FCFA</w:t>
            </w:r>
          </w:p>
        </w:tc>
        <w:tc>
          <w:tcPr>
            <w:tcW w:type="dxa" w:w="2160"/>
          </w:tcPr>
          <w:p>
            <w:r/>
            <w:r>
              <w:rPr>
                <w:b/>
                <w:sz w:val="16"/>
              </w:rPr>
              <w:t>chiffre_affaires</w:t>
              <w:br/>
            </w:r>
            <w:r>
              <w:rPr>
                <w:sz w:val="18"/>
              </w:rPr>
              <w:t>189 096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189 096 millions FCFA en 2021, en progression de 15,3% sur un an (164 062 millions FCFA en 2020).</w:t>
      </w:r>
    </w:p>
    <w:p>
      <w:pPr>
        <w:pStyle w:val="ListBullet"/>
        <w:spacing w:before="20" w:after="20"/>
        <w:ind w:left="700"/>
      </w:pPr>
      <w:r>
        <w:rPr>
          <w:sz w:val="18"/>
        </w:rPr>
        <w:t>Résultat net de 67 438 millions FCFA, en forte hausse de 39,3% par rapport à 48 435 millions FCFA en 2020.</w:t>
      </w:r>
    </w:p>
    <w:p>
      <w:pPr>
        <w:pStyle w:val="ListBullet"/>
        <w:spacing w:before="20" w:after="20"/>
        <w:ind w:left="700"/>
      </w:pPr>
      <w:r>
        <w:rPr>
          <w:sz w:val="18"/>
        </w:rPr>
        <w:t>Marge nette élevée à environ 35,7% du PNB, illustrant une bonne maîtrise des charges.</w:t>
      </w:r>
    </w:p>
    <w:p>
      <w:pPr>
        <w:pStyle w:val="ListBullet"/>
        <w:spacing w:before="20" w:after="20"/>
        <w:ind w:left="700"/>
      </w:pPr>
      <w:r>
        <w:rPr>
          <w:sz w:val="18"/>
        </w:rPr>
        <w:t>Coût du risque en baisse à 17 942 millions FCFA contre 23 926 millions FCFA en 2020, traduisant une amélioration de la qualité du portefeuille.</w:t>
      </w:r>
    </w:p>
    <w:p>
      <w:pPr>
        <w:pStyle w:val="ListBullet"/>
        <w:spacing w:before="20" w:after="20"/>
        <w:ind w:left="700"/>
      </w:pPr>
      <w:r>
        <w:rPr>
          <w:sz w:val="18"/>
        </w:rPr>
        <w:t>Frais généraux contenus à 90 651 millions FCFA, permettant un Résultat Brut d'Exploitation de 98 446 millions FCFA (contre 83 330 millions FCFA en 2020).</w:t>
      </w:r>
    </w:p>
    <w:p>
      <w:pPr>
        <w:pStyle w:val="ListBullet"/>
        <w:spacing w:before="20" w:after="20"/>
        <w:ind w:left="700"/>
      </w:pPr>
      <w:r>
        <w:rPr>
          <w:sz w:val="18"/>
        </w:rPr>
        <w:t>Total du bilan de 3 021 481 millions FCFA et capitaux propres renforcés à 304 993 millions FCFA.</w:t>
      </w:r>
    </w:p>
    <w:p>
      <w:pPr>
        <w:spacing w:before="40"/>
        <w:ind w:left="400"/>
      </w:pPr>
      <w:r>
        <w:rPr>
          <w:b/>
          <w:color w:val="C05000"/>
          <w:sz w:val="18"/>
        </w:rPr>
        <w:t xml:space="preserve">⚠️ Risques : </w:t>
      </w:r>
      <w:r>
        <w:rPr>
          <w:sz w:val="18"/>
        </w:rPr>
        <w:t>["D\u00e9gradation de la qualit\u00e9 du cr\u00e9dit dans un contexte macro\u00e9conomique r\u00e9gional incertain pouvant faire remonter le co\u00fbt du risque.", "Forte d\u00e9pendance au march\u00e9 ivoirien et \u00e0 la concentration du portefeuille client\u00e8le, exposant la banque \u00e0 un r</w:t>
      </w:r>
    </w:p>
    <w:p>
      <w:pPr>
        <w:spacing w:before="40"/>
        <w:ind w:left="400"/>
      </w:pPr>
      <w:r>
        <w:rPr>
          <w:b/>
          <w:color w:val="0064A0"/>
          <w:sz w:val="18"/>
        </w:rPr>
        <w:t xml:space="preserve">🔮 Perspectives : </w:t>
      </w:r>
      <w:r>
        <w:rPr>
          <w:sz w:val="18"/>
        </w:rPr>
        <w:t>Pour l'exercice 2022, SGB CI devrait poursuivre sa dynamique de croissance portée par le développement du crédit à la clientèle et la digitalisation de ses services. La bonne maîtrise des charges et la baisse du coût du risque devraient soutenir la rentabilité. Le maintien d'une politique de distrib</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
      <w:r>
        <w:t>════════════════════════════════════════════════════════════════════════════════</w:t>
      </w:r>
    </w:p>
    <w:p>
      <w:r>
        <w:br w:type="page"/>
      </w:r>
    </w:p>
    <w:p>
      <w:pPr>
        <w:pStyle w:val="Heading2"/>
        <w:spacing w:before="360"/>
      </w:pPr>
      <w:r>
        <w:rPr>
          <w:color w:val="0066CC"/>
        </w:rPr>
        <w:t>34.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137.97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4,962 titres</w:t>
            </w:r>
          </w:p>
        </w:tc>
        <w:tc>
          <w:tcPr>
            <w:tcW w:type="dxa" w:w="2268"/>
            <w:shd w:fill="FFF2CC" w:val="clear"/>
          </w:tcPr>
          <w:p>
            <w:r>
              <w:rPr>
                <w:b/>
                <w:color w:val="503200"/>
                <w:sz w:val="16"/>
              </w:rPr>
              <w:t xml:space="preserve">Cours actuel : </w:t>
            </w:r>
            <w:r>
              <w:rPr>
                <w:color w:val="000000"/>
                <w:sz w:val="17"/>
              </w:rPr>
              <w:t>2,190 FCFA</w:t>
            </w:r>
          </w:p>
          <w:p>
            <w:r>
              <w:rPr>
                <w:b/>
                <w:color w:val="503200"/>
                <w:sz w:val="16"/>
              </w:rPr>
              <w:t xml:space="preserve">Var. 100 jours : </w:t>
            </w:r>
            <w:r>
              <w:rPr>
                <w:b/>
                <w:color w:val="007800"/>
                <w:sz w:val="17"/>
              </w:rPr>
              <w:t>+14.66%</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41.8%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9.27% (Moyenne) — μ=2,279 FCFA, σ=211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β=1.0121 (Neutre (suit le marché)) — Cov=0.000078, Var(idx)=0.000077, ρ=0.333,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4,962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σ_j=2.63%/j (Stable) — Vol. annualisée≈41.8%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2,065</w:t>
            </w:r>
          </w:p>
        </w:tc>
        <w:tc>
          <w:tcPr>
            <w:tcW w:type="dxa" w:w="1440"/>
            <w:shd w:fill="FAFAFA" w:val="clear"/>
          </w:tcPr>
          <w:p>
            <w:r>
              <w:rPr>
                <w:b/>
                <w:sz w:val="17"/>
              </w:rPr>
              <w:t>2,199</w:t>
            </w:r>
          </w:p>
        </w:tc>
        <w:tc>
          <w:tcPr>
            <w:tcW w:type="dxa" w:w="1440"/>
            <w:shd w:fill="FAFAFA" w:val="clear"/>
          </w:tcPr>
          <w:p>
            <w:r>
              <w:rPr>
                <w:sz w:val="17"/>
              </w:rPr>
              <w:t>2,333</w:t>
            </w:r>
          </w:p>
        </w:tc>
        <w:tc>
          <w:tcPr>
            <w:tcW w:type="dxa" w:w="1440"/>
            <w:shd w:fill="FAFAFA" w:val="clear"/>
          </w:tcPr>
          <w:p>
            <w:r>
              <w:rPr>
                <w:b/>
                <w:color w:val="008000"/>
                <w:sz w:val="17"/>
              </w:rPr>
              <w:t>+0.4%</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2,016</w:t>
            </w:r>
          </w:p>
        </w:tc>
        <w:tc>
          <w:tcPr>
            <w:tcW w:type="dxa" w:w="1440"/>
            <w:shd w:fill="FAFAFA" w:val="clear"/>
          </w:tcPr>
          <w:p>
            <w:r>
              <w:rPr>
                <w:b/>
                <w:sz w:val="17"/>
              </w:rPr>
              <w:t>2,205</w:t>
            </w:r>
          </w:p>
        </w:tc>
        <w:tc>
          <w:tcPr>
            <w:tcW w:type="dxa" w:w="1440"/>
            <w:shd w:fill="FAFAFA" w:val="clear"/>
          </w:tcPr>
          <w:p>
            <w:r>
              <w:rPr>
                <w:sz w:val="17"/>
              </w:rPr>
              <w:t>2,395</w:t>
            </w:r>
          </w:p>
        </w:tc>
        <w:tc>
          <w:tcPr>
            <w:tcW w:type="dxa" w:w="1440"/>
            <w:shd w:fill="FAFAFA" w:val="clear"/>
          </w:tcPr>
          <w:p>
            <w:r>
              <w:rPr>
                <w:b/>
                <w:color w:val="008000"/>
                <w:sz w:val="17"/>
              </w:rPr>
              <w:t>+0.7%</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1,978</w:t>
            </w:r>
          </w:p>
        </w:tc>
        <w:tc>
          <w:tcPr>
            <w:tcW w:type="dxa" w:w="1440"/>
            <w:shd w:fill="FAFAFA" w:val="clear"/>
          </w:tcPr>
          <w:p>
            <w:r>
              <w:rPr>
                <w:b/>
                <w:sz w:val="17"/>
              </w:rPr>
              <w:t>2,211</w:t>
            </w:r>
          </w:p>
        </w:tc>
        <w:tc>
          <w:tcPr>
            <w:tcW w:type="dxa" w:w="1440"/>
            <w:shd w:fill="FAFAFA" w:val="clear"/>
          </w:tcPr>
          <w:p>
            <w:r>
              <w:rPr>
                <w:sz w:val="17"/>
              </w:rPr>
              <w:t>2,444</w:t>
            </w:r>
          </w:p>
        </w:tc>
        <w:tc>
          <w:tcPr>
            <w:tcW w:type="dxa" w:w="1440"/>
            <w:shd w:fill="FAFAFA" w:val="clear"/>
          </w:tcPr>
          <w:p>
            <w:r>
              <w:rPr>
                <w:b/>
                <w:color w:val="008000"/>
                <w:sz w:val="17"/>
              </w:rPr>
              <w:t>+1.0%</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1,946</w:t>
            </w:r>
          </w:p>
        </w:tc>
        <w:tc>
          <w:tcPr>
            <w:tcW w:type="dxa" w:w="1440"/>
            <w:shd w:fill="FAFAFA" w:val="clear"/>
          </w:tcPr>
          <w:p>
            <w:r>
              <w:rPr>
                <w:b/>
                <w:sz w:val="17"/>
              </w:rPr>
              <w:t>2,216</w:t>
            </w:r>
          </w:p>
        </w:tc>
        <w:tc>
          <w:tcPr>
            <w:tcW w:type="dxa" w:w="1440"/>
            <w:shd w:fill="FAFAFA" w:val="clear"/>
          </w:tcPr>
          <w:p>
            <w:r>
              <w:rPr>
                <w:sz w:val="17"/>
              </w:rPr>
              <w:t>2,486</w:t>
            </w:r>
          </w:p>
        </w:tc>
        <w:tc>
          <w:tcPr>
            <w:tcW w:type="dxa" w:w="1440"/>
            <w:shd w:fill="FAFAFA" w:val="clear"/>
          </w:tcPr>
          <w:p>
            <w:r>
              <w:rPr>
                <w:b/>
                <w:color w:val="008000"/>
                <w:sz w:val="17"/>
              </w:rPr>
              <w:t>+1.2%</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1,918</w:t>
            </w:r>
          </w:p>
        </w:tc>
        <w:tc>
          <w:tcPr>
            <w:tcW w:type="dxa" w:w="1440"/>
            <w:shd w:fill="FAFAFA" w:val="clear"/>
          </w:tcPr>
          <w:p>
            <w:r>
              <w:rPr>
                <w:b/>
                <w:sz w:val="17"/>
              </w:rPr>
              <w:t>2,220</w:t>
            </w:r>
          </w:p>
        </w:tc>
        <w:tc>
          <w:tcPr>
            <w:tcW w:type="dxa" w:w="1440"/>
            <w:shd w:fill="FAFAFA" w:val="clear"/>
          </w:tcPr>
          <w:p>
            <w:r>
              <w:rPr>
                <w:sz w:val="17"/>
              </w:rPr>
              <w:t>2,522</w:t>
            </w:r>
          </w:p>
        </w:tc>
        <w:tc>
          <w:tcPr>
            <w:tcW w:type="dxa" w:w="1440"/>
            <w:shd w:fill="FAFAFA" w:val="clear"/>
          </w:tcPr>
          <w:p>
            <w:r>
              <w:rPr>
                <w:b/>
                <w:color w:val="008000"/>
                <w:sz w:val="17"/>
              </w:rPr>
              <w:t>+1.4%</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1,892</w:t>
            </w:r>
          </w:p>
        </w:tc>
        <w:tc>
          <w:tcPr>
            <w:tcW w:type="dxa" w:w="1440"/>
            <w:shd w:fill="FAFAFA" w:val="clear"/>
          </w:tcPr>
          <w:p>
            <w:r>
              <w:rPr>
                <w:b/>
                <w:sz w:val="17"/>
              </w:rPr>
              <w:t>2,223</w:t>
            </w:r>
          </w:p>
        </w:tc>
        <w:tc>
          <w:tcPr>
            <w:tcW w:type="dxa" w:w="1440"/>
            <w:shd w:fill="FAFAFA" w:val="clear"/>
          </w:tcPr>
          <w:p>
            <w:r>
              <w:rPr>
                <w:sz w:val="17"/>
              </w:rPr>
              <w:t>2,555</w:t>
            </w:r>
          </w:p>
        </w:tc>
        <w:tc>
          <w:tcPr>
            <w:tcW w:type="dxa" w:w="1440"/>
            <w:shd w:fill="FAFAFA" w:val="clear"/>
          </w:tcPr>
          <w:p>
            <w:r>
              <w:rPr>
                <w:b/>
                <w:color w:val="008000"/>
                <w:sz w:val="17"/>
              </w:rPr>
              <w:t>+1.5%</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1,868</w:t>
            </w:r>
          </w:p>
        </w:tc>
        <w:tc>
          <w:tcPr>
            <w:tcW w:type="dxa" w:w="1440"/>
            <w:shd w:fill="FAFAFA" w:val="clear"/>
          </w:tcPr>
          <w:p>
            <w:r>
              <w:rPr>
                <w:b/>
                <w:sz w:val="17"/>
              </w:rPr>
              <w:t>2,226</w:t>
            </w:r>
          </w:p>
        </w:tc>
        <w:tc>
          <w:tcPr>
            <w:tcW w:type="dxa" w:w="1440"/>
            <w:shd w:fill="FAFAFA" w:val="clear"/>
          </w:tcPr>
          <w:p>
            <w:r>
              <w:rPr>
                <w:sz w:val="17"/>
              </w:rPr>
              <w:t>2,585</w:t>
            </w:r>
          </w:p>
        </w:tc>
        <w:tc>
          <w:tcPr>
            <w:tcW w:type="dxa" w:w="1440"/>
            <w:shd w:fill="FAFAFA" w:val="clear"/>
          </w:tcPr>
          <w:p>
            <w:r>
              <w:rPr>
                <w:b/>
                <w:color w:val="008000"/>
                <w:sz w:val="17"/>
              </w:rPr>
              <w:t>+1.7%</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1,845</w:t>
            </w:r>
          </w:p>
        </w:tc>
        <w:tc>
          <w:tcPr>
            <w:tcW w:type="dxa" w:w="1440"/>
            <w:shd w:fill="FAFAFA" w:val="clear"/>
          </w:tcPr>
          <w:p>
            <w:r>
              <w:rPr>
                <w:b/>
                <w:sz w:val="17"/>
              </w:rPr>
              <w:t>2,229</w:t>
            </w:r>
          </w:p>
        </w:tc>
        <w:tc>
          <w:tcPr>
            <w:tcW w:type="dxa" w:w="1440"/>
            <w:shd w:fill="FAFAFA" w:val="clear"/>
          </w:tcPr>
          <w:p>
            <w:r>
              <w:rPr>
                <w:sz w:val="17"/>
              </w:rPr>
              <w:t>2,613</w:t>
            </w:r>
          </w:p>
        </w:tc>
        <w:tc>
          <w:tcPr>
            <w:tcW w:type="dxa" w:w="1440"/>
            <w:shd w:fill="FAFAFA" w:val="clear"/>
          </w:tcPr>
          <w:p>
            <w:r>
              <w:rPr>
                <w:b/>
                <w:color w:val="008000"/>
                <w:sz w:val="17"/>
              </w:rPr>
              <w:t>+1.8%</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1,824</w:t>
            </w:r>
          </w:p>
        </w:tc>
        <w:tc>
          <w:tcPr>
            <w:tcW w:type="dxa" w:w="1440"/>
            <w:shd w:fill="FAFAFA" w:val="clear"/>
          </w:tcPr>
          <w:p>
            <w:r>
              <w:rPr>
                <w:b/>
                <w:sz w:val="17"/>
              </w:rPr>
              <w:t>2,232</w:t>
            </w:r>
          </w:p>
        </w:tc>
        <w:tc>
          <w:tcPr>
            <w:tcW w:type="dxa" w:w="1440"/>
            <w:shd w:fill="FAFAFA" w:val="clear"/>
          </w:tcPr>
          <w:p>
            <w:r>
              <w:rPr>
                <w:sz w:val="17"/>
              </w:rPr>
              <w:t>2,639</w:t>
            </w:r>
          </w:p>
        </w:tc>
        <w:tc>
          <w:tcPr>
            <w:tcW w:type="dxa" w:w="1440"/>
            <w:shd w:fill="FAFAFA" w:val="clear"/>
          </w:tcPr>
          <w:p>
            <w:r>
              <w:rPr>
                <w:b/>
                <w:color w:val="008000"/>
                <w:sz w:val="17"/>
              </w:rPr>
              <w:t>+1.9%</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1,804</w:t>
            </w:r>
          </w:p>
        </w:tc>
        <w:tc>
          <w:tcPr>
            <w:tcW w:type="dxa" w:w="1440"/>
            <w:shd w:fill="C6EFCE" w:val="clear"/>
          </w:tcPr>
          <w:p>
            <w:r>
              <w:rPr>
                <w:b/>
                <w:sz w:val="17"/>
              </w:rPr>
              <w:t>2,234</w:t>
            </w:r>
          </w:p>
        </w:tc>
        <w:tc>
          <w:tcPr>
            <w:tcW w:type="dxa" w:w="1440"/>
            <w:shd w:fill="C6EFCE" w:val="clear"/>
          </w:tcPr>
          <w:p>
            <w:r>
              <w:rPr>
                <w:sz w:val="17"/>
              </w:rPr>
              <w:t>2,664</w:t>
            </w:r>
          </w:p>
        </w:tc>
        <w:tc>
          <w:tcPr>
            <w:tcW w:type="dxa" w:w="1440"/>
            <w:shd w:fill="C6EFCE" w:val="clear"/>
          </w:tcPr>
          <w:p>
            <w:r>
              <w:rPr>
                <w:b/>
                <w:color w:val="008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 📊 RAPPORT D'ANALYSE FINANCIÈRE — SHEC (VIVO ENERGY CÔTE D'IVOIRE)</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**137,97 milliards FCFA**, SHEC se positionne parmi les valeurs moyennes-capitalisations de la cote BRVM, loin des géants bancaires mais suffisamment liquide pour intéresser les investisseurs institutionnels régionaux. Le **BPA de 96 FCFA/action** confère au titre un **PER de 22,9x**, soit près du double de la moyenne BRVM (~8-12x) : les investisseurs paient donc une prime significative, justifiée soit par des anticipations de croissance, soit par la rareté des valeurs pétrolières aval sur la cote. Le **P/B de 5,08x** traduit une valorisation très supérieure à la valeur comptable (capitaux propres de 27,16 Mds FCFA), signe d'une forte prime de marché — exigeante pour un distributeur à marge nette de 1%. Enfin, l'**EV/EBITDA de 12,5x** situe la valeur totale (capitalisation + dette nette) dans la fourchette haute (10-15x), confirmant que le marché intègre déjà une bonne part du potentiel opérationnel. **Conclusion : valorisation tendue, sans marge de sécurité évidente.**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SHEC affiche une **variation totale de +14,66%**, avec une dernière séance stable (**J-1 : +0,00%**) à **2 190 FCFA**. Le titre a évolué dans un range large de **1 910 FCFA (plus bas) à 2 980 FCFA (plus haut)**, soit un spread de plus de 56% — révélateur d'une forte amplitude de trading. La tendance générale est haussière sur la période, mais le cours actuel (2 190 FCFA) se situe **sous la moyenne (2 279 FCFA) et sous la médiane (2 202 FCFA)**, signalant une correction récente depuis les sommets. Les statistiques descriptives sont éclairantes : l'écart entre moyenne et médiane est faible, mais le **skewness de 1,190** indique une asymétrie positive — davantage de séances se sont déroulées sous la moyenne, avec quelques pics haussiers tirant la moyenne vers le haut. Le **kurtosis de 1,875 (leptokurtique)** confirme des queues épaisses : le risque de mouvements brusques et de pics de volatilité est réel. L'**écart-type de 212 FCFA (CV = 9,3%)** traduit une dispersion modérée du cours autour de sa moyenne, mais la **volatilité annualisée de 41,8%** classe clairement SHEC parmi les titres à **volatilité élevée (&gt;30%)**, ce qui exige une tolérance au risque importante.</w:t>
      </w:r>
    </w:p>
    <w:p>
      <w:pPr>
        <w:spacing w:after="120" w:line="276" w:lineRule="auto"/>
      </w:pPr>
      <w:r>
        <w:t>---</w:t>
      </w:r>
    </w:p>
    <w:p>
      <w:pPr>
        <w:spacing w:after="120" w:line="276" w:lineRule="auto"/>
      </w:pPr>
      <w:r>
        <w:t>## PARTIE 2 : ANALYSE TECHNIQUE DÉTAILLÉE</w:t>
      </w:r>
    </w:p>
    <w:p>
      <w:pPr>
        <w:spacing w:after="120" w:line="276" w:lineRule="auto"/>
      </w:pPr>
      <w:r>
        <w:t>**Moyennes Mobiles :** La MM20 (2 364,25 FCFA) et la MM50 (2 422,20 FCFA) se situent toutes deux **au-dessus du cours actuel (2 190 FCFA)**, configuration baissière de court et moyen terme. Le cours évolue sous ses deux moyennes, ce qui traduit une pression vendeuse persistante ; la décision technique est logiquement **Vente**, la MM20 étant elle-même sous la MM50 (croisement baissier confirmé).</w:t>
      </w:r>
    </w:p>
    <w:p>
      <w:pPr>
        <w:spacing w:after="120" w:line="276" w:lineRule="auto"/>
      </w:pPr>
      <w:r>
        <w:t>**Bandes de Bollinger :** Le cours (2 190 FCFA) se situe dans la moitié basse de la bande, entre la borne inférieure (1 964,60 FCFA) et la borne supérieure (2 763,90 FCFA), sans en toucher les extrêmes. Cette position centrale-basse traduit une volatilité contenue mais une dynamique fragile ; la décision est **Neutre**, le titre n'étant ni en survente extrême ni en zone de rebond confirmé.</w:t>
      </w:r>
    </w:p>
    <w:p>
      <w:pPr>
        <w:spacing w:after="120" w:line="276" w:lineRule="auto"/>
      </w:pPr>
      <w:r>
        <w:t>**MACD :** La valeur du MACD (**-85,818**) est inférieure à son signal (**-64,874**), avec un histogramme négatif : le momentum est clairement baissier et la divergence négative persiste. La décision **Vente** est cohérente, aucune inflexion haussière n'étant encore visible sur cet indicateur retardé.</w:t>
      </w:r>
    </w:p>
    <w:p>
      <w:pPr>
        <w:spacing w:after="120" w:line="276" w:lineRule="auto"/>
      </w:pPr>
      <w:r>
        <w:t>**RSI :** À **20,513**, le RSI se situe **nettement sous le seuil de survente (30)**, signalant un épuisement des vendeurs et un potentiel de rebond technique. La décision **Achat** contraste avec les autres indicateurs : le titre est techniquement survendu, ce qui peut attirer les chasseurs de rebond à court terme.</w:t>
      </w:r>
    </w:p>
    <w:p>
      <w:pPr>
        <w:spacing w:after="120" w:line="276" w:lineRule="auto"/>
      </w:pPr>
      <w:r>
        <w:t>**Stochastique :** Le %K (**0,0**) est au plancher absolu et le %D (**1,17**) également très bas, avec un croisement en zone extrême de survente. La décision **Achat** rejoint celle du RSI : les deux oscillateurs convergent vers un signal de rebond imminent, bien que le contexte de tendance reste baissier.</w:t>
      </w:r>
    </w:p>
    <w:p>
      <w:pPr>
        <w:spacing w:after="120" w:line="276" w:lineRule="auto"/>
      </w:pPr>
      <w:r>
        <w:t>**Conclusion technique :** Les indicateurs sont **divergents** : les moyennes mobiles et le MACD confirment une tendance baissière de fond, tandis que le RSI (20,5) et le stochastique (0,0) signalent une survente extrême propice à un rebond technique. Cette configuration typique de « rebond dans une tendance baissière » appelle à la prudence : un retour vers la MM20 (2 364 FCFA) est possible, mais la structure de fond reste fragile tant que le cours n'aura pas reconquis ses moyennes mobiles.</w:t>
      </w:r>
    </w:p>
    <w:p>
      <w:pPr>
        <w:spacing w:after="120" w:line="276" w:lineRule="auto"/>
      </w:pPr>
      <w:r>
        <w:t>---</w:t>
      </w:r>
    </w:p>
    <w:p>
      <w:pPr>
        <w:spacing w:after="120" w:line="276" w:lineRule="auto"/>
      </w:pPr>
      <w:r>
        <w:t>## PARTIE 3 : ANALYSE FONDAMENTALE (SECTION CRITIQUE)</w:t>
      </w:r>
    </w:p>
    <w:p>
      <w:pPr>
        <w:spacing w:after="120" w:line="276" w:lineRule="auto"/>
      </w:pPr>
      <w:r>
        <w:t>**Données structurées — Exercice 2025 (états financiers officiels) :** SHEC a réalisé en 2025 un **chiffre d'affaires de 604,978 Mds FCFA**, en très légère hausse de **+0,71%** seulement, illustrant une stagnation commerciale. Le **résultat net s'établit à 6,028 Mds FCFA**, en progression de **+12,6%** grâce à l'amélioration de la valeur ajoutée (+15%), la baisse des charges financières (-17,7%) et la hausse de l'EBE (+18,5%). Le **ROE de 22,20%** est excellent (&gt;15%), mais il est mécaniquement gonflé par des capitaux propres faibles (27,159 Mds FCFA) dans une structure très endettée ; le **ROA de 3,11%** reste modeste, cohérent avec la rotation élevée des actifs (312,55%) et une **marge nette de seulement 0,9964%**. **Adapté au secteur ENTREPRISE :** les délais sont globalement maîtrisés — **clients 23,27 jours** (risque trésorerie modéré), **fournisseurs 35,47 jours** (favorable à la trésorerie), **stockage 7,47 jours** (rotation rapide) — mais le **BFR de 15,315 Mds FCFA** et surtout la **trésorerie nette de -65,264 Mds FCFA** constituent un point d'alerte majeur. L'**autonomie financière de 14,03%** est très inférieure au seuil sain de 30%, et la **capacité de remboursement de 0,97 an** (dettes financières/CAF) reste acceptable. **Estimations basées sur les rapports trimestriels :** selon le **rapport S1 2026 (publié en 2026)**, le CA recule de **-1% à 305 038 M FCFA** (volumes -3% sur aviation/bitume/entreprises, compensés par Réseau/Butane/Lubrifiants), mais le **résultat d'exploitation progresse de +17% à 6 133 M FCFA** et le **résultat net atteint 3 016 M FCFA (marge nette 0,99%)** — on peut donc estimer un exercice 2026 globalement stable en résultat net, avec un risque baissier sur le CA. Le **rapport T3 2025 (30/09/2025)** confirmait déjà cette dynamique : résultat net +45% à 4,119 Mds FCFA malgré un CA +1%. **Évolution temporelle :** le résultat net progresse de 5,354 Mds (2024) à 6,028 Mds (2025), soit +12,6%, et le dividende proposé de **6,09 Mds FCFA (soit ~1 933 FCFA/action, taux de distribution de 101%)** dépasse le résultat net — généreux mais risqué pour la structure financière. **Recommandation fondamentale : solidité opérationnelle réelle mais fragilité financière persistante (trésorerie nette négative, endettement élevé, marge nette de 1%) → CONSERVER.**</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titre **paradoxal**. Côté **valorisation (Partie 0)**, les ratios sont exigeants — PER de 22,9x (vs 8-12x pour la BRVM), P/B de 5,08x et EV/EBITDA de 12,5x — indiquant une **surévaluation relative** sans marge de sécurité. Côté **comportement du cours (Partie 1)**, la tendance haussière de +14,66% sur 100 jours masque une correction récente (cours sous moyenne et médiane), avec une **volatilité élevée (41,8%)** et un profil leptokurtique (kurtosis 1,875) préoccupant pour la gestion du risque. Côté **technique (Partie 2)**, les signaux **divergent** : MM et MACD baissiers, mais RSI (20,5) et stochastique (0,0) en survente extrême — configuration de rebond technique dans une tendance de fond fragile. Côté **fondamental (Partie 3)**, la société affiche une **rentabilité en amélioration** (résultat net +12,6% en 2025, ROE 22,2%, S1 2026 avec résultat d'exploitation +17%) mais une **structure financière dégradée** (trésorerie nette -65,26 Mds FCFA, autonomie financière 14%, distribution de 101% du résultat). Les **prédictions IA (J+1 à J+10)** anticipent une trajectoire haussière modérée de **2 199 à 2 220 FCFA** (+1,4% sur 5 séances), cohérente avec le scénario de rebond technique post-survente, mais sans rupture majeure. **Recommandation finale : CONSERVER.** La convergence est partielle : le rebond technique et les prédictions IA soutiennent le court terme, mais la valorisation tendue, la volatilité élevée et la fragilité de trésorerie limitent le potentiel. **Niveau de confiance : Moyen** (signaux contradictoires entre technique court terme et fondamental). **Niveau de risque global : Élevé** (volatilité 41,8%, levier financier, marge nette de 1%). **Horizon optimal : moyen terme (3-12 mois)**, en attendant la confirmation de la reprise des volumes au S2 2026 et une clarification de la politique de distribution — un renforcement ne serait justifié qu'en cas de reconquête durable de la MM50 (2 422 FCFA) avec amélioration de la trésorerie nette.</w:t>
      </w:r>
    </w:p>
    <w:p>
      <w:pPr>
        <w:spacing w:after="120" w:line="276" w:lineRule="auto"/>
      </w:pPr>
      <w:r>
        <w:t>---</w:t>
      </w:r>
    </w:p>
    <w:p>
      <w:pPr>
        <w:spacing w:after="120" w:line="276" w:lineRule="auto"/>
      </w:pPr>
      <w:r>
        <w:t>*Rapport généré le 18 octobre 2026 — Sources : données BRVM officielles (exercice 2025), rapports S1 2026, T3 2025, T1 2025 et états financiers 2024 — Analyses DeepSeek/FALLBACK. Ce document est informatif et ne constitue pas un conseil en investissement.*</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35.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872.50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11,526 titres</w:t>
            </w:r>
          </w:p>
        </w:tc>
        <w:tc>
          <w:tcPr>
            <w:tcW w:type="dxa" w:w="2268"/>
            <w:shd w:fill="FFF2CC" w:val="clear"/>
          </w:tcPr>
          <w:p>
            <w:r>
              <w:rPr>
                <w:b/>
                <w:color w:val="503200"/>
                <w:sz w:val="16"/>
              </w:rPr>
              <w:t xml:space="preserve">Cours actuel : </w:t>
            </w:r>
            <w:r>
              <w:rPr>
                <w:color w:val="000000"/>
                <w:sz w:val="17"/>
              </w:rPr>
              <w:t>8,725 FCFA</w:t>
            </w:r>
          </w:p>
          <w:p>
            <w:r>
              <w:rPr>
                <w:b/>
                <w:color w:val="503200"/>
                <w:sz w:val="16"/>
              </w:rPr>
              <w:t xml:space="preserve">Var. 100 jours : </w:t>
            </w:r>
            <w:r>
              <w:rPr>
                <w:b/>
                <w:color w:val="007800"/>
                <w:sz w:val="17"/>
              </w:rPr>
              <w:t>+13.31%</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7,700 FCFA</w:t>
            </w:r>
          </w:p>
          <w:p>
            <w:r>
              <w:rPr>
                <w:b/>
                <w:color w:val="503200"/>
                <w:sz w:val="16"/>
              </w:rPr>
              <w:t xml:space="preserve">Volatilité ann. : </w:t>
            </w:r>
            <w:r>
              <w:rPr>
                <w:color w:val="000000"/>
                <w:sz w:val="17"/>
              </w:rPr>
              <w:t>28.5%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3.17% (Faible) — μ=8,947 FCFA, σ=283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β=0.6843 (Défensif) — Cov=0.000052, Var(idx)=0.000077, ρ=0.333,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11,526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8,411</w:t>
            </w:r>
          </w:p>
        </w:tc>
        <w:tc>
          <w:tcPr>
            <w:tcW w:type="dxa" w:w="1440"/>
            <w:shd w:fill="FAFAFA" w:val="clear"/>
          </w:tcPr>
          <w:p>
            <w:r>
              <w:rPr>
                <w:b/>
                <w:sz w:val="17"/>
              </w:rPr>
              <w:t>8,675</w:t>
            </w:r>
          </w:p>
        </w:tc>
        <w:tc>
          <w:tcPr>
            <w:tcW w:type="dxa" w:w="1440"/>
            <w:shd w:fill="FAFAFA" w:val="clear"/>
          </w:tcPr>
          <w:p>
            <w:r>
              <w:rPr>
                <w:sz w:val="17"/>
              </w:rPr>
              <w:t>8,939</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8,250</w:t>
            </w:r>
          </w:p>
        </w:tc>
        <w:tc>
          <w:tcPr>
            <w:tcW w:type="dxa" w:w="1440"/>
            <w:shd w:fill="FAFAFA" w:val="clear"/>
          </w:tcPr>
          <w:p>
            <w:r>
              <w:rPr>
                <w:b/>
                <w:sz w:val="17"/>
              </w:rPr>
              <w:t>8,621</w:t>
            </w:r>
          </w:p>
        </w:tc>
        <w:tc>
          <w:tcPr>
            <w:tcW w:type="dxa" w:w="1440"/>
            <w:shd w:fill="FAFAFA" w:val="clear"/>
          </w:tcPr>
          <w:p>
            <w:r>
              <w:rPr>
                <w:sz w:val="17"/>
              </w:rPr>
              <w:t>8,992</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8,122</w:t>
            </w:r>
          </w:p>
        </w:tc>
        <w:tc>
          <w:tcPr>
            <w:tcW w:type="dxa" w:w="1440"/>
            <w:shd w:fill="FAFAFA" w:val="clear"/>
          </w:tcPr>
          <w:p>
            <w:r>
              <w:rPr>
                <w:b/>
                <w:sz w:val="17"/>
              </w:rPr>
              <w:t>8,574</w:t>
            </w:r>
          </w:p>
        </w:tc>
        <w:tc>
          <w:tcPr>
            <w:tcW w:type="dxa" w:w="1440"/>
            <w:shd w:fill="FAFAFA" w:val="clear"/>
          </w:tcPr>
          <w:p>
            <w:r>
              <w:rPr>
                <w:sz w:val="17"/>
              </w:rPr>
              <w:t>9,026</w:t>
            </w:r>
          </w:p>
        </w:tc>
        <w:tc>
          <w:tcPr>
            <w:tcW w:type="dxa" w:w="1440"/>
            <w:shd w:fill="FAFAFA" w:val="clear"/>
          </w:tcPr>
          <w:p>
            <w:r>
              <w:rPr>
                <w:b/>
                <w:color w:val="C00000"/>
                <w:sz w:val="17"/>
              </w:rPr>
              <w:t>-1.7%</w:t>
            </w:r>
          </w:p>
        </w:tc>
      </w:tr>
      <w:tr>
        <w:tc>
          <w:tcPr>
            <w:tcW w:type="dxa" w:w="1440"/>
            <w:shd w:fill="FFDCE0" w:val="clear"/>
          </w:tcPr>
          <w:p>
            <w:r>
              <w:rPr>
                <w:sz w:val="17"/>
              </w:rPr>
              <w:t>J+4  Moyenne</w:t>
            </w:r>
          </w:p>
        </w:tc>
        <w:tc>
          <w:tcPr>
            <w:tcW w:type="dxa" w:w="1440"/>
            <w:shd w:fill="FFDCE0" w:val="clear"/>
          </w:tcPr>
          <w:p>
            <w:r>
              <w:rPr>
                <w:sz w:val="17"/>
              </w:rPr>
              <w:t>2026-10-22</w:t>
            </w:r>
          </w:p>
        </w:tc>
        <w:tc>
          <w:tcPr>
            <w:tcW w:type="dxa" w:w="1440"/>
            <w:shd w:fill="FFDCE0" w:val="clear"/>
          </w:tcPr>
          <w:p>
            <w:r>
              <w:rPr>
                <w:sz w:val="17"/>
              </w:rPr>
              <w:t>8,013</w:t>
            </w:r>
          </w:p>
        </w:tc>
        <w:tc>
          <w:tcPr>
            <w:tcW w:type="dxa" w:w="1440"/>
            <w:shd w:fill="FFDCE0" w:val="clear"/>
          </w:tcPr>
          <w:p>
            <w:r>
              <w:rPr>
                <w:b/>
                <w:sz w:val="17"/>
              </w:rPr>
              <w:t>8,532</w:t>
            </w:r>
          </w:p>
        </w:tc>
        <w:tc>
          <w:tcPr>
            <w:tcW w:type="dxa" w:w="1440"/>
            <w:shd w:fill="FFDCE0" w:val="clear"/>
          </w:tcPr>
          <w:p>
            <w:r>
              <w:rPr>
                <w:sz w:val="17"/>
              </w:rPr>
              <w:t>9,051</w:t>
            </w:r>
          </w:p>
        </w:tc>
        <w:tc>
          <w:tcPr>
            <w:tcW w:type="dxa" w:w="1440"/>
            <w:shd w:fill="FFDCE0" w:val="clear"/>
          </w:tcPr>
          <w:p>
            <w:r>
              <w:rPr>
                <w:b/>
                <w:color w:val="C00000"/>
                <w:sz w:val="17"/>
              </w:rPr>
              <w:t>-2.2%</w:t>
            </w:r>
          </w:p>
        </w:tc>
      </w:tr>
      <w:tr>
        <w:tc>
          <w:tcPr>
            <w:tcW w:type="dxa" w:w="1440"/>
            <w:shd w:fill="FFDCE0" w:val="clear"/>
          </w:tcPr>
          <w:p>
            <w:r>
              <w:rPr>
                <w:sz w:val="17"/>
              </w:rPr>
              <w:t>J+5  Moyenne</w:t>
            </w:r>
          </w:p>
        </w:tc>
        <w:tc>
          <w:tcPr>
            <w:tcW w:type="dxa" w:w="1440"/>
            <w:shd w:fill="FFDCE0" w:val="clear"/>
          </w:tcPr>
          <w:p>
            <w:r>
              <w:rPr>
                <w:sz w:val="17"/>
              </w:rPr>
              <w:t>2026-10-23</w:t>
            </w:r>
          </w:p>
        </w:tc>
        <w:tc>
          <w:tcPr>
            <w:tcW w:type="dxa" w:w="1440"/>
            <w:shd w:fill="FFDCE0" w:val="clear"/>
          </w:tcPr>
          <w:p>
            <w:r>
              <w:rPr>
                <w:sz w:val="17"/>
              </w:rPr>
              <w:t>7,916</w:t>
            </w:r>
          </w:p>
        </w:tc>
        <w:tc>
          <w:tcPr>
            <w:tcW w:type="dxa" w:w="1440"/>
            <w:shd w:fill="FFDCE0" w:val="clear"/>
          </w:tcPr>
          <w:p>
            <w:r>
              <w:rPr>
                <w:b/>
                <w:sz w:val="17"/>
              </w:rPr>
              <w:t>8,494</w:t>
            </w:r>
          </w:p>
        </w:tc>
        <w:tc>
          <w:tcPr>
            <w:tcW w:type="dxa" w:w="1440"/>
            <w:shd w:fill="FFDCE0" w:val="clear"/>
          </w:tcPr>
          <w:p>
            <w:r>
              <w:rPr>
                <w:sz w:val="17"/>
              </w:rPr>
              <w:t>9,072</w:t>
            </w:r>
          </w:p>
        </w:tc>
        <w:tc>
          <w:tcPr>
            <w:tcW w:type="dxa" w:w="1440"/>
            <w:shd w:fill="FFDCE0" w:val="clear"/>
          </w:tcPr>
          <w:p>
            <w:r>
              <w:rPr>
                <w:b/>
                <w:color w:val="C00000"/>
                <w:sz w:val="17"/>
              </w:rPr>
              <w:t>-2.7%</w:t>
            </w:r>
          </w:p>
        </w:tc>
      </w:tr>
      <w:tr>
        <w:tc>
          <w:tcPr>
            <w:tcW w:type="dxa" w:w="1440"/>
            <w:shd w:fill="FFDCE0" w:val="clear"/>
          </w:tcPr>
          <w:p>
            <w:r>
              <w:rPr>
                <w:sz w:val="17"/>
              </w:rPr>
              <w:t>J+6  Moyenne</w:t>
            </w:r>
          </w:p>
        </w:tc>
        <w:tc>
          <w:tcPr>
            <w:tcW w:type="dxa" w:w="1440"/>
            <w:shd w:fill="FFDCE0" w:val="clear"/>
          </w:tcPr>
          <w:p>
            <w:r>
              <w:rPr>
                <w:sz w:val="17"/>
              </w:rPr>
              <w:t>2026-10-26</w:t>
            </w:r>
          </w:p>
        </w:tc>
        <w:tc>
          <w:tcPr>
            <w:tcW w:type="dxa" w:w="1440"/>
            <w:shd w:fill="FFDCE0" w:val="clear"/>
          </w:tcPr>
          <w:p>
            <w:r>
              <w:rPr>
                <w:sz w:val="17"/>
              </w:rPr>
              <w:t>7,827</w:t>
            </w:r>
          </w:p>
        </w:tc>
        <w:tc>
          <w:tcPr>
            <w:tcW w:type="dxa" w:w="1440"/>
            <w:shd w:fill="FFDCE0" w:val="clear"/>
          </w:tcPr>
          <w:p>
            <w:r>
              <w:rPr>
                <w:b/>
                <w:sz w:val="17"/>
              </w:rPr>
              <w:t>8,458</w:t>
            </w:r>
          </w:p>
        </w:tc>
        <w:tc>
          <w:tcPr>
            <w:tcW w:type="dxa" w:w="1440"/>
            <w:shd w:fill="FFDCE0" w:val="clear"/>
          </w:tcPr>
          <w:p>
            <w:r>
              <w:rPr>
                <w:sz w:val="17"/>
              </w:rPr>
              <w:t>9,088</w:t>
            </w:r>
          </w:p>
        </w:tc>
        <w:tc>
          <w:tcPr>
            <w:tcW w:type="dxa" w:w="1440"/>
            <w:shd w:fill="FFDCE0" w:val="clear"/>
          </w:tcPr>
          <w:p>
            <w:r>
              <w:rPr>
                <w:b/>
                <w:color w:val="C00000"/>
                <w:sz w:val="17"/>
              </w:rPr>
              <w:t>-3.1%</w:t>
            </w:r>
          </w:p>
        </w:tc>
      </w:tr>
      <w:tr>
        <w:tc>
          <w:tcPr>
            <w:tcW w:type="dxa" w:w="1440"/>
            <w:shd w:fill="FFDCE0" w:val="clear"/>
          </w:tcPr>
          <w:p>
            <w:r>
              <w:rPr>
                <w:sz w:val="17"/>
              </w:rPr>
              <w:t>J+7  Moyenne</w:t>
            </w:r>
          </w:p>
        </w:tc>
        <w:tc>
          <w:tcPr>
            <w:tcW w:type="dxa" w:w="1440"/>
            <w:shd w:fill="FFDCE0" w:val="clear"/>
          </w:tcPr>
          <w:p>
            <w:r>
              <w:rPr>
                <w:sz w:val="17"/>
              </w:rPr>
              <w:t>2026-10-27</w:t>
            </w:r>
          </w:p>
        </w:tc>
        <w:tc>
          <w:tcPr>
            <w:tcW w:type="dxa" w:w="1440"/>
            <w:shd w:fill="FFDCE0" w:val="clear"/>
          </w:tcPr>
          <w:p>
            <w:r>
              <w:rPr>
                <w:sz w:val="17"/>
              </w:rPr>
              <w:t>7,746</w:t>
            </w:r>
          </w:p>
        </w:tc>
        <w:tc>
          <w:tcPr>
            <w:tcW w:type="dxa" w:w="1440"/>
            <w:shd w:fill="FFDCE0" w:val="clear"/>
          </w:tcPr>
          <w:p>
            <w:r>
              <w:rPr>
                <w:b/>
                <w:sz w:val="17"/>
              </w:rPr>
              <w:t>8,424</w:t>
            </w:r>
          </w:p>
        </w:tc>
        <w:tc>
          <w:tcPr>
            <w:tcW w:type="dxa" w:w="1440"/>
            <w:shd w:fill="FFDCE0" w:val="clear"/>
          </w:tcPr>
          <w:p>
            <w:r>
              <w:rPr>
                <w:sz w:val="17"/>
              </w:rPr>
              <w:t>9,102</w:t>
            </w:r>
          </w:p>
        </w:tc>
        <w:tc>
          <w:tcPr>
            <w:tcW w:type="dxa" w:w="1440"/>
            <w:shd w:fill="FFDCE0" w:val="clear"/>
          </w:tcPr>
          <w:p>
            <w:r>
              <w:rPr>
                <w:b/>
                <w:color w:val="C00000"/>
                <w:sz w:val="17"/>
              </w:rPr>
              <w:t>-3.5%</w:t>
            </w:r>
          </w:p>
        </w:tc>
      </w:tr>
      <w:tr>
        <w:tc>
          <w:tcPr>
            <w:tcW w:type="dxa" w:w="1440"/>
            <w:shd w:fill="FFDCE0" w:val="clear"/>
          </w:tcPr>
          <w:p>
            <w:r>
              <w:rPr>
                <w:sz w:val="17"/>
              </w:rPr>
              <w:t>J+8  Moyenne</w:t>
            </w:r>
          </w:p>
        </w:tc>
        <w:tc>
          <w:tcPr>
            <w:tcW w:type="dxa" w:w="1440"/>
            <w:shd w:fill="FFDCE0" w:val="clear"/>
          </w:tcPr>
          <w:p>
            <w:r>
              <w:rPr>
                <w:sz w:val="17"/>
              </w:rPr>
              <w:t>2026-10-28</w:t>
            </w:r>
          </w:p>
        </w:tc>
        <w:tc>
          <w:tcPr>
            <w:tcW w:type="dxa" w:w="1440"/>
            <w:shd w:fill="FFDCE0" w:val="clear"/>
          </w:tcPr>
          <w:p>
            <w:r>
              <w:rPr>
                <w:sz w:val="17"/>
              </w:rPr>
              <w:t>7,670</w:t>
            </w:r>
          </w:p>
        </w:tc>
        <w:tc>
          <w:tcPr>
            <w:tcW w:type="dxa" w:w="1440"/>
            <w:shd w:fill="FFDCE0" w:val="clear"/>
          </w:tcPr>
          <w:p>
            <w:r>
              <w:rPr>
                <w:b/>
                <w:sz w:val="17"/>
              </w:rPr>
              <w:t>8,392</w:t>
            </w:r>
          </w:p>
        </w:tc>
        <w:tc>
          <w:tcPr>
            <w:tcW w:type="dxa" w:w="1440"/>
            <w:shd w:fill="FFDCE0" w:val="clear"/>
          </w:tcPr>
          <w:p>
            <w:r>
              <w:rPr>
                <w:sz w:val="17"/>
              </w:rPr>
              <w:t>9,114</w:t>
            </w:r>
          </w:p>
        </w:tc>
        <w:tc>
          <w:tcPr>
            <w:tcW w:type="dxa" w:w="1440"/>
            <w:shd w:fill="FFDCE0" w:val="clear"/>
          </w:tcPr>
          <w:p>
            <w:r>
              <w:rPr>
                <w:b/>
                <w:color w:val="C00000"/>
                <w:sz w:val="17"/>
              </w:rPr>
              <w:t>-3.8%</w:t>
            </w:r>
          </w:p>
        </w:tc>
      </w:tr>
      <w:tr>
        <w:tc>
          <w:tcPr>
            <w:tcW w:type="dxa" w:w="1440"/>
            <w:shd w:fill="FFDCE0" w:val="clear"/>
          </w:tcPr>
          <w:p>
            <w:r>
              <w:rPr>
                <w:sz w:val="17"/>
              </w:rPr>
              <w:t>J+9  Moyenne</w:t>
            </w:r>
          </w:p>
        </w:tc>
        <w:tc>
          <w:tcPr>
            <w:tcW w:type="dxa" w:w="1440"/>
            <w:shd w:fill="FFDCE0" w:val="clear"/>
          </w:tcPr>
          <w:p>
            <w:r>
              <w:rPr>
                <w:sz w:val="17"/>
              </w:rPr>
              <w:t>2026-10-29</w:t>
            </w:r>
          </w:p>
        </w:tc>
        <w:tc>
          <w:tcPr>
            <w:tcW w:type="dxa" w:w="1440"/>
            <w:shd w:fill="FFDCE0" w:val="clear"/>
          </w:tcPr>
          <w:p>
            <w:r>
              <w:rPr>
                <w:sz w:val="17"/>
              </w:rPr>
              <w:t>7,599</w:t>
            </w:r>
          </w:p>
        </w:tc>
        <w:tc>
          <w:tcPr>
            <w:tcW w:type="dxa" w:w="1440"/>
            <w:shd w:fill="FFDCE0" w:val="clear"/>
          </w:tcPr>
          <w:p>
            <w:r>
              <w:rPr>
                <w:b/>
                <w:sz w:val="17"/>
              </w:rPr>
              <w:t>8,362</w:t>
            </w:r>
          </w:p>
        </w:tc>
        <w:tc>
          <w:tcPr>
            <w:tcW w:type="dxa" w:w="1440"/>
            <w:shd w:fill="FFDCE0" w:val="clear"/>
          </w:tcPr>
          <w:p>
            <w:r>
              <w:rPr>
                <w:sz w:val="17"/>
              </w:rPr>
              <w:t>9,125</w:t>
            </w:r>
          </w:p>
        </w:tc>
        <w:tc>
          <w:tcPr>
            <w:tcW w:type="dxa" w:w="1440"/>
            <w:shd w:fill="FFDCE0" w:val="clear"/>
          </w:tcPr>
          <w:p>
            <w:r>
              <w:rPr>
                <w:b/>
                <w:color w:val="C00000"/>
                <w:sz w:val="17"/>
              </w:rPr>
              <w:t>-4.2%</w:t>
            </w:r>
          </w:p>
        </w:tc>
      </w:tr>
      <w:tr>
        <w:tc>
          <w:tcPr>
            <w:tcW w:type="dxa" w:w="1440"/>
            <w:shd w:fill="FFDCE0" w:val="clear"/>
          </w:tcPr>
          <w:p>
            <w:r>
              <w:rPr>
                <w:sz w:val="17"/>
              </w:rPr>
              <w:t>J+10  Moyenne</w:t>
            </w:r>
          </w:p>
        </w:tc>
        <w:tc>
          <w:tcPr>
            <w:tcW w:type="dxa" w:w="1440"/>
            <w:shd w:fill="FFDCE0" w:val="clear"/>
          </w:tcPr>
          <w:p>
            <w:r>
              <w:rPr>
                <w:sz w:val="17"/>
              </w:rPr>
              <w:t>2026-10-30</w:t>
            </w:r>
          </w:p>
        </w:tc>
        <w:tc>
          <w:tcPr>
            <w:tcW w:type="dxa" w:w="1440"/>
            <w:shd w:fill="FFDCE0" w:val="clear"/>
          </w:tcPr>
          <w:p>
            <w:r>
              <w:rPr>
                <w:sz w:val="17"/>
              </w:rPr>
              <w:t>7,531</w:t>
            </w:r>
          </w:p>
        </w:tc>
        <w:tc>
          <w:tcPr>
            <w:tcW w:type="dxa" w:w="1440"/>
            <w:shd w:fill="FFDCE0" w:val="clear"/>
          </w:tcPr>
          <w:p>
            <w:r>
              <w:rPr>
                <w:b/>
                <w:sz w:val="17"/>
              </w:rPr>
              <w:t>8,333</w:t>
            </w:r>
          </w:p>
        </w:tc>
        <w:tc>
          <w:tcPr>
            <w:tcW w:type="dxa" w:w="1440"/>
            <w:shd w:fill="FFDCE0" w:val="clear"/>
          </w:tcPr>
          <w:p>
            <w:r>
              <w:rPr>
                <w:sz w:val="17"/>
              </w:rPr>
              <w:t>9,135</w:t>
            </w:r>
          </w:p>
        </w:tc>
        <w:tc>
          <w:tcPr>
            <w:tcW w:type="dxa" w:w="1440"/>
            <w:shd w:fill="FFDCE0" w:val="clear"/>
          </w:tcPr>
          <w:p>
            <w:r>
              <w:rPr>
                <w:b/>
                <w:color w:val="C00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 RAPPORT D'ANALYSE FINANCIÈRE — SIBC (Société Ivoirienne de Banque)</w:t>
        <w:br/>
        <w:t>### BRVM | Secteur : Banque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**872,50 Mds FCFA**, la SIBC s'impose comme l'une des plus grandes capitalisations bancaires de la BRVM, ce qui lui confère une liquidité et une visibilité institutionnelle supérieures à la moyenne du marché. Le **BPA de 556 FCFA/action** traduit une rentabilité par titre solide, cohérente avec un résultat net annuel de 55,6 Mds FCFA. Le **PER de 15,7x** se situe au-dessus de la moyenne BRVM (~8-12x), signalant que le marché paie une prime pour la qualité des bénéfices, sans pour autant basculer dans une zone de surévaluation excessive. Le **P/B de 4,26x** est nettement supérieur au seuil de 4x, traduisant une forte prime par rapport à la valeur comptable — exigeante, mais justifiée par un ROE de 27,16% qui surpasse largement le coût des fonds propres. Enfin, l'**EV/EBITDA de 14,6x**, dans la fourchette haute (10-15x), confirme que la valeur d'entreprise intègre déjà une bonne partie de la capacité opérationnelle, laissant peu de marge de revalorisation à court terme sans nouvelle impulsion bénéficiaire.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SIBC affiche une **variation totale de +13,31%**, portée par une dynamique haussière de fond, mais la dernière séance marque un repli de **-1,97%** à **8 725 FCFA**, signalant une prise de profit après le récent rallye. Le range de trading s'étend de **7 700 FCFA** (plus bas) à **9 500 FCFA** (plus haut), soit une amplitude de 23,4% qui témoigne d'une volatilité réelle malgré la solidité du titre. La moyenne (**8 947 FCFA**) est légèrement supérieure à la médiane (**8 995 FCFA** — en réalité la médiane dépasse la moyenne, signe d'une asymétrie vers le bas), avec un mode à **9 000 FCFA** qui confirme une zone de résistance psychologique. L'**écart-type de 285 FCFA (CV=3,2%)** indique une dispersion modérée du cours autour de sa tendance, mais le **kurtosis de 4,649** (leptokurtique) révèle des queues épaisses et un risque de pics brutaux — confirmé par le décrochage de J-1. Le **skewness de -1,523** traduit une asymétrie négative : davantage de journées se sont situées au-dessus de la moyenne, mais les mouvements baissiers ont été plus amples, ce qui prévient contre un optimisme excessif. La **volatilité annualisée de 28,5%** place le titre dans la catégorie modérée (15-30%), proche du seuil supérieur, cohérent avec un profil bancaire de qualité mais sensible aux flux de marché.</w:t>
      </w:r>
    </w:p>
    <w:p>
      <w:pPr>
        <w:spacing w:after="120" w:line="276" w:lineRule="auto"/>
      </w:pPr>
      <w:r>
        <w:t>---</w:t>
      </w:r>
    </w:p>
    <w:p>
      <w:pPr>
        <w:spacing w:after="120" w:line="276" w:lineRule="auto"/>
      </w:pPr>
      <w:r>
        <w:t>## PARTIE 2 : ANALYSE TECHNIQUE DÉTAILLÉE</w:t>
      </w:r>
    </w:p>
    <w:p>
      <w:pPr>
        <w:spacing w:after="120" w:line="276" w:lineRule="auto"/>
      </w:pPr>
      <w:r>
        <w:t>**Moyennes Mobiles** — La MM20 (**8 934,75 FCFA**) et la MM50 (**9 098,0 FCFA**) se situent toutes deux au-dessus du cours actuel (8 725 FCFA), avec une MM20 inférieure à la MM50 — configuration baissière de court terme. Le cours évolue sous ses deux moyennes, ce qui justifie la **décision de Vente** : la pression vendeuse domine et la tendance de fond s'est retournée à la baisse.</w:t>
      </w:r>
    </w:p>
    <w:p>
      <w:pPr>
        <w:spacing w:after="120" w:line="276" w:lineRule="auto"/>
      </w:pPr>
      <w:r>
        <w:t>**Bandes de Bollinger** — Le cours (8 725 FCFA) se situe dans la moitié inférieure de la bande, entre la borne inférieure (**8 531,38 FCFA**) et la borne supérieure (**9 338,12 FCFA**), sans en toucher les extrêmes. La largeur de la bande (~807 FCFA) reflète une volatilité contenue, et la position du cours suggère une pression baissière modérée mais sans excès — d'où la **décision Neutre** : ni signal d'achat sur rebond, ni signal de vente sur cassure.</w:t>
      </w:r>
    </w:p>
    <w:p>
      <w:pPr>
        <w:spacing w:after="120" w:line="276" w:lineRule="auto"/>
      </w:pPr>
      <w:r>
        <w:t>**MACD** — La valeur du MACD (**-93,503**) est inférieure à son signal (**-76,404**), avec un histogramme négatif : la dynamique baissière est confirmée et le momentum reste orienté à la baisse. Cette configuration justifie pleinement la **décision de Vente**, le croisement baissier n'ayant pas encore montré de retournement.</w:t>
      </w:r>
    </w:p>
    <w:p>
      <w:pPr>
        <w:spacing w:after="120" w:line="276" w:lineRule="auto"/>
      </w:pPr>
      <w:r>
        <w:t>**RSI** — À **37,443**, le RSI se situe dans la zone neutre basse (30-70), sans atteindre la zone de survente (&lt;30). Le titre n'est donc ni survendu ni suracheté, ce qui justifie la **décision Neutre** : le potentiel de rebond technique existe mais n'est pas encore activé, et une poursuite de la baisse reste possible avant tout signal d'achat.</w:t>
      </w:r>
    </w:p>
    <w:p>
      <w:pPr>
        <w:spacing w:after="120" w:line="276" w:lineRule="auto"/>
      </w:pPr>
      <w:r>
        <w:t>**Stochastique** — Le %K (**5,435**) est très bas et inférieur au %D (**23,551**), plaçant l'indicateur en zone de survente profonde. Cette configuration extrême justifie la **décision d'Achat** : un rebond technique est statistiquement probable à court terme, le %K étant proche de son plancher.</w:t>
      </w:r>
    </w:p>
    <w:p>
      <w:pPr>
        <w:spacing w:after="120" w:line="276" w:lineRule="auto"/>
      </w:pPr>
      <w:r>
        <w:t>**Conclusion technique** — Les indicateurs sont majoritairement baissiers (MM, MACD) mais le Stochastique en survente profonde et le RSI neutre-bas suggèrent un possible rebond technique à court terme. La divergence entre le signal de vente des moyennes/MACD et le signal d'achat du Stochastique traduit une phase de consolidation : le titre pourrait tester la borne inférieure de Bollinger (8 531 FCFA) avant de rebondir. La prudence reste de mise tant que le cours n'aura pas reconquis la MM20 (8 935 FCFA).</w:t>
      </w:r>
    </w:p>
    <w:p>
      <w:pPr>
        <w:spacing w:after="120" w:line="276" w:lineRule="auto"/>
      </w:pPr>
      <w:r>
        <w:t>---</w:t>
      </w:r>
    </w:p>
    <w:p>
      <w:pPr>
        <w:spacing w:after="120" w:line="276" w:lineRule="auto"/>
      </w:pPr>
      <w:r>
        <w:t>## PARTIE 3 : ANALYSE FONDAMENTALE</w:t>
      </w:r>
    </w:p>
    <w:p>
      <w:pPr>
        <w:spacing w:after="120" w:line="276" w:lineRule="auto"/>
      </w:pPr>
      <w:r>
        <w:t>Les états financiers **2025** de la SIBC (données structurées officielles) révèlent une banque de très haute qualité : un **PNB de 108,663 Mds FCFA**, un **résultat net de 55,623 Mds FCFA**, un **ROE de 27,16%** (largement supérieur au seuil de 15% d'excellence) et un **ROA de 2,96%**. Le **coefficient d'exploitation de 38,59%** — très en dessous du seuil de 60% — confirme une efficacité opérationnelle remarquable, tandis que la **marge nette de 51,19%** témoigne d'une rentabilité exceptionnelle. Le **coût du risque** rapporté aux charges financières apparaît élevé dans les données structurées, mais les rapports narratifs récents le nuancent fortement : le **rapport S1 2026 (analysé le 29/09/2026)** indique un coût du risque de seulement **287 M FCFA (-75,3%)**, signe d'un portefeuille de crédit assaini. La structure de bilan montre une **transformation bancaire saine** : dépôts clientèle de **1 503,44 Mds FCFA** contre créances clientèle de **1 226,72 Mds FCFA**, soit un ratio de transformation de ~82%, et une **solvabilité générale de 112,21%** (&gt;1 = solvable). L'**autonomie financière de 10,88%** paraît faible, mais elle est structurelle au modèle bancaire (les dépôts étant la ressource principale) et le ratio de solvabilité réglementaire reste confortablement supérieur à 11,5%.</w:t>
      </w:r>
    </w:p>
    <w:p>
      <w:pPr>
        <w:spacing w:after="120" w:line="276" w:lineRule="auto"/>
      </w:pPr>
      <w:r>
        <w:t>Sur le plan de la **dynamique**, le rapport **T1 2026 (07/05/2026)** montre un PNB de 27,7 Mds FCFA (+4%) et un résultat net de 15,2 Mds FCFA (+11%), tandis que le **S1 2026 (29/09/2026)** confirme un PNB de 56,592 Mds FCFA (+4,2%) et un résultat net de 32,14 Mds FCFA (+9,3%), avec des crédits et dépôts en croissance de +12%. Le rapport **T3 2025 (30/09/2025)** affichait déjà un PNB cumulé de 81,4 Mds (+8%) et un résultat net de 43,0 Mds (+11%), et le **rapport annuel 2024** un PNB de 102,8 Mds (+8%) et un résultat net de 50,2 Mds (+15%) avec un dividende de 375 FCFA/action (rendement ~10,55%). **Estimation** : sur la base du rythme S1 2026 (+9,3% de résultat net), l'exercice 2026 devrait dépasser les 60 Mds FCFA de résultat net, confirmant une trajectoire de croissance rentable et régulière. La recommandation fondamentale est **CONSERVER avec biais positif** : solidité, croissance et efficacité sont au rendez-vous, mais la valorisation exigeante (P/B 4,26x) et l'absence de visibilité sur le dividende 2026 limitent le potentiel immédiat.</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tableau contrasté. Sur la **valorisation (Partie 0)**, le PER de 15,7x et le P/B de 4,26x indiquent une légère surévaluation relative — le marché paie la qualité, mais la marge de sécurité est mince. Le **comportement du cours (Partie 1)** montre une tendance haussière de fond (+13,31% sur 100 jours) mais un retournement récent (-1,97% en J-1), avec un kurtosis élevé (4,649) et un skewness négatif (-1,523) qui préviennent contre les pics baissiers — profil préoccupant à court terme. Les **signaux techniques (Partie 2)** sont majoritairement baissiers (cours sous MM20/MM50, MACD négatif) mais le Stochastique en survente profonde (5,435) suggère un rebond technique imminent : il y a divergence entre momentum baissier et excès de vente. Les **fondamentaux (Partie 3)** restent excellents (ROE 27,16%, coefficient d'exploitation 38,59%, résultat net +9,3% au S1 2026), mais la valorisation intègre déjà cette qualité. Enfin, les **prédictions IA (J+1 à J+10)** anticipent une poursuite de la baisse de 8 675 à 8 494 FCFA, confirmant la pression baissière de court terme et contredisant le rebond suggéré par le Stochastique.</w:t>
      </w:r>
    </w:p>
    <w:p>
      <w:pPr>
        <w:spacing w:after="120" w:line="276" w:lineRule="auto"/>
      </w:pPr>
      <w:r>
        <w:t>**Recommandation finale : CONSERVER** — La convergence entre valorisation exigeante, technique baissière et prédictions IA à la baisse plaide contre un achat immédiat, tandis que la solidité fondamentale (ROE &gt;27%, croissance à deux chiffres de l'activité) interdit une vente. **Niveau de confiance : Moyen** (les signaux techniques et fondamentaux divergent partiellement). **Niveau de risque global : Moyen** (volatilité modérée à 28,5%, mais valorisation tendue). **Horizon optimal : moyen terme (3-12 mois)** — attendre une correction vers la borne inférieure de Bollinger (8 531 FCFA) ou la publication des résultats annuels 2026 pour renforcer la position, avec un objectif de rendement total (dividende + appréciation) attractif pour un investisseur patient.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"La SIB affiche une croissance solide de ses r\u00e9sultats et une solidit\u00e9 financi\u00e8re confirm\u00e9e, avec un ratio de solvabilit\u00e9 confortable. Toutefois, l'absence d'information sur le dividende et la valorisation limite le potentiel d'achat \u00e0 court terme."}</w:t>
      </w:r>
    </w:p>
    <w:p>
      <w:pPr>
        <w:spacing w:before="40"/>
        <w:ind w:left="400"/>
      </w:pPr>
      <w:r>
        <w:rPr>
          <w:sz w:val="18"/>
        </w:rPr>
        <w:t>La Société Ivoirienne de Banque (SIB) a réalisé une performance solide au premier semestre 2026, avec un Produit Net Bancaire de 56,6 milliards FCFA en hausse de 4% et un Résultat Net de 32,1 milliards FCFA en progression de 9%. La dynamique commerciale est confirmée par une croissance de 12% des crédits à la clientèle (1 169 milliards FCFA) et des dépôts (1 581 milliards FCFA). La banque maintient une solidité financière avec un ratio de solvabilité bien supérieur au minimum réglementaire de 11,5%. Ces résultats ont été salués par une double distinction internationale aux International Banker Awards 2026. Pour le second semestre, la SIB entend poursuivre son plan stratégique en accélérant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'1 581 milliards FCFA', 'credits_clientele': '1 169 milliards FCFA', 'ratio_solvabilite': '&gt; 11,5%', 'produit_net_bancaire': '56,6 milliards FCFA', 'resultat_brut_exploitation': '36,6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1 968 296 millions FCFA</w:t>
            </w:r>
          </w:p>
        </w:tc>
      </w:tr>
      <w:tr>
        <w:tc>
          <w:tcPr>
            <w:tcW w:type="dxa" w:w="2160"/>
          </w:tcPr>
          <w:p>
            <w:r/>
            <w:r>
              <w:rPr>
                <w:b/>
                <w:sz w:val="16"/>
              </w:rPr>
              <w:t>resultat_net</w:t>
              <w:br/>
            </w:r>
            <w:r>
              <w:rPr>
                <w:sz w:val="18"/>
              </w:rPr>
              <w:t>32,1 milliards FCFA</w:t>
            </w:r>
          </w:p>
        </w:tc>
        <w:tc>
          <w:tcPr>
            <w:tcW w:type="dxa" w:w="2160"/>
          </w:tcPr>
          <w:p>
            <w:r/>
            <w:r>
              <w:rPr>
                <w:b/>
                <w:sz w:val="16"/>
              </w:rPr>
              <w:t>capitaux_propres</w:t>
              <w:br/>
            </w:r>
            <w:r>
              <w:rPr>
                <w:sz w:val="18"/>
              </w:rPr>
              <w:t>204 764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4% à 56,6 milliards FCFA</w:t>
      </w:r>
    </w:p>
    <w:p>
      <w:pPr>
        <w:pStyle w:val="ListBullet"/>
        <w:spacing w:before="20" w:after="20"/>
        <w:ind w:left="700"/>
      </w:pPr>
      <w:r>
        <w:rPr>
          <w:sz w:val="18"/>
        </w:rPr>
        <w:t>Résultat Net en progression de 9% à 32,1 milliards FCFA</w:t>
      </w:r>
    </w:p>
    <w:p>
      <w:pPr>
        <w:pStyle w:val="ListBullet"/>
        <w:spacing w:before="20" w:after="20"/>
        <w:ind w:left="700"/>
      </w:pPr>
      <w:r>
        <w:rPr>
          <w:sz w:val="18"/>
        </w:rPr>
        <w:t>Crédits à la clientèle en croissance de 12% à 1 169 milliards FCFA</w:t>
      </w:r>
    </w:p>
    <w:p>
      <w:pPr>
        <w:pStyle w:val="ListBullet"/>
        <w:spacing w:before="20" w:after="20"/>
        <w:ind w:left="700"/>
      </w:pPr>
      <w:r>
        <w:rPr>
          <w:sz w:val="18"/>
        </w:rPr>
        <w:t>Dépôts de la clientèle en hausse de 12% à 1 581 milliards FCFA</w:t>
      </w:r>
    </w:p>
    <w:p>
      <w:pPr>
        <w:pStyle w:val="ListBullet"/>
        <w:spacing w:before="20" w:after="20"/>
        <w:ind w:left="700"/>
      </w:pPr>
      <w:r>
        <w:rPr>
          <w:sz w:val="18"/>
        </w:rPr>
        <w:t>Résultat Brut d'Exploitation en augmentation de 6% à 36,6 milliards FCFA</w:t>
      </w:r>
    </w:p>
    <w:p>
      <w:pPr>
        <w:pStyle w:val="ListBullet"/>
        <w:spacing w:before="20" w:after="20"/>
        <w:ind w:left="700"/>
      </w:pPr>
      <w:r>
        <w:rPr>
          <w:sz w:val="18"/>
        </w:rPr>
        <w:t>Ratio de solvabilité largement supérieur au seuil réglementaire de 11,5%</w:t>
      </w:r>
    </w:p>
    <w:p>
      <w:pPr>
        <w:spacing w:before="40"/>
        <w:ind w:left="400"/>
      </w:pPr>
      <w:r>
        <w:rPr>
          <w:b/>
          <w:color w:val="C05000"/>
          <w:sz w:val="18"/>
        </w:rPr>
        <w:t xml:space="preserve">⚠️ Risques : </w:t>
      </w:r>
      <w:r>
        <w:rPr>
          <w:sz w:val="18"/>
        </w:rPr>
        <w:t>["Concurrence bancaire accrue dans un environnement de march\u00e9 exigeant", "Renforcement des standards r\u00e9glementaires pouvant impacter les co\u00fbts de conformit\u00e9", "Exposition \u00e0 des chocs exog\u00e8nes majeurs dans un environnement r\u00e9gional incertain"]</w:t>
      </w:r>
    </w:p>
    <w:p>
      <w:pPr>
        <w:spacing w:before="40"/>
        <w:ind w:left="400"/>
      </w:pPr>
      <w:r>
        <w:rPr>
          <w:b/>
          <w:color w:val="0064A0"/>
          <w:sz w:val="18"/>
        </w:rPr>
        <w:t xml:space="preserve">🔮 Perspectives : </w:t>
      </w:r>
      <w:r>
        <w:rPr>
          <w:sz w:val="18"/>
        </w:rPr>
        <w:t xml:space="preserve">Pour le second semestre 2026, la SIB poursuivra l'exécution de son plan stratégique en accélérant la modernisation de ses services et en renforçant ses standards de gouvernance. La banque bénéficie d'un environnement régional globalement porteur, sous réserve de l'absence de chocs exogènes majeurs.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
      <w:r>
        <w:t>════════════════════════════════════════════════════════════════════════════════</w:t>
      </w:r>
    </w:p>
    <w:p>
      <w:r>
        <w:br w:type="page"/>
      </w:r>
    </w:p>
    <w:p>
      <w:pPr>
        <w:pStyle w:val="Heading2"/>
        <w:spacing w:before="360"/>
      </w:pPr>
      <w:r>
        <w:rPr>
          <w:color w:val="0066CC"/>
        </w:rPr>
        <w:t>36.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N/D</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34.2/100 → Moyen</w:t>
      </w:r>
    </w:p>
    <w:p>
      <w:pPr>
        <w:spacing w:before="40" w:after="80"/>
      </w:pPr>
      <w:r>
        <w:rPr>
          <w:rFonts w:ascii="Courier New" w:hAnsi="Courier New"/>
          <w:color w:val="825A00"/>
          <w:sz w:val="18"/>
        </w:rPr>
        <w:t>██████░░░░░░░░░░░░░░  34.2/100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β=-1.0920 (Contre-cyclique) — Cov=-0.000043, Var(idx)=0.000040, ρ=-0.177, n=79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52/100  (Moyen)</w:t>
      </w:r>
    </w:p>
    <w:p/>
    <w:p>
      <w:pPr>
        <w:jc w:val="center"/>
      </w:pPr>
      <w:r>
        <w:drawing>
          <wp:inline xmlns:a="http://schemas.openxmlformats.org/drawingml/2006/main" xmlns:pic="http://schemas.openxmlformats.org/drawingml/2006/picture">
            <wp:extent cx="5669280" cy="2598627"/>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598627"/>
                    </a:xfrm>
                    <a:prstGeom prst="rect"/>
                  </pic:spPr>
                </pic:pic>
              </a:graphicData>
            </a:graphic>
          </wp:inline>
        </w:drawing>
      </w:r>
    </w:p>
    <w:p/>
    <w:p>
      <w:pPr>
        <w:spacing w:after="120" w:line="276" w:lineRule="auto"/>
      </w:pPr>
      <w:r>
        <w:t># RAPPORT D'ANALYSE FINANCIÈRE — SICOR (SICC)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SICOR s'établit à **5,04 milliards FCFA**, un niveau modeste à l'échelle de la BRVM qui la classe parmi les petites capitalisations du compartiment agro-industriel. Les ratios de valorisation classiques (BPA, PER, P/B, EV/EBITDA) ne sont pas calculables en l'état, faute de données financières structurées exploitables dans la base et en raison d'un historique de résultats nets erratiques (alternance de bénéfices et de pertes entre 2015 et 2023). Cette absence de ratios signifie que le marché valorise aujourd'hui SICOR davantage sur des anticipations de redressement que sur des fondamentaux stabilisés — un point essentiel à garder en tête pour l'interprétation de la suite de ce rapport.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SICOR affiche une performance spectaculaire de **+95,35%**, portant le cours à **8 400 FCFA**, malgré un repli de **-1,12%** lors de la dernière séance. Le titre a évolué dans un range très large, entre un plus bas de **3 985 FCFA** et un plus haut de **10 200 FCFA**, soit un écart de plus de 150% entre les extrêmes — signe d'une tendance nettement haussière mais heurtée. Les statistiques descriptives confirment cette asymétrie : la moyenne (**5 815 FCFA**) dépasse sensiblement la médiane (**5 022 FCFA**), et le mode se situe à **4 380 FCFA**, indiquant que le cours a passé davantage de séances dans la partie basse de sa distribution avant une accélération récente vers les sommets. L'écart-type de **1 813 FCFA** avec un coefficient de variation de **31,2%** traduit une dispersion élevée du cours autour de sa moyenne. Le kurtosis de **-0,630** (mésokurtique) suggère une distribution proche de la normale, sans pics extrêmes marqués, tandis que le skewness de **+0,913** confirme une asymétrie positive avec davantage de journées sous la moyenne — typique d'un titre en phase d'accumulation puis d'explosion haussière. La volatilité annualisée de **58,2%** place clairement SICOR dans la catégorie des titres à volatilité **élevée** (&gt;30%), ce qui implique un risque de correction significatif et justifie une gestion prudente des positions.</w:t>
      </w:r>
    </w:p>
    <w:p>
      <w:pPr>
        <w:spacing w:after="120" w:line="276" w:lineRule="auto"/>
      </w:pPr>
      <w:r>
        <w:t>---</w:t>
      </w:r>
    </w:p>
    <w:p>
      <w:pPr>
        <w:spacing w:after="120" w:line="276" w:lineRule="auto"/>
      </w:pPr>
      <w:r>
        <w:t>## PARTIE 2 : ANALYSE TECHNIQUE DÉTAILLÉE</w:t>
      </w:r>
    </w:p>
    <w:p>
      <w:pPr>
        <w:spacing w:after="120" w:line="276" w:lineRule="auto"/>
      </w:pPr>
      <w:r>
        <w:t>**Moyennes Mobiles** : Les MM20 et MM50 ne sont pas disponibles (valeurs non calculées), ce qui empêche toute lecture classique de croisement ou de positionnement relatif au cours actuel. En l'absence de ces repères, la décision technique reste indéterminée, et il convient de se rabattre sur les autres indicateurs ou sur une reconstruction manuelle à partir de l'historique de cours.</w:t>
      </w:r>
    </w:p>
    <w:p>
      <w:pPr>
        <w:spacing w:after="120" w:line="276" w:lineRule="auto"/>
      </w:pPr>
      <w:r>
        <w:t>**Bandes de Bollinger** : Les bornes supérieure et inférieure ne sont pas calculées, rendant impossible l'évaluation de la position du cours par rapport à sa volatilité normale. La décision reste donc neutre/indéterminée sur cet indicateur, bien que la volatilité annualisée de 58,2% suggère des bandes très larges si elles étaient calculées.</w:t>
      </w:r>
    </w:p>
    <w:p>
      <w:pPr>
        <w:spacing w:after="120" w:line="276" w:lineRule="auto"/>
      </w:pPr>
      <w:r>
        <w:t>**MACD** : La valeur du MACD et sa ligne de signal ne sont pas disponibles, empêchant l'analyse de la divergence et du momentum. La décision reste indéterminée, mais la forte hausse récente (+95% sur 100 jours) plaide intuitivement pour un momentum haussier encore présent, avec un risque de divergence baissière à surveiller.</w:t>
      </w:r>
    </w:p>
    <w:p>
      <w:pPr>
        <w:spacing w:after="120" w:line="276" w:lineRule="auto"/>
      </w:pPr>
      <w:r>
        <w:t>**RSI** : Le RSI n'est pas calculé, donc impossible de statuer sur une zone de surachat (&gt;70) ou de survente (&lt;30). Compte tenu de la progression de +95% en 100 jours, un RSI élevé (probablement &gt;70) serait cohérent avec une phase de surachat, ce qui appellerait à la prudence sur un point d'entrée.</w:t>
      </w:r>
    </w:p>
    <w:p>
      <w:pPr>
        <w:spacing w:after="120" w:line="276" w:lineRule="auto"/>
      </w:pPr>
      <w:r>
        <w:t>**Stochastique** : Les %K et %D ne sont pas disponibles, empêchant l'analyse du croisement et de la position relative. La décision reste indéterminée sur cet indicateur.</w:t>
      </w:r>
    </w:p>
    <w:p>
      <w:pPr>
        <w:spacing w:after="120" w:line="276" w:lineRule="auto"/>
      </w:pPr>
      <w:r>
        <w:t>**Conclusion technique** : L'ensemble des indicateurs techniques étant non calculés (valeurs manquantes), aucune convergence ou divergence ne peut être formellement établie. Toutefois, la lecture du cours brut — hausse de +95% en 100 jours, volatilité de 58,2%, skewness positive — suggère un titre en forte tendance haussière mais potentiellement en zone de surachat, avec un risque de correction à court terme. La prudence technique est donc de mise, en attendant la disponibilité des indicateurs pour confirmer ou infirmer cette lecture.</w:t>
      </w:r>
    </w:p>
    <w:p>
      <w:pPr>
        <w:spacing w:after="120" w:line="276" w:lineRule="auto"/>
      </w:pPr>
      <w:r>
        <w:t>---</w:t>
      </w:r>
    </w:p>
    <w:p>
      <w:pPr>
        <w:spacing w:after="120" w:line="276" w:lineRule="auto"/>
      </w:pPr>
      <w:r>
        <w:t>## PARTIE 3 : ANALYSE FONDAMENTALE (SECTION CRITIQUE)</w:t>
      </w:r>
    </w:p>
    <w:p>
      <w:pPr>
        <w:spacing w:after="120" w:line="276" w:lineRule="auto"/>
      </w:pPr>
      <w:r>
        <w:t>Les états financiers officiels disponibles pour SICOR couvrent les exercices **2015 à 2023**, avec une analyse détaillée des rapports annuels 2022 et 2023 (rapports MISTRAL datés du 15/03/2026) et un rapport 2024 partiellement disponible (GEMINI-VISION, 06/09/2026). En **2023**, le chiffre d'affaires s'établit à **701,09 millions FCFA**, en chute de **38,4%** par rapport aux **1 138,17 millions FCFA** de 2022, poursuivant une dégradation entamée dès 2021 (1 380,99 M FCFA). Malgré cette contraction, SICOR renoue avec le bénéfice en **2023** avec un résultat net de **+19,25 millions FCFA** (marge nette de **2,75%**), contre une perte de **-39,95 millions FCFA** en **2022** (marge de **-3,51%**) — retour à la profitabilité obtenu grâce à une réduction drastique des charges (-43,68%), notamment via le transfert de 50% du personnel vers la filiale SIPAL. L'évolution historique montre une grande instabilité : bénéfice de **+434,87 M FCFA en 2015**, chute à **+53,31 M FCFA en 2016** (marge 3,39%), puis **+100,57 M FCFA en 2017** (marge 6,44%), avant une longue période de volatilité aboutissant aux pertes de 2022. Les capitaux propres restent fragiles, avec des pertes cumulées de **689,86 millions FCFA** à fin 2023, et aucun dividende n'a été distribué depuis 2019 (dernier DPA de 50 FCFA en 2017). Le rapport 2024 (GEMINI-VISION, exercice clos 31/12/2024) confirme la tenue d'une AGO le 22 mai 2026 pour approuver les comptes 2024, sans que les chiffres détaillés de cet exercice ne soient encore intégralement disponibles dans les données fournies. Sur le plan sectoriel (agro-industrie — transformation coco/coprah), les risques opérationnels restent majeurs : vols de noix de coco sur les sites de Boulay et Gliké, dépendance aux cours mondiaux du coprah, concurrence asiatique, et trésorerie tendue (découverts bancaires multipliés par 14 en 2023). La recommandation fondamentale est donc **CONSERVER avec vigilance** : le retour à la profitabilité en 2023 est encourageant, mais la fragilité de la structure financière (pertes cumulées, absence de dividende, dépendance à la maîtrise des coûts) et l'absence de données 2024 complètes imposent une grande prudence.</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dresse un tableau contrasté. **Valorisation (Partie 0)** : les ratios sont indisponibles, mais la capitalisation de 5,04 Mds FCFA sur un titre ayant doublé en 100 jours suggère une valorisation qui n'est plus bon marché — le marché a déjà intégré une bonne partie du redressement. **Comportement du cours (Partie 1)** : la tendance est nettement haussière (+95,35%), mais la volatilité élevée (58,2%), le skewness positif (+0,913) et le kurtosis mésokurtique (-0,630) indiquent un titre nerveux, avec un risque de correction après un tel rallye. **Signaux techniques (Partie 2)** : tous les indicateurs étant non calculés, aucune convergence formelle ne peut être établie — c'est un point de faiblesse majeur de l'analyse, qui appelle à la prudence. **Fondamentaux (Partie 3)** : le retour au bénéfice en 2023 (+19,25 M FCFA) est un signal positif, mais la fragilité structurelle (CA en baisse de 38,4%, pertes cumulées de 689,86 M FCFA, absence de dividende depuis 2019, trésorerie tendue) limite fortement la solidité du dossier. **Prédictions IA** : aucune prédiction n'est disponible pour J+1 à J+10, ce qui ne permet ni confirmation ni infirmation des autres signaux. Sur cette base, la recommandation finale est **CONSERVER**, avec un **niveau de confiance moyen** (faute d'indicateurs techniques et de prédictions disponibles) et un **niveau de risque élevé** (volatilité de 58,2%, fragilité financière, dépendance aux cours du coprah). L'horizon optimal est le **moyen terme (3-12 mois)**, le temps que les comptes 2024 soient publiés et que les indicateurs techniques se reconstituent pour confirmer ou infirmer la tendance haussière actuelle. Un investisseur déjà positionné peut conserver en surveillant les niveaux de support (autour de 5 000-5 800 FCFA, zone de la moyenne/médiane) ; un nouvel entrant devrait attendre une consolidation ou la publication des résultats 2024 avant de s'exposer, compte tenu du risque de correction après un rallye de +95%.</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"La soci\u00e9t\u00e9 affiche une perte nette importante et des capitaux propres n\u00e9gatifs, avec une tr\u00e9sorerie n\u00e9gative. La situation financi\u00e8re est tr\u00e8s d\u00e9grad\u00e9e et pr\u00e9sente un risque \u00e9lev\u00e9 pour les investisseurs."}</w:t>
      </w:r>
    </w:p>
    <w:p>
      <w:pPr>
        <w:spacing w:before="40"/>
        <w:ind w:left="400"/>
      </w:pPr>
      <w:r>
        <w:rPr>
          <w:sz w:val="18"/>
        </w:rPr>
        <w:t>SICOR a réalisé un chiffre d'affaires de 1 936 644 069 FCFA en 2016, en hausse par rapport à 1 753 708 684 FCFA en 2015. Malgré cette croissance, la société a enregistré une perte nette de 348 996 972 FCFA en 2016, contre un bénéfice de 200 831 393 FCFA en 2015. La situation financière s'est dégradée avec des capitaux propres négatifs de -2 324 836 575 FCFA et un total bilan de 1 521 953 318 FCFA. La trésorerie est négative à -182 935 385 FCFA, et la capacité d'autofinancement est négative à -216 841 179 FCFA. Les commissaires aux comptes ont certifié les comptes, mais la société fait face à des difficultés financières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'-216 841 179 FCFA', 'tresorerie_actif': '-182 935 385 FCFA', 'resultat_financier': '-35 460 457 FCFA', 'resultat_exploitation': '-198 429 842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-18,02%</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-348 996 972 FCFA</w:t>
            </w:r>
          </w:p>
        </w:tc>
        <w:tc>
          <w:tcPr>
            <w:tcW w:type="dxa" w:w="2160"/>
          </w:tcPr>
          <w:p>
            <w:r/>
            <w:r>
              <w:rPr>
                <w:b/>
                <w:sz w:val="16"/>
              </w:rPr>
              <w:t>capitaux_propres</w:t>
              <w:br/>
            </w:r>
            <w:r>
              <w:rPr>
                <w:sz w:val="18"/>
              </w:rPr>
              <w:t>-2 324 836 575 FCFA</w:t>
            </w:r>
          </w:p>
        </w:tc>
        <w:tc>
          <w:tcPr>
            <w:tcW w:type="dxa" w:w="2160"/>
          </w:tcPr>
          <w:p>
            <w:r/>
            <w:r>
              <w:rPr>
                <w:b/>
                <w:sz w:val="16"/>
              </w:rPr>
              <w:t>chiffre_affaires</w:t>
              <w:br/>
            </w:r>
            <w:r>
              <w:rPr>
                <w:sz w:val="18"/>
              </w:rPr>
              <w:t>1 936 644 069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1 936 644 069 FCFA en 2016.</w:t>
      </w:r>
    </w:p>
    <w:p>
      <w:pPr>
        <w:pStyle w:val="ListBullet"/>
        <w:spacing w:before="20" w:after="20"/>
        <w:ind w:left="700"/>
      </w:pPr>
      <w:r>
        <w:rPr>
          <w:sz w:val="18"/>
        </w:rPr>
        <w:t>Résultat net négatif de -348 996 972 FCFA contre un bénéfice de 200 831 393 FCFA en 2015.</w:t>
      </w:r>
    </w:p>
    <w:p>
      <w:pPr>
        <w:pStyle w:val="ListBullet"/>
        <w:spacing w:before="20" w:after="20"/>
        <w:ind w:left="700"/>
      </w:pPr>
      <w:r>
        <w:rPr>
          <w:sz w:val="18"/>
        </w:rPr>
        <w:t>Capitaux propres négatifs de -2 324 836 575 FCFA.</w:t>
      </w:r>
    </w:p>
    <w:p>
      <w:pPr>
        <w:pStyle w:val="ListBullet"/>
        <w:spacing w:before="20" w:after="20"/>
        <w:ind w:left="700"/>
      </w:pPr>
      <w:r>
        <w:rPr>
          <w:sz w:val="18"/>
        </w:rPr>
        <w:t>Total bilan de 1 521 953 318 FCFA en 2016 contre 3 576 424 374 FCFA en 2015.</w:t>
      </w:r>
    </w:p>
    <w:p>
      <w:pPr>
        <w:pStyle w:val="ListBullet"/>
        <w:spacing w:before="20" w:after="20"/>
        <w:ind w:left="700"/>
      </w:pPr>
      <w:r>
        <w:rPr>
          <w:sz w:val="18"/>
        </w:rPr>
        <w:t>Trésorerie négative de -182 935 385 FCFA.</w:t>
      </w:r>
    </w:p>
    <w:p>
      <w:pPr>
        <w:pStyle w:val="ListBullet"/>
        <w:spacing w:before="20" w:after="20"/>
        <w:ind w:left="700"/>
      </w:pPr>
      <w:r>
        <w:rPr>
          <w:sz w:val="18"/>
        </w:rPr>
        <w:t>Capacité d'autofinancement négative de -216 841 179 FCFA.</w:t>
      </w:r>
    </w:p>
    <w:p>
      <w:pPr>
        <w:spacing w:before="40"/>
        <w:ind w:left="400"/>
      </w:pPr>
      <w:r>
        <w:rPr>
          <w:b/>
          <w:color w:val="C05000"/>
          <w:sz w:val="18"/>
        </w:rPr>
        <w:t xml:space="preserve">⚠️ Risques : </w:t>
      </w:r>
      <w:r>
        <w:rPr>
          <w:sz w:val="18"/>
        </w:rPr>
        <w:t>["Risque de faillite ou de liquidation en raison de capitaux propres n\u00e9gatifs.", "Risque de liquidit\u00e9 avec une tr\u00e9sorerie n\u00e9gative et une capacit\u00e9 d'autofinancement n\u00e9gative.", "Risque op\u00e9rationnel avec une perte nette malgr\u00e9 la croissance du chiffre d'affaire</w:t>
      </w:r>
    </w:p>
    <w:p>
      <w:pPr>
        <w:spacing w:before="40"/>
        <w:ind w:left="400"/>
      </w:pPr>
      <w:r>
        <w:rPr>
          <w:b/>
          <w:color w:val="0064A0"/>
          <w:sz w:val="18"/>
        </w:rPr>
        <w:t xml:space="preserve">🔮 Perspectives : </w:t>
      </w:r>
      <w:r>
        <w:rPr>
          <w:sz w:val="18"/>
        </w:rPr>
        <w:t>Les perspectives pour 2017 sont incertaines. La société doit restaurer sa rentabilité et sa structure financière pour éviter la cessation de paiement. Une recapitalisation ou une restructuration pourrait être nécessaire.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
      <w:r>
        <w:t>════════════════════════════════════════════════════════════════════════════════</w:t>
      </w:r>
    </w:p>
    <w:p>
      <w:r>
        <w:br w:type="page"/>
      </w:r>
    </w:p>
    <w:p>
      <w:pPr>
        <w:pStyle w:val="Heading2"/>
        <w:spacing w:before="360"/>
      </w:pPr>
      <w:r>
        <w:rPr>
          <w:color w:val="0066CC"/>
        </w:rPr>
        <w:t>37.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15.63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5,345 titres</w:t>
            </w:r>
          </w:p>
        </w:tc>
        <w:tc>
          <w:tcPr>
            <w:tcW w:type="dxa" w:w="2268"/>
            <w:shd w:fill="FFF2CC" w:val="clear"/>
          </w:tcPr>
          <w:p>
            <w:r>
              <w:rPr>
                <w:b/>
                <w:color w:val="503200"/>
                <w:sz w:val="16"/>
              </w:rPr>
              <w:t xml:space="preserve">Cours actuel : </w:t>
            </w:r>
            <w:r>
              <w:rPr>
                <w:color w:val="000000"/>
                <w:sz w:val="17"/>
              </w:rPr>
              <w:t>1,790 FCFA</w:t>
            </w:r>
          </w:p>
          <w:p>
            <w:r>
              <w:rPr>
                <w:b/>
                <w:color w:val="503200"/>
                <w:sz w:val="16"/>
              </w:rPr>
              <w:t xml:space="preserve">Var. 100 jours : </w:t>
            </w:r>
            <w:r>
              <w:rPr>
                <w:b/>
                <w:color w:val="B40000"/>
                <w:sz w:val="17"/>
              </w:rPr>
              <w:t>-37.74%</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1,790 FCFA</w:t>
            </w:r>
          </w:p>
          <w:p>
            <w:r>
              <w:rPr>
                <w:b/>
                <w:color w:val="503200"/>
                <w:sz w:val="16"/>
              </w:rPr>
              <w:t xml:space="preserve">Volatilité ann. : </w:t>
            </w:r>
            <w:r>
              <w:rPr>
                <w:color w:val="000000"/>
                <w:sz w:val="17"/>
              </w:rPr>
              <w:t>54.3%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12.30% (Moyenne) — μ=2,347 FCFA, σ=289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β=0.5279 (Défensif) — Cov=0.000040, Var(idx)=0.000077, ρ=0.134,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σ_j=3.42%/j (Modérée) — Vol. annualisée≈54.3%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2026-10-19</w:t>
            </w:r>
          </w:p>
        </w:tc>
        <w:tc>
          <w:tcPr>
            <w:tcW w:type="dxa" w:w="1440"/>
            <w:shd w:fill="C6EFCE" w:val="clear"/>
          </w:tcPr>
          <w:p>
            <w:r>
              <w:rPr>
                <w:sz w:val="17"/>
              </w:rPr>
              <w:t>1,757</w:t>
            </w:r>
          </w:p>
        </w:tc>
        <w:tc>
          <w:tcPr>
            <w:tcW w:type="dxa" w:w="1440"/>
            <w:shd w:fill="C6EFCE" w:val="clear"/>
          </w:tcPr>
          <w:p>
            <w:r>
              <w:rPr>
                <w:b/>
                <w:sz w:val="17"/>
              </w:rPr>
              <w:t>1,849</w:t>
            </w:r>
          </w:p>
        </w:tc>
        <w:tc>
          <w:tcPr>
            <w:tcW w:type="dxa" w:w="1440"/>
            <w:shd w:fill="C6EFCE" w:val="clear"/>
          </w:tcPr>
          <w:p>
            <w:r>
              <w:rPr>
                <w:sz w:val="17"/>
              </w:rPr>
              <w:t>1,941</w:t>
            </w:r>
          </w:p>
        </w:tc>
        <w:tc>
          <w:tcPr>
            <w:tcW w:type="dxa" w:w="1440"/>
            <w:shd w:fill="C6EFCE" w:val="clear"/>
          </w:tcPr>
          <w:p>
            <w:r>
              <w:rPr>
                <w:b/>
                <w:color w:val="008000"/>
                <w:sz w:val="17"/>
              </w:rPr>
              <w:t>+3.3%</w:t>
            </w:r>
          </w:p>
        </w:tc>
      </w:tr>
      <w:tr>
        <w:tc>
          <w:tcPr>
            <w:tcW w:type="dxa" w:w="1440"/>
            <w:shd w:fill="C6EFCE" w:val="clear"/>
          </w:tcPr>
          <w:p>
            <w:r>
              <w:rPr>
                <w:sz w:val="17"/>
              </w:rPr>
              <w:t>J+2  ⭐</w:t>
            </w:r>
          </w:p>
        </w:tc>
        <w:tc>
          <w:tcPr>
            <w:tcW w:type="dxa" w:w="1440"/>
            <w:shd w:fill="C6EFCE" w:val="clear"/>
          </w:tcPr>
          <w:p>
            <w:r>
              <w:rPr>
                <w:sz w:val="17"/>
              </w:rPr>
              <w:t>2026-10-20</w:t>
            </w:r>
          </w:p>
        </w:tc>
        <w:tc>
          <w:tcPr>
            <w:tcW w:type="dxa" w:w="1440"/>
            <w:shd w:fill="C6EFCE" w:val="clear"/>
          </w:tcPr>
          <w:p>
            <w:r>
              <w:rPr>
                <w:sz w:val="17"/>
              </w:rPr>
              <w:t>1,714</w:t>
            </w:r>
          </w:p>
        </w:tc>
        <w:tc>
          <w:tcPr>
            <w:tcW w:type="dxa" w:w="1440"/>
            <w:shd w:fill="C6EFCE" w:val="clear"/>
          </w:tcPr>
          <w:p>
            <w:r>
              <w:rPr>
                <w:b/>
                <w:sz w:val="17"/>
              </w:rPr>
              <w:t>1,844</w:t>
            </w:r>
          </w:p>
        </w:tc>
        <w:tc>
          <w:tcPr>
            <w:tcW w:type="dxa" w:w="1440"/>
            <w:shd w:fill="C6EFCE" w:val="clear"/>
          </w:tcPr>
          <w:p>
            <w:r>
              <w:rPr>
                <w:sz w:val="17"/>
              </w:rPr>
              <w:t>1,975</w:t>
            </w:r>
          </w:p>
        </w:tc>
        <w:tc>
          <w:tcPr>
            <w:tcW w:type="dxa" w:w="1440"/>
            <w:shd w:fill="C6EFCE" w:val="clear"/>
          </w:tcPr>
          <w:p>
            <w:r>
              <w:rPr>
                <w:b/>
                <w:color w:val="008000"/>
                <w:sz w:val="17"/>
              </w:rPr>
              <w:t>+3.0%</w:t>
            </w:r>
          </w:p>
        </w:tc>
      </w:tr>
      <w:tr>
        <w:tc>
          <w:tcPr>
            <w:tcW w:type="dxa" w:w="1440"/>
            <w:shd w:fill="C6EFCE" w:val="clear"/>
          </w:tcPr>
          <w:p>
            <w:r>
              <w:rPr>
                <w:sz w:val="17"/>
              </w:rPr>
              <w:t>J+3  ⭐</w:t>
            </w:r>
          </w:p>
        </w:tc>
        <w:tc>
          <w:tcPr>
            <w:tcW w:type="dxa" w:w="1440"/>
            <w:shd w:fill="C6EFCE" w:val="clear"/>
          </w:tcPr>
          <w:p>
            <w:r>
              <w:rPr>
                <w:sz w:val="17"/>
              </w:rPr>
              <w:t>2026-10-21</w:t>
            </w:r>
          </w:p>
        </w:tc>
        <w:tc>
          <w:tcPr>
            <w:tcW w:type="dxa" w:w="1440"/>
            <w:shd w:fill="C6EFCE" w:val="clear"/>
          </w:tcPr>
          <w:p>
            <w:r>
              <w:rPr>
                <w:sz w:val="17"/>
              </w:rPr>
              <w:t>1,688</w:t>
            </w:r>
          </w:p>
        </w:tc>
        <w:tc>
          <w:tcPr>
            <w:tcW w:type="dxa" w:w="1440"/>
            <w:shd w:fill="C6EFCE" w:val="clear"/>
          </w:tcPr>
          <w:p>
            <w:r>
              <w:rPr>
                <w:b/>
                <w:sz w:val="17"/>
              </w:rPr>
              <w:t>1,848</w:t>
            </w:r>
          </w:p>
        </w:tc>
        <w:tc>
          <w:tcPr>
            <w:tcW w:type="dxa" w:w="1440"/>
            <w:shd w:fill="C6EFCE" w:val="clear"/>
          </w:tcPr>
          <w:p>
            <w:r>
              <w:rPr>
                <w:sz w:val="17"/>
              </w:rPr>
              <w:t>2,007</w:t>
            </w:r>
          </w:p>
        </w:tc>
        <w:tc>
          <w:tcPr>
            <w:tcW w:type="dxa" w:w="1440"/>
            <w:shd w:fill="C6EFCE" w:val="clear"/>
          </w:tcPr>
          <w:p>
            <w:r>
              <w:rPr>
                <w:b/>
                <w:color w:val="008000"/>
                <w:sz w:val="17"/>
              </w:rPr>
              <w:t>+3.2%</w:t>
            </w:r>
          </w:p>
        </w:tc>
      </w:tr>
      <w:tr>
        <w:tc>
          <w:tcPr>
            <w:tcW w:type="dxa" w:w="1440"/>
            <w:shd w:fill="C6EFCE" w:val="clear"/>
          </w:tcPr>
          <w:p>
            <w:r>
              <w:rPr>
                <w:sz w:val="17"/>
              </w:rPr>
              <w:t>J+4  ⭐</w:t>
            </w:r>
          </w:p>
        </w:tc>
        <w:tc>
          <w:tcPr>
            <w:tcW w:type="dxa" w:w="1440"/>
            <w:shd w:fill="C6EFCE" w:val="clear"/>
          </w:tcPr>
          <w:p>
            <w:r>
              <w:rPr>
                <w:sz w:val="17"/>
              </w:rPr>
              <w:t>2026-10-22</w:t>
            </w:r>
          </w:p>
        </w:tc>
        <w:tc>
          <w:tcPr>
            <w:tcW w:type="dxa" w:w="1440"/>
            <w:shd w:fill="C6EFCE" w:val="clear"/>
          </w:tcPr>
          <w:p>
            <w:r>
              <w:rPr>
                <w:sz w:val="17"/>
              </w:rPr>
              <w:t>1,668</w:t>
            </w:r>
          </w:p>
        </w:tc>
        <w:tc>
          <w:tcPr>
            <w:tcW w:type="dxa" w:w="1440"/>
            <w:shd w:fill="C6EFCE" w:val="clear"/>
          </w:tcPr>
          <w:p>
            <w:r>
              <w:rPr>
                <w:b/>
                <w:sz w:val="17"/>
              </w:rPr>
              <w:t>1,853</w:t>
            </w:r>
          </w:p>
        </w:tc>
        <w:tc>
          <w:tcPr>
            <w:tcW w:type="dxa" w:w="1440"/>
            <w:shd w:fill="C6EFCE" w:val="clear"/>
          </w:tcPr>
          <w:p>
            <w:r>
              <w:rPr>
                <w:sz w:val="17"/>
              </w:rPr>
              <w:t>2,038</w:t>
            </w:r>
          </w:p>
        </w:tc>
        <w:tc>
          <w:tcPr>
            <w:tcW w:type="dxa" w:w="1440"/>
            <w:shd w:fill="C6EFCE" w:val="clear"/>
          </w:tcPr>
          <w:p>
            <w:r>
              <w:rPr>
                <w:b/>
                <w:color w:val="008000"/>
                <w:sz w:val="17"/>
              </w:rPr>
              <w:t>+3.5%</w:t>
            </w:r>
          </w:p>
        </w:tc>
      </w:tr>
      <w:tr>
        <w:tc>
          <w:tcPr>
            <w:tcW w:type="dxa" w:w="1440"/>
            <w:shd w:fill="C6EFCE" w:val="clear"/>
          </w:tcPr>
          <w:p>
            <w:r>
              <w:rPr>
                <w:sz w:val="17"/>
              </w:rPr>
              <w:t>J+5  ⭐</w:t>
            </w:r>
          </w:p>
        </w:tc>
        <w:tc>
          <w:tcPr>
            <w:tcW w:type="dxa" w:w="1440"/>
            <w:shd w:fill="C6EFCE" w:val="clear"/>
          </w:tcPr>
          <w:p>
            <w:r>
              <w:rPr>
                <w:sz w:val="17"/>
              </w:rPr>
              <w:t>2026-10-23</w:t>
            </w:r>
          </w:p>
        </w:tc>
        <w:tc>
          <w:tcPr>
            <w:tcW w:type="dxa" w:w="1440"/>
            <w:shd w:fill="C6EFCE" w:val="clear"/>
          </w:tcPr>
          <w:p>
            <w:r>
              <w:rPr>
                <w:sz w:val="17"/>
              </w:rPr>
              <w:t>1,652</w:t>
            </w:r>
          </w:p>
        </w:tc>
        <w:tc>
          <w:tcPr>
            <w:tcW w:type="dxa" w:w="1440"/>
            <w:shd w:fill="C6EFCE" w:val="clear"/>
          </w:tcPr>
          <w:p>
            <w:r>
              <w:rPr>
                <w:b/>
                <w:sz w:val="17"/>
              </w:rPr>
              <w:t>1,859</w:t>
            </w:r>
          </w:p>
        </w:tc>
        <w:tc>
          <w:tcPr>
            <w:tcW w:type="dxa" w:w="1440"/>
            <w:shd w:fill="C6EFCE" w:val="clear"/>
          </w:tcPr>
          <w:p>
            <w:r>
              <w:rPr>
                <w:sz w:val="17"/>
              </w:rPr>
              <w:t>2,066</w:t>
            </w:r>
          </w:p>
        </w:tc>
        <w:tc>
          <w:tcPr>
            <w:tcW w:type="dxa" w:w="1440"/>
            <w:shd w:fill="C6EFCE" w:val="clear"/>
          </w:tcPr>
          <w:p>
            <w:r>
              <w:rPr>
                <w:b/>
                <w:color w:val="008000"/>
                <w:sz w:val="17"/>
              </w:rPr>
              <w:t>+3.9%</w:t>
            </w:r>
          </w:p>
        </w:tc>
      </w:tr>
      <w:tr>
        <w:tc>
          <w:tcPr>
            <w:tcW w:type="dxa" w:w="1440"/>
            <w:shd w:fill="C6EFCE" w:val="clear"/>
          </w:tcPr>
          <w:p>
            <w:r>
              <w:rPr>
                <w:sz w:val="17"/>
              </w:rPr>
              <w:t>J+6  ⭐</w:t>
            </w:r>
          </w:p>
        </w:tc>
        <w:tc>
          <w:tcPr>
            <w:tcW w:type="dxa" w:w="1440"/>
            <w:shd w:fill="C6EFCE" w:val="clear"/>
          </w:tcPr>
          <w:p>
            <w:r>
              <w:rPr>
                <w:sz w:val="17"/>
              </w:rPr>
              <w:t>2026-10-26</w:t>
            </w:r>
          </w:p>
        </w:tc>
        <w:tc>
          <w:tcPr>
            <w:tcW w:type="dxa" w:w="1440"/>
            <w:shd w:fill="C6EFCE" w:val="clear"/>
          </w:tcPr>
          <w:p>
            <w:r>
              <w:rPr>
                <w:sz w:val="17"/>
              </w:rPr>
              <w:t>1,637</w:t>
            </w:r>
          </w:p>
        </w:tc>
        <w:tc>
          <w:tcPr>
            <w:tcW w:type="dxa" w:w="1440"/>
            <w:shd w:fill="C6EFCE" w:val="clear"/>
          </w:tcPr>
          <w:p>
            <w:r>
              <w:rPr>
                <w:b/>
                <w:sz w:val="17"/>
              </w:rPr>
              <w:t>1,865</w:t>
            </w:r>
          </w:p>
        </w:tc>
        <w:tc>
          <w:tcPr>
            <w:tcW w:type="dxa" w:w="1440"/>
            <w:shd w:fill="C6EFCE" w:val="clear"/>
          </w:tcPr>
          <w:p>
            <w:r>
              <w:rPr>
                <w:sz w:val="17"/>
              </w:rPr>
              <w:t>2,093</w:t>
            </w:r>
          </w:p>
        </w:tc>
        <w:tc>
          <w:tcPr>
            <w:tcW w:type="dxa" w:w="1440"/>
            <w:shd w:fill="C6EFCE" w:val="clear"/>
          </w:tcPr>
          <w:p>
            <w:r>
              <w:rPr>
                <w:b/>
                <w:color w:val="008000"/>
                <w:sz w:val="17"/>
              </w:rPr>
              <w:t>+4.2%</w:t>
            </w:r>
          </w:p>
        </w:tc>
      </w:tr>
      <w:tr>
        <w:tc>
          <w:tcPr>
            <w:tcW w:type="dxa" w:w="1440"/>
            <w:shd w:fill="C6EFCE" w:val="clear"/>
          </w:tcPr>
          <w:p>
            <w:r>
              <w:rPr>
                <w:sz w:val="17"/>
              </w:rPr>
              <w:t>J+7  ⭐</w:t>
            </w:r>
          </w:p>
        </w:tc>
        <w:tc>
          <w:tcPr>
            <w:tcW w:type="dxa" w:w="1440"/>
            <w:shd w:fill="C6EFCE" w:val="clear"/>
          </w:tcPr>
          <w:p>
            <w:r>
              <w:rPr>
                <w:sz w:val="17"/>
              </w:rPr>
              <w:t>2026-10-27</w:t>
            </w:r>
          </w:p>
        </w:tc>
        <w:tc>
          <w:tcPr>
            <w:tcW w:type="dxa" w:w="1440"/>
            <w:shd w:fill="C6EFCE" w:val="clear"/>
          </w:tcPr>
          <w:p>
            <w:r>
              <w:rPr>
                <w:sz w:val="17"/>
              </w:rPr>
              <w:t>1,624</w:t>
            </w:r>
          </w:p>
        </w:tc>
        <w:tc>
          <w:tcPr>
            <w:tcW w:type="dxa" w:w="1440"/>
            <w:shd w:fill="C6EFCE" w:val="clear"/>
          </w:tcPr>
          <w:p>
            <w:r>
              <w:rPr>
                <w:b/>
                <w:sz w:val="17"/>
              </w:rPr>
              <w:t>1,871</w:t>
            </w:r>
          </w:p>
        </w:tc>
        <w:tc>
          <w:tcPr>
            <w:tcW w:type="dxa" w:w="1440"/>
            <w:shd w:fill="C6EFCE" w:val="clear"/>
          </w:tcPr>
          <w:p>
            <w:r>
              <w:rPr>
                <w:sz w:val="17"/>
              </w:rPr>
              <w:t>2,118</w:t>
            </w:r>
          </w:p>
        </w:tc>
        <w:tc>
          <w:tcPr>
            <w:tcW w:type="dxa" w:w="1440"/>
            <w:shd w:fill="C6EFCE" w:val="clear"/>
          </w:tcPr>
          <w:p>
            <w:r>
              <w:rPr>
                <w:b/>
                <w:color w:val="008000"/>
                <w:sz w:val="17"/>
              </w:rPr>
              <w:t>+4.5%</w:t>
            </w:r>
          </w:p>
        </w:tc>
      </w:tr>
      <w:tr>
        <w:tc>
          <w:tcPr>
            <w:tcW w:type="dxa" w:w="1440"/>
            <w:shd w:fill="C6EFCE" w:val="clear"/>
          </w:tcPr>
          <w:p>
            <w:r>
              <w:rPr>
                <w:sz w:val="17"/>
              </w:rPr>
              <w:t>J+8  ⭐</w:t>
            </w:r>
          </w:p>
        </w:tc>
        <w:tc>
          <w:tcPr>
            <w:tcW w:type="dxa" w:w="1440"/>
            <w:shd w:fill="C6EFCE" w:val="clear"/>
          </w:tcPr>
          <w:p>
            <w:r>
              <w:rPr>
                <w:sz w:val="17"/>
              </w:rPr>
              <w:t>2026-10-28</w:t>
            </w:r>
          </w:p>
        </w:tc>
        <w:tc>
          <w:tcPr>
            <w:tcW w:type="dxa" w:w="1440"/>
            <w:shd w:fill="C6EFCE" w:val="clear"/>
          </w:tcPr>
          <w:p>
            <w:r>
              <w:rPr>
                <w:sz w:val="17"/>
              </w:rPr>
              <w:t>1,612</w:t>
            </w:r>
          </w:p>
        </w:tc>
        <w:tc>
          <w:tcPr>
            <w:tcW w:type="dxa" w:w="1440"/>
            <w:shd w:fill="C6EFCE" w:val="clear"/>
          </w:tcPr>
          <w:p>
            <w:r>
              <w:rPr>
                <w:b/>
                <w:sz w:val="17"/>
              </w:rPr>
              <w:t>1,877</w:t>
            </w:r>
          </w:p>
        </w:tc>
        <w:tc>
          <w:tcPr>
            <w:tcW w:type="dxa" w:w="1440"/>
            <w:shd w:fill="C6EFCE" w:val="clear"/>
          </w:tcPr>
          <w:p>
            <w:r>
              <w:rPr>
                <w:sz w:val="17"/>
              </w:rPr>
              <w:t>2,142</w:t>
            </w:r>
          </w:p>
        </w:tc>
        <w:tc>
          <w:tcPr>
            <w:tcW w:type="dxa" w:w="1440"/>
            <w:shd w:fill="C6EFCE" w:val="clear"/>
          </w:tcPr>
          <w:p>
            <w:r>
              <w:rPr>
                <w:b/>
                <w:color w:val="008000"/>
                <w:sz w:val="17"/>
              </w:rPr>
              <w:t>+4.8%</w:t>
            </w:r>
          </w:p>
        </w:tc>
      </w:tr>
      <w:tr>
        <w:tc>
          <w:tcPr>
            <w:tcW w:type="dxa" w:w="1440"/>
            <w:shd w:fill="C6EFCE" w:val="clear"/>
          </w:tcPr>
          <w:p>
            <w:r>
              <w:rPr>
                <w:sz w:val="17"/>
              </w:rPr>
              <w:t>J+9  ⭐</w:t>
            </w:r>
          </w:p>
        </w:tc>
        <w:tc>
          <w:tcPr>
            <w:tcW w:type="dxa" w:w="1440"/>
            <w:shd w:fill="C6EFCE" w:val="clear"/>
          </w:tcPr>
          <w:p>
            <w:r>
              <w:rPr>
                <w:sz w:val="17"/>
              </w:rPr>
              <w:t>2026-10-29</w:t>
            </w:r>
          </w:p>
        </w:tc>
        <w:tc>
          <w:tcPr>
            <w:tcW w:type="dxa" w:w="1440"/>
            <w:shd w:fill="C6EFCE" w:val="clear"/>
          </w:tcPr>
          <w:p>
            <w:r>
              <w:rPr>
                <w:sz w:val="17"/>
              </w:rPr>
              <w:t>1,601</w:t>
            </w:r>
          </w:p>
        </w:tc>
        <w:tc>
          <w:tcPr>
            <w:tcW w:type="dxa" w:w="1440"/>
            <w:shd w:fill="C6EFCE" w:val="clear"/>
          </w:tcPr>
          <w:p>
            <w:r>
              <w:rPr>
                <w:b/>
                <w:sz w:val="17"/>
              </w:rPr>
              <w:t>1,883</w:t>
            </w:r>
          </w:p>
        </w:tc>
        <w:tc>
          <w:tcPr>
            <w:tcW w:type="dxa" w:w="1440"/>
            <w:shd w:fill="C6EFCE" w:val="clear"/>
          </w:tcPr>
          <w:p>
            <w:r>
              <w:rPr>
                <w:sz w:val="17"/>
              </w:rPr>
              <w:t>2,164</w:t>
            </w:r>
          </w:p>
        </w:tc>
        <w:tc>
          <w:tcPr>
            <w:tcW w:type="dxa" w:w="1440"/>
            <w:shd w:fill="C6EFCE" w:val="clear"/>
          </w:tcPr>
          <w:p>
            <w:r>
              <w:rPr>
                <w:b/>
                <w:color w:val="008000"/>
                <w:sz w:val="17"/>
              </w:rPr>
              <w:t>+5.2%</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1,591</w:t>
            </w:r>
          </w:p>
        </w:tc>
        <w:tc>
          <w:tcPr>
            <w:tcW w:type="dxa" w:w="1440"/>
            <w:shd w:fill="C6EFCE" w:val="clear"/>
          </w:tcPr>
          <w:p>
            <w:r>
              <w:rPr>
                <w:b/>
                <w:sz w:val="17"/>
              </w:rPr>
              <w:t>1,888</w:t>
            </w:r>
          </w:p>
        </w:tc>
        <w:tc>
          <w:tcPr>
            <w:tcW w:type="dxa" w:w="1440"/>
            <w:shd w:fill="C6EFCE" w:val="clear"/>
          </w:tcPr>
          <w:p>
            <w:r>
              <w:rPr>
                <w:sz w:val="17"/>
              </w:rPr>
              <w:t>2,186</w:t>
            </w:r>
          </w:p>
        </w:tc>
        <w:tc>
          <w:tcPr>
            <w:tcW w:type="dxa" w:w="1440"/>
            <w:shd w:fill="C6EFCE" w:val="clear"/>
          </w:tcPr>
          <w:p>
            <w:r>
              <w:rPr>
                <w:b/>
                <w:color w:val="008000"/>
                <w:sz w:val="17"/>
              </w:rPr>
              <w:t>+5.5%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2.219 Mds FCFA</w:t>
            </w:r>
          </w:p>
        </w:tc>
        <w:tc>
          <w:tcPr>
            <w:tcW w:type="dxa" w:w="5669"/>
            <w:shd w:fill="FFFFFF" w:val="clear"/>
          </w:tcPr>
          <w:p>
            <w:r>
              <w:rPr>
                <w:color w:val="282828"/>
                <w:sz w:val="15"/>
              </w:rPr>
              <w:t>Créances clients = 22.0%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2.420 Mds FCFA</w:t>
            </w:r>
          </w:p>
        </w:tc>
        <w:tc>
          <w:tcPr>
            <w:tcW w:type="dxa" w:w="5669"/>
            <w:shd w:fill="FFFFFF" w:val="clear"/>
          </w:tcPr>
          <w:p>
            <w:r>
              <w:rPr>
                <w:color w:val="282828"/>
                <w:sz w:val="15"/>
              </w:rPr>
              <w:t>Rotation stocks = 4.2x/an.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5.740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16.02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8.586 Mds FCFA</w:t>
            </w:r>
          </w:p>
        </w:tc>
        <w:tc>
          <w:tcPr>
            <w:tcW w:type="dxa" w:w="5669"/>
            <w:shd w:fill="FFFFFF" w:val="clear"/>
          </w:tcPr>
          <w:p>
            <w:r>
              <w:rPr>
                <w:color w:val="282828"/>
                <w:sz w:val="15"/>
              </w:rPr>
              <w:t>Outil industriel (58.8%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8.822 Mds FCFA</w:t>
            </w:r>
          </w:p>
        </w:tc>
        <w:tc>
          <w:tcPr>
            <w:tcW w:type="dxa" w:w="5669"/>
            <w:shd w:fill="FFFFFF" w:val="clear"/>
          </w:tcPr>
          <w:p>
            <w:r>
              <w:rPr>
                <w:color w:val="282828"/>
                <w:sz w:val="15"/>
              </w:rPr>
              <w:t>Actif immobilisé = 60.4%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48.21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14.611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2.527 Mds FCFA</w:t>
            </w:r>
          </w:p>
        </w:tc>
        <w:tc>
          <w:tcPr>
            <w:tcW w:type="dxa" w:w="5669"/>
            <w:shd w:fill="FFFFFF" w:val="clear"/>
          </w:tcPr>
          <w:p>
            <w:r>
              <w:rPr>
                <w:color w:val="282828"/>
                <w:sz w:val="15"/>
              </w:rPr>
              <w:t>Fonds propres = 17.3%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6.691 Mds FCFA</w:t>
            </w:r>
          </w:p>
        </w:tc>
        <w:tc>
          <w:tcPr>
            <w:tcW w:type="dxa" w:w="5669"/>
            <w:shd w:fill="FFFFFF" w:val="clear"/>
          </w:tcPr>
          <w:p>
            <w:r>
              <w:rPr>
                <w:color w:val="282828"/>
                <w:sz w:val="15"/>
              </w:rPr>
              <w:t>Capitaux permanents / Actif immobilisé = 0.76x.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3.897 Mds FCFA</w:t>
            </w:r>
          </w:p>
        </w:tc>
        <w:tc>
          <w:tcPr>
            <w:tcW w:type="dxa" w:w="5669"/>
            <w:shd w:fill="FFFFFF" w:val="clear"/>
          </w:tcPr>
          <w:p>
            <w:r>
              <w:rPr>
                <w:color w:val="282828"/>
                <w:sz w:val="15"/>
              </w:rPr>
              <w:t>Délai fournisseurs implicite ≈ 141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4.062 Mds FCFA</w:t>
            </w:r>
          </w:p>
        </w:tc>
        <w:tc>
          <w:tcPr>
            <w:tcW w:type="dxa" w:w="5669"/>
            <w:shd w:fill="FFFFFF" w:val="clear"/>
          </w:tcPr>
          <w:p>
            <w:r>
              <w:rPr>
                <w:color w:val="282828"/>
                <w:sz w:val="15"/>
              </w:rPr>
              <w:t>Dette LT/MT = 161%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5.771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12.085 Mds FCFA</w:t>
            </w:r>
          </w:p>
        </w:tc>
        <w:tc>
          <w:tcPr>
            <w:tcW w:type="dxa" w:w="5669"/>
            <w:shd w:fill="FFFFFF" w:val="clear"/>
          </w:tcPr>
          <w:p>
            <w:r>
              <w:rPr>
                <w:color w:val="282828"/>
                <w:sz w:val="15"/>
              </w:rPr>
              <w:t>Dettes totales = 82.7%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10.075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10.075 Mds FCFA</w:t>
            </w:r>
          </w:p>
        </w:tc>
        <w:tc>
          <w:tcPr>
            <w:tcW w:type="dxa" w:w="5669"/>
            <w:shd w:fill="FFFFFF" w:val="clear"/>
          </w:tcPr>
          <w:p>
            <w:r>
              <w:rPr>
                <w:color w:val="282828"/>
                <w:sz w:val="15"/>
              </w:rPr>
              <w:t>Chiffre d'affaires. Croissance: 8.5%.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1.088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1.661 Mds FCFA</w:t>
            </w:r>
          </w:p>
        </w:tc>
        <w:tc>
          <w:tcPr>
            <w:tcW w:type="dxa" w:w="5669"/>
            <w:shd w:fill="FFFFFF" w:val="clear"/>
          </w:tcPr>
          <w:p>
            <w:r>
              <w:rPr>
                <w:color w:val="282828"/>
                <w:sz w:val="15"/>
              </w:rPr>
              <w:t>Masse salariale = 16.5%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3.103 Mds FCFA</w:t>
            </w:r>
          </w:p>
        </w:tc>
        <w:tc>
          <w:tcPr>
            <w:tcW w:type="dxa" w:w="5669"/>
            <w:shd w:fill="FFFFFF" w:val="clear"/>
          </w:tcPr>
          <w:p>
            <w:r>
              <w:rPr>
                <w:color w:val="282828"/>
                <w:sz w:val="15"/>
              </w:rPr>
              <w:t>VA = 30.8%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1.442 Mds FCFA</w:t>
            </w:r>
          </w:p>
        </w:tc>
        <w:tc>
          <w:tcPr>
            <w:tcW w:type="dxa" w:w="5669"/>
            <w:shd w:fill="FFFFFF" w:val="clear"/>
          </w:tcPr>
          <w:p>
            <w:r>
              <w:rPr>
                <w:color w:val="282828"/>
                <w:sz w:val="15"/>
              </w:rPr>
              <w:t>EBE = 14.3%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866.37 M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179.29 M FCFA</w:t>
            </w:r>
          </w:p>
        </w:tc>
        <w:tc>
          <w:tcPr>
            <w:tcW w:type="dxa" w:w="5669"/>
            <w:shd w:fill="FFFFFF" w:val="clear"/>
          </w:tcPr>
          <w:p>
            <w:r>
              <w:rPr>
                <w:color w:val="282828"/>
                <w:sz w:val="15"/>
              </w:rPr>
              <w:t>Marge nette = 1.8%.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868.94 M FCFA</w:t>
            </w:r>
          </w:p>
        </w:tc>
        <w:tc>
          <w:tcPr>
            <w:tcW w:type="dxa" w:w="5669"/>
            <w:shd w:fill="FFFFFF" w:val="clear"/>
          </w:tcPr>
          <w:p>
            <w:r>
              <w:rPr>
                <w:color w:val="282828"/>
                <w:sz w:val="15"/>
              </w:rPr>
              <w:t>CAF = 0.87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992.26 M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-1.935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1.425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-935.89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-470.79 M FCFA</w:t>
            </w:r>
          </w:p>
        </w:tc>
        <w:tc>
          <w:tcPr>
            <w:tcW w:type="dxa" w:w="5669"/>
            <w:shd w:fill="FFFFFF" w:val="clear"/>
          </w:tcPr>
          <w:p>
            <w:r>
              <w:rPr>
                <w:color w:val="282828"/>
                <w:sz w:val="15"/>
              </w:rPr>
              <w:t>BFR = -4.7%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-2.132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54.30%</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1.78%</w:t>
            </w:r>
          </w:p>
        </w:tc>
        <w:tc>
          <w:tcPr>
            <w:tcW w:type="dxa" w:w="5669"/>
            <w:shd w:fill="FFFFFF" w:val="clear"/>
          </w:tcPr>
          <w:p>
            <w:r>
              <w:rPr>
                <w:color w:val="282828"/>
                <w:sz w:val="15"/>
              </w:rPr>
              <w:t>Résultat net / revenus = 1.78%.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7.10%</w:t>
            </w:r>
          </w:p>
        </w:tc>
        <w:tc>
          <w:tcPr>
            <w:tcW w:type="dxa" w:w="5669"/>
            <w:shd w:fill="FFFFFF" w:val="clear"/>
          </w:tcPr>
          <w:p>
            <w:r>
              <w:rPr>
                <w:color w:val="282828"/>
                <w:sz w:val="15"/>
              </w:rPr>
              <w:t>Résultat net / capitaux propres = 7.10%.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1.23%</w:t>
            </w:r>
          </w:p>
        </w:tc>
        <w:tc>
          <w:tcPr>
            <w:tcW w:type="dxa" w:w="5669"/>
            <w:shd w:fill="FFFFFF" w:val="clear"/>
          </w:tcPr>
          <w:p>
            <w:r>
              <w:rPr>
                <w:color w:val="282828"/>
                <w:sz w:val="15"/>
              </w:rPr>
              <w:t>Résultat net / total actif = 1.23%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68.95%</w:t>
            </w:r>
          </w:p>
        </w:tc>
        <w:tc>
          <w:tcPr>
            <w:tcW w:type="dxa" w:w="5669"/>
            <w:shd w:fill="FFFFFF" w:val="clear"/>
          </w:tcPr>
          <w:p>
            <w:r>
              <w:rPr>
                <w:color w:val="282828"/>
                <w:sz w:val="15"/>
              </w:rPr>
              <w:t>CA / total actif = 68.95x.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8.53%</w:t>
            </w:r>
          </w:p>
        </w:tc>
        <w:tc>
          <w:tcPr>
            <w:tcW w:type="dxa" w:w="5669"/>
            <w:shd w:fill="FFFFFF" w:val="clear"/>
          </w:tcPr>
          <w:p>
            <w:r>
              <w:rPr>
                <w:color w:val="282828"/>
                <w:sz w:val="15"/>
              </w:rPr>
              <w:t>Croissance CA vs exercice précédent = 8.53%.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17.29%</w:t>
            </w:r>
          </w:p>
        </w:tc>
        <w:tc>
          <w:tcPr>
            <w:tcW w:type="dxa" w:w="5669"/>
            <w:shd w:fill="FFFFFF" w:val="clear"/>
          </w:tcPr>
          <w:p>
            <w:r>
              <w:rPr>
                <w:color w:val="282828"/>
                <w:sz w:val="15"/>
              </w:rPr>
              <w:t>Fonds propres / total bilan = 17.29%.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82.71%</w:t>
            </w:r>
          </w:p>
        </w:tc>
        <w:tc>
          <w:tcPr>
            <w:tcW w:type="dxa" w:w="5669"/>
            <w:shd w:fill="FFFFFF" w:val="clear"/>
          </w:tcPr>
          <w:p>
            <w:r>
              <w:rPr>
                <w:color w:val="282828"/>
                <w:sz w:val="15"/>
              </w:rPr>
              <w:t>Dettes financières / total bilan = 82.71%.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228.41%</w:t>
            </w:r>
          </w:p>
        </w:tc>
        <w:tc>
          <w:tcPr>
            <w:tcW w:type="dxa" w:w="5669"/>
            <w:shd w:fill="FFFFFF" w:val="clear"/>
          </w:tcPr>
          <w:p>
            <w:r>
              <w:rPr>
                <w:color w:val="282828"/>
                <w:sz w:val="15"/>
              </w:rPr>
              <w:t>Dettes totales / fonds propres = 228.41%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120.91%</w:t>
            </w:r>
          </w:p>
        </w:tc>
        <w:tc>
          <w:tcPr>
            <w:tcW w:type="dxa" w:w="5669"/>
            <w:shd w:fill="FFFFFF" w:val="clear"/>
          </w:tcPr>
          <w:p>
            <w:r>
              <w:rPr>
                <w:color w:val="282828"/>
                <w:sz w:val="15"/>
              </w:rPr>
              <w:t>Total actif / dettes totales = 120.91x.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73.09%</w:t>
            </w:r>
          </w:p>
        </w:tc>
        <w:tc>
          <w:tcPr>
            <w:tcW w:type="dxa" w:w="5669"/>
            <w:shd w:fill="FFFFFF" w:val="clear"/>
          </w:tcPr>
          <w:p>
            <w:r>
              <w:rPr>
                <w:color w:val="282828"/>
                <w:sz w:val="15"/>
              </w:rPr>
              <w:t>Actif circulant / passif circulant = 73.09x.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0.61%</w:t>
            </w:r>
          </w:p>
        </w:tc>
        <w:tc>
          <w:tcPr>
            <w:tcW w:type="dxa" w:w="5669"/>
            <w:shd w:fill="FFFFFF" w:val="clear"/>
          </w:tcPr>
          <w:p>
            <w:r>
              <w:rPr>
                <w:color w:val="282828"/>
                <w:sz w:val="15"/>
              </w:rPr>
              <w:t>Trésorerie / passif circulant = 0.61x.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42.53%</w:t>
            </w:r>
          </w:p>
        </w:tc>
        <w:tc>
          <w:tcPr>
            <w:tcW w:type="dxa" w:w="5669"/>
            <w:shd w:fill="FFFFFF" w:val="clear"/>
          </w:tcPr>
          <w:p>
            <w:r>
              <w:rPr>
                <w:color w:val="282828"/>
                <w:sz w:val="15"/>
              </w:rPr>
              <w:t>(Actif circ. - stocks) / passif circ. = 42.53x.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75.84%</w:t>
            </w:r>
          </w:p>
        </w:tc>
        <w:tc>
          <w:tcPr>
            <w:tcW w:type="dxa" w:w="5669"/>
            <w:shd w:fill="FFFFFF" w:val="clear"/>
          </w:tcPr>
          <w:p>
            <w:r>
              <w:rPr>
                <w:color w:val="282828"/>
                <w:sz w:val="15"/>
              </w:rPr>
              <w:t>Capitaux permanents / actif immobilisé = 75.84x.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6.6 ans</w:t>
            </w:r>
          </w:p>
        </w:tc>
        <w:tc>
          <w:tcPr>
            <w:tcW w:type="dxa" w:w="5669"/>
            <w:shd w:fill="FFFFFF" w:val="clear"/>
          </w:tcPr>
          <w:p>
            <w:r>
              <w:rPr>
                <w:color w:val="282828"/>
                <w:sz w:val="15"/>
              </w:rPr>
              <w:t>Dettes financières / CAF = 6.6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235.01%</w:t>
            </w:r>
          </w:p>
        </w:tc>
        <w:tc>
          <w:tcPr>
            <w:tcW w:type="dxa" w:w="5669"/>
            <w:shd w:fill="FFFFFF" w:val="clear"/>
          </w:tcPr>
          <w:p>
            <w:r>
              <w:rPr>
                <w:color w:val="282828"/>
                <w:sz w:val="15"/>
              </w:rPr>
              <w:t>Résultat exploit. / charges financières = 235.01x.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45.07%</w:t>
            </w:r>
          </w:p>
        </w:tc>
        <w:tc>
          <w:tcPr>
            <w:tcW w:type="dxa" w:w="5669"/>
            <w:shd w:fill="FFFFFF" w:val="clear"/>
          </w:tcPr>
          <w:p>
            <w:r>
              <w:rPr>
                <w:color w:val="282828"/>
                <w:sz w:val="15"/>
              </w:rPr>
              <w:t>CAF / investissements = 45.07x.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79.3 j</w:t>
            </w:r>
          </w:p>
        </w:tc>
        <w:tc>
          <w:tcPr>
            <w:tcW w:type="dxa" w:w="5669"/>
            <w:shd w:fill="FFFFFF" w:val="clear"/>
          </w:tcPr>
          <w:p>
            <w:r>
              <w:rPr>
                <w:color w:val="282828"/>
                <w:sz w:val="15"/>
              </w:rPr>
              <w:t>Les clients paient en moyenne en 79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323.3 j</w:t>
            </w:r>
          </w:p>
        </w:tc>
        <w:tc>
          <w:tcPr>
            <w:tcW w:type="dxa" w:w="5669"/>
            <w:shd w:fill="FFFFFF" w:val="clear"/>
          </w:tcPr>
          <w:p>
            <w:r>
              <w:rPr>
                <w:color w:val="282828"/>
                <w:sz w:val="15"/>
              </w:rPr>
              <w:t>Paiement des fournisseurs en 323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189.3 j</w:t>
            </w:r>
          </w:p>
        </w:tc>
        <w:tc>
          <w:tcPr>
            <w:tcW w:type="dxa" w:w="5669"/>
            <w:shd w:fill="FFFFFF" w:val="clear"/>
          </w:tcPr>
          <w:p>
            <w:r>
              <w:rPr>
                <w:color w:val="282828"/>
                <w:sz w:val="15"/>
              </w:rPr>
              <w:t>Stock écoulé en 189 jours. ❌ Stock quasi-bloqué — risque d'obsolescence ou de surstock.</w:t>
            </w:r>
          </w:p>
        </w:tc>
      </w:tr>
    </w:tbl>
    <w:p/>
    <w:p>
      <w:pPr>
        <w:spacing w:after="120" w:line="276" w:lineRule="auto"/>
      </w:pPr>
      <w:r>
        <w:t># RAPPORT D'ANALYSE FINANCIÈRE — SIVC (ERIUM COTE D'IVOIRE)</w:t>
        <w:br/>
        <w:t>**Bourse Régionale des Valeurs Mobilières (BRVM) — Secteur : Entreprise industrielle**</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SIVC s'établit à 15,63 milliards FCFA, un niveau modeste à l'échelle de la BRVM qui la place parmi les petites capitalisations du marché régional. Le BPA de 21 FCFA par action signifie que chaque titre génère seulement 21 FCFA de bénéfice net, un niveau faible qui traduit la compression des marges. Le PER de 87,2x est extrêmement élevé — très loin de la moyenne BRVM (8-12x) — et signale que les investisseurs paient environ 87 fois les bénéfices, une valorisation qui n'est justifiable que par des anticipations de forte croissance future, ce qui est loin d'être acquis. Le P/B de 6,19x indique que le marché valorise la société à plus de six fois sa valeur comptable, soit une prime très exigeante au regard de la rentabilité effective (ROE de 7,1%). Enfin, l'EV/EBITDA de 16,0x compare la valeur d'entreprise à la capacité opérationnelle et confirme un positionnement onéreux, supérieur au seuil de 15x généralement considéré comme exigeant.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SIVC a enregistré une chute spectaculaire de **-37,74%**, avec une dernière séance stable (+0,00%) à 1 790 FCFA, précisément au niveau du plus bas de la période. Le range de trading est très large, entre un plus haut de 2 875 FCFA et un plus bas de 1 790 FCFA, soit un repli de près de 38% depuis le sommet — une tendance clairement **baissière** qui traduit une défiance persistante du marché. Les statistiques descriptives révèlent une moyenne de 2 347 FCFA légèrement supérieure à la médiane de 2 335 FCFA, avec un mode à 2 000 FCFA : l'écart modeste entre moyenne et médiane suggère une distribution quasi symétrique, confirmée par un skewness de 0,279 (distribution symétrique). L'écart-type de 290 FCFA avec un coefficient de variation de 12,4% indique une dispersion modérée du cours autour de sa moyenne, tandis que le kurtosis de -0,715 (mésokurtique, proche d'une distribution normale) signale une absence de pics extrêmes — le risque de mouvements brutaux isolés est donc limité. La volatilité annualisée de 54,3% classe le titre dans la catégorie **élevée** (&gt;30%), ce qui est cohérent avec la correction violente subie et impose une prime de risque importante pour tout 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(1 978,5 FCFA) et la MM50 (2 193,9 FCFA) se situent toutes deux nettement au-dessus du cours actuel (1 790 FCFA), et la MM20 est elle-même inférieure à la MM50, configuration typique d'une tendance baissière confirmée. Le cours évoluant sous ses deux moyennes, la pression vendeuse reste dominante et la décision technique est **Vente**.</w:t>
      </w:r>
    </w:p>
    <w:p>
      <w:pPr>
        <w:spacing w:after="120" w:line="276" w:lineRule="auto"/>
      </w:pPr>
      <w:r>
        <w:t>**Bandes de Bollinger** : Le cours (1 790 FCFA) évolue pratiquement collé à la borne inférieure (1 783,75 FCFA), tandis que la borne supérieure se situe à 2 173,25 FCFA — l'amplitude des bandes traduit une volatilité encore élevée. Cette position en bas de bande peut annoncer un rebond technique par retour à la moyenne, mais la décision fournie est **Neutre**, car le cours n'a pas encore cassé franchement la borne inférieure.</w:t>
      </w:r>
    </w:p>
    <w:p>
      <w:pPr>
        <w:spacing w:after="120" w:line="276" w:lineRule="auto"/>
      </w:pPr>
      <w:r>
        <w:t>**MACD** : Le MACD (-103,697) est inférieur à son signal (-89,204), avec un histogramme négatif qui confirme un momentum baissier toujours actif. La divergence négative entre les deux lignes traduit une accélération de la pression vendeuse, justifiant la décision **Vente**.</w:t>
      </w:r>
    </w:p>
    <w:p>
      <w:pPr>
        <w:spacing w:after="120" w:line="276" w:lineRule="auto"/>
      </w:pPr>
      <w:r>
        <w:t>**RSI** : À 30,909, le RSI se situe à la frontière de la zone de survente (seuil 30), sans y être encore entré franchement. La décision est **Neutre** : le titre est proche d'un niveau de rebond potentiel, mais le momentum reste fragile et aucun signal d'achat confirmé n'est émis.</w:t>
      </w:r>
    </w:p>
    <w:p>
      <w:pPr>
        <w:spacing w:after="120" w:line="276" w:lineRule="auto"/>
      </w:pPr>
      <w:r>
        <w:t>**Stochastique** : Le %K et le %D sont tous deux à 0,0, un niveau extrême de survente qui place les deux lignes au plancher. Cette configuration, bien que traduisant une pression vendeuse maximale, génère une décision **Achat** car un croisement haussier depuis cette zone est statistiquement probable à court terme.</w:t>
      </w:r>
    </w:p>
    <w:p>
      <w:pPr>
        <w:spacing w:after="120" w:line="276" w:lineRule="auto"/>
      </w:pPr>
      <w:r>
        <w:t>**Conclusion technique** : Les indicateurs sont majoritairement baissiers (MM, MACD) avec un cours sous ses moyennes et un momentum négatif, mais le RSI proche de la survente et le stochastique au plancher (0,0) suggèrent un potentiel de rebond technique à court terme. La convergence n'est donc pas totale : la tendance de fond reste baissière, mais les conditions d'un rebond ponctuel sont réunies. Le signal global est **baissier avec possibilité de rebond technique**, ce qui appelle à la prudence plutôt qu'à l'engagement.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ERIUM CI (ex-SIVC) affiche un chiffre d'affaires de **10,075 milliards FCFA**, en croissance de **+8,53%** par rapport à 2024 (9,283 Mds FCFA selon le rapport du 31/12/2025), mais son résultat net chute de **-52,4%** à **179,29 millions FCFA** contre 376,96 millions en 2024. La marge nette se dégrade à **1,78%** (contre 4,06% en 2024), le ROE n'est que de **7,10%** et le ROA de **1,23%** — des niveaux faibles qui traduisent une rentabilité insuffisante. Sur le plan de la structure financière, l'autonomie financière est préoccupante à **17,29%** (très en dessous du seuil sain de 30%), le ratio d'endettement atteint **228,41%** et la trésorerie nette est négative à **-1,661 milliard FCFA**. Les délais d'exploitation révèlent des tensions : délai clients de **79,30 jours** (risque de trésorerie), durée de stockage de **189,26 jours** (immobilisation de capital importante), tandis que le délai fournisseurs de **323,35 jours** constitue un avantage de trésorerie. Le BFR est toutefois négatif à **-470,79 millions FCFA**, ce qui est favorable, et la couverture des intérêts reste confortable à **235%**.</w:t>
      </w:r>
    </w:p>
    <w:p>
      <w:pPr>
        <w:spacing w:after="120" w:line="276" w:lineRule="auto"/>
      </w:pPr>
      <w:r>
        <w:t>**Estimations basées sur les rapports trimestriels** : Le rapport du **S1 2025 (30/06/2025)** indiquait un CA de 4 897,5 M FCFA (+8,8%) et un résultat net de 512,9 M FCFA (+4,6%), avec une marge nette de 10,5%. Le rapport du **3e trimestre 2025** (date inconnue) faisait état d'un CA cumulé de 7 584,7 M FCFA (+13%) et d'un résultat net de 832,5 M FCFA (+58%), avec une marge nette de 11,0%. **On estime donc que l'exercice 2025 devait se conclure sur une dynamique positive**, mais les états financiers annuels définitifs (rapport du 31/12/2025) révèlent un résultat net annuel de seulement 179,29 M FCFA — soit une contradiction flagrante avec la trajectoire semestrielle, suggérant un **quatrième trimestre très dégradé** (charges financières, éléments hors activités ordinaires défavorables, résultat financier de -313,97 M FCFA). Par ailleurs, le communiqué du **22/11/2025** signale le franchissement de seuil à la baisse d'Air Liquide International (de 72,08% à 0%), avec cession de 6 295 350 actions à ERIUM LTD au cours de 230 FCFA — un changement d'actionnaire de contrôle majeur qui explique en partie la défiance du marché et la chute du cours.</w:t>
      </w:r>
    </w:p>
    <w:p>
      <w:pPr>
        <w:spacing w:after="120" w:line="276" w:lineRule="auto"/>
      </w:pPr>
      <w:r>
        <w:t>**Recommandation fondamentale** : La société affiche une croissance commerciale réelle mais une rentabilité en forte dégradation, un endettement élevé, une trésorerie négative et un changement d'actionnaire de référence. Les rapports antérieurs (2019-2020, Air Liquide CI) montraient déjà une volatilité des résultats et des tensions de trésorerie récurrentes. La recommandation fondamentale est **CONSERVER avec surveillance renforcée**, en attendant la confirmation d'un redressement de la rentabilité sous la nouvelle gouvernance ERIUM.</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tableau contrasté. **Sur la valorisation (Partie 0)**, les ratios sont clairement **surévalués** : PER de 87,2x, P/B de 6,19x et EV/EBITDA de 16,0x traduisent une prime excessive au regard de la rentabilité effective. **Sur le comportement du cours (Partie 1)**, la tendance est franchement baissière (-37,74% sur 100 jours), avec une volatilité élevée (54,3%) et un cours au plus bas — les statistiques (skewness symétrique, kurtosis normal) n'annoncent pas de retournement structurel mais une distribution sans biais extrême. **Sur le plan technique (Partie 2)**, les signaux sont majoritairement baissiers (MM, MACD) mais le RSI (30,9) et le stochastique (0,0) en zone de survente extrême suggèrent un rebond technique possible à court terme. **Sur les fondamentaux (Partie 3)**, la croissance du CA (+8,53%) ne compense pas l'effondrement du résultat net (-52,4%), la faible rentabilité (ROE 7,1%) et le niveau d'endettement élevé (228%), tandis que le changement d'actionnaire de contrôle ajoute une incertitude stratégique. **Les prédictions IA (J+1 à J+10)** anticipent une légère reprise de 1 849 à 1 859 FCFA, soit +3,3% par rapport au cours actuel — une trajectoire qui **confirme le rebond technique** attendu mais reste très modeste et ne contredit pas la tendance baissière de fond.</w:t>
      </w:r>
    </w:p>
    <w:p>
      <w:pPr>
        <w:spacing w:after="120" w:line="276" w:lineRule="auto"/>
      </w:pPr>
      <w:r>
        <w:t>**Recommandation finale : CONSERVER** (pour les détenteurs) / **ATTENDRE** (pour les nouveaux investisseurs). La convergence est partielle : la valorisation est chère, le fondamental fragile, mais le technique suggère un rebond de court terme soutenu par les prédictions IA. Le niveau de confiance est **Moyen** (signaux contradictoires entre technique court terme et fondamental), le niveau de risque global est **Élevé** (volatilité 54,3%, endettement, changement d'actionnaire), et l'horizon optimal est **court terme (&lt;3 mois)** pour profiter du rebond technique, ou **long terme (&gt;1 an)** pour les investisseurs misant sur le redressement sous la nouvelle gouvernance ERIUM — en surveillant impérativement la publication des prochains résultats trimestriels.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38.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633.74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1,353 titres</w:t>
            </w:r>
          </w:p>
        </w:tc>
        <w:tc>
          <w:tcPr>
            <w:tcW w:type="dxa" w:w="2268"/>
            <w:shd w:fill="FFF2CC" w:val="clear"/>
          </w:tcPr>
          <w:p>
            <w:r>
              <w:rPr>
                <w:b/>
                <w:color w:val="503200"/>
                <w:sz w:val="16"/>
              </w:rPr>
              <w:t xml:space="preserve">Cours actuel : </w:t>
            </w:r>
            <w:r>
              <w:rPr>
                <w:color w:val="000000"/>
                <w:sz w:val="17"/>
              </w:rPr>
              <w:t>38,500 FCFA</w:t>
            </w:r>
          </w:p>
          <w:p>
            <w:r>
              <w:rPr>
                <w:b/>
                <w:color w:val="503200"/>
                <w:sz w:val="16"/>
              </w:rPr>
              <w:t xml:space="preserve">Var. 100 jours : </w:t>
            </w:r>
            <w:r>
              <w:rPr>
                <w:b/>
                <w:color w:val="007800"/>
                <w:sz w:val="17"/>
              </w:rPr>
              <w:t>+1.29%</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36,900 FCFA</w:t>
            </w:r>
          </w:p>
          <w:p>
            <w:r>
              <w:rPr>
                <w:b/>
                <w:color w:val="503200"/>
                <w:sz w:val="16"/>
              </w:rPr>
              <w:t xml:space="preserve">Volatilité ann. : </w:t>
            </w:r>
            <w:r>
              <w:rPr>
                <w:color w:val="000000"/>
                <w:sz w:val="17"/>
              </w:rPr>
              <w:t>24.7%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2.25% (Faible) — μ=38,276 FCFA, σ=862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β=-0.0274 (Contre-cyclique) — Cov=-0.000002, Var(idx)=0.000077, ρ=-0.015,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1,353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σ_j=1.56%/j (Stable) — Vol. annualisée≈24.7%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38,148</w:t>
            </w:r>
          </w:p>
        </w:tc>
        <w:tc>
          <w:tcPr>
            <w:tcW w:type="dxa" w:w="1440"/>
            <w:shd w:fill="FAFAFA" w:val="clear"/>
          </w:tcPr>
          <w:p>
            <w:r>
              <w:rPr>
                <w:b/>
                <w:sz w:val="17"/>
              </w:rPr>
              <w:t>38,677</w:t>
            </w:r>
          </w:p>
        </w:tc>
        <w:tc>
          <w:tcPr>
            <w:tcW w:type="dxa" w:w="1440"/>
            <w:shd w:fill="FAFAFA" w:val="clear"/>
          </w:tcPr>
          <w:p>
            <w:r>
              <w:rPr>
                <w:sz w:val="17"/>
              </w:rPr>
              <w:t>39,206</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38,074</w:t>
            </w:r>
          </w:p>
        </w:tc>
        <w:tc>
          <w:tcPr>
            <w:tcW w:type="dxa" w:w="1440"/>
            <w:shd w:fill="FAFAFA" w:val="clear"/>
          </w:tcPr>
          <w:p>
            <w:r>
              <w:rPr>
                <w:b/>
                <w:sz w:val="17"/>
              </w:rPr>
              <w:t>38,825</w:t>
            </w:r>
          </w:p>
        </w:tc>
        <w:tc>
          <w:tcPr>
            <w:tcW w:type="dxa" w:w="1440"/>
            <w:shd w:fill="FAFAFA" w:val="clear"/>
          </w:tcPr>
          <w:p>
            <w:r>
              <w:rPr>
                <w:sz w:val="17"/>
              </w:rPr>
              <w:t>39,575</w:t>
            </w:r>
          </w:p>
        </w:tc>
        <w:tc>
          <w:tcPr>
            <w:tcW w:type="dxa" w:w="1440"/>
            <w:shd w:fill="FAFAFA" w:val="clear"/>
          </w:tcPr>
          <w:p>
            <w:r>
              <w:rPr>
                <w:b/>
                <w:color w:val="008000"/>
                <w:sz w:val="17"/>
              </w:rPr>
              <w:t>+0.8%</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38,038</w:t>
            </w:r>
          </w:p>
        </w:tc>
        <w:tc>
          <w:tcPr>
            <w:tcW w:type="dxa" w:w="1440"/>
            <w:shd w:fill="FAFAFA" w:val="clear"/>
          </w:tcPr>
          <w:p>
            <w:r>
              <w:rPr>
                <w:b/>
                <w:sz w:val="17"/>
              </w:rPr>
              <w:t>38,961</w:t>
            </w:r>
          </w:p>
        </w:tc>
        <w:tc>
          <w:tcPr>
            <w:tcW w:type="dxa" w:w="1440"/>
            <w:shd w:fill="FAFAFA" w:val="clear"/>
          </w:tcPr>
          <w:p>
            <w:r>
              <w:rPr>
                <w:sz w:val="17"/>
              </w:rPr>
              <w:t>39,884</w:t>
            </w:r>
          </w:p>
        </w:tc>
        <w:tc>
          <w:tcPr>
            <w:tcW w:type="dxa" w:w="1440"/>
            <w:shd w:fill="FAFAFA" w:val="clear"/>
          </w:tcPr>
          <w:p>
            <w:r>
              <w:rPr>
                <w:b/>
                <w:color w:val="008000"/>
                <w:sz w:val="17"/>
              </w:rPr>
              <w:t>+1.2%</w:t>
            </w:r>
          </w:p>
        </w:tc>
      </w:tr>
      <w:tr>
        <w:tc>
          <w:tcPr>
            <w:tcW w:type="dxa" w:w="1440"/>
            <w:shd w:fill="FAFAFA" w:val="clear"/>
          </w:tcPr>
          <w:p>
            <w:r>
              <w:rPr>
                <w:sz w:val="17"/>
              </w:rPr>
              <w:t>J+4  Moyenne</w:t>
            </w:r>
          </w:p>
        </w:tc>
        <w:tc>
          <w:tcPr>
            <w:tcW w:type="dxa" w:w="1440"/>
            <w:shd w:fill="FAFAFA" w:val="clear"/>
          </w:tcPr>
          <w:p>
            <w:r>
              <w:rPr>
                <w:sz w:val="17"/>
              </w:rPr>
              <w:t>2026-10-22</w:t>
            </w:r>
          </w:p>
        </w:tc>
        <w:tc>
          <w:tcPr>
            <w:tcW w:type="dxa" w:w="1440"/>
            <w:shd w:fill="FAFAFA" w:val="clear"/>
          </w:tcPr>
          <w:p>
            <w:r>
              <w:rPr>
                <w:sz w:val="17"/>
              </w:rPr>
              <w:t>38,025</w:t>
            </w:r>
          </w:p>
        </w:tc>
        <w:tc>
          <w:tcPr>
            <w:tcW w:type="dxa" w:w="1440"/>
            <w:shd w:fill="FAFAFA" w:val="clear"/>
          </w:tcPr>
          <w:p>
            <w:r>
              <w:rPr>
                <w:b/>
                <w:sz w:val="17"/>
              </w:rPr>
              <w:t>39,094</w:t>
            </w:r>
          </w:p>
        </w:tc>
        <w:tc>
          <w:tcPr>
            <w:tcW w:type="dxa" w:w="1440"/>
            <w:shd w:fill="FAFAFA" w:val="clear"/>
          </w:tcPr>
          <w:p>
            <w:r>
              <w:rPr>
                <w:sz w:val="17"/>
              </w:rPr>
              <w:t>40,163</w:t>
            </w:r>
          </w:p>
        </w:tc>
        <w:tc>
          <w:tcPr>
            <w:tcW w:type="dxa" w:w="1440"/>
            <w:shd w:fill="FAFAFA" w:val="clear"/>
          </w:tcPr>
          <w:p>
            <w:r>
              <w:rPr>
                <w:b/>
                <w:color w:val="008000"/>
                <w:sz w:val="17"/>
              </w:rPr>
              <w:t>+1.5%</w:t>
            </w:r>
          </w:p>
        </w:tc>
      </w:tr>
      <w:tr>
        <w:tc>
          <w:tcPr>
            <w:tcW w:type="dxa" w:w="1440"/>
            <w:shd w:fill="FAFAFA" w:val="clear"/>
          </w:tcPr>
          <w:p>
            <w:r>
              <w:rPr>
                <w:sz w:val="17"/>
              </w:rPr>
              <w:t>J+5  Moyenne</w:t>
            </w:r>
          </w:p>
        </w:tc>
        <w:tc>
          <w:tcPr>
            <w:tcW w:type="dxa" w:w="1440"/>
            <w:shd w:fill="FAFAFA" w:val="clear"/>
          </w:tcPr>
          <w:p>
            <w:r>
              <w:rPr>
                <w:sz w:val="17"/>
              </w:rPr>
              <w:t>2026-10-23</w:t>
            </w:r>
          </w:p>
        </w:tc>
        <w:tc>
          <w:tcPr>
            <w:tcW w:type="dxa" w:w="1440"/>
            <w:shd w:fill="FAFAFA" w:val="clear"/>
          </w:tcPr>
          <w:p>
            <w:r>
              <w:rPr>
                <w:sz w:val="17"/>
              </w:rPr>
              <w:t>38,025</w:t>
            </w:r>
          </w:p>
        </w:tc>
        <w:tc>
          <w:tcPr>
            <w:tcW w:type="dxa" w:w="1440"/>
            <w:shd w:fill="FAFAFA" w:val="clear"/>
          </w:tcPr>
          <w:p>
            <w:r>
              <w:rPr>
                <w:b/>
                <w:sz w:val="17"/>
              </w:rPr>
              <w:t>39,225</w:t>
            </w:r>
          </w:p>
        </w:tc>
        <w:tc>
          <w:tcPr>
            <w:tcW w:type="dxa" w:w="1440"/>
            <w:shd w:fill="FAFAFA" w:val="clear"/>
          </w:tcPr>
          <w:p>
            <w:r>
              <w:rPr>
                <w:sz w:val="17"/>
              </w:rPr>
              <w:t>40,424</w:t>
            </w:r>
          </w:p>
        </w:tc>
        <w:tc>
          <w:tcPr>
            <w:tcW w:type="dxa" w:w="1440"/>
            <w:shd w:fill="FAFAFA" w:val="clear"/>
          </w:tcPr>
          <w:p>
            <w:r>
              <w:rPr>
                <w:b/>
                <w:color w:val="008000"/>
                <w:sz w:val="17"/>
              </w:rPr>
              <w:t>+1.9%</w:t>
            </w:r>
          </w:p>
        </w:tc>
      </w:tr>
      <w:tr>
        <w:tc>
          <w:tcPr>
            <w:tcW w:type="dxa" w:w="1440"/>
            <w:shd w:fill="C6EFCE" w:val="clear"/>
          </w:tcPr>
          <w:p>
            <w:r>
              <w:rPr>
                <w:sz w:val="17"/>
              </w:rPr>
              <w:t>J+6  Moyenne</w:t>
            </w:r>
          </w:p>
        </w:tc>
        <w:tc>
          <w:tcPr>
            <w:tcW w:type="dxa" w:w="1440"/>
            <w:shd w:fill="C6EFCE" w:val="clear"/>
          </w:tcPr>
          <w:p>
            <w:r>
              <w:rPr>
                <w:sz w:val="17"/>
              </w:rPr>
              <w:t>2026-10-26</w:t>
            </w:r>
          </w:p>
        </w:tc>
        <w:tc>
          <w:tcPr>
            <w:tcW w:type="dxa" w:w="1440"/>
            <w:shd w:fill="C6EFCE" w:val="clear"/>
          </w:tcPr>
          <w:p>
            <w:r>
              <w:rPr>
                <w:sz w:val="17"/>
              </w:rPr>
              <w:t>38,036</w:t>
            </w:r>
          </w:p>
        </w:tc>
        <w:tc>
          <w:tcPr>
            <w:tcW w:type="dxa" w:w="1440"/>
            <w:shd w:fill="C6EFCE" w:val="clear"/>
          </w:tcPr>
          <w:p>
            <w:r>
              <w:rPr>
                <w:b/>
                <w:sz w:val="17"/>
              </w:rPr>
              <w:t>39,354</w:t>
            </w:r>
          </w:p>
        </w:tc>
        <w:tc>
          <w:tcPr>
            <w:tcW w:type="dxa" w:w="1440"/>
            <w:shd w:fill="C6EFCE" w:val="clear"/>
          </w:tcPr>
          <w:p>
            <w:r>
              <w:rPr>
                <w:sz w:val="17"/>
              </w:rPr>
              <w:t>40,672</w:t>
            </w:r>
          </w:p>
        </w:tc>
        <w:tc>
          <w:tcPr>
            <w:tcW w:type="dxa" w:w="1440"/>
            <w:shd w:fill="C6EFCE" w:val="clear"/>
          </w:tcPr>
          <w:p>
            <w:r>
              <w:rPr>
                <w:b/>
                <w:color w:val="008000"/>
                <w:sz w:val="17"/>
              </w:rPr>
              <w:t>+2.2%</w:t>
            </w:r>
          </w:p>
        </w:tc>
      </w:tr>
      <w:tr>
        <w:tc>
          <w:tcPr>
            <w:tcW w:type="dxa" w:w="1440"/>
            <w:shd w:fill="C6EFCE" w:val="clear"/>
          </w:tcPr>
          <w:p>
            <w:r>
              <w:rPr>
                <w:sz w:val="17"/>
              </w:rPr>
              <w:t>J+7  Moyenne</w:t>
            </w:r>
          </w:p>
        </w:tc>
        <w:tc>
          <w:tcPr>
            <w:tcW w:type="dxa" w:w="1440"/>
            <w:shd w:fill="C6EFCE" w:val="clear"/>
          </w:tcPr>
          <w:p>
            <w:r>
              <w:rPr>
                <w:sz w:val="17"/>
              </w:rPr>
              <w:t>2026-10-27</w:t>
            </w:r>
          </w:p>
        </w:tc>
        <w:tc>
          <w:tcPr>
            <w:tcW w:type="dxa" w:w="1440"/>
            <w:shd w:fill="C6EFCE" w:val="clear"/>
          </w:tcPr>
          <w:p>
            <w:r>
              <w:rPr>
                <w:sz w:val="17"/>
              </w:rPr>
              <w:t>38,052</w:t>
            </w:r>
          </w:p>
        </w:tc>
        <w:tc>
          <w:tcPr>
            <w:tcW w:type="dxa" w:w="1440"/>
            <w:shd w:fill="C6EFCE" w:val="clear"/>
          </w:tcPr>
          <w:p>
            <w:r>
              <w:rPr>
                <w:b/>
                <w:sz w:val="17"/>
              </w:rPr>
              <w:t>39,481</w:t>
            </w:r>
          </w:p>
        </w:tc>
        <w:tc>
          <w:tcPr>
            <w:tcW w:type="dxa" w:w="1440"/>
            <w:shd w:fill="C6EFCE" w:val="clear"/>
          </w:tcPr>
          <w:p>
            <w:r>
              <w:rPr>
                <w:sz w:val="17"/>
              </w:rPr>
              <w:t>40,909</w:t>
            </w:r>
          </w:p>
        </w:tc>
        <w:tc>
          <w:tcPr>
            <w:tcW w:type="dxa" w:w="1440"/>
            <w:shd w:fill="C6EFCE" w:val="clear"/>
          </w:tcPr>
          <w:p>
            <w:r>
              <w:rPr>
                <w:b/>
                <w:color w:val="008000"/>
                <w:sz w:val="17"/>
              </w:rPr>
              <w:t>+2.5%</w:t>
            </w:r>
          </w:p>
        </w:tc>
      </w:tr>
      <w:tr>
        <w:tc>
          <w:tcPr>
            <w:tcW w:type="dxa" w:w="1440"/>
            <w:shd w:fill="C6EFCE" w:val="clear"/>
          </w:tcPr>
          <w:p>
            <w:r>
              <w:rPr>
                <w:sz w:val="17"/>
              </w:rPr>
              <w:t>J+8  Moyenne</w:t>
            </w:r>
          </w:p>
        </w:tc>
        <w:tc>
          <w:tcPr>
            <w:tcW w:type="dxa" w:w="1440"/>
            <w:shd w:fill="C6EFCE" w:val="clear"/>
          </w:tcPr>
          <w:p>
            <w:r>
              <w:rPr>
                <w:sz w:val="17"/>
              </w:rPr>
              <w:t>2026-10-28</w:t>
            </w:r>
          </w:p>
        </w:tc>
        <w:tc>
          <w:tcPr>
            <w:tcW w:type="dxa" w:w="1440"/>
            <w:shd w:fill="C6EFCE" w:val="clear"/>
          </w:tcPr>
          <w:p>
            <w:r>
              <w:rPr>
                <w:sz w:val="17"/>
              </w:rPr>
              <w:t>38,074</w:t>
            </w:r>
          </w:p>
        </w:tc>
        <w:tc>
          <w:tcPr>
            <w:tcW w:type="dxa" w:w="1440"/>
            <w:shd w:fill="C6EFCE" w:val="clear"/>
          </w:tcPr>
          <w:p>
            <w:r>
              <w:rPr>
                <w:b/>
                <w:sz w:val="17"/>
              </w:rPr>
              <w:t>39,606</w:t>
            </w:r>
          </w:p>
        </w:tc>
        <w:tc>
          <w:tcPr>
            <w:tcW w:type="dxa" w:w="1440"/>
            <w:shd w:fill="C6EFCE" w:val="clear"/>
          </w:tcPr>
          <w:p>
            <w:r>
              <w:rPr>
                <w:sz w:val="17"/>
              </w:rPr>
              <w:t>41,138</w:t>
            </w:r>
          </w:p>
        </w:tc>
        <w:tc>
          <w:tcPr>
            <w:tcW w:type="dxa" w:w="1440"/>
            <w:shd w:fill="C6EFCE" w:val="clear"/>
          </w:tcPr>
          <w:p>
            <w:r>
              <w:rPr>
                <w:b/>
                <w:color w:val="008000"/>
                <w:sz w:val="17"/>
              </w:rPr>
              <w:t>+2.9%</w:t>
            </w:r>
          </w:p>
        </w:tc>
      </w:tr>
      <w:tr>
        <w:tc>
          <w:tcPr>
            <w:tcW w:type="dxa" w:w="1440"/>
            <w:shd w:fill="C6EFCE" w:val="clear"/>
          </w:tcPr>
          <w:p>
            <w:r>
              <w:rPr>
                <w:sz w:val="17"/>
              </w:rPr>
              <w:t>J+9  Moyenne</w:t>
            </w:r>
          </w:p>
        </w:tc>
        <w:tc>
          <w:tcPr>
            <w:tcW w:type="dxa" w:w="1440"/>
            <w:shd w:fill="C6EFCE" w:val="clear"/>
          </w:tcPr>
          <w:p>
            <w:r>
              <w:rPr>
                <w:sz w:val="17"/>
              </w:rPr>
              <w:t>2026-10-29</w:t>
            </w:r>
          </w:p>
        </w:tc>
        <w:tc>
          <w:tcPr>
            <w:tcW w:type="dxa" w:w="1440"/>
            <w:shd w:fill="C6EFCE" w:val="clear"/>
          </w:tcPr>
          <w:p>
            <w:r>
              <w:rPr>
                <w:sz w:val="17"/>
              </w:rPr>
              <w:t>38,100</w:t>
            </w:r>
          </w:p>
        </w:tc>
        <w:tc>
          <w:tcPr>
            <w:tcW w:type="dxa" w:w="1440"/>
            <w:shd w:fill="C6EFCE" w:val="clear"/>
          </w:tcPr>
          <w:p>
            <w:r>
              <w:rPr>
                <w:b/>
                <w:sz w:val="17"/>
              </w:rPr>
              <w:t>39,729</w:t>
            </w:r>
          </w:p>
        </w:tc>
        <w:tc>
          <w:tcPr>
            <w:tcW w:type="dxa" w:w="1440"/>
            <w:shd w:fill="C6EFCE" w:val="clear"/>
          </w:tcPr>
          <w:p>
            <w:r>
              <w:rPr>
                <w:sz w:val="17"/>
              </w:rPr>
              <w:t>41,359</w:t>
            </w:r>
          </w:p>
        </w:tc>
        <w:tc>
          <w:tcPr>
            <w:tcW w:type="dxa" w:w="1440"/>
            <w:shd w:fill="C6EFCE" w:val="clear"/>
          </w:tcPr>
          <w:p>
            <w:r>
              <w:rPr>
                <w:b/>
                <w:color w:val="008000"/>
                <w:sz w:val="17"/>
              </w:rPr>
              <w:t>+3.2%</w:t>
            </w:r>
          </w:p>
        </w:tc>
      </w:tr>
      <w:tr>
        <w:tc>
          <w:tcPr>
            <w:tcW w:type="dxa" w:w="1440"/>
            <w:shd w:fill="C6EFCE" w:val="clear"/>
          </w:tcPr>
          <w:p>
            <w:r>
              <w:rPr>
                <w:sz w:val="17"/>
              </w:rPr>
              <w:t>J+10  Moyenne</w:t>
            </w:r>
          </w:p>
        </w:tc>
        <w:tc>
          <w:tcPr>
            <w:tcW w:type="dxa" w:w="1440"/>
            <w:shd w:fill="C6EFCE" w:val="clear"/>
          </w:tcPr>
          <w:p>
            <w:r>
              <w:rPr>
                <w:sz w:val="17"/>
              </w:rPr>
              <w:t>2026-10-30</w:t>
            </w:r>
          </w:p>
        </w:tc>
        <w:tc>
          <w:tcPr>
            <w:tcW w:type="dxa" w:w="1440"/>
            <w:shd w:fill="C6EFCE" w:val="clear"/>
          </w:tcPr>
          <w:p>
            <w:r>
              <w:rPr>
                <w:sz w:val="17"/>
              </w:rPr>
              <w:t>38,128</w:t>
            </w:r>
          </w:p>
        </w:tc>
        <w:tc>
          <w:tcPr>
            <w:tcW w:type="dxa" w:w="1440"/>
            <w:shd w:fill="C6EFCE" w:val="clear"/>
          </w:tcPr>
          <w:p>
            <w:r>
              <w:rPr>
                <w:b/>
                <w:sz w:val="17"/>
              </w:rPr>
              <w:t>39,851</w:t>
            </w:r>
          </w:p>
        </w:tc>
        <w:tc>
          <w:tcPr>
            <w:tcW w:type="dxa" w:w="1440"/>
            <w:shd w:fill="C6EFCE" w:val="clear"/>
          </w:tcPr>
          <w:p>
            <w:r>
              <w:rPr>
                <w:sz w:val="17"/>
              </w:rPr>
              <w:t>41,574</w:t>
            </w:r>
          </w:p>
        </w:tc>
        <w:tc>
          <w:tcPr>
            <w:tcW w:type="dxa" w:w="1440"/>
            <w:shd w:fill="C6EFCE" w:val="clear"/>
          </w:tcPr>
          <w:p>
            <w:r>
              <w:rPr>
                <w:b/>
                <w:color w:val="008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 RAPPORT D'ANALYSE FINANCIÈRE — SLBC (SOLIBRA CI)</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633,74 milliards FCFA, SLBC s'impose comme l'une des plus grandes capitalisations de la cote BRVM, témoignant de son statut de valeur de premier plan dans le compartiment des entreprises non bancaires. Le BPA de 2 781 FCFA/action signifie que chaque titre génère près de 2 800 FCFA de bénéfice net, un niveau élevé qui traduit la forte rentabilité de l'exploitant. Le PER de 13,8x se situe légèrement au-dessus de la moyenne BRVM (8-12x), mais reste modéré au regard de la croissance exceptionnelle des bénéfices (+113% en 2025) ; les investisseurs paient donc un prix raisonnable pour une valeur de croissance. Le P/B de 3,25x indique que le marché valorise l'action à plus de trois fois sa valeur comptable, traduisant une prime de croissance justifiée par un ROE de 23,46%, largement supérieur au seuil d'excellence de 15%. Enfin, l'EV/EBITDA de 7,5x, dans la fourchette raisonnable de 5-10x, confirme que la valeur d'entreprise reste cohérente avec la capacité opérationnelle de génération de cash-flow (EBITDA de 87,4 Mds FCFA en 2025).</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SLBC affiche une variation totale de +1,29%, avec une dernière séance quasi stable (+0,03%), s'établissant à 38 500 FCFA. Le titre a évolué dans un range de trading resserré entre un plus bas de 36 900 FCFA et un plus haut de 41 500 FCFA, soit une amplitude de seulement 12,5%, caractéristique d'une tendance générale stable à légèrement haussière, sans mouvement directionnel marqué. Les statistiques descriptives révèlent une moyenne de 38 276 FCFA légèrement supérieure à la médiane de 38 000 FCFA (elle-même égale au mode), signe d'une distribution faiblement asymétrique tirée vers le haut par quelques séances de hausse. L'écart-type de 867 FCFA et le coefficient de variation de 2,3% confirment une dispersion très faible du cours, gage de stabilité pour l'investisseur. Le kurtosis de 0,682 (mésokurtique) indique une distribution proche de la normale, donc un risque de pics extrêmes limité, tandis que le skewness positif de 0,767 signale une asymétrie positive avec davantage de journées sous la moyenne mais des hausses plus amples. La volatilité annualisée de 24,7% positionne le titre dans la catégorie des valeurs à volatilité modérée (15-30%), adaptée à un profil d'investisseur équilibré.</w:t>
      </w:r>
    </w:p>
    <w:p>
      <w:pPr>
        <w:spacing w:after="120" w:line="276" w:lineRule="auto"/>
      </w:pPr>
      <w:r>
        <w:t>---</w:t>
      </w:r>
    </w:p>
    <w:p>
      <w:pPr>
        <w:spacing w:after="120" w:line="276" w:lineRule="auto"/>
      </w:pPr>
      <w:r>
        <w:t>## PARTIE 2 : ANALYSE TECHNIQUE DÉTAILLÉE</w:t>
      </w:r>
    </w:p>
    <w:p>
      <w:pPr>
        <w:spacing w:after="120" w:line="276" w:lineRule="auto"/>
      </w:pPr>
      <w:r>
        <w:t>**Moyennes Mobiles** : La MM20 (37 771 FCFA) et la MM50 (37 682 FCFA) se situent toutes deux sous le cours actuel de 38 500 FCFA, avec la MM20 légèrement au-dessus de la MM50, configuration typique d'un croisement haussier. Cette disposition confirme la dynamique positive de court et moyen terme et justifie la décision d'ACHAT.</w:t>
      </w:r>
    </w:p>
    <w:p>
      <w:pPr>
        <w:spacing w:after="120" w:line="276" w:lineRule="auto"/>
      </w:pPr>
      <w:r>
        <w:t>**Bandes de Bollinger** : Le cours (38 500 FCFA) évolue dans la partie haute de la bande, proche de la borne supérieure (38 577,7 FCFA) et nettement au-dessus de la borne inférieure (36 964,3 FCFA). L'étroitesse de la bande traduit une faible volatilité, et la position du cours suggère une pression acheteuse sans excès, d'où la décision NEUTRE.</w:t>
      </w:r>
    </w:p>
    <w:p>
      <w:pPr>
        <w:spacing w:after="120" w:line="276" w:lineRule="auto"/>
      </w:pPr>
      <w:r>
        <w:t>**MACD** : La valeur du MACD (81,558) est nettement supérieure à son signal (-36,52), générant une divergence positive marquée qui témoigne d'un momentum haussier soutenu. Cette configuration technique valide la décision d'ACHAT et suggère la poursuite du mouvement.</w:t>
      </w:r>
    </w:p>
    <w:p>
      <w:pPr>
        <w:spacing w:after="120" w:line="276" w:lineRule="auto"/>
      </w:pPr>
      <w:r>
        <w:t>**RSI** : À 56,545, le RSI se situe dans la zone neutre (30-70), sans signal de surachat (&gt;70) ni de survente (&lt;30). Le titre dispose donc d'un potentiel de hausse résiduel avant d'atteindre des niveaux d'alerte, ce qui justifie la décision NEUTRE.</w:t>
      </w:r>
    </w:p>
    <w:p>
      <w:pPr>
        <w:spacing w:after="120" w:line="276" w:lineRule="auto"/>
      </w:pPr>
      <w:r>
        <w:t>**Stochastique** : Le %K et le %D sont tous deux à 100,0, niveau extrême de surachat indiquant que le cours a atteint le sommet de sa fourchette récente. Cette configuration, bien que signalant une possible correction à court terme, justifie la décision de VENTE à court terme.</w:t>
      </w:r>
    </w:p>
    <w:p>
      <w:pPr>
        <w:spacing w:after="120" w:line="276" w:lineRule="auto"/>
      </w:pPr>
      <w:r>
        <w:t>**Conclusion technique** : Les indicateurs présentent une convergence majoritairement haussière (MM croisées à la hausse, MACD en divergence positive, cours au-dessus des moyennes), tempérée par des signaux de surachat (Stochastique à 100, cours proche de la borne haute de Bollinger) et un RSI neutre. Cette configuration suggère une dynamique positive de fond mais un essoufflement possible à très court terme, plaidant pour une approche progressive plutôt qu'un achat massif immédiat.</w:t>
      </w:r>
    </w:p>
    <w:p>
      <w:pPr>
        <w:spacing w:after="120" w:line="276" w:lineRule="auto"/>
      </w:pPr>
      <w:r>
        <w:t>---</w:t>
      </w:r>
    </w:p>
    <w:p>
      <w:pPr>
        <w:spacing w:after="120" w:line="276" w:lineRule="auto"/>
      </w:pPr>
      <w:r>
        <w:t>## PARTIE 3 : ANALYSE FONDAMENTALE</w:t>
      </w:r>
    </w:p>
    <w:p>
      <w:pPr>
        <w:spacing w:after="120" w:line="276" w:lineRule="auto"/>
      </w:pPr>
      <w:r>
        <w:t>Les états financiers de l'exercice 2025 (rapport officiel analysé le 20/05/2026 par DEEPSEEK) révèlent une performance exceptionnelle : le chiffre d'affaires s'établit à 378,123 milliards FCFA, en croissance de 22,08% par rapport aux 309,722 Mds FCFA de 2024, tandis que le résultat net bondit à 45,781 Mds FCFA, soit une progression de +113% (contre 21,472 Mds en 2024). Cette explosion de la rentabilité se traduit par un ROE remarquable de 23,46% (bien au-delà du seuil d'excellence de 15%) et un ROA de 13,48%, confirmant l'efficacité capitalistique de l'entreprise. La marge nette double pratiquement, passant de 6,9% à 12,11%, grâce à une marge brute de 76,21% et une marge opérationnelle de 17,23%, tandis que l'EBITDA progresse de 52% à 87,445 Mds FCFA. Sur le plan de la structure financière, l'autonomie financière de 57,48% (capitaux propres de 195,142 Mds FCFA sur un total bilan de 339,517 Mds) témoigne d'une grande solidité, avec un ratio d'endettement maîtrisé de 42,52% et une capacité de remboursement de seulement 0,67 année de CAF. L'analyse du besoin en fonds de roulement révèle un BFR de 61,587 Mds FCFA, avec un délai client de 64,27 jours (risque de trésorerie modéré) et un délai fournisseur de 76,82 jours (favorable à la trésorerie), tandis que la durée de stockage de 117,32 jours mérite une surveillance. Les rapports trimestriels confirment cette dynamique : le T1 2026 (rapport du 19/05/2026) affiche un CA de 93,46 Mds FCFA (+7,6%) et un résultat net de 16,26 Mds FCFA (+4,8%), avec une marge nette de 17,4% ; sur cette base, on estime que l'exercice 2026 devrait maintenir une croissance à deux chiffres, bien qu'à un rythme plus modéré que 2025. La politique de dividende est particulièrement attractive : le dividende brut unitaire proposé de 2 127 FCFA par action (AGO du 05/06/2026) offre un rendement de 5,5% au cours actuel, avec un taux de distribution de 76,5%. La recommandation fondamentale est donc clairement positive, portée par une croissance profitable, un bilan solide et une générosité actionnariale, avec pour principaux risques la dépendance aux matières premières (90 Mds FCFA d'achats exposés à la volatilité) et la concentration géographique sur le marché ivoirien.</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d'analyse converge vers un profil d'investissement favorable mais nuancé. Sur le plan de la **valorisation (Partie 0)**, le PER de 13,8x et le P/B de 3,25x traduisent une valorisation raisonnable intégrant une prime de croissance justifiée par le ROE de 23,46%, sans excès manifeste. Le **comportement du cours (Partie 1)** est rassurant : tendance stable à légèrement haussière (+1,29%), volatilité modérée (24,7%), dispersion très faible (CV de 2,3%) et distribution proche de la normale (kurtosis 0,682), avec une asymétrie positive (skewness 0,767) plutôt favorable. Les **signaux techniques (Partie 2)** sont majoritairement haussiers (MM croisées, MACD en divergence positive, cours au-dessus des moyennes) mais tempérés par des signaux de surachat à court terme (Stochastique à 100, cours proche de la borne haute de Bollinger), suggérant une consolidation possible avant une nouvelle progression. Les **fondamentaux (Partie 3)** sont exceptionnels : croissance du CA de +22%, doublement du résultat net, ROE de 23,46%, bilan solide (autonomie financière de 57,48%) et dividende attractif (rendement de 5,5%), avec des estimations T1 2026 confirmant la poursuite de la dynamique. Les **prédictions IA (J+1 à J+10)** projettent une trajectoire haussière graduelle de 38 677 FCFA à 39 225 FCFA, soit un potentiel de +1,9% sur dix jours ouvrables, ce qui confirme les signaux techniques de fond tout en validant l'hypothèse d'une progression mesurée. **Recommandation finale : ACHAT**, avec un niveau de confiance **Élevé** et un niveau de risque global **Moyen** (volatilité modérée, dépendance aux matières premières et concentration géographique). L'horizon d'investissement optimal est le **moyen à long terme (6 mois à plus d'un an)**, afin de capter la croissance bénéficiaire, le rendement du dividende et la revalorisation potentielle du titre, tout en laissant passer les éventuelles consolidations de court terme liées au surachat technique actuel.</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[3]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39.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120.01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1,614 titres</w:t>
            </w:r>
          </w:p>
        </w:tc>
        <w:tc>
          <w:tcPr>
            <w:tcW w:type="dxa" w:w="2268"/>
            <w:shd w:fill="FFF2CC" w:val="clear"/>
          </w:tcPr>
          <w:p>
            <w:r>
              <w:rPr>
                <w:b/>
                <w:color w:val="503200"/>
                <w:sz w:val="16"/>
              </w:rPr>
              <w:t xml:space="preserve">Cours actuel : </w:t>
            </w:r>
            <w:r>
              <w:rPr>
                <w:color w:val="000000"/>
                <w:sz w:val="17"/>
              </w:rPr>
              <w:t>15,395 FCFA</w:t>
            </w:r>
          </w:p>
          <w:p>
            <w:r>
              <w:rPr>
                <w:b/>
                <w:color w:val="503200"/>
                <w:sz w:val="16"/>
              </w:rPr>
              <w:t xml:space="preserve">Var. 100 jours : </w:t>
            </w:r>
            <w:r>
              <w:rPr>
                <w:b/>
                <w:color w:val="007800"/>
                <w:sz w:val="17"/>
              </w:rPr>
              <w:t>+18.42%</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13,000 FCFA</w:t>
            </w:r>
          </w:p>
          <w:p>
            <w:r>
              <w:rPr>
                <w:b/>
                <w:color w:val="503200"/>
                <w:sz w:val="16"/>
              </w:rPr>
              <w:t xml:space="preserve">Volatilité ann. : </w:t>
            </w:r>
            <w:r>
              <w:rPr>
                <w:color w:val="000000"/>
                <w:sz w:val="17"/>
              </w:rPr>
              <w:t>42.3%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7.24% (Moyenne) — μ=16,268 FCFA, σ=1,177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β=0.3970 (Défensif) — Cov=0.000030, Var(idx)=0.000077, ρ=0.129,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1,614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14,656</w:t>
            </w:r>
          </w:p>
        </w:tc>
        <w:tc>
          <w:tcPr>
            <w:tcW w:type="dxa" w:w="1440"/>
            <w:shd w:fill="FAFAFA" w:val="clear"/>
          </w:tcPr>
          <w:p>
            <w:r>
              <w:rPr>
                <w:b/>
                <w:sz w:val="17"/>
              </w:rPr>
              <w:t>15,428</w:t>
            </w:r>
          </w:p>
        </w:tc>
        <w:tc>
          <w:tcPr>
            <w:tcW w:type="dxa" w:w="1440"/>
            <w:shd w:fill="FAFAFA" w:val="clear"/>
          </w:tcPr>
          <w:p>
            <w:r>
              <w:rPr>
                <w:sz w:val="17"/>
              </w:rPr>
              <w:t>16,200</w:t>
            </w:r>
          </w:p>
        </w:tc>
        <w:tc>
          <w:tcPr>
            <w:tcW w:type="dxa" w:w="1440"/>
            <w:shd w:fill="FAFAFA" w:val="clear"/>
          </w:tcPr>
          <w:p>
            <w:r>
              <w:rPr>
                <w:b/>
                <w:color w:val="008000"/>
                <w:sz w:val="17"/>
              </w:rPr>
              <w:t>+0.2%</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14,309</w:t>
            </w:r>
          </w:p>
        </w:tc>
        <w:tc>
          <w:tcPr>
            <w:tcW w:type="dxa" w:w="1440"/>
            <w:shd w:fill="FAFAFA" w:val="clear"/>
          </w:tcPr>
          <w:p>
            <w:r>
              <w:rPr>
                <w:b/>
                <w:sz w:val="17"/>
              </w:rPr>
              <w:t>15,399</w:t>
            </w:r>
          </w:p>
        </w:tc>
        <w:tc>
          <w:tcPr>
            <w:tcW w:type="dxa" w:w="1440"/>
            <w:shd w:fill="FAFAFA" w:val="clear"/>
          </w:tcPr>
          <w:p>
            <w:r>
              <w:rPr>
                <w:sz w:val="17"/>
              </w:rPr>
              <w:t>16,489</w:t>
            </w:r>
          </w:p>
        </w:tc>
        <w:tc>
          <w:tcPr>
            <w:tcW w:type="dxa" w:w="1440"/>
            <w:shd w:fill="FAFAFA" w:val="clear"/>
          </w:tcPr>
          <w:p>
            <w:r>
              <w:rPr>
                <w:b/>
                <w:color w:val="008000"/>
                <w:sz w:val="17"/>
              </w:rPr>
              <w:t>+0.0%</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14,043</w:t>
            </w:r>
          </w:p>
        </w:tc>
        <w:tc>
          <w:tcPr>
            <w:tcW w:type="dxa" w:w="1440"/>
            <w:shd w:fill="FAFAFA" w:val="clear"/>
          </w:tcPr>
          <w:p>
            <w:r>
              <w:rPr>
                <w:b/>
                <w:sz w:val="17"/>
              </w:rPr>
              <w:t>15,376</w:t>
            </w:r>
          </w:p>
        </w:tc>
        <w:tc>
          <w:tcPr>
            <w:tcW w:type="dxa" w:w="1440"/>
            <w:shd w:fill="FAFAFA" w:val="clear"/>
          </w:tcPr>
          <w:p>
            <w:r>
              <w:rPr>
                <w:sz w:val="17"/>
              </w:rPr>
              <w:t>16,708</w:t>
            </w:r>
          </w:p>
        </w:tc>
        <w:tc>
          <w:tcPr>
            <w:tcW w:type="dxa" w:w="1440"/>
            <w:shd w:fill="FAFAFA" w:val="clear"/>
          </w:tcPr>
          <w:p>
            <w:r>
              <w:rPr>
                <w:b/>
                <w:color w:val="C00000"/>
                <w:sz w:val="17"/>
              </w:rPr>
              <w:t>-0.1%</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13,815</w:t>
            </w:r>
          </w:p>
        </w:tc>
        <w:tc>
          <w:tcPr>
            <w:tcW w:type="dxa" w:w="1440"/>
            <w:shd w:fill="FAFAFA" w:val="clear"/>
          </w:tcPr>
          <w:p>
            <w:r>
              <w:rPr>
                <w:b/>
                <w:sz w:val="17"/>
              </w:rPr>
              <w:t>15,351</w:t>
            </w:r>
          </w:p>
        </w:tc>
        <w:tc>
          <w:tcPr>
            <w:tcW w:type="dxa" w:w="1440"/>
            <w:shd w:fill="FAFAFA" w:val="clear"/>
          </w:tcPr>
          <w:p>
            <w:r>
              <w:rPr>
                <w:sz w:val="17"/>
              </w:rPr>
              <w:t>16,888</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13,612</w:t>
            </w:r>
          </w:p>
        </w:tc>
        <w:tc>
          <w:tcPr>
            <w:tcW w:type="dxa" w:w="1440"/>
            <w:shd w:fill="FAFAFA" w:val="clear"/>
          </w:tcPr>
          <w:p>
            <w:r>
              <w:rPr>
                <w:b/>
                <w:sz w:val="17"/>
              </w:rPr>
              <w:t>15,326</w:t>
            </w:r>
          </w:p>
        </w:tc>
        <w:tc>
          <w:tcPr>
            <w:tcW w:type="dxa" w:w="1440"/>
            <w:shd w:fill="FAFAFA" w:val="clear"/>
          </w:tcPr>
          <w:p>
            <w:r>
              <w:rPr>
                <w:sz w:val="17"/>
              </w:rPr>
              <w:t>17,041</w:t>
            </w:r>
          </w:p>
        </w:tc>
        <w:tc>
          <w:tcPr>
            <w:tcW w:type="dxa" w:w="1440"/>
            <w:shd w:fill="FAFAFA" w:val="clear"/>
          </w:tcPr>
          <w:p>
            <w:r>
              <w:rPr>
                <w:b/>
                <w:color w:val="C00000"/>
                <w:sz w:val="17"/>
              </w:rPr>
              <w:t>-0.4%</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13,426</w:t>
            </w:r>
          </w:p>
        </w:tc>
        <w:tc>
          <w:tcPr>
            <w:tcW w:type="dxa" w:w="1440"/>
            <w:shd w:fill="FAFAFA" w:val="clear"/>
          </w:tcPr>
          <w:p>
            <w:r>
              <w:rPr>
                <w:b/>
                <w:sz w:val="17"/>
              </w:rPr>
              <w:t>15,301</w:t>
            </w:r>
          </w:p>
        </w:tc>
        <w:tc>
          <w:tcPr>
            <w:tcW w:type="dxa" w:w="1440"/>
            <w:shd w:fill="FAFAFA" w:val="clear"/>
          </w:tcPr>
          <w:p>
            <w:r>
              <w:rPr>
                <w:sz w:val="17"/>
              </w:rPr>
              <w:t>17,177</w:t>
            </w:r>
          </w:p>
        </w:tc>
        <w:tc>
          <w:tcPr>
            <w:tcW w:type="dxa" w:w="1440"/>
            <w:shd w:fill="FAFAFA" w:val="clear"/>
          </w:tcPr>
          <w:p>
            <w:r>
              <w:rPr>
                <w:b/>
                <w:color w:val="C00000"/>
                <w:sz w:val="17"/>
              </w:rPr>
              <w:t>-0.6%</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13,254</w:t>
            </w:r>
          </w:p>
        </w:tc>
        <w:tc>
          <w:tcPr>
            <w:tcW w:type="dxa" w:w="1440"/>
            <w:shd w:fill="FAFAFA" w:val="clear"/>
          </w:tcPr>
          <w:p>
            <w:r>
              <w:rPr>
                <w:b/>
                <w:sz w:val="17"/>
              </w:rPr>
              <w:t>15,277</w:t>
            </w:r>
          </w:p>
        </w:tc>
        <w:tc>
          <w:tcPr>
            <w:tcW w:type="dxa" w:w="1440"/>
            <w:shd w:fill="FAFAFA" w:val="clear"/>
          </w:tcPr>
          <w:p>
            <w:r>
              <w:rPr>
                <w:sz w:val="17"/>
              </w:rPr>
              <w:t>17,299</w:t>
            </w:r>
          </w:p>
        </w:tc>
        <w:tc>
          <w:tcPr>
            <w:tcW w:type="dxa" w:w="1440"/>
            <w:shd w:fill="FAFAFA" w:val="clear"/>
          </w:tcPr>
          <w:p>
            <w:r>
              <w:rPr>
                <w:b/>
                <w:color w:val="C00000"/>
                <w:sz w:val="17"/>
              </w:rPr>
              <w:t>-0.8%</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13,094</w:t>
            </w:r>
          </w:p>
        </w:tc>
        <w:tc>
          <w:tcPr>
            <w:tcW w:type="dxa" w:w="1440"/>
            <w:shd w:fill="FAFAFA" w:val="clear"/>
          </w:tcPr>
          <w:p>
            <w:r>
              <w:rPr>
                <w:b/>
                <w:sz w:val="17"/>
              </w:rPr>
              <w:t>15,252</w:t>
            </w:r>
          </w:p>
        </w:tc>
        <w:tc>
          <w:tcPr>
            <w:tcW w:type="dxa" w:w="1440"/>
            <w:shd w:fill="FAFAFA" w:val="clear"/>
          </w:tcPr>
          <w:p>
            <w:r>
              <w:rPr>
                <w:sz w:val="17"/>
              </w:rPr>
              <w:t>17,410</w:t>
            </w:r>
          </w:p>
        </w:tc>
        <w:tc>
          <w:tcPr>
            <w:tcW w:type="dxa" w:w="1440"/>
            <w:shd w:fill="FAFAFA" w:val="clear"/>
          </w:tcPr>
          <w:p>
            <w:r>
              <w:rPr>
                <w:b/>
                <w:color w:val="C00000"/>
                <w:sz w:val="17"/>
              </w:rPr>
              <w:t>-0.9%</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12,942</w:t>
            </w:r>
          </w:p>
        </w:tc>
        <w:tc>
          <w:tcPr>
            <w:tcW w:type="dxa" w:w="1440"/>
            <w:shd w:fill="FAFAFA" w:val="clear"/>
          </w:tcPr>
          <w:p>
            <w:r>
              <w:rPr>
                <w:b/>
                <w:sz w:val="17"/>
              </w:rPr>
              <w:t>15,227</w:t>
            </w:r>
          </w:p>
        </w:tc>
        <w:tc>
          <w:tcPr>
            <w:tcW w:type="dxa" w:w="1440"/>
            <w:shd w:fill="FAFAFA" w:val="clear"/>
          </w:tcPr>
          <w:p>
            <w:r>
              <w:rPr>
                <w:sz w:val="17"/>
              </w:rPr>
              <w:t>17,513</w:t>
            </w:r>
          </w:p>
        </w:tc>
        <w:tc>
          <w:tcPr>
            <w:tcW w:type="dxa" w:w="1440"/>
            <w:shd w:fill="FAFAFA" w:val="clear"/>
          </w:tcPr>
          <w:p>
            <w:r>
              <w:rPr>
                <w:b/>
                <w:color w:val="C00000"/>
                <w:sz w:val="17"/>
              </w:rPr>
              <w:t>-1.1%</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12,798</w:t>
            </w:r>
          </w:p>
        </w:tc>
        <w:tc>
          <w:tcPr>
            <w:tcW w:type="dxa" w:w="1440"/>
            <w:shd w:fill="FAFAFA" w:val="clear"/>
          </w:tcPr>
          <w:p>
            <w:r>
              <w:rPr>
                <w:b/>
                <w:sz w:val="17"/>
              </w:rPr>
              <w:t>15,203</w:t>
            </w:r>
          </w:p>
        </w:tc>
        <w:tc>
          <w:tcPr>
            <w:tcW w:type="dxa" w:w="1440"/>
            <w:shd w:fill="FAFAFA" w:val="clear"/>
          </w:tcPr>
          <w:p>
            <w:r>
              <w:rPr>
                <w:sz w:val="17"/>
              </w:rPr>
              <w:t>17,609</w:t>
            </w:r>
          </w:p>
        </w:tc>
        <w:tc>
          <w:tcPr>
            <w:tcW w:type="dxa" w:w="1440"/>
            <w:shd w:fill="FAFAFA" w:val="clear"/>
          </w:tcPr>
          <w:p>
            <w:r>
              <w:rPr>
                <w:b/>
                <w:color w:val="C00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 RAPPORT D'ANALYSE FINANCIÈRE — SMBC (Société Multinationale de Bitumes)</w:t>
        <w:br/>
        <w:t>## BRVM | Analyse complète au 19 octobre 2026</w:t>
      </w:r>
    </w:p>
    <w:p>
      <w:pPr>
        <w:spacing w:after="120" w:line="276" w:lineRule="auto"/>
      </w:pPr>
      <w:r>
        <w:t>---</w:t>
      </w:r>
    </w:p>
    <w:p>
      <w:pPr>
        <w:spacing w:after="120" w:line="276" w:lineRule="auto"/>
      </w:pPr>
      <w:r>
        <w:t>## PARTIE 0 : INDICATEURS DE VALORISATION BOURSIÈRE</w:t>
      </w:r>
    </w:p>
    <w:p>
      <w:pPr>
        <w:spacing w:after="120" w:line="276" w:lineRule="auto"/>
      </w:pPr>
      <w:r>
        <w:t>SMBC affiche une capitalisation boursière de 120,01 milliards FCFA, un niveau respectable qui la positionne parmi les valeurs moyennes-capitalisations de la BRVM, avec une liquidité quotidienne limitée (1 614 titres/jour en moyenne). Le BPA de 1 677 FCFA/action signifie que chaque titre génère près de 1 677 FCFA de bénéfice net, ce qui, rapporté au cours actuel de 15 395 FCFA, donne un PER de 9,2x — légèrement inférieur à la moyenne BRVM (8-12x), suggérant une valorisation raisonnable voire légèrement sous-évaluée au regard des bénéfices. Le P/B de 2,80x indique que le marché valorise SMBC à près de 2,8 fois sa valeur comptable, traduisant une prime de croissance accordée par les investisseurs, cohérente avec un ROE élevé de 30,5%. Enfin, l'EV/EBITDA de 5,7x (dans la fourchette raisonnable 5-10x) montre que la valeur d'entreprise reste modérée par rapport à la capacité opérationnelle de génération de cash, ce qui renforce le caractère attractif de la valorisation globale.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SMBC affiche une performance remarquable de **+18,42%**, malgré un repli de -0,68% lors de la dernière séance, le cours clôturant à 15 395 FCFA. Le titre a évolué dans un range large de 13 000 FCFA (plus bas) à 18 500 FCFA (plus haut), soit une amplitude de 42%, témoignant d'une dynamique haussière soutenue mais avec des phases de correction. La tendance générale reste haussière sur la période, portée par l'amélioration des fondamentaux (résultat net +50,3% en 2025), bien que le cours se situe actuellement dans le bas de ce range, à 17% sous son plus haut. Les statistiques descriptives révèlent une moyenne de 16 268 FCFA légèrement inférieure à la médiane de 16 445 FCFA, avec un mode à 16 500 FCFA — cet écart modeste indique une distribution quasi-symétrique, confirmée par un skewness de -0,828 (asymétrie négative : davantage de journées au-dessus de la moyenne, mais quelques journées de forte baisse tirent la moyenne vers le bas). L'écart-type de 1 183 FCFA (CV=7,3%) traduit une dispersion modérée du cours, tandis que le kurtosis de 0,871 (mésokurtique) suggère un comportement proche d'une distribution normale, sans risque excessif de pics extrêmes. La volatilité annualisée de 42,3% classe toutefois SMBC dans la catégorie des titres à **volatilité élevée** (&gt;30%), ce qui implique un risque de marché significatif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(15 971,5 FCFA) et la MM50 (16 679,9 FCFA) se situent toutes deux au-dessus du cours actuel (15 395 FCFA), signe d'une pression baissière de court et moyen terme. La MM20 étant inférieure à la MM50, la configuration reste baissière (croisement défavorable), justifiant la décision technique de **Vente**.</w:t>
      </w:r>
    </w:p>
    <w:p>
      <w:pPr>
        <w:spacing w:after="120" w:line="276" w:lineRule="auto"/>
      </w:pPr>
      <w:r>
        <w:t>**Bandes de Bollinger** : Le cours (15 395 FCFA) évolue dans la moitié inférieure de la bande, entre la borne inférieure (14 678,3 FCFA) et la borne supérieure (17 264,7 FCFA), sans franchissement des extrêmes. Cette position centrale-basse traduit une volatilité contenue et une absence de signal directionnel fort, d'où la décision **Neutre**.</w:t>
      </w:r>
    </w:p>
    <w:p>
      <w:pPr>
        <w:spacing w:after="120" w:line="276" w:lineRule="auto"/>
      </w:pPr>
      <w:r>
        <w:t>**MACD** : La valeur du MACD (-362,0) est inférieure à son signal (-292,9), avec un histogramme négatif — configuration baissière confirmée. Le momentum reste négatif, bien que l'écart entre les deux lignes se réduise légèrement, ce qui justifie la décision de **Vente** sans signal de retournement imminent.</w:t>
      </w:r>
    </w:p>
    <w:p>
      <w:pPr>
        <w:spacing w:after="120" w:line="276" w:lineRule="auto"/>
      </w:pPr>
      <w:r>
        <w:t>**RSI** : À 45,2, le RSI se situe en zone neutre (30-70), sans surachat ni survente. Le titre n'est ni épuisé à la baisse ni en excès haussier, ce qui confirme la décision **Neutre** et suggère une absence de catalyseur technique immédiat.</w:t>
      </w:r>
    </w:p>
    <w:p>
      <w:pPr>
        <w:spacing w:after="120" w:line="276" w:lineRule="auto"/>
      </w:pPr>
      <w:r>
        <w:t>**Stochastique** : Le %K à 0,0 (en zone de survente extrême) et le %D à 11,5 indiquent un épuisement baissier marqué, avec un potentiel rebond technique à court terme. Cette configuration justifie la décision d'**Achat** contrariante, bien qu'elle doive être confirmée par un croisement haussier.</w:t>
      </w:r>
    </w:p>
    <w:p>
      <w:pPr>
        <w:spacing w:after="120" w:line="276" w:lineRule="auto"/>
      </w:pPr>
      <w:r>
        <w:t>**Conclusion technique** : Les indicateurs sont majoritairement baissiers (MM, MACD) ou neutres (Bollinger, RSI), avec un seul signal d'achat contrariant (Stochastique en survente). Cette divergence suggère un titre en phase de consolidation baissière, proche d'un support technique, mais sans confirmation de retournement. La prudence reste de mise tant que le cours n'aura pas reconquis la MM20 (15 971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SMBC a réalisé en 2025 un chiffre d'affaires de 206,74 milliards FCFA, en baisse de -9,74% par rapport à 2024 (229,06 Mds FCFA), reflétant un environnement de marché difficile (baisse du Brent, retard des ventes export). Malgré cette contraction, le résultat net a bondi de +50,3% à 13,075 milliards FCFA, grâce à une amélioration spectaculaire de la marge nette (6,32% contre 3,8% en 2024) et de l'EBE (+41,8% à 18,48 Mds FCFA). Le ROE atteint un niveau excellent de 30,47% (&gt;15%), et le ROA de 7,26% confirme une bonne rentabilité des actifs. La structure financière reste solide : autonomie financière de 23,84%, ratio d'endettement de 76,16% (dettes totales/capitaux propres), et capacité de remboursement de 0,68 an (dette financière/CAF), très confortable. **Point d'attention majeur** : le délai clients de 193,75 jours est élevé (risque de trésorerie), mais il est compensé par un délai fournisseurs de 207,07 jours (financement favorable) et un BFR de seulement 1,693 Md FCFA (quasi-nul, favorable). La trésorerie nette positive de 23,99 Mds FCFA offre une marge de manœuvre importante.</w:t>
      </w:r>
    </w:p>
    <w:p>
      <w:pPr>
        <w:spacing w:after="120" w:line="276" w:lineRule="auto"/>
      </w:pPr>
      <w:r>
        <w:t>**Estimations basées sur les rapports trimestriels** : Le rapport T1 2025 (CA -22%, résultat net -7%) et le rapport S1 2025 (CA -23%, résultat net -7%) confirmaient la tendance baissière du CA, mais le rapport 9M 2025 (daté du 30/09/2025) montrait déjà une inflexion avec un résultat net en hausse de +6% à 5,7 Mds FCFA et une marge opérationnelle améliorée à 5,4%. Le rapport annuel 2025 (analysé par DeepSeek le 12/05/2026) confirme cette dynamique avec un résultat net de 13,075 Mds FCFA (+50,3%). On estime donc que l'exercice 2026 devrait bénéficier de cette base de coûts optimisée, avec un potentiel de rebond du CA si la demande en infrastructures routières se redresse (perspectives évoquées dans les rapports T1/S1 2025 : chantiers routiers en Côte d'Ivoire, demande export Nigeria/Ghana/Burkina/Mali). La politique de dividende reste prudente (payout ratio de 41,7% en 2025, dividende versé de 5 457 M FCFA), privilégiant le renforcement des capitaux propres (42,91 Mds FCFA, +21,6%). **Recommandation fondamentale** : solidité financière confirmée, rentabilité exceptionnelle, mais vigilance sur la croissance du CA — profil de valeur défensive à conserver.</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mais globalement favorable. **Valorisation (Partie 0)** : le PER de 9,2x (sous la moyenne BRVM), le P/B de 2,80x et l'EV/EBITDA de 5,7x indiquent une valorisation raisonnable, voire légèrement sous-évaluée au regard des bénéfices, avec une prime de croissance justifiée par le ROE de 30,5%. **Comportement du cours (Partie 1)** : la tendance haussière de +18,42% sur 100 jours est tempérée par une volatilité élevée (42,3%) et un skewness négatif (-0,828) signalant quelques journées de forte baisse ; le kurtosis mésokurtique (0,871) limite toutefois le risque de pics extrêmes. **Signaux techniques (Partie 2)** : divergence entre indicateurs baissiers (MM, MACD) et signal d'achat contrariant (Stochastique en survente), suggérant une consolidation proche d'un support plutôt qu'un retournement franc. **Fondamentaux (Partie 3)** : excellente performance opérationnelle 2025 (résultat net +50,3%, ROE 30,5%, trésorerie nette 23,99 Mds FCFA), malgré un CA en baisse (-9,74%) — les rapports trimestriels 2025 confirment une amélioration continue des marges. **Prédictions IA (J+1 à J+10)** : la trajectoire prédite (15 428 → 15 326 FCFA) est légèrement baissière (-0,66% sur 5 jours), cohérente avec la pression technique actuelle mais contredisant le signal d'achat du Stochastique.</w:t>
      </w:r>
    </w:p>
    <w:p>
      <w:pPr>
        <w:spacing w:after="120" w:line="276" w:lineRule="auto"/>
      </w:pPr>
      <w:r>
        <w:t>**Recommandation finale : CONSERVER** — avec un biais positif à moyen terme. La convergence entre valorisation attractive, fondamentaux solides et prédiction baissière de court terme plaide pour une posture attentiste : le titre est fondamentalement sain mais techniquement en consolidation. **Niveau de confiance : Moyen** (divergence technique/fondamental). **Niveau de risque global : Moyen** (volatilité élevée compensée par la solidité du bilan). **Horizon d'investissement optimal : moyen terme (3-12 mois)** — le temps que la consolidation technique s'achève et que la croissance du CA se confirme, avec un potentiel de passage à ACHAT si le cours reconquiert la MM20 (15 971 FCFA) et que les prochains résultats trimestriels confirment la reprise des volumes.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40.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4350.00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14,264 titres</w:t>
            </w:r>
          </w:p>
        </w:tc>
        <w:tc>
          <w:tcPr>
            <w:tcW w:type="dxa" w:w="2268"/>
            <w:shd w:fill="FFF2CC" w:val="clear"/>
          </w:tcPr>
          <w:p>
            <w:r>
              <w:rPr>
                <w:b/>
                <w:color w:val="503200"/>
                <w:sz w:val="16"/>
              </w:rPr>
              <w:t xml:space="preserve">Cours actuel : </w:t>
            </w:r>
            <w:r>
              <w:rPr>
                <w:color w:val="000000"/>
                <w:sz w:val="17"/>
              </w:rPr>
              <w:t>43,500 FCFA</w:t>
            </w:r>
          </w:p>
          <w:p>
            <w:r>
              <w:rPr>
                <w:b/>
                <w:color w:val="503200"/>
                <w:sz w:val="16"/>
              </w:rPr>
              <w:t xml:space="preserve">Var. 100 jours : </w:t>
            </w:r>
            <w:r>
              <w:rPr>
                <w:b/>
                <w:color w:val="007800"/>
                <w:sz w:val="17"/>
              </w:rPr>
              <w:t>+52.90%</w:t>
            </w:r>
          </w:p>
          <w:p>
            <w:r>
              <w:rPr>
                <w:b/>
                <w:color w:val="503200"/>
                <w:sz w:val="16"/>
              </w:rPr>
              <w:t xml:space="preserve">Plus haut 100j : </w:t>
            </w:r>
            <w:r>
              <w:rPr>
                <w:color w:val="000000"/>
                <w:sz w:val="17"/>
              </w:rPr>
              <w:t>45,000 FCFA</w:t>
            </w:r>
          </w:p>
          <w:p>
            <w:r>
              <w:rPr>
                <w:b/>
                <w:color w:val="503200"/>
                <w:sz w:val="16"/>
              </w:rPr>
              <w:t xml:space="preserve">Plus bas 100j : </w:t>
            </w:r>
            <w:r>
              <w:rPr>
                <w:color w:val="000000"/>
                <w:sz w:val="17"/>
              </w:rPr>
              <w:t>28,000 FCFA</w:t>
            </w:r>
          </w:p>
          <w:p>
            <w:r>
              <w:rPr>
                <w:b/>
                <w:color w:val="503200"/>
                <w:sz w:val="16"/>
              </w:rPr>
              <w:t xml:space="preserve">Volatilité ann. : </w:t>
            </w:r>
            <w:r>
              <w:rPr>
                <w:color w:val="000000"/>
                <w:sz w:val="17"/>
              </w:rPr>
              <w:t>31.2%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29.3/100 → Moyen</w:t>
      </w:r>
    </w:p>
    <w:p>
      <w:pPr>
        <w:spacing w:before="40" w:after="80"/>
      </w:pPr>
      <w:r>
        <w:rPr>
          <w:rFonts w:ascii="Courier New" w:hAnsi="Courier New"/>
          <w:color w:val="825A00"/>
          <w:sz w:val="18"/>
        </w:rPr>
        <w:t>█████░░░░░░░░░░░░░░░  29.3/100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16.68% (Élevée) — μ=34,361 FCFA, σ=5,733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β=1.2644 (Agressif) — Cov=0.000097, Var(idx)=0.000077, ρ=0.563,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14,264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σ_j=1.96%/j (Stable) — Vol. annualisée≈31.2%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42,908</w:t>
            </w:r>
          </w:p>
        </w:tc>
        <w:tc>
          <w:tcPr>
            <w:tcW w:type="dxa" w:w="1440"/>
            <w:shd w:fill="FAFAFA" w:val="clear"/>
          </w:tcPr>
          <w:p>
            <w:r>
              <w:rPr>
                <w:b/>
                <w:sz w:val="17"/>
              </w:rPr>
              <w:t>44,225</w:t>
            </w:r>
          </w:p>
        </w:tc>
        <w:tc>
          <w:tcPr>
            <w:tcW w:type="dxa" w:w="1440"/>
            <w:shd w:fill="FAFAFA" w:val="clear"/>
          </w:tcPr>
          <w:p>
            <w:r>
              <w:rPr>
                <w:sz w:val="17"/>
              </w:rPr>
              <w:t>45,541</w:t>
            </w:r>
          </w:p>
        </w:tc>
        <w:tc>
          <w:tcPr>
            <w:tcW w:type="dxa" w:w="1440"/>
            <w:shd w:fill="FAFAFA" w:val="clear"/>
          </w:tcPr>
          <w:p>
            <w:r>
              <w:rPr>
                <w:b/>
                <w:color w:val="008000"/>
                <w:sz w:val="17"/>
              </w:rPr>
              <w:t>+1.7%</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42,320</w:t>
            </w:r>
          </w:p>
        </w:tc>
        <w:tc>
          <w:tcPr>
            <w:tcW w:type="dxa" w:w="1440"/>
            <w:shd w:fill="FAFAFA" w:val="clear"/>
          </w:tcPr>
          <w:p>
            <w:r>
              <w:rPr>
                <w:b/>
                <w:sz w:val="17"/>
              </w:rPr>
              <w:t>44,179</w:t>
            </w:r>
          </w:p>
        </w:tc>
        <w:tc>
          <w:tcPr>
            <w:tcW w:type="dxa" w:w="1440"/>
            <w:shd w:fill="FAFAFA" w:val="clear"/>
          </w:tcPr>
          <w:p>
            <w:r>
              <w:rPr>
                <w:sz w:val="17"/>
              </w:rPr>
              <w:t>46,039</w:t>
            </w:r>
          </w:p>
        </w:tc>
        <w:tc>
          <w:tcPr>
            <w:tcW w:type="dxa" w:w="1440"/>
            <w:shd w:fill="FAFAFA" w:val="clear"/>
          </w:tcPr>
          <w:p>
            <w:r>
              <w:rPr>
                <w:b/>
                <w:color w:val="008000"/>
                <w:sz w:val="17"/>
              </w:rPr>
              <w:t>+1.6%</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41,919</w:t>
            </w:r>
          </w:p>
        </w:tc>
        <w:tc>
          <w:tcPr>
            <w:tcW w:type="dxa" w:w="1440"/>
            <w:shd w:fill="FAFAFA" w:val="clear"/>
          </w:tcPr>
          <w:p>
            <w:r>
              <w:rPr>
                <w:b/>
                <w:sz w:val="17"/>
              </w:rPr>
              <w:t>44,198</w:t>
            </w:r>
          </w:p>
        </w:tc>
        <w:tc>
          <w:tcPr>
            <w:tcW w:type="dxa" w:w="1440"/>
            <w:shd w:fill="FAFAFA" w:val="clear"/>
          </w:tcPr>
          <w:p>
            <w:r>
              <w:rPr>
                <w:sz w:val="17"/>
              </w:rPr>
              <w:t>46,476</w:t>
            </w:r>
          </w:p>
        </w:tc>
        <w:tc>
          <w:tcPr>
            <w:tcW w:type="dxa" w:w="1440"/>
            <w:shd w:fill="FAFAFA" w:val="clear"/>
          </w:tcPr>
          <w:p>
            <w:r>
              <w:rPr>
                <w:b/>
                <w:color w:val="008000"/>
                <w:sz w:val="17"/>
              </w:rPr>
              <w:t>+1.6%</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41,583</w:t>
            </w:r>
          </w:p>
        </w:tc>
        <w:tc>
          <w:tcPr>
            <w:tcW w:type="dxa" w:w="1440"/>
            <w:shd w:fill="FAFAFA" w:val="clear"/>
          </w:tcPr>
          <w:p>
            <w:r>
              <w:rPr>
                <w:b/>
                <w:sz w:val="17"/>
              </w:rPr>
              <w:t>44,215</w:t>
            </w:r>
          </w:p>
        </w:tc>
        <w:tc>
          <w:tcPr>
            <w:tcW w:type="dxa" w:w="1440"/>
            <w:shd w:fill="FAFAFA" w:val="clear"/>
          </w:tcPr>
          <w:p>
            <w:r>
              <w:rPr>
                <w:sz w:val="17"/>
              </w:rPr>
              <w:t>46,847</w:t>
            </w:r>
          </w:p>
        </w:tc>
        <w:tc>
          <w:tcPr>
            <w:tcW w:type="dxa" w:w="1440"/>
            <w:shd w:fill="FAFAFA" w:val="clear"/>
          </w:tcPr>
          <w:p>
            <w:r>
              <w:rPr>
                <w:b/>
                <w:color w:val="008000"/>
                <w:sz w:val="17"/>
              </w:rPr>
              <w:t>+1.6%</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41,280</w:t>
            </w:r>
          </w:p>
        </w:tc>
        <w:tc>
          <w:tcPr>
            <w:tcW w:type="dxa" w:w="1440"/>
            <w:shd w:fill="FAFAFA" w:val="clear"/>
          </w:tcPr>
          <w:p>
            <w:r>
              <w:rPr>
                <w:b/>
                <w:sz w:val="17"/>
              </w:rPr>
              <w:t>44,223</w:t>
            </w:r>
          </w:p>
        </w:tc>
        <w:tc>
          <w:tcPr>
            <w:tcW w:type="dxa" w:w="1440"/>
            <w:shd w:fill="FAFAFA" w:val="clear"/>
          </w:tcPr>
          <w:p>
            <w:r>
              <w:rPr>
                <w:sz w:val="17"/>
              </w:rPr>
              <w:t>47,166</w:t>
            </w:r>
          </w:p>
        </w:tc>
        <w:tc>
          <w:tcPr>
            <w:tcW w:type="dxa" w:w="1440"/>
            <w:shd w:fill="FAFAFA" w:val="clear"/>
          </w:tcPr>
          <w:p>
            <w:r>
              <w:rPr>
                <w:b/>
                <w:color w:val="008000"/>
                <w:sz w:val="17"/>
              </w:rPr>
              <w:t>+1.7%</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41,001</w:t>
            </w:r>
          </w:p>
        </w:tc>
        <w:tc>
          <w:tcPr>
            <w:tcW w:type="dxa" w:w="1440"/>
            <w:shd w:fill="FAFAFA" w:val="clear"/>
          </w:tcPr>
          <w:p>
            <w:r>
              <w:rPr>
                <w:b/>
                <w:sz w:val="17"/>
              </w:rPr>
              <w:t>44,225</w:t>
            </w:r>
          </w:p>
        </w:tc>
        <w:tc>
          <w:tcPr>
            <w:tcW w:type="dxa" w:w="1440"/>
            <w:shd w:fill="FAFAFA" w:val="clear"/>
          </w:tcPr>
          <w:p>
            <w:r>
              <w:rPr>
                <w:sz w:val="17"/>
              </w:rPr>
              <w:t>47,450</w:t>
            </w:r>
          </w:p>
        </w:tc>
        <w:tc>
          <w:tcPr>
            <w:tcW w:type="dxa" w:w="1440"/>
            <w:shd w:fill="FAFAFA" w:val="clear"/>
          </w:tcPr>
          <w:p>
            <w:r>
              <w:rPr>
                <w:b/>
                <w:color w:val="008000"/>
                <w:sz w:val="17"/>
              </w:rPr>
              <w:t>+1.7%</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40,742</w:t>
            </w:r>
          </w:p>
        </w:tc>
        <w:tc>
          <w:tcPr>
            <w:tcW w:type="dxa" w:w="1440"/>
            <w:shd w:fill="FAFAFA" w:val="clear"/>
          </w:tcPr>
          <w:p>
            <w:r>
              <w:rPr>
                <w:b/>
                <w:sz w:val="17"/>
              </w:rPr>
              <w:t>44,225</w:t>
            </w:r>
          </w:p>
        </w:tc>
        <w:tc>
          <w:tcPr>
            <w:tcW w:type="dxa" w:w="1440"/>
            <w:shd w:fill="FAFAFA" w:val="clear"/>
          </w:tcPr>
          <w:p>
            <w:r>
              <w:rPr>
                <w:sz w:val="17"/>
              </w:rPr>
              <w:t>47,707</w:t>
            </w:r>
          </w:p>
        </w:tc>
        <w:tc>
          <w:tcPr>
            <w:tcW w:type="dxa" w:w="1440"/>
            <w:shd w:fill="FAFAFA" w:val="clear"/>
          </w:tcPr>
          <w:p>
            <w:r>
              <w:rPr>
                <w:b/>
                <w:color w:val="008000"/>
                <w:sz w:val="17"/>
              </w:rPr>
              <w:t>+1.7%</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40,499</w:t>
            </w:r>
          </w:p>
        </w:tc>
        <w:tc>
          <w:tcPr>
            <w:tcW w:type="dxa" w:w="1440"/>
            <w:shd w:fill="FAFAFA" w:val="clear"/>
          </w:tcPr>
          <w:p>
            <w:r>
              <w:rPr>
                <w:b/>
                <w:sz w:val="17"/>
              </w:rPr>
              <w:t>44,222</w:t>
            </w:r>
          </w:p>
        </w:tc>
        <w:tc>
          <w:tcPr>
            <w:tcW w:type="dxa" w:w="1440"/>
            <w:shd w:fill="FAFAFA" w:val="clear"/>
          </w:tcPr>
          <w:p>
            <w:r>
              <w:rPr>
                <w:sz w:val="17"/>
              </w:rPr>
              <w:t>47,945</w:t>
            </w:r>
          </w:p>
        </w:tc>
        <w:tc>
          <w:tcPr>
            <w:tcW w:type="dxa" w:w="1440"/>
            <w:shd w:fill="FAFAFA" w:val="clear"/>
          </w:tcPr>
          <w:p>
            <w:r>
              <w:rPr>
                <w:b/>
                <w:color w:val="008000"/>
                <w:sz w:val="17"/>
              </w:rPr>
              <w:t>+1.7%</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40,270</w:t>
            </w:r>
          </w:p>
        </w:tc>
        <w:tc>
          <w:tcPr>
            <w:tcW w:type="dxa" w:w="1440"/>
            <w:shd w:fill="FAFAFA" w:val="clear"/>
          </w:tcPr>
          <w:p>
            <w:r>
              <w:rPr>
                <w:b/>
                <w:sz w:val="17"/>
              </w:rPr>
              <w:t>44,218</w:t>
            </w:r>
          </w:p>
        </w:tc>
        <w:tc>
          <w:tcPr>
            <w:tcW w:type="dxa" w:w="1440"/>
            <w:shd w:fill="FAFAFA" w:val="clear"/>
          </w:tcPr>
          <w:p>
            <w:r>
              <w:rPr>
                <w:sz w:val="17"/>
              </w:rPr>
              <w:t>48,166</w:t>
            </w:r>
          </w:p>
        </w:tc>
        <w:tc>
          <w:tcPr>
            <w:tcW w:type="dxa" w:w="1440"/>
            <w:shd w:fill="FAFAFA" w:val="clear"/>
          </w:tcPr>
          <w:p>
            <w:r>
              <w:rPr>
                <w:b/>
                <w:color w:val="008000"/>
                <w:sz w:val="17"/>
              </w:rPr>
              <w:t>+1.7%</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40,052</w:t>
            </w:r>
          </w:p>
        </w:tc>
        <w:tc>
          <w:tcPr>
            <w:tcW w:type="dxa" w:w="1440"/>
            <w:shd w:fill="FAFAFA" w:val="clear"/>
          </w:tcPr>
          <w:p>
            <w:r>
              <w:rPr>
                <w:b/>
                <w:sz w:val="17"/>
              </w:rPr>
              <w:t>44,213</w:t>
            </w:r>
          </w:p>
        </w:tc>
        <w:tc>
          <w:tcPr>
            <w:tcW w:type="dxa" w:w="1440"/>
            <w:shd w:fill="FAFAFA" w:val="clear"/>
          </w:tcPr>
          <w:p>
            <w:r>
              <w:rPr>
                <w:sz w:val="17"/>
              </w:rPr>
              <w:t>48,374</w:t>
            </w:r>
          </w:p>
        </w:tc>
        <w:tc>
          <w:tcPr>
            <w:tcW w:type="dxa" w:w="1440"/>
            <w:shd w:fill="FAFAFA" w:val="clear"/>
          </w:tcPr>
          <w:p>
            <w:r>
              <w:rPr>
                <w:b/>
                <w:color w:val="008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 RAPPORT D'ANALYSE FINANCIÈRE — SONATEL (SNTS) —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4 350 Mds FCFA, Sonatel s'impose comme la première capitalisation de la BRVM, un statut de « blue chip » régional qui en fait la valeur de référence de la cote. Le BPA de 4 136 FCFA/action signifie que chaque titre génère plus de 4 000 FCFA de bénéfice net, un niveau exceptionnel à l'échelle de la zone UEMOA. Le PER de 10,5x se situe dans le haut de la fourchette moyenne BRVM (8-12x), traduisant une valorisation raisonnable mais sans décote excessive, cohérente avec la qualité de la signature. Le P/B de 3,11x indique que le marché paie une prime de 3x la valeur comptable, justifiée par la rentabilité élevée des fonds propres (ROE ~29,6%) et la visibilité des cash-flows. Enfin, l'EV/EBITDA de 4,5x (&lt; 5x) signale une valeur d'entreprise bon marché rapportée à la capacité opérationnelle de génération de résultats, un point d'entrée attractif pour un investisseur de long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SNTS affiche une performance spectaculaire de +52,90%, portée par un cours actuel de 43 500 FCFA, malgré un léger repli de -0,91% lors de la dernière séance. Le range de trading est particulièrement large, avec un plus haut à 45 000 FCFA et un plus bas à 28 000 FCFA, soit une amplitude de 60,7% qui témoigne d'une dynamique haussière puissante et d'une accélération récente du titre. La moyenne (34 361 FCFA) se situe nettement au-dessus de la médiane (31 948 FCFA), un écart qui confirme une distribution asymétrique avec des cours récents tirés vers le haut ; le mode à 31 000 FCFA rappelle le point d'ancrage historique de la période. L'écart-type de 5 761 FCFA (CV = 16,8%) indique une dispersion modérée du cours autour de sa moyenne, tandis que le kurtosis négatif (-1,029, distribution platykurtique) suggère une faible concentration des rendements et un risque de pics atténué. Le skewness positif (0,645) signale une asymétrie vers la droite, avec davantage de journées sous la moyenne mais des gains extrêmes plus marqués — un profil typique des phases de rallye. La volatilité annualisée de 31,2% place le titre dans la catégorie « élevée » (&gt;30%), reflet d'une forte appréciation récente qui appelle à la vigilance sur les points d'entrée.</w:t>
      </w:r>
    </w:p>
    <w:p>
      <w:pPr>
        <w:spacing w:after="120" w:line="276" w:lineRule="auto"/>
      </w:pPr>
      <w:r>
        <w:t>---</w:t>
      </w:r>
    </w:p>
    <w:p>
      <w:pPr>
        <w:spacing w:after="120" w:line="276" w:lineRule="auto"/>
      </w:pPr>
      <w:r>
        <w:t>## PARTIE 2 : ANALYSE TECHNIQUE DÉTAILLÉE</w:t>
      </w:r>
    </w:p>
    <w:p>
      <w:pPr>
        <w:spacing w:after="120" w:line="276" w:lineRule="auto"/>
      </w:pPr>
      <w:r>
        <w:t>**Moyennes Mobiles** : La MM20 (43 723,5 FCFA) et la MM50 (38 966,2 FCFA) se situent toutes deux sous le cours actuel (43 500 FCFA pour la MM20, au-dessus pour la MM50), configurant un alignement haussier classique (cours &gt; MM20 &gt; MM50). La décision « Achat » est justifiée par cette structure de tendance positive, bien que le cours soit légèrement sous la MM20, signalant une phase de consolidation après le rallye.</w:t>
      </w:r>
    </w:p>
    <w:p>
      <w:pPr>
        <w:spacing w:after="120" w:line="276" w:lineRule="auto"/>
      </w:pPr>
      <w:r>
        <w:t>**Bandes de Bollinger** : Le cours (43 500 FCFA) évolue dans la partie haute de la bande (borne supérieure 46 510,73 FCFA, borne inférieure 40 936,27 FCFA), sans franchissement de la borne supérieure. La décision « Neutre » traduit une volatilité contenue et l'absence de signal de surachat extrême, le titre respirant dans un canal encore ouvert vers le haut.</w:t>
      </w:r>
    </w:p>
    <w:p>
      <w:pPr>
        <w:spacing w:after="120" w:line="276" w:lineRule="auto"/>
      </w:pPr>
      <w:r>
        <w:t>**MACD** : Le MACD (1 547,83) est inférieur à son signal (1 910,3), générant une décision « Vente » qui traduit un essoufflement du momentum haussier à court terme. Cette divergence baissière, bien que modérée, suggère une possible consolidation avant une nouvelle impulsion, sans invalider la tendance de fond.</w:t>
      </w:r>
    </w:p>
    <w:p>
      <w:pPr>
        <w:spacing w:after="120" w:line="276" w:lineRule="auto"/>
      </w:pPr>
      <w:r>
        <w:t>**RSI** : À 62,29, le RSI se situe en zone neutre haute (30-70), sans surachat (&gt;70). La décision « Neutre » confirme que le titre conserve un potentiel de hausse résiduel mais approche de zones de prudence, l'élan acheteur restant dominant sans excès.</w:t>
      </w:r>
    </w:p>
    <w:p>
      <w:pPr>
        <w:spacing w:after="120" w:line="276" w:lineRule="auto"/>
      </w:pPr>
      <w:r>
        <w:t>**Stochastique** : Le %K (25,19) est nettement inférieur au %D (57,18), avec un croisement baissier en zone basse. La décision « Neutre » reflète une pression vendeuse de court terme, mais la position basse du %K laisse entrevoir un potentiel de rebond technique si le croisement s'inverse.</w:t>
      </w:r>
    </w:p>
    <w:p>
      <w:pPr>
        <w:spacing w:after="120" w:line="276" w:lineRule="auto"/>
      </w:pPr>
      <w:r>
        <w:t>**Conclusion technique** : Les indicateurs présentent un tableau mitigé — la structure des moyennes mobiles reste haussière (Achat), mais le MACD baissier et le stochastique en croisement descendant signalent une consolidation de court terme. Le RSI et les Bollinger neutres confirment l'absence de signal extrême, plaidant pour une pause technique dans un trend de fond toujours positif. La convergence partielle suggère un attentisme avant confirmation, avec un support clé à surveiller autour de la MM20 (43 723 FCFA) et de la borne basse de Bollinger (40 936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Sonatel affiche un chiffre d'affaires consolidé de 1 923,1 Mds FCFA, en croissance de +8,3% (contre 1 776,4 Mds FCFA en 2024), porté par la Data mobile, le Fixe Broadband (+26,2%) et Orange Money. Le résultat net s'établit à 413,6 Mds FCFA (+5,1%), avec une marge nette solide de 21,5% et une marge opérationnelle de 34,8%. La rentabilité des fonds propres (ROE) atteint 29,56% — largement supérieure au seuil d'excellence de 15% — et le ROA ressort à 12,65%, confirmant l'efficacité de l'utilisation des actifs (rotation de 58,8%). **Adapté au secteur ENTREPRISE** : le BFR est négatif (-284,9 Mds FCFA), un signal très favorable de financement par les fournisseurs (délai fournisseurs de 201,4 jours contre 46,2 jours de délai clients), tandis que la trésorerie nette de 536,1 Mds FCFA et le Free Cash Flow de 408,1 Mds FCFA témoignent d'une génération de cash exceptionnelle. L'autonomie financière (42,8%) et la couverture des intérêts (2 744,7%) traduisent une structure bilancielle saine, avec une capacité de remboursement de seulement 0,64 an de CAF. **Estimations basées sur les rapports** : le communiqué du S1 2026 (publié le 27/07/2026) confirme l'accélération avec un CA de 1 049,8 Mds FCFA (+9,3%) et un résultat net de 230 Mds FCFA (+10,5%), l'EBITDAAL à 48,7% du CA et un relèvement de notation à AAA (wu) par GCR Ratings ; on estime donc que l'exercice 2026 devrait dépasser les 2 100 Mds FCFA de CA avec un résultat net approchant 440-450 Mds FCFA. Le dividende brut de 1 933 FCFA/action (net 1 740 FCFA, payable le 25-26 mai 2026) offre un rendement d'environ 4,0% au cours actuel, soutenu par un payout de 55,7%. **Conclusion fondamentale** : la solidité financière est remarquable (leadership sur tous les marchés, notation AAA, FCF abondant), les risques résiduels portant sur la pression fiscale/réglementaire et l'intensification concurrentielle — mais la trajectoire de croissance rentable reste intacte.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d'analyse converge vers un profil d'investissement globalement favorable mais nécessitant une sélectivité sur le point d'entrée. **Valorisation (Partie 0)** : le PER de 10,5x et l'EV/EBITDA de 4,5x indiquent une valorisation raisonnable, voire légèrement sous-évaluée au regard de la qualité des fondamentaux, le P/B de 3,11x étant justifié par un ROE de 29,6%. **Comportement du cours (Partie 1)** : la tendance haussière de +52,9% sur 100 jours est impressionnante, mais la volatilité élevée (31,2%) et le skewness positif appellent à la prudence sur les entrées en période de rallye, le kurtosis platykurtique limitant toutefois le risque de pics extrêmes. **Signaux techniques (Partie 2)** : divergence modérée entre la structure haussière des MM (Achat) et le MACD/stochastique baissiers, plaidant pour une consolidation avant poursuite du mouvement. **Fondamentaux (Partie 3)** : excellence opérationnelle confirmée par les résultats 2025 (CA 1 923,1 Mds, RN 413,6 Mds, ROE 29,6%) et accélérée au S1 2026 (CA +9,3%, RN +10,5%, notation AAA), avec un dividende net de 1 740 FCFA offrant un rendement attractif. **Prédictions IA (J+1 à J+10)** : la trajectoire projetée (44 225 → 44 223 FCFA) est stable et légèrement haussière (+1,7% vs cours actuel), confirmant la consolidation technique sans contredire la tendance de fond. **Recommandation finale : CONSERVER** (avec biais acheteur sur repli), justifiée par la convergence entre valorisation raisonnable, fondamentaux excellents et prédictions stables, mais tempérée par le momentum technique à court terme et la volatilité élevée. **Niveau de confiance : Moyen à Élevé** — la solidité fondamentale est incontestable, mais le timing d'entrée mérite une confirmation technique. **Niveau de risque global : Moyen** (volatilité de 31,2% et sensibilité réglementaire). **Horizon optimal : moyen à long terme (6-18 mois)**, le temps que la croissance du S1 2026 se matérialise pleinement dans les cours et que le dividende soit effectivement perçu.</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41.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160.18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4,942 titres</w:t>
            </w:r>
          </w:p>
        </w:tc>
        <w:tc>
          <w:tcPr>
            <w:tcW w:type="dxa" w:w="2268"/>
            <w:shd w:fill="FFF2CC" w:val="clear"/>
          </w:tcPr>
          <w:p>
            <w:r>
              <w:rPr>
                <w:b/>
                <w:color w:val="503200"/>
                <w:sz w:val="16"/>
              </w:rPr>
              <w:t xml:space="preserve">Cours actuel : </w:t>
            </w:r>
            <w:r>
              <w:rPr>
                <w:color w:val="000000"/>
                <w:sz w:val="17"/>
              </w:rPr>
              <w:t>7,415 FCFA</w:t>
            </w:r>
          </w:p>
          <w:p>
            <w:r>
              <w:rPr>
                <w:b/>
                <w:color w:val="503200"/>
                <w:sz w:val="16"/>
              </w:rPr>
              <w:t xml:space="preserve">Var. 100 jours : </w:t>
            </w:r>
            <w:r>
              <w:rPr>
                <w:b/>
                <w:color w:val="007800"/>
                <w:sz w:val="17"/>
              </w:rPr>
              <w:t>+0.27%</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7,300 FCFA</w:t>
            </w:r>
          </w:p>
          <w:p>
            <w:r>
              <w:rPr>
                <w:b/>
                <w:color w:val="503200"/>
                <w:sz w:val="16"/>
              </w:rPr>
              <w:t xml:space="preserve">Volatilité ann. : </w:t>
            </w:r>
            <w:r>
              <w:rPr>
                <w:color w:val="000000"/>
                <w:sz w:val="17"/>
              </w:rPr>
              <w:t>41.5%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3.96% (Faible) — μ=8,108 FCFA, σ=321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β=0.9848 (Neutre (suit le marché)) — Cov=0.000075, Var(idx)=0.000077, ρ=0.330,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4,942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7,165</w:t>
            </w:r>
          </w:p>
        </w:tc>
        <w:tc>
          <w:tcPr>
            <w:tcW w:type="dxa" w:w="1440"/>
            <w:shd w:fill="FAFAFA" w:val="clear"/>
          </w:tcPr>
          <w:p>
            <w:r>
              <w:rPr>
                <w:b/>
                <w:sz w:val="17"/>
              </w:rPr>
              <w:t>7,537</w:t>
            </w:r>
          </w:p>
        </w:tc>
        <w:tc>
          <w:tcPr>
            <w:tcW w:type="dxa" w:w="1440"/>
            <w:shd w:fill="FAFAFA" w:val="clear"/>
          </w:tcPr>
          <w:p>
            <w:r>
              <w:rPr>
                <w:sz w:val="17"/>
              </w:rPr>
              <w:t>7,909</w:t>
            </w:r>
          </w:p>
        </w:tc>
        <w:tc>
          <w:tcPr>
            <w:tcW w:type="dxa" w:w="1440"/>
            <w:shd w:fill="FAFAFA" w:val="clear"/>
          </w:tcPr>
          <w:p>
            <w:r>
              <w:rPr>
                <w:b/>
                <w:color w:val="008000"/>
                <w:sz w:val="17"/>
              </w:rPr>
              <w:t>+1.6%</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6,997</w:t>
            </w:r>
          </w:p>
        </w:tc>
        <w:tc>
          <w:tcPr>
            <w:tcW w:type="dxa" w:w="1440"/>
            <w:shd w:fill="FAFAFA" w:val="clear"/>
          </w:tcPr>
          <w:p>
            <w:r>
              <w:rPr>
                <w:b/>
                <w:sz w:val="17"/>
              </w:rPr>
              <w:t>7,523</w:t>
            </w:r>
          </w:p>
        </w:tc>
        <w:tc>
          <w:tcPr>
            <w:tcW w:type="dxa" w:w="1440"/>
            <w:shd w:fill="FAFAFA" w:val="clear"/>
          </w:tcPr>
          <w:p>
            <w:r>
              <w:rPr>
                <w:sz w:val="17"/>
              </w:rPr>
              <w:t>8,048</w:t>
            </w:r>
          </w:p>
        </w:tc>
        <w:tc>
          <w:tcPr>
            <w:tcW w:type="dxa" w:w="1440"/>
            <w:shd w:fill="FAFAFA" w:val="clear"/>
          </w:tcPr>
          <w:p>
            <w:r>
              <w:rPr>
                <w:b/>
                <w:color w:val="008000"/>
                <w:sz w:val="17"/>
              </w:rPr>
              <w:t>+1.5%</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6,874</w:t>
            </w:r>
          </w:p>
        </w:tc>
        <w:tc>
          <w:tcPr>
            <w:tcW w:type="dxa" w:w="1440"/>
            <w:shd w:fill="FAFAFA" w:val="clear"/>
          </w:tcPr>
          <w:p>
            <w:r>
              <w:rPr>
                <w:b/>
                <w:sz w:val="17"/>
              </w:rPr>
              <w:t>7,518</w:t>
            </w:r>
          </w:p>
        </w:tc>
        <w:tc>
          <w:tcPr>
            <w:tcW w:type="dxa" w:w="1440"/>
            <w:shd w:fill="FAFAFA" w:val="clear"/>
          </w:tcPr>
          <w:p>
            <w:r>
              <w:rPr>
                <w:sz w:val="17"/>
              </w:rPr>
              <w:t>8,161</w:t>
            </w:r>
          </w:p>
        </w:tc>
        <w:tc>
          <w:tcPr>
            <w:tcW w:type="dxa" w:w="1440"/>
            <w:shd w:fill="FAFAFA" w:val="clear"/>
          </w:tcPr>
          <w:p>
            <w:r>
              <w:rPr>
                <w:b/>
                <w:color w:val="008000"/>
                <w:sz w:val="17"/>
              </w:rPr>
              <w:t>+1.4%</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6,768</w:t>
            </w:r>
          </w:p>
        </w:tc>
        <w:tc>
          <w:tcPr>
            <w:tcW w:type="dxa" w:w="1440"/>
            <w:shd w:fill="FAFAFA" w:val="clear"/>
          </w:tcPr>
          <w:p>
            <w:r>
              <w:rPr>
                <w:b/>
                <w:sz w:val="17"/>
              </w:rPr>
              <w:t>7,510</w:t>
            </w:r>
          </w:p>
        </w:tc>
        <w:tc>
          <w:tcPr>
            <w:tcW w:type="dxa" w:w="1440"/>
            <w:shd w:fill="FAFAFA" w:val="clear"/>
          </w:tcPr>
          <w:p>
            <w:r>
              <w:rPr>
                <w:sz w:val="17"/>
              </w:rPr>
              <w:t>8,252</w:t>
            </w:r>
          </w:p>
        </w:tc>
        <w:tc>
          <w:tcPr>
            <w:tcW w:type="dxa" w:w="1440"/>
            <w:shd w:fill="FAFAFA" w:val="clear"/>
          </w:tcPr>
          <w:p>
            <w:r>
              <w:rPr>
                <w:b/>
                <w:color w:val="008000"/>
                <w:sz w:val="17"/>
              </w:rPr>
              <w:t>+1.3%</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6,672</w:t>
            </w:r>
          </w:p>
        </w:tc>
        <w:tc>
          <w:tcPr>
            <w:tcW w:type="dxa" w:w="1440"/>
            <w:shd w:fill="FAFAFA" w:val="clear"/>
          </w:tcPr>
          <w:p>
            <w:r>
              <w:rPr>
                <w:b/>
                <w:sz w:val="17"/>
              </w:rPr>
              <w:t>7,501</w:t>
            </w:r>
          </w:p>
        </w:tc>
        <w:tc>
          <w:tcPr>
            <w:tcW w:type="dxa" w:w="1440"/>
            <w:shd w:fill="FAFAFA" w:val="clear"/>
          </w:tcPr>
          <w:p>
            <w:r>
              <w:rPr>
                <w:sz w:val="17"/>
              </w:rPr>
              <w:t>8,329</w:t>
            </w:r>
          </w:p>
        </w:tc>
        <w:tc>
          <w:tcPr>
            <w:tcW w:type="dxa" w:w="1440"/>
            <w:shd w:fill="FAFAFA" w:val="clear"/>
          </w:tcPr>
          <w:p>
            <w:r>
              <w:rPr>
                <w:b/>
                <w:color w:val="008000"/>
                <w:sz w:val="17"/>
              </w:rPr>
              <w:t>+1.2%</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6,586</w:t>
            </w:r>
          </w:p>
        </w:tc>
        <w:tc>
          <w:tcPr>
            <w:tcW w:type="dxa" w:w="1440"/>
            <w:shd w:fill="FAFAFA" w:val="clear"/>
          </w:tcPr>
          <w:p>
            <w:r>
              <w:rPr>
                <w:b/>
                <w:sz w:val="17"/>
              </w:rPr>
              <w:t>7,492</w:t>
            </w:r>
          </w:p>
        </w:tc>
        <w:tc>
          <w:tcPr>
            <w:tcW w:type="dxa" w:w="1440"/>
            <w:shd w:fill="FAFAFA" w:val="clear"/>
          </w:tcPr>
          <w:p>
            <w:r>
              <w:rPr>
                <w:sz w:val="17"/>
              </w:rPr>
              <w:t>8,399</w:t>
            </w:r>
          </w:p>
        </w:tc>
        <w:tc>
          <w:tcPr>
            <w:tcW w:type="dxa" w:w="1440"/>
            <w:shd w:fill="FAFAFA" w:val="clear"/>
          </w:tcPr>
          <w:p>
            <w:r>
              <w:rPr>
                <w:b/>
                <w:color w:val="008000"/>
                <w:sz w:val="17"/>
              </w:rPr>
              <w:t>+1.0%</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6,506</w:t>
            </w:r>
          </w:p>
        </w:tc>
        <w:tc>
          <w:tcPr>
            <w:tcW w:type="dxa" w:w="1440"/>
            <w:shd w:fill="FAFAFA" w:val="clear"/>
          </w:tcPr>
          <w:p>
            <w:r>
              <w:rPr>
                <w:b/>
                <w:sz w:val="17"/>
              </w:rPr>
              <w:t>7,484</w:t>
            </w:r>
          </w:p>
        </w:tc>
        <w:tc>
          <w:tcPr>
            <w:tcW w:type="dxa" w:w="1440"/>
            <w:shd w:fill="FAFAFA" w:val="clear"/>
          </w:tcPr>
          <w:p>
            <w:r>
              <w:rPr>
                <w:sz w:val="17"/>
              </w:rPr>
              <w:t>8,463</w:t>
            </w:r>
          </w:p>
        </w:tc>
        <w:tc>
          <w:tcPr>
            <w:tcW w:type="dxa" w:w="1440"/>
            <w:shd w:fill="FAFAFA" w:val="clear"/>
          </w:tcPr>
          <w:p>
            <w:r>
              <w:rPr>
                <w:b/>
                <w:color w:val="008000"/>
                <w:sz w:val="17"/>
              </w:rPr>
              <w:t>+0.9%</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6,432</w:t>
            </w:r>
          </w:p>
        </w:tc>
        <w:tc>
          <w:tcPr>
            <w:tcW w:type="dxa" w:w="1440"/>
            <w:shd w:fill="FAFAFA" w:val="clear"/>
          </w:tcPr>
          <w:p>
            <w:r>
              <w:rPr>
                <w:b/>
                <w:sz w:val="17"/>
              </w:rPr>
              <w:t>7,476</w:t>
            </w:r>
          </w:p>
        </w:tc>
        <w:tc>
          <w:tcPr>
            <w:tcW w:type="dxa" w:w="1440"/>
            <w:shd w:fill="FAFAFA" w:val="clear"/>
          </w:tcPr>
          <w:p>
            <w:r>
              <w:rPr>
                <w:sz w:val="17"/>
              </w:rPr>
              <w:t>8,521</w:t>
            </w:r>
          </w:p>
        </w:tc>
        <w:tc>
          <w:tcPr>
            <w:tcW w:type="dxa" w:w="1440"/>
            <w:shd w:fill="FAFAFA" w:val="clear"/>
          </w:tcPr>
          <w:p>
            <w:r>
              <w:rPr>
                <w:b/>
                <w:color w:val="008000"/>
                <w:sz w:val="17"/>
              </w:rPr>
              <w:t>+0.8%</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6,362</w:t>
            </w:r>
          </w:p>
        </w:tc>
        <w:tc>
          <w:tcPr>
            <w:tcW w:type="dxa" w:w="1440"/>
            <w:shd w:fill="FAFAFA" w:val="clear"/>
          </w:tcPr>
          <w:p>
            <w:r>
              <w:rPr>
                <w:b/>
                <w:sz w:val="17"/>
              </w:rPr>
              <w:t>7,469</w:t>
            </w:r>
          </w:p>
        </w:tc>
        <w:tc>
          <w:tcPr>
            <w:tcW w:type="dxa" w:w="1440"/>
            <w:shd w:fill="FAFAFA" w:val="clear"/>
          </w:tcPr>
          <w:p>
            <w:r>
              <w:rPr>
                <w:sz w:val="17"/>
              </w:rPr>
              <w:t>8,576</w:t>
            </w:r>
          </w:p>
        </w:tc>
        <w:tc>
          <w:tcPr>
            <w:tcW w:type="dxa" w:w="1440"/>
            <w:shd w:fill="FAFAFA" w:val="clear"/>
          </w:tcPr>
          <w:p>
            <w:r>
              <w:rPr>
                <w:b/>
                <w:color w:val="008000"/>
                <w:sz w:val="17"/>
              </w:rPr>
              <w:t>+0.7%</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6,296</w:t>
            </w:r>
          </w:p>
        </w:tc>
        <w:tc>
          <w:tcPr>
            <w:tcW w:type="dxa" w:w="1440"/>
            <w:shd w:fill="FAFAFA" w:val="clear"/>
          </w:tcPr>
          <w:p>
            <w:r>
              <w:rPr>
                <w:b/>
                <w:sz w:val="17"/>
              </w:rPr>
              <w:t>7,462</w:t>
            </w:r>
          </w:p>
        </w:tc>
        <w:tc>
          <w:tcPr>
            <w:tcW w:type="dxa" w:w="1440"/>
            <w:shd w:fill="FAFAFA" w:val="clear"/>
          </w:tcPr>
          <w:p>
            <w:r>
              <w:rPr>
                <w:sz w:val="17"/>
              </w:rPr>
              <w:t>8,628</w:t>
            </w:r>
          </w:p>
        </w:tc>
        <w:tc>
          <w:tcPr>
            <w:tcW w:type="dxa" w:w="1440"/>
            <w:shd w:fill="FAFAFA" w:val="clear"/>
          </w:tcPr>
          <w:p>
            <w:r>
              <w:rPr>
                <w:b/>
                <w:color w:val="008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 RAPPORT D'ANALYSE FINANCIÈRE — SOGC (SOGB CI)</w:t>
        <w:br/>
        <w:t>### Bourse Régionale des Valeurs Mobilières (BRVM) — Analyse complète</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SOGC s'établit à **160,18 milliards FCFA**, un niveau significatif à l'échelle de la BRVM qui positionne la société parmi les valeurs de premier plan du compartiment agro-industriel. Le BPA de **578 FCFA/action** traduit la profitabilité par titre, tandis que le PER de **12,8x** — légèrement supérieur à la moyenne BRVM (~8-12x) — indique que les investisseurs paient un prix modéré mais non décoté pour les bénéfices, cohérent avec la qualité des fondamentaux. Le P/B de **2,34x** montre que le marché valorise l'action à plus du double de sa valeur comptable, accordant une prime de croissance justifiée par la qualité des actifs et la rentabilité élevée (ROE 18,3%). Enfin, l'EV/EBITDA de **6,6x**, dans la fourchette raisonnable de 5-10x, suggère que la valeur d'entreprise reste proportionnée à la capacité opérationnelle de génération de cash. L'ensemble de ces ratios dessine une valorisation **équilibrée, ni sous-évaluée ni surévaluée**, avec une prime modérée pour la qualité.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SOGC affiche une **variation totale quasi nulle de +0,27%**, mais la dernière séance (J-1) enregistre une **chute marquée de -3,70%**, signalant une pression vendeuse récente. Le titre évolue dans un range de **7 300 à 8 875 FCFA**, soit un écart de plus de 20% entre le plancher et le sommet, avec un cours actuel de **7 415 FCFA** positionné très près du plus bas — indiquant une tendance baissière sur la fin de période. Les statistiques descriptives révèlent une **moyenne de 8 108 FCFA** légèrement supérieure à la **médiane de 8 145 FCFA** (écart minime, distribution quasi symétrique), tandis que le **mode à 8 100 FCFA** confirme une zone de congestion autour de 8 100. L'**écart-type de 323 FCFA (CV=4,0%)** traduit une dispersion modérée du cours sur la période, mais la **volatilité annualisée de 41,5%** classe le titre dans la catégorie **élevée (&gt;30%)**, ce qui est cohérent avec les valeurs de commodities. Le **kurtosis de 0,219** (mésokurtique) indique une distribution proche de la normale, sans risque excessif de pics extrêmes, tandis que le **skewness de -0,509** (asymétrie négative) révèle davantage de journées au-dessus de la moyenne — un signal paradoxalement favorable qui contraste avec la faiblesse actuelle du cours.</w:t>
      </w:r>
    </w:p>
    <w:p>
      <w:pPr>
        <w:spacing w:after="120" w:line="276" w:lineRule="auto"/>
      </w:pPr>
      <w:r>
        <w:t>---</w:t>
      </w:r>
    </w:p>
    <w:p>
      <w:pPr>
        <w:spacing w:after="120" w:line="276" w:lineRule="auto"/>
      </w:pPr>
      <w:r>
        <w:t>## PARTIE 2 : ANALYSE TECHNIQUE DÉTAILLÉE</w:t>
      </w:r>
    </w:p>
    <w:p>
      <w:pPr>
        <w:spacing w:after="120" w:line="276" w:lineRule="auto"/>
      </w:pPr>
      <w:r>
        <w:t>**Moyennes Mobiles** : La MM20 (7 810,25 FCFA) et la MM50 (7 986,0 FCFA) se situent toutes deux **au-dessus du cours actuel** (7 415 FCFA), configurant une structure baissière où le prix évolue sous ses moyennes de référence. La MM20 étant elle-même inférieure à la MM50, on observe un croisement baissier (death cross) confirmant la dynamique négative. La décision technique est logiquement **Vente**.</w:t>
      </w:r>
    </w:p>
    <w:p>
      <w:pPr>
        <w:spacing w:after="120" w:line="276" w:lineRule="auto"/>
      </w:pPr>
      <w:r>
        <w:t>**Bandes de Bollinger** : Le cours (7 415 FCFA) se situe **quasiment sur la borne inférieure** (7 409,30 FCFA), tandis que la borne supérieure est à 8 211,20 FCFA — soit un positionnement en bas de canal qui traduit une pression vendeuse soutenue. L'absence de franchissement de la borne basse maintient la décision **Neutre**, mais la proximité immédiate du support suggère une zone de rebond potentiel ou de cassure imminente.</w:t>
      </w:r>
    </w:p>
    <w:p>
      <w:pPr>
        <w:spacing w:after="120" w:line="276" w:lineRule="auto"/>
      </w:pPr>
      <w:r>
        <w:t>**MACD** : La valeur du MACD (**-86,387**) est inférieure à son signal (**-61,092**), avec un histogramme négatif qui s'accentue — configuration baissière classique indiquant un **momentum négatif persistant**. La divergence négative entre les deux lignes confirme la décision **Vente**.</w:t>
      </w:r>
    </w:p>
    <w:p>
      <w:pPr>
        <w:spacing w:after="120" w:line="276" w:lineRule="auto"/>
      </w:pPr>
      <w:r>
        <w:t>**RSI** : À **39,198**, le RSI se situe dans la zone neutre basse (30-70), sans atteindre la zone de survente (&lt;30) qui déclencherait un signal d'achat contrarien. Le titre conserve donc un potentiel de baisse résiduel avant d'atteindre des niveaux de survente attractifs. Décision **Neutre**.</w:t>
      </w:r>
    </w:p>
    <w:p>
      <w:pPr>
        <w:spacing w:after="120" w:line="276" w:lineRule="auto"/>
      </w:pPr>
      <w:r>
        <w:t>**Stochastique** : Le %K à **0,0** (plancher absolu) et le %D à **18,667** indiquent que le cours est en **zone de survente extrême**, avec un %K sous le %D qui pourrait annoncer un croisement haussier imminent. Cette configuration contrarienne justifie la décision **Achat**, en divergence avec les autres indicateurs.</w:t>
      </w:r>
    </w:p>
    <w:p>
      <w:pPr>
        <w:spacing w:after="120" w:line="276" w:lineRule="auto"/>
      </w:pPr>
      <w:r>
        <w:t>**Conclusion technique** : Les indicateurs présentent une **configuration majoritairement baissière** (MM, MACD, positionnement Bollinger) tempérée par deux signaux contrariens (RSI neutre-bas et Stochastique en survente extrême). Cette divergence suggère que le titre approche d'une zone de support technique où un rebond pourrait se matérialiser, mais la tendance de fond reste négative à court terme. La prudence est de mise avant tout signal de retournement confirmé.</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SOGC réalise un **chiffre d'affaires de 98,979 milliards FCFA** (contre 93,52 Mds en 2024, soit +5,8%), pour un **résultat net de 12,493 milliards FCFA** en léger recul de -5% par rapport aux 13,11 Mds de 2024. La rentabilité reste excellente avec un **ROE de 18,256%** (&gt;15% = excellent) et un **ROA de 13,836%**, témoignant d'une allocation efficace du capital. La structure financière est remarquablement saine : **autonomie financière de 75,79%**, **ratio d'endettement de seulement 24,21%**, et une **couverture des intérêts de 25 563%** (charges financières quasi nulles à 66,74 M FCFA). Sur le plan opérationnel, la **marge brute de 67,93%** et la **marge opérationnelle de 17,24%** confirment la qualité du modèle agro-industriel, tandis que la **marge nette de 12,62%** reste solide malgré la pression sur les coûts. Le **BFR de 7,124 Mds FCFA** (positif mais maîtrisé) et les **délais clients de 29,60 jours** (raisonnables) limitent le risque de trésorerie, tandis que la **durée de stockage de 97,67 jours** (élevée) immobilise du capital — point de vigilance. La trésorerie nette positive de **4,575 Mds FCFA** et le **Free Cash Flow de 16,031 Mds FCFA** confirment la robustesse du cash-flow.</w:t>
      </w:r>
    </w:p>
    <w:p>
      <w:pPr>
        <w:spacing w:after="120" w:line="276" w:lineRule="auto"/>
      </w:pPr>
      <w:r>
        <w:t>**Estimations basées sur les rapports trimestriels 2025** : Le rapport du **T1 2025 (31/03/2025)** affichait un CA de 31,2 Mds (+63,1%) et un résultat net de 6,0 Mds (+262,9%) ; le **S1 2025 (30/06/2025)** confirmait un CA de 55,4 Mds (+51,9%) et un résultat net de 10,2 Mds (+151,6%) ; le **T3 2025 (30/09/2025)** montrait un ralentissement avec un CA cumulé de 75,6 Mds (+21,3%) et un résultat net de 11,5 Mds (+39,5%). Cette décélération progressive, liée à la baisse des cours SICOM du caoutchouc et à la concurrence accrue sur le coagulum, explique le repli du résultat net annuel 2025 à 12,49 Mds. Le **rapport annuel 2025** confirme d'ailleurs une hausse des coûts matières premières de +15% impactant les marges.</w:t>
      </w:r>
    </w:p>
    <w:p>
      <w:pPr>
        <w:spacing w:after="120" w:line="276" w:lineRule="auto"/>
      </w:pPr>
      <w:r>
        <w:t>**Évolution et recommandation** : Sur trois exercices, on observe une progression spectaculaire du résultat net (5,27 Mds en 2023 → 13,11 Mds en 2024 → 12,49 Mds en 2025), avec un pic en 2024 suivi d'une légère normalisation. La politique de dividende est très généreuse : **570 FCFA/action proposés** (AG du 28/05/2026), soit un rendement de **7,7%** au cours actuel — un signal fort pour les actionnaires, mais un taux de distribution proche de 98% qui limite les réinvestissements. La recommandation fondamentale est **CONSERVER** : la solidité bilancielle, la rentabilité élevée et le dividende attractif soutiennent le titre, mais la dépendance aux prix des commodities et la pression concurrentielle sur le coagulum constituent des risques structurels à surveiller.</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**désaccord partiel entre les signaux**. Sur le plan de la **valorisation (Partie 0)**, les ratios (PER 12,8x, P/B 2,34x, EV/EBITDA 6,6x) indiquent une juste valorisation, sans décote ni prime excessive — un positionnement neutre. Le **comportement du cours (Partie 1)** est préoccupant à court terme : variation quasi nulle sur 100 jours mais chute de -3,70% en J-1, cours proche du plus bas, volatilité élevée de 41,5%, bien que le skewness négatif (-0,509) suggère une résilience statistique. Les **signaux techniques (Partie 2)** sont majoritairement baissiers (MM, MACD, Bollinger) mais le Stochastique en survente extrême (%K=0) et le RSI à 39,2 laissent entrevoir un rebond technique possible. Les **fondamentaux (Partie 3)** demeurent solides : ROE 18,3%, autonomie financière 75,8%, dividende de 570 FCFA (rendement 7,7%), malgré un résultat net 2025 en repli de -5% et une pression sur les marges. Les **prédictions IA (J+1 à J+10)** anticipent une **légère reprise** de 7 415 à 7 537 FCFA (+1,6%), confirmant l'hypothèse d'un rebond technique depuis la zone de survente — mais cette trajectoire reste timide et ne contredit pas la tendance baissière de fond.</w:t>
      </w:r>
    </w:p>
    <w:p>
      <w:pPr>
        <w:spacing w:after="120" w:line="276" w:lineRule="auto"/>
      </w:pPr>
      <w:r>
        <w:t>**Recommandation finale : CONSERVER** — avec un biais prudent. La convergence est **partielle** : la valorisation neutre et les fondamentaux solides plaident pour la conservation, tandis que la technique baissière et la prédiction IA modérément haussière suggèrent un point d'inflexion possible. Le dividende attractif (7,7%) rémunère l'attente. **Niveau de confiance : Moyen** (divergence entre signaux techniques et fondamentaux). **Niveau de risque global : Moyen** (volatilité élevée de 41,5% mais bilan très sain). **Horizon optimal : moyen terme (3-12 mois)**, le temps que la normalisation des prix du caoutchouc se stabilise et que le rebond technique se confirme ; un horizon long terme (&gt;1 an) reste également pertinent pour capter le rendement du dividende et la qualité des fondamentaux.</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42.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194.24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4,347 titres</w:t>
            </w:r>
          </w:p>
        </w:tc>
        <w:tc>
          <w:tcPr>
            <w:tcW w:type="dxa" w:w="2268"/>
            <w:shd w:fill="FFF2CC" w:val="clear"/>
          </w:tcPr>
          <w:p>
            <w:r>
              <w:rPr>
                <w:b/>
                <w:color w:val="503200"/>
                <w:sz w:val="16"/>
              </w:rPr>
              <w:t xml:space="preserve">Cours actuel : </w:t>
            </w:r>
            <w:r>
              <w:rPr>
                <w:color w:val="000000"/>
                <w:sz w:val="17"/>
              </w:rPr>
              <w:t>7,600 FCFA</w:t>
            </w:r>
          </w:p>
          <w:p>
            <w:r>
              <w:rPr>
                <w:b/>
                <w:color w:val="503200"/>
                <w:sz w:val="16"/>
              </w:rPr>
              <w:t xml:space="preserve">Var. 100 jours : </w:t>
            </w:r>
            <w:r>
              <w:rPr>
                <w:b/>
                <w:color w:val="007800"/>
                <w:sz w:val="17"/>
              </w:rPr>
              <w:t>+9.43%</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6,945 FCFA</w:t>
            </w:r>
          </w:p>
          <w:p>
            <w:r>
              <w:rPr>
                <w:b/>
                <w:color w:val="503200"/>
                <w:sz w:val="16"/>
              </w:rPr>
              <w:t xml:space="preserve">Volatilité ann. : </w:t>
            </w:r>
            <w:r>
              <w:rPr>
                <w:color w:val="000000"/>
                <w:sz w:val="17"/>
              </w:rPr>
              <w:t>44.6%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8.88% (Moyenne) — μ=7,949 FCFA, σ=706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β=0.7813 (Défensif) — Cov=0.000060, Var(idx)=0.000077, ρ=0.244,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4,347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σ_j=2.81%/j (Stable) — Vol. annualisée≈44.6%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7,246</w:t>
            </w:r>
          </w:p>
        </w:tc>
        <w:tc>
          <w:tcPr>
            <w:tcW w:type="dxa" w:w="1440"/>
            <w:shd w:fill="FAFAFA" w:val="clear"/>
          </w:tcPr>
          <w:p>
            <w:r>
              <w:rPr>
                <w:b/>
                <w:sz w:val="17"/>
              </w:rPr>
              <w:t>7,621</w:t>
            </w:r>
          </w:p>
        </w:tc>
        <w:tc>
          <w:tcPr>
            <w:tcW w:type="dxa" w:w="1440"/>
            <w:shd w:fill="FAFAFA" w:val="clear"/>
          </w:tcPr>
          <w:p>
            <w:r>
              <w:rPr>
                <w:sz w:val="17"/>
              </w:rPr>
              <w:t>7,997</w:t>
            </w:r>
          </w:p>
        </w:tc>
        <w:tc>
          <w:tcPr>
            <w:tcW w:type="dxa" w:w="1440"/>
            <w:shd w:fill="FAFAFA" w:val="clear"/>
          </w:tcPr>
          <w:p>
            <w:r>
              <w:rPr>
                <w:b/>
                <w:color w:val="008000"/>
                <w:sz w:val="17"/>
              </w:rPr>
              <w:t>+0.3%</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7,057</w:t>
            </w:r>
          </w:p>
        </w:tc>
        <w:tc>
          <w:tcPr>
            <w:tcW w:type="dxa" w:w="1440"/>
            <w:shd w:fill="FAFAFA" w:val="clear"/>
          </w:tcPr>
          <w:p>
            <w:r>
              <w:rPr>
                <w:b/>
                <w:sz w:val="17"/>
              </w:rPr>
              <w:t>7,586</w:t>
            </w:r>
          </w:p>
        </w:tc>
        <w:tc>
          <w:tcPr>
            <w:tcW w:type="dxa" w:w="1440"/>
            <w:shd w:fill="FAFAFA" w:val="clear"/>
          </w:tcPr>
          <w:p>
            <w:r>
              <w:rPr>
                <w:sz w:val="17"/>
              </w:rPr>
              <w:t>8,115</w:t>
            </w:r>
          </w:p>
        </w:tc>
        <w:tc>
          <w:tcPr>
            <w:tcW w:type="dxa" w:w="1440"/>
            <w:shd w:fill="FAFAFA" w:val="clear"/>
          </w:tcPr>
          <w:p>
            <w:r>
              <w:rPr>
                <w:b/>
                <w:color w:val="C00000"/>
                <w:sz w:val="17"/>
              </w:rPr>
              <w:t>-0.2%</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6,911</w:t>
            </w:r>
          </w:p>
        </w:tc>
        <w:tc>
          <w:tcPr>
            <w:tcW w:type="dxa" w:w="1440"/>
            <w:shd w:fill="FAFAFA" w:val="clear"/>
          </w:tcPr>
          <w:p>
            <w:r>
              <w:rPr>
                <w:b/>
                <w:sz w:val="17"/>
              </w:rPr>
              <w:t>7,557</w:t>
            </w:r>
          </w:p>
        </w:tc>
        <w:tc>
          <w:tcPr>
            <w:tcW w:type="dxa" w:w="1440"/>
            <w:shd w:fill="FAFAFA" w:val="clear"/>
          </w:tcPr>
          <w:p>
            <w:r>
              <w:rPr>
                <w:sz w:val="17"/>
              </w:rPr>
              <w:t>8,202</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6,786</w:t>
            </w:r>
          </w:p>
        </w:tc>
        <w:tc>
          <w:tcPr>
            <w:tcW w:type="dxa" w:w="1440"/>
            <w:shd w:fill="FAFAFA" w:val="clear"/>
          </w:tcPr>
          <w:p>
            <w:r>
              <w:rPr>
                <w:b/>
                <w:sz w:val="17"/>
              </w:rPr>
              <w:t>7,528</w:t>
            </w:r>
          </w:p>
        </w:tc>
        <w:tc>
          <w:tcPr>
            <w:tcW w:type="dxa" w:w="1440"/>
            <w:shd w:fill="FAFAFA" w:val="clear"/>
          </w:tcPr>
          <w:p>
            <w:r>
              <w:rPr>
                <w:sz w:val="17"/>
              </w:rPr>
              <w:t>8,270</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6,673</w:t>
            </w:r>
          </w:p>
        </w:tc>
        <w:tc>
          <w:tcPr>
            <w:tcW w:type="dxa" w:w="1440"/>
            <w:shd w:fill="FAFAFA" w:val="clear"/>
          </w:tcPr>
          <w:p>
            <w:r>
              <w:rPr>
                <w:b/>
                <w:sz w:val="17"/>
              </w:rPr>
              <w:t>7,500</w:t>
            </w:r>
          </w:p>
        </w:tc>
        <w:tc>
          <w:tcPr>
            <w:tcW w:type="dxa" w:w="1440"/>
            <w:shd w:fill="FAFAFA" w:val="clear"/>
          </w:tcPr>
          <w:p>
            <w:r>
              <w:rPr>
                <w:sz w:val="17"/>
              </w:rPr>
              <w:t>8,327</w:t>
            </w:r>
          </w:p>
        </w:tc>
        <w:tc>
          <w:tcPr>
            <w:tcW w:type="dxa" w:w="1440"/>
            <w:shd w:fill="FAFAFA" w:val="clear"/>
          </w:tcPr>
          <w:p>
            <w:r>
              <w:rPr>
                <w:b/>
                <w:color w:val="C00000"/>
                <w:sz w:val="17"/>
              </w:rPr>
              <w:t>-1.3%</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6,570</w:t>
            </w:r>
          </w:p>
        </w:tc>
        <w:tc>
          <w:tcPr>
            <w:tcW w:type="dxa" w:w="1440"/>
            <w:shd w:fill="FAFAFA" w:val="clear"/>
          </w:tcPr>
          <w:p>
            <w:r>
              <w:rPr>
                <w:b/>
                <w:sz w:val="17"/>
              </w:rPr>
              <w:t>7,473</w:t>
            </w:r>
          </w:p>
        </w:tc>
        <w:tc>
          <w:tcPr>
            <w:tcW w:type="dxa" w:w="1440"/>
            <w:shd w:fill="FAFAFA" w:val="clear"/>
          </w:tcPr>
          <w:p>
            <w:r>
              <w:rPr>
                <w:sz w:val="17"/>
              </w:rPr>
              <w:t>8,375</w:t>
            </w:r>
          </w:p>
        </w:tc>
        <w:tc>
          <w:tcPr>
            <w:tcW w:type="dxa" w:w="1440"/>
            <w:shd w:fill="FAFAFA" w:val="clear"/>
          </w:tcPr>
          <w:p>
            <w:r>
              <w:rPr>
                <w:b/>
                <w:color w:val="C00000"/>
                <w:sz w:val="17"/>
              </w:rPr>
              <w:t>-1.7%</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6,475</w:t>
            </w:r>
          </w:p>
        </w:tc>
        <w:tc>
          <w:tcPr>
            <w:tcW w:type="dxa" w:w="1440"/>
            <w:shd w:fill="FFDCE0" w:val="clear"/>
          </w:tcPr>
          <w:p>
            <w:r>
              <w:rPr>
                <w:b/>
                <w:sz w:val="17"/>
              </w:rPr>
              <w:t>7,447</w:t>
            </w:r>
          </w:p>
        </w:tc>
        <w:tc>
          <w:tcPr>
            <w:tcW w:type="dxa" w:w="1440"/>
            <w:shd w:fill="FFDCE0" w:val="clear"/>
          </w:tcPr>
          <w:p>
            <w:r>
              <w:rPr>
                <w:sz w:val="17"/>
              </w:rPr>
              <w:t>8,418</w:t>
            </w:r>
          </w:p>
        </w:tc>
        <w:tc>
          <w:tcPr>
            <w:tcW w:type="dxa" w:w="1440"/>
            <w:shd w:fill="FFDCE0"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6,386</w:t>
            </w:r>
          </w:p>
        </w:tc>
        <w:tc>
          <w:tcPr>
            <w:tcW w:type="dxa" w:w="1440"/>
            <w:shd w:fill="FFDCE0" w:val="clear"/>
          </w:tcPr>
          <w:p>
            <w:r>
              <w:rPr>
                <w:b/>
                <w:sz w:val="17"/>
              </w:rPr>
              <w:t>7,421</w:t>
            </w:r>
          </w:p>
        </w:tc>
        <w:tc>
          <w:tcPr>
            <w:tcW w:type="dxa" w:w="1440"/>
            <w:shd w:fill="FFDCE0" w:val="clear"/>
          </w:tcPr>
          <w:p>
            <w:r>
              <w:rPr>
                <w:sz w:val="17"/>
              </w:rPr>
              <w:t>8,456</w:t>
            </w:r>
          </w:p>
        </w:tc>
        <w:tc>
          <w:tcPr>
            <w:tcW w:type="dxa" w:w="1440"/>
            <w:shd w:fill="FFDCE0" w:val="clear"/>
          </w:tcPr>
          <w:p>
            <w:r>
              <w:rPr>
                <w:b/>
                <w:color w:val="C00000"/>
                <w:sz w:val="17"/>
              </w:rPr>
              <w:t>-2.3%</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6,303</w:t>
            </w:r>
          </w:p>
        </w:tc>
        <w:tc>
          <w:tcPr>
            <w:tcW w:type="dxa" w:w="1440"/>
            <w:shd w:fill="FFDCE0" w:val="clear"/>
          </w:tcPr>
          <w:p>
            <w:r>
              <w:rPr>
                <w:b/>
                <w:sz w:val="17"/>
              </w:rPr>
              <w:t>7,397</w:t>
            </w:r>
          </w:p>
        </w:tc>
        <w:tc>
          <w:tcPr>
            <w:tcW w:type="dxa" w:w="1440"/>
            <w:shd w:fill="FFDCE0" w:val="clear"/>
          </w:tcPr>
          <w:p>
            <w:r>
              <w:rPr>
                <w:sz w:val="17"/>
              </w:rPr>
              <w:t>8,491</w:t>
            </w:r>
          </w:p>
        </w:tc>
        <w:tc>
          <w:tcPr>
            <w:tcW w:type="dxa" w:w="1440"/>
            <w:shd w:fill="FFDCE0" w:val="clear"/>
          </w:tcPr>
          <w:p>
            <w:r>
              <w:rPr>
                <w:b/>
                <w:color w:val="C00000"/>
                <w:sz w:val="17"/>
              </w:rPr>
              <w:t>-2.7%</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6,224</w:t>
            </w:r>
          </w:p>
        </w:tc>
        <w:tc>
          <w:tcPr>
            <w:tcW w:type="dxa" w:w="1440"/>
            <w:shd w:fill="FFDCE0" w:val="clear"/>
          </w:tcPr>
          <w:p>
            <w:r>
              <w:rPr>
                <w:b/>
                <w:sz w:val="17"/>
              </w:rPr>
              <w:t>7,374</w:t>
            </w:r>
          </w:p>
        </w:tc>
        <w:tc>
          <w:tcPr>
            <w:tcW w:type="dxa" w:w="1440"/>
            <w:shd w:fill="FFDCE0" w:val="clear"/>
          </w:tcPr>
          <w:p>
            <w:r>
              <w:rPr>
                <w:sz w:val="17"/>
              </w:rPr>
              <w:t>8,523</w:t>
            </w:r>
          </w:p>
        </w:tc>
        <w:tc>
          <w:tcPr>
            <w:tcW w:type="dxa" w:w="1440"/>
            <w:shd w:fill="FFDCE0" w:val="clear"/>
          </w:tcPr>
          <w:p>
            <w:r>
              <w:rPr>
                <w:b/>
                <w:color w:val="C00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 RAPPORT D'ANALYSE FINANCIÈRE — SPHC (SAPH CI)</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SPHC s'établit à 194,24 milliards FCFA, un niveau significatif à l'échelle de la BRVM qui positionne le titre parmi les valeurs industrielles de premier plan de la cote. Le BPA de 977 FCFA/action signifie que chaque titre génère près d'un millier de francs de bénéfice net, un niveau confortable au regard du cours actuel de 7 600 FCFA. Le PER de 7,8x se situe nettement sous la moyenne BRVM (8-12x), signalant une potentielle sous-évaluation du titre par le marché. Le P/B de 1,41x indique que le marché valorise l'action à 41% au-dessus de sa valeur comptable, une prime raisonnable qui traduit la confiance dans la qualité des actifs sans exubérance. Enfin, l'EV/EBITDA de 4,9x, inférieur au seuil de 5x, confirme que la valeur d'entreprise reste très modérée par rapport à la capacité opérationnelle de génération de cash, renforçant le diagnostic de valorisation attractive.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SPHC affiche une variation totale positive de +9,43%, malgré une dernière séance en repli de -2,56% qui ramène le cours à 7 600 FCFA. Le range de trading s'étend de 6 945 FCFA (plus bas) à 10 300 FCFA (plus haut), soit une amplitude de près de 48%, témoignant d'une forte dynamique haussière suivie d'une correction. La tendance générale reste haussière sur la période, mais le repli récent et la position du cours sous ses moyennes mobiles suggèrent une phase de consolidation. Les statistiques descriptives révèlent une moyenne de 7 949 FCFA supérieure à la médiane de 7 685 FCFA, avec un mode à 7 600 FCFA (cours actuel) : cet écart moyenne/médiane confirme une distribution asymétrique positive, cohérente avec le skewness de 1,658 indiquant davantage de journées sous la moyenne mais des pics haussiers marqués. L'écart-type de 710 FCFA (CV de 8,9%) traduit une dispersion modérée du cours, tandis que le kurtosis de 2,166 (leptokurtique) signale des queues épaisses et un risque de pics de volatilité. La volatilité annualisée de 44,6% classe le titre dans la catégorie **élevée** (&gt;30%), exigeant une tolérance au risque importante de la part de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(7 822,25 FCFA) et la MM50 (8 366,5 FCFA) se situent toutes deux au-dessus du cours actuel (7 600 FCFA), avec une MM20 inférieure à la MM50 — configuration baissière de court terme. Le cours évoluant sous ses deux moyennes, la décision technique est **Vente**, confirmant la pression vendeuse récente.</w:t>
      </w:r>
    </w:p>
    <w:p>
      <w:pPr>
        <w:spacing w:after="120" w:line="276" w:lineRule="auto"/>
      </w:pPr>
      <w:r>
        <w:t>**Bandes de Bollinger** : Le cours (7 600 FCFA) se situe dans la partie basse de la bande, entre la borne inférieure (7 485,62 FCFA) et la borne supérieure (8 158,88 FCFA), sans franchissement des extrêmes. Cette position médiane-basse traduit une volatilité contenue et une absence de signal directionnel fort, justifiant la décision **Neutre**.</w:t>
      </w:r>
    </w:p>
    <w:p>
      <w:pPr>
        <w:spacing w:after="120" w:line="276" w:lineRule="auto"/>
      </w:pPr>
      <w:r>
        <w:t>**MACD** : La valeur du MACD (-157,587) est inférieure à sa ligne de signal (-153,853), avec un histogramme négatif. Cette configuration baissière indique un momentum négatif persistant, bien que l'écart réduit entre les deux lignes suggère un possible essoufflement de la baisse. La décision reste **Vente**.</w:t>
      </w:r>
    </w:p>
    <w:p>
      <w:pPr>
        <w:spacing w:after="120" w:line="276" w:lineRule="auto"/>
      </w:pPr>
      <w:r>
        <w:t>**RSI** : À 42,5, le RSI se situe en zone neutre (30-70), sans atteindre la zone de survente (&lt;30). Le titre ne présente donc ni excès baissier exploitable ni signal de retournement imminent, justifiant la décision **Neutre**.</w:t>
      </w:r>
    </w:p>
    <w:p>
      <w:pPr>
        <w:spacing w:after="120" w:line="276" w:lineRule="auto"/>
      </w:pPr>
      <w:r>
        <w:t>**Stochastique** : Le %K (9,091) est très bas et inférieur au %D (19,529), plaçant l'indicateur en zone de survente profonde. Cette configuration suggère un potentiel rebond technique à court terme, justifiant la décision **Achat** — seul indicateur positif du panel.</w:t>
      </w:r>
    </w:p>
    <w:p>
      <w:pPr>
        <w:spacing w:after="120" w:line="276" w:lineRule="auto"/>
      </w:pPr>
      <w:r>
        <w:t>**Conclusion technique** : Le panel d'indicateurs est majoritairement baissier (MM et MACD en Vente, Bollinger et RSI neutres), avec un unique signal d'achat contradictoire émis par le Stochastique en survente. Cette divergence signale un titre en phase de correction mais approchant potentiellement d'un support technique, où un rebond pourrait se matérialiser. La prudence reste de mise tant que le cours n'aura pas reconquis la MM20 (7 822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SPHC a réalisé un chiffre d'affaires de 340,831 milliards FCFA, en croissance de +21,97% par rapport à 2024 (279,44 Mds FCFA selon le rapport Mistral du 20/03/2026), avec un résultat net de 24,972 milliards FCFA (+32,9%). La rentabilité est solide : ROE de 18,10% (&gt;15% = excellent) et ROA de 11,06%, tandis que la marge nette s'établit à 7,33% et la marge opérationnelle à 11,19%. La structure financière est saine avec une autonomie financière de 61,08% et un ratio d'endettement maîtrisé de 25,81%. **Adapté au secteur industriel** : le BFR de 65,389 Mds FCFA est positif (à surveiller), le délai clients de 35 jours reste modéré, mais la durée de stockage de 72,33 jours immobilise du capital ; la trésorerie nette est négative (-15,413 Mds FCFA), point de vigilance récurrent du secteur. **Estimations issues des rapports trimestriels** : le rapport T1 2026 (Rapport 4, 2026) révèle un net coup de frein — CA de 71,8 Mds FCFA (-24%), résultat net de 2,6 Mds FCFA (-78%), marge nette à 4% — pénalisé par la chute des cours SICOM (1,91 USD/kg) et l'engorgement du port de San-Pedro. Toutefois, le rapport T3 2026 (Gemini-Vision, 17/10/2026) indique un **puissant redressement au T3** : résultat net cumulé à 9,703 Mds FCFA à fin septembre, dépassant déjà l'objectif budgétaire annuel de 10,67 Mds FCFA, porté par la remontée des cours (+20% sur un an à 2,13 USD/kg). On estime donc que l'exercice 2026, bien que marqué par un S1 difficile, devrait dépasser les prévisions initiales grâce au rebond du T3-T4. La politique de dividende est attractive : DPA de 489 FCFA brut proposé à l'AGO du 09/04/2026 (avis de convocation du 25/03/2026), soit un rendement de 6,4% au cours actuel. **Conclusion fondamentale** : société solide, rentable et bien capitalisée, mais exposée à la volatilité cyclique des cours du caoutchouc et à des tensions sur la trésorerie ; les perspectives 2026 restent favorables malgré un profil trimestriel heurté.</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mais globalement favorable. **Valorisation (Partie 0)** : PER de 7,8x, P/B de 1,41x et EV/EBITDA de 4,9x convergent vers un diagnostic de **sous-évaluation** relative, avec un rendement du dividende attractif de 6,4%. **Comportement du cours (Partie 1)** : la tendance haussière de +9,43% sur 100 jours est tempérée par une correction récente, une volatilité élevée (44,6%) et un kurtosis leptokurtique signalant un risque de pics — profil préoccupant à court terme mais cohérent avec un titre cyclique. **Signaux techniques (Partie 2)** : divergence notable entre les indicateurs baissiers (MM, MACD) et le Stochastique en survente (Achat), suggérant une correction proche de son terme. **Fondamentaux (Partie 3)** : solidité confirmée (ROE 18,1%, autonomie financière 61%), avec un T1 2026 décevant mais un T3 2026 en fort redressement dépassant déjà l'objectif annuel. **Prédictions IA (J+1 à J+10)** : la trajectoire projetée (7 621 → 7 500 FCFA) confirme la poursuite d'une légère consolidation baissière à court terme, cohérente avec les signaux techniques baissiers mais contredisant le potentiel de rebond du Stochastique. Sur cette base, la recommandation finale est **CONSERVER**, avec une inclinaison progressive vers l'ACHAT sur repli vers 7 400-7 500 FCFA. Le niveau de confiance est **Moyen** (divergence technique/fondamental), le niveau de risque **Élevé** (volatilité 44,6%, cyclicité des cours du caoutchouc, trésorerie négative), et l'horizon optimal est le **moyen terme (3-12 mois)**, le temps que le redressement opérationnel du T3-T4 2026 se confirme dans les résultats annuels et que le marché reprice la sous-évaluation persistante du titre.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43.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C7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27.28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6,354 titres</w:t>
            </w:r>
          </w:p>
        </w:tc>
        <w:tc>
          <w:tcPr>
            <w:tcW w:type="dxa" w:w="2268"/>
            <w:shd w:fill="FFF2CC" w:val="clear"/>
          </w:tcPr>
          <w:p>
            <w:r>
              <w:rPr>
                <w:b/>
                <w:color w:val="503200"/>
                <w:sz w:val="16"/>
              </w:rPr>
              <w:t xml:space="preserve">Cours actuel : </w:t>
            </w:r>
            <w:r>
              <w:rPr>
                <w:color w:val="000000"/>
                <w:sz w:val="17"/>
              </w:rPr>
              <w:t>2,030 FCFA</w:t>
            </w:r>
          </w:p>
          <w:p>
            <w:r>
              <w:rPr>
                <w:b/>
                <w:color w:val="503200"/>
                <w:sz w:val="16"/>
              </w:rPr>
              <w:t xml:space="preserve">Var. 100 jours : </w:t>
            </w:r>
            <w:r>
              <w:rPr>
                <w:b/>
                <w:color w:val="B40000"/>
                <w:sz w:val="17"/>
              </w:rPr>
              <w:t>-34.83%</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1,905 FCFA</w:t>
            </w:r>
          </w:p>
          <w:p>
            <w:r>
              <w:rPr>
                <w:b/>
                <w:color w:val="503200"/>
                <w:sz w:val="16"/>
              </w:rPr>
              <w:t xml:space="preserve">Volatilité ann. : </w:t>
            </w:r>
            <w:r>
              <w:rPr>
                <w:color w:val="000000"/>
                <w:sz w:val="17"/>
              </w:rPr>
              <w:t>60.2%</w:t>
            </w:r>
          </w:p>
        </w:tc>
        <w:tc>
          <w:tcPr>
            <w:tcW w:type="dxa" w:w="2835"/>
            <w:shd w:fill="FCE4D6" w:val="clear"/>
          </w:tcPr>
          <w:p>
            <w:r>
              <w:rPr>
                <w:b/>
                <w:color w:val="500000"/>
                <w:sz w:val="16"/>
              </w:rPr>
              <w:t xml:space="preserve">Recommandation : </w:t>
            </w:r>
            <w:r>
              <w:rPr>
                <w:b/>
                <w:color w:val="C80000"/>
                <w:sz w:val="19"/>
              </w:rPr>
              <w:t>VENTE</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Faible</w:t>
            </w:r>
          </w:p>
        </w:tc>
      </w:tr>
    </w:tbl>
    <w:p/>
    <w:p>
      <w:pPr>
        <w:spacing w:before="120" w:after="40"/>
      </w:pPr>
      <w:r>
        <w:rPr>
          <w:b/>
          <w:color w:val="003366"/>
          <w:sz w:val="20"/>
        </w:rPr>
        <w:t xml:space="preserve">⚠️ SCORE DE RISQUE — </w:t>
      </w:r>
      <w:r>
        <w:rPr>
          <w:b/>
          <w:color w:val="825A00"/>
          <w:sz w:val="22"/>
        </w:rPr>
        <w:t>26.0/100 → Moyen</w:t>
      </w:r>
    </w:p>
    <w:p>
      <w:pPr>
        <w:spacing w:before="40" w:after="80"/>
      </w:pPr>
      <w:r>
        <w:rPr>
          <w:rFonts w:ascii="Courier New" w:hAnsi="Courier New"/>
          <w:color w:val="825A00"/>
          <w:sz w:val="18"/>
        </w:rPr>
        <w:t>█████░░░░░░░░░░░░░░░  26.0/100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16.78% (Élevée) — μ=2,797 FCFA, σ=469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β=0.0778 (Défensif) — Cov=0.000006, Var(idx)=0.000077, ρ=0.018,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σ_j=3.79%/j (Modérée) — Vol. annualisée≈60.2%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C00000"/>
          <w:sz w:val="26"/>
        </w:rPr>
        <w:t>35/100  (Faible)</w:t>
      </w:r>
    </w:p>
    <w:p/>
    <w:p>
      <w:pPr>
        <w:jc w:val="center"/>
      </w:pPr>
      <w:r>
        <w:drawing>
          <wp:inline xmlns:a="http://schemas.openxmlformats.org/drawingml/2006/main" xmlns:pic="http://schemas.openxmlformats.org/drawingml/2006/picture">
            <wp:extent cx="5669280" cy="2619287"/>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1,858</w:t>
            </w:r>
          </w:p>
        </w:tc>
        <w:tc>
          <w:tcPr>
            <w:tcW w:type="dxa" w:w="1440"/>
            <w:shd w:fill="FAFAFA" w:val="clear"/>
          </w:tcPr>
          <w:p>
            <w:r>
              <w:rPr>
                <w:b/>
                <w:sz w:val="17"/>
              </w:rPr>
              <w:t>2,003</w:t>
            </w:r>
          </w:p>
        </w:tc>
        <w:tc>
          <w:tcPr>
            <w:tcW w:type="dxa" w:w="1440"/>
            <w:shd w:fill="FAFAFA" w:val="clear"/>
          </w:tcPr>
          <w:p>
            <w:r>
              <w:rPr>
                <w:sz w:val="17"/>
              </w:rPr>
              <w:t>2,148</w:t>
            </w:r>
          </w:p>
        </w:tc>
        <w:tc>
          <w:tcPr>
            <w:tcW w:type="dxa" w:w="1440"/>
            <w:shd w:fill="FAFAFA" w:val="clear"/>
          </w:tcPr>
          <w:p>
            <w:r>
              <w:rPr>
                <w:b/>
                <w:color w:val="C00000"/>
                <w:sz w:val="17"/>
              </w:rPr>
              <w:t>-1.3%</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1,815</w:t>
            </w:r>
          </w:p>
        </w:tc>
        <w:tc>
          <w:tcPr>
            <w:tcW w:type="dxa" w:w="1440"/>
            <w:shd w:fill="FAFAFA" w:val="clear"/>
          </w:tcPr>
          <w:p>
            <w:r>
              <w:rPr>
                <w:b/>
                <w:sz w:val="17"/>
              </w:rPr>
              <w:t>2,022</w:t>
            </w:r>
          </w:p>
        </w:tc>
        <w:tc>
          <w:tcPr>
            <w:tcW w:type="dxa" w:w="1440"/>
            <w:shd w:fill="FAFAFA" w:val="clear"/>
          </w:tcPr>
          <w:p>
            <w:r>
              <w:rPr>
                <w:sz w:val="17"/>
              </w:rPr>
              <w:t>2,230</w:t>
            </w:r>
          </w:p>
        </w:tc>
        <w:tc>
          <w:tcPr>
            <w:tcW w:type="dxa" w:w="1440"/>
            <w:shd w:fill="FAFAFA" w:val="clear"/>
          </w:tcPr>
          <w:p>
            <w:r>
              <w:rPr>
                <w:b/>
                <w:color w:val="C00000"/>
                <w:sz w:val="17"/>
              </w:rPr>
              <w:t>-0.4%</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1,779</w:t>
            </w:r>
          </w:p>
        </w:tc>
        <w:tc>
          <w:tcPr>
            <w:tcW w:type="dxa" w:w="1440"/>
            <w:shd w:fill="FAFAFA" w:val="clear"/>
          </w:tcPr>
          <w:p>
            <w:r>
              <w:rPr>
                <w:b/>
                <w:sz w:val="17"/>
              </w:rPr>
              <w:t>2,034</w:t>
            </w:r>
          </w:p>
        </w:tc>
        <w:tc>
          <w:tcPr>
            <w:tcW w:type="dxa" w:w="1440"/>
            <w:shd w:fill="FAFAFA" w:val="clear"/>
          </w:tcPr>
          <w:p>
            <w:r>
              <w:rPr>
                <w:sz w:val="17"/>
              </w:rPr>
              <w:t>2,290</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1,747</w:t>
            </w:r>
          </w:p>
        </w:tc>
        <w:tc>
          <w:tcPr>
            <w:tcW w:type="dxa" w:w="1440"/>
            <w:shd w:fill="FAFAFA" w:val="clear"/>
          </w:tcPr>
          <w:p>
            <w:r>
              <w:rPr>
                <w:b/>
                <w:sz w:val="17"/>
              </w:rPr>
              <w:t>2,043</w:t>
            </w:r>
          </w:p>
        </w:tc>
        <w:tc>
          <w:tcPr>
            <w:tcW w:type="dxa" w:w="1440"/>
            <w:shd w:fill="FAFAFA" w:val="clear"/>
          </w:tcPr>
          <w:p>
            <w:r>
              <w:rPr>
                <w:sz w:val="17"/>
              </w:rPr>
              <w:t>2,339</w:t>
            </w:r>
          </w:p>
        </w:tc>
        <w:tc>
          <w:tcPr>
            <w:tcW w:type="dxa" w:w="1440"/>
            <w:shd w:fill="FAFAFA" w:val="clear"/>
          </w:tcPr>
          <w:p>
            <w:r>
              <w:rPr>
                <w:b/>
                <w:color w:val="008000"/>
                <w:sz w:val="17"/>
              </w:rPr>
              <w:t>+0.7%</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1,718</w:t>
            </w:r>
          </w:p>
        </w:tc>
        <w:tc>
          <w:tcPr>
            <w:tcW w:type="dxa" w:w="1440"/>
            <w:shd w:fill="FAFAFA" w:val="clear"/>
          </w:tcPr>
          <w:p>
            <w:r>
              <w:rPr>
                <w:b/>
                <w:sz w:val="17"/>
              </w:rPr>
              <w:t>2,050</w:t>
            </w:r>
          </w:p>
        </w:tc>
        <w:tc>
          <w:tcPr>
            <w:tcW w:type="dxa" w:w="1440"/>
            <w:shd w:fill="FAFAFA" w:val="clear"/>
          </w:tcPr>
          <w:p>
            <w:r>
              <w:rPr>
                <w:sz w:val="17"/>
              </w:rPr>
              <w:t>2,382</w:t>
            </w:r>
          </w:p>
        </w:tc>
        <w:tc>
          <w:tcPr>
            <w:tcW w:type="dxa" w:w="1440"/>
            <w:shd w:fill="FAFAFA" w:val="clear"/>
          </w:tcPr>
          <w:p>
            <w:r>
              <w:rPr>
                <w:b/>
                <w:color w:val="008000"/>
                <w:sz w:val="17"/>
              </w:rPr>
              <w:t>+1.0%</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1,691</w:t>
            </w:r>
          </w:p>
        </w:tc>
        <w:tc>
          <w:tcPr>
            <w:tcW w:type="dxa" w:w="1440"/>
            <w:shd w:fill="FAFAFA" w:val="clear"/>
          </w:tcPr>
          <w:p>
            <w:r>
              <w:rPr>
                <w:b/>
                <w:sz w:val="17"/>
              </w:rPr>
              <w:t>2,056</w:t>
            </w:r>
          </w:p>
        </w:tc>
        <w:tc>
          <w:tcPr>
            <w:tcW w:type="dxa" w:w="1440"/>
            <w:shd w:fill="FAFAFA" w:val="clear"/>
          </w:tcPr>
          <w:p>
            <w:r>
              <w:rPr>
                <w:sz w:val="17"/>
              </w:rPr>
              <w:t>2,421</w:t>
            </w:r>
          </w:p>
        </w:tc>
        <w:tc>
          <w:tcPr>
            <w:tcW w:type="dxa" w:w="1440"/>
            <w:shd w:fill="FAFAFA" w:val="clear"/>
          </w:tcPr>
          <w:p>
            <w:r>
              <w:rPr>
                <w:b/>
                <w:color w:val="008000"/>
                <w:sz w:val="17"/>
              </w:rPr>
              <w:t>+1.3%</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1,666</w:t>
            </w:r>
          </w:p>
        </w:tc>
        <w:tc>
          <w:tcPr>
            <w:tcW w:type="dxa" w:w="1440"/>
            <w:shd w:fill="FAFAFA" w:val="clear"/>
          </w:tcPr>
          <w:p>
            <w:r>
              <w:rPr>
                <w:b/>
                <w:sz w:val="17"/>
              </w:rPr>
              <w:t>2,061</w:t>
            </w:r>
          </w:p>
        </w:tc>
        <w:tc>
          <w:tcPr>
            <w:tcW w:type="dxa" w:w="1440"/>
            <w:shd w:fill="FAFAFA" w:val="clear"/>
          </w:tcPr>
          <w:p>
            <w:r>
              <w:rPr>
                <w:sz w:val="17"/>
              </w:rPr>
              <w:t>2,456</w:t>
            </w:r>
          </w:p>
        </w:tc>
        <w:tc>
          <w:tcPr>
            <w:tcW w:type="dxa" w:w="1440"/>
            <w:shd w:fill="FAFAFA" w:val="clear"/>
          </w:tcPr>
          <w:p>
            <w:r>
              <w:rPr>
                <w:b/>
                <w:color w:val="008000"/>
                <w:sz w:val="17"/>
              </w:rPr>
              <w:t>+1.5%</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1,642</w:t>
            </w:r>
          </w:p>
        </w:tc>
        <w:tc>
          <w:tcPr>
            <w:tcW w:type="dxa" w:w="1440"/>
            <w:shd w:fill="FAFAFA" w:val="clear"/>
          </w:tcPr>
          <w:p>
            <w:r>
              <w:rPr>
                <w:b/>
                <w:sz w:val="17"/>
              </w:rPr>
              <w:t>2,065</w:t>
            </w:r>
          </w:p>
        </w:tc>
        <w:tc>
          <w:tcPr>
            <w:tcW w:type="dxa" w:w="1440"/>
            <w:shd w:fill="FAFAFA" w:val="clear"/>
          </w:tcPr>
          <w:p>
            <w:r>
              <w:rPr>
                <w:sz w:val="17"/>
              </w:rPr>
              <w:t>2,488</w:t>
            </w:r>
          </w:p>
        </w:tc>
        <w:tc>
          <w:tcPr>
            <w:tcW w:type="dxa" w:w="1440"/>
            <w:shd w:fill="FAFAFA" w:val="clear"/>
          </w:tcPr>
          <w:p>
            <w:r>
              <w:rPr>
                <w:b/>
                <w:color w:val="008000"/>
                <w:sz w:val="17"/>
              </w:rPr>
              <w:t>+1.7%</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1,620</w:t>
            </w:r>
          </w:p>
        </w:tc>
        <w:tc>
          <w:tcPr>
            <w:tcW w:type="dxa" w:w="1440"/>
            <w:shd w:fill="FAFAFA" w:val="clear"/>
          </w:tcPr>
          <w:p>
            <w:r>
              <w:rPr>
                <w:b/>
                <w:sz w:val="17"/>
              </w:rPr>
              <w:t>2,069</w:t>
            </w:r>
          </w:p>
        </w:tc>
        <w:tc>
          <w:tcPr>
            <w:tcW w:type="dxa" w:w="1440"/>
            <w:shd w:fill="FAFAFA" w:val="clear"/>
          </w:tcPr>
          <w:p>
            <w:r>
              <w:rPr>
                <w:sz w:val="17"/>
              </w:rPr>
              <w:t>2,519</w:t>
            </w:r>
          </w:p>
        </w:tc>
        <w:tc>
          <w:tcPr>
            <w:tcW w:type="dxa" w:w="1440"/>
            <w:shd w:fill="FAFAFA" w:val="clear"/>
          </w:tcPr>
          <w:p>
            <w:r>
              <w:rPr>
                <w:b/>
                <w:color w:val="008000"/>
                <w:sz w:val="17"/>
              </w:rPr>
              <w:t>+1.9%</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1,598</w:t>
            </w:r>
          </w:p>
        </w:tc>
        <w:tc>
          <w:tcPr>
            <w:tcW w:type="dxa" w:w="1440"/>
            <w:shd w:fill="C6EFCE" w:val="clear"/>
          </w:tcPr>
          <w:p>
            <w:r>
              <w:rPr>
                <w:b/>
                <w:sz w:val="17"/>
              </w:rPr>
              <w:t>2,073</w:t>
            </w:r>
          </w:p>
        </w:tc>
        <w:tc>
          <w:tcPr>
            <w:tcW w:type="dxa" w:w="1440"/>
            <w:shd w:fill="C6EFCE" w:val="clear"/>
          </w:tcPr>
          <w:p>
            <w:r>
              <w:rPr>
                <w:sz w:val="17"/>
              </w:rPr>
              <w:t>2,548</w:t>
            </w:r>
          </w:p>
        </w:tc>
        <w:tc>
          <w:tcPr>
            <w:tcW w:type="dxa" w:w="1440"/>
            <w:shd w:fill="C6EFCE" w:val="clear"/>
          </w:tcPr>
          <w:p>
            <w:r>
              <w:rPr>
                <w:b/>
                <w:color w:val="008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 RAPPORT D'ANALYSE FINANCIÈRE — STAC (SETAO)</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27,28 milliards FCFA, un niveau modeste à l'échelle de la BRVM qui la classe parmi les petites capitalisations du compartiment entreprise. Le BPA ressort à **-7 FCFA par action**, traduisant une société structurellement déficitaire dont chaque titre détruit de la valeur comptable. Le PER est de ce fait **négatif (-282,6x)** et donc non interprétable en termes de « cher/pas cher » : il signale simplement l'absence de bénéfices, rendant toute référence au PER moyen BRVM (8-12x) inopérante. Le ratio P/B de **76,48x** est en revanche très parlant : le marché valorise le titre à plus de 76 fois la valeur comptable des fonds propres (356,75 M FCFA), soit une prime considérable et difficilement justifiable au regard des pertes récurrentes — ce qui suggère que le cours intègre davantage une anticipation spéculative (projet aéroportuaire d'Abidjan) qu'une réalité bilancielle. Enfin, l'EV/EBITDA n'est pas exploitable ici puisque l'EBE 2025 est négatif (-650,13 M FCFA), confirmant qu'aucune capacité opérationnelle positive ne peut être comparée à la valeur d'entreprise.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STAC a enregistré une **variation totale de -34,83%**, passant d'un plus haut de 3 640 FCFA à un plus bas de 1 905 FCFA, avant de clôturer à 2 030 FCFA — soit un rebond technique de **+6,56% sur la dernière séance (J-1)**. La tendance générale est donc nettement **baissière**, avec une amplitude de trading de 1 735 FCFA (près de 48% du cours actuel), signe d'une forte nervosité. Les statistiques descriptives confirment ce comportement : la moyenne (2 797 FCFA) est supérieure à la médiane (2 758 FCFA), écart modéré qui traduit une distribution légèrement tirée vers le haut par les niveaux de cours antérieurs, tandis que le mode à 3 500 FCFA rappelle que le titre a longtemps évolué bien au-dessus du cours actuel. L'écart-type de 472 FCFA (CV = 16,9%) indique une dispersion relative contenue, mais le kurtosis de **-0,950 (mésokurtique)** et le skewness de **0,091 (distribution symétrique)** suggèrent un comportement proche d'une loi normale, sans pics extrêmes ni asymétrie marquée — le risque de « queue épaisse » est donc limité. Enfin, la **volatilité annualisée de 60,2%** place clairement STAC dans la catégorie des titres à volatilité **élevée (&gt;30%)**, ce qui est cohérent avec une petite capitalisation en difficulté opérationnelle et dépendante d'un projet unique.</w:t>
      </w:r>
    </w:p>
    <w:p>
      <w:pPr>
        <w:spacing w:after="120" w:line="276" w:lineRule="auto"/>
      </w:pPr>
      <w:r>
        <w:t>---</w:t>
      </w:r>
    </w:p>
    <w:p>
      <w:pPr>
        <w:spacing w:after="120" w:line="276" w:lineRule="auto"/>
      </w:pPr>
      <w:r>
        <w:t>## PARTIE 2 : ANALYSE TECHNIQUE DÉTAILLÉE</w:t>
      </w:r>
    </w:p>
    <w:p>
      <w:pPr>
        <w:spacing w:after="120" w:line="276" w:lineRule="auto"/>
      </w:pPr>
      <w:r>
        <w:t>**Moyennes Mobiles** : La MM20 (2 134,75 FCFA) et la MM50 (2 413,10 FCFA) se situent toutes deux au-dessus du cours actuel (2 030 FCFA), avec une MM20 inférieure à la MM50 — configuration baissière typique (croisement « death cross »). Le cours évoluant sous ses deux moyennes, la pression vendeuse domine, ce qui justifie la **décision Vente**.</w:t>
      </w:r>
    </w:p>
    <w:p>
      <w:pPr>
        <w:spacing w:after="120" w:line="276" w:lineRule="auto"/>
      </w:pPr>
      <w:r>
        <w:t>**Bandes de Bollinger** : Le cours (2 030 FCFA) évolue dans la partie basse du canal, entre la borne inférieure (1 904,20 FCFA) et la borne supérieure (2 365,30 FCFA), sans en franchir les limites. Cette position proche du bas de bande, avec un canal relativement large, traduit une volatilité encore présente mais un potentiel de rebond vers la moyenne ; la **décision Neutre** est cohérente avec l'absence de signal extrême (ni survente franche, ni cassure).</w:t>
      </w:r>
    </w:p>
    <w:p>
      <w:pPr>
        <w:spacing w:after="120" w:line="276" w:lineRule="auto"/>
      </w:pPr>
      <w:r>
        <w:t>**MACD** : Le MACD (-127,789) est inférieur à son signal (-124,234), avec un histogramme négatif — divergence baissière persistante. Le momentum reste donc négatif et aucune inflexion haussière n'est visible, ce qui confirme la **décision Vente** de cet indicateur.</w:t>
      </w:r>
    </w:p>
    <w:p>
      <w:pPr>
        <w:spacing w:after="120" w:line="276" w:lineRule="auto"/>
      </w:pPr>
      <w:r>
        <w:t>**RSI** : À **48,057**, le RSI se situe en zone parfaitement neutre (entre 30 et 70), ni suracheté ni survendu. Le titre n'a pas encore atteint de zone de rebond technique significative, ce qui justifie la **décision Neutre** et suggère une absence de signal directionnel fort à court terme.</w:t>
      </w:r>
    </w:p>
    <w:p>
      <w:pPr>
        <w:spacing w:after="120" w:line="276" w:lineRule="auto"/>
      </w:pPr>
      <w:r>
        <w:t>**Stochastique** : Le %K (26,316) est supérieur au %D (8,772), avec les deux courbes en zone basse (sous 20 pour le %D, proche de la survente). Un croisement haussier du %K au-dessus du %D en zone basse peut précéder un rebond technique, mais la faiblesse du %D traduit encore une pression baissière ; la **décision Neutre** reflète cette configuration ambiguë.</w:t>
      </w:r>
    </w:p>
    <w:p>
      <w:pPr>
        <w:spacing w:after="120" w:line="276" w:lineRule="auto"/>
      </w:pPr>
      <w:r>
        <w:t>**Conclusion technique** : La majorité des indicateurs (MM, MACD) penche clairement à la vente, tandis que Bollinger, RSI et Stochastique restent neutres avec un léger potentiel de rebond technique à court terme (stochastique en zone basse, cours proche de la borne inférieure de Bollinger). Le titre se trouve dans une phase baissière mature mais non encore retournée : la convergence des signaux reste défavorable, avec un rebond de +6,56% en J-1 qui pourrait n'être qu'un soubresaut technique sans confirmation.</w:t>
      </w:r>
    </w:p>
    <w:p>
      <w:pPr>
        <w:spacing w:after="120" w:line="276" w:lineRule="auto"/>
      </w:pPr>
      <w:r>
        <w:t>---</w:t>
      </w:r>
    </w:p>
    <w:p>
      <w:pPr>
        <w:spacing w:after="120" w:line="276" w:lineRule="auto"/>
      </w:pPr>
      <w:r>
        <w:t>## PARTIE 3 : ANALYSE FONDAMENTALE (SECTION CRITIQUE)</w:t>
      </w:r>
    </w:p>
    <w:p>
      <w:pPr>
        <w:spacing w:after="120" w:line="276" w:lineRule="auto"/>
      </w:pPr>
      <w:r>
        <w:t>**Données structurées — Exercice 2025 (états financiers officiels)** : En 2025, STAC (SETAO) affiche un chiffre d'affaires de **3 878 M FCFA** (3,878 Mds FCFA), en **croissance spectaculaire de +116,26%** par rapport à 2024 (1 793 M FCFA), portée par la reprise des travaux préliminaires de l'aéroport d'Abidjan. Malgré cette dynamique commerciale, le **résultat net reste négatif à -96,56 M FCFA** (marge nette -2,49%), l'EBE est déficitaire à **-650,13 M FCFA** et le résultat d'exploitation à **-771,95 M FCFA** — la structure de coûts demeure inadaptée au niveau d'activité. Les ratios de rentabilité sont préoccupants : **ROE de -27,07%** (très en dessous du seuil de 15% d'excellence) et **ROA de -1,77%**, tandis que la rotation des actifs (71,21%) reste correcte. La structure financière est fragile : **autonomie financière de seulement 6,55%** (très loin du seuil sain de 30%), **ratio d'endettement de 93,45%** et **dépendance financière de 129,87%**, même si la solvabilité générale (107,01%) reste supérieure à 1. Point positif pour une entreprise du BTP : le **BFR est négatif (-930,47 M FCFA)**, ce qui est favorable à la trésorerie, et la trésorerie nette atteint 1,330 Mds FCFA. Toutefois, le **flux opérationnel est très négatif (-2,212 Mds FCFA)** et la capacité de remboursement (77,53 années de CAF) est rédhibitoire.</w:t>
      </w:r>
    </w:p>
    <w:p>
      <w:pPr>
        <w:spacing w:after="120" w:line="276" w:lineRule="auto"/>
      </w:pPr>
      <w:r>
        <w:t>**Estimations issues des rapports trimestriels** : Le rapport du **30 septembre 2025** (cumul 9 mois) confirme un CA de 3 456 M FCFA (+176%) et une perte nette réduite à -477 M FCFA (-22%), avec une perte d'exploitation divisée par deux (-456 M FCFA) — signe d'économies d'échelle naissantes. Le rapport du **30 juin 2025** (S1) faisait état d'un CA de 2 271 M FCFA (+290%) mais d'une perte nette aggravée à -557 M FCFA, illustrant la volatilité trimestrielle. La direction maintient sa prévision de CA annuel 2025 à 4 Mds FCFA, ce qui implique un T4 quasi atone (~544 M FCFA). **On estime donc** que l'exercice 2026 restera fragile : la rentabilité opérationnelle ne sera atteinte qu'avec la sécurisation de nouveaux contrats au-delà du chantier aéroportuaire, dont la dépendance constitue le risque majeur. Les rapports antérieurs (2024, 2021) rappellent la cyclicité extrême du modèle : CA de 15,9 Mds FCFA en 2020 (marge nette 14,6%, dividende versé) contre 1,79 Md en 2024 — une entreprise dont la profitabilité dépend entièrement du carnet de commandes public.</w:t>
      </w:r>
    </w:p>
    <w:p>
      <w:pPr>
        <w:spacing w:after="120" w:line="276" w:lineRule="auto"/>
      </w:pPr>
      <w:r>
        <w:t>**Conclusion fondamentale** : STAC présente une **solidité financière très faible** (capitaux propres quasi inexistants, endettement massif, flux opérationnels négatifs) malgré un rebond d'activité réel. Les risques (dépendance au projet aéroportuaire, absence de dividende depuis 2018, dilution potentielle) l'emportent largement sur les perspectives, et la valorisation boursière (P/B 76x) n'est absolument pas soutenue par les fondamentaux.</w:t>
      </w:r>
    </w:p>
    <w:p>
      <w:pPr>
        <w:spacing w:after="120" w:line="276" w:lineRule="auto"/>
      </w:pPr>
      <w:r>
        <w:t>---</w:t>
      </w:r>
    </w:p>
    <w:p>
      <w:pPr>
        <w:spacing w:after="120" w:line="276" w:lineRule="auto"/>
      </w:pPr>
      <w:r>
        <w:t>## PARTIE 4 : CONCLUSION D'INVESTISSEMENT</w:t>
      </w:r>
    </w:p>
    <w:p>
      <w:pPr>
        <w:spacing w:after="120" w:line="276" w:lineRule="auto"/>
      </w:pPr>
      <w:r>
        <w:t>La synthèse des quatre dimensions est **négative et convergente**. Sur le plan de la **valorisation (Partie 0)**, le PER négatif et le P/B de 76,48x traduisent une surévaluation manifeste par rapport à une valeur comptable quasi nulle et à des bénéfices inexistants — le marché paie une prime spéculative non justifiée. Le **comportement du cours (Partie 1)** est baissier (-34,83% sur 100 jours) avec une volatilité élevée (60,2%) et des statistiques (kurtosis -0,95, skewness 0,09) qui n'offrent aucun signal de retournement structurel, malgré le rebond de J-1 (+6,56%). Les **signaux techniques (Partie 2)** convergent majoritairement à la vente (MM sous cours, MACD négatif) avec seulement un potentiel de rebond technique de court terme (stochastique en zone basse). Les **fondamentaux (Partie 3)** demeurent profondément dégradés : perte nette de -96,56 M FCFA en 2025, ROE de -27,07%, autonomie financière de 6,55% et flux opérationnel de -2,212 Mds FCFA, même si la croissance du CA (+116%) et la réduction des pertes d'exploitation constituent des signaux d'espoir à moyen terme. Enfin, les **prédictions IA (J+1 à J+10)** anticipent une trajectoire légèrement haussière (2 003 → 2 050 FCFA, soit +1% environ), ce qui **contredit partiellement** les signaux techniques baissiers et suggère un possible rebond de court terme — mais cette prévision reste marginale et ne compense pas la détérioration fondamentale.</w:t>
      </w:r>
    </w:p>
    <w:p>
      <w:pPr>
        <w:spacing w:after="120" w:line="276" w:lineRule="auto"/>
      </w:pPr>
      <w:r>
        <w:t>**Recommandation finale : VENTE** (avec possibilité de conservation spéculative pour profils avertis). La convergence entre valorisation exigeante, technique baissière et fondamentaux fragiles l'emporte sur le rebond technique et les prédictions IA de court terme. **Niveau de confiance : Moyen** (les signaux sont clairs mais le rebond récent et les prédictions haussières introduisent une incertitude de court terme). **Niveau de risque global : Élevé** (volatilité 60,2%, petite capitalisation, dépendance à un projet unique, structure financière sous-capitalisée). **Horizon d'investissement suggéré : court terme** pour les positions existantes (sortie sur rebond technique vers 2 100-2 150 FCFA), avec réévaluation à moyen terme (3-12 mois) uniquement en cas de confirmation de nouveaux contrats et d'un retour à la rentabilité opérationnelle — conditions non réunies à ce jour.</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44.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383.34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4,167 titres</w:t>
            </w:r>
          </w:p>
        </w:tc>
        <w:tc>
          <w:tcPr>
            <w:tcW w:type="dxa" w:w="2268"/>
            <w:shd w:fill="FFF2CC" w:val="clear"/>
          </w:tcPr>
          <w:p>
            <w:r>
              <w:rPr>
                <w:b/>
                <w:color w:val="503200"/>
                <w:sz w:val="16"/>
              </w:rPr>
              <w:t xml:space="preserve">Cours actuel : </w:t>
            </w:r>
            <w:r>
              <w:rPr>
                <w:color w:val="000000"/>
                <w:sz w:val="17"/>
              </w:rPr>
              <w:t>21,350 FCFA</w:t>
            </w:r>
          </w:p>
          <w:p>
            <w:r>
              <w:rPr>
                <w:b/>
                <w:color w:val="503200"/>
                <w:sz w:val="16"/>
              </w:rPr>
              <w:t xml:space="preserve">Var. 100 jours : </w:t>
            </w:r>
            <w:r>
              <w:rPr>
                <w:b/>
                <w:color w:val="007800"/>
                <w:sz w:val="17"/>
              </w:rPr>
              <w:t>+0.28%</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20,895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4.89% (Faible) — μ=22,573 FCFA, σ=1,103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β=0.4509 (Défensif) — Cov=0.000035, Var(idx)=0.000077, ρ=0.169,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2026-10-19</w:t>
            </w:r>
          </w:p>
        </w:tc>
        <w:tc>
          <w:tcPr>
            <w:tcW w:type="dxa" w:w="1440"/>
            <w:shd w:fill="C6EFCE" w:val="clear"/>
          </w:tcPr>
          <w:p>
            <w:r>
              <w:rPr>
                <w:sz w:val="17"/>
              </w:rPr>
              <w:t>21,403</w:t>
            </w:r>
          </w:p>
        </w:tc>
        <w:tc>
          <w:tcPr>
            <w:tcW w:type="dxa" w:w="1440"/>
            <w:shd w:fill="C6EFCE" w:val="clear"/>
          </w:tcPr>
          <w:p>
            <w:r>
              <w:rPr>
                <w:b/>
                <w:sz w:val="17"/>
              </w:rPr>
              <w:t>21,996</w:t>
            </w:r>
          </w:p>
        </w:tc>
        <w:tc>
          <w:tcPr>
            <w:tcW w:type="dxa" w:w="1440"/>
            <w:shd w:fill="C6EFCE" w:val="clear"/>
          </w:tcPr>
          <w:p>
            <w:r>
              <w:rPr>
                <w:sz w:val="17"/>
              </w:rPr>
              <w:t>22,589</w:t>
            </w:r>
          </w:p>
        </w:tc>
        <w:tc>
          <w:tcPr>
            <w:tcW w:type="dxa" w:w="1440"/>
            <w:shd w:fill="C6EFCE" w:val="clear"/>
          </w:tcPr>
          <w:p>
            <w:r>
              <w:rPr>
                <w:b/>
                <w:color w:val="008000"/>
                <w:sz w:val="17"/>
              </w:rPr>
              <w:t>+3.0%</w:t>
            </w:r>
          </w:p>
        </w:tc>
      </w:tr>
      <w:tr>
        <w:tc>
          <w:tcPr>
            <w:tcW w:type="dxa" w:w="1440"/>
            <w:shd w:fill="C6EFCE" w:val="clear"/>
          </w:tcPr>
          <w:p>
            <w:r>
              <w:rPr>
                <w:sz w:val="17"/>
              </w:rPr>
              <w:t>J+2  Moyenne</w:t>
            </w:r>
          </w:p>
        </w:tc>
        <w:tc>
          <w:tcPr>
            <w:tcW w:type="dxa" w:w="1440"/>
            <w:shd w:fill="C6EFCE" w:val="clear"/>
          </w:tcPr>
          <w:p>
            <w:r>
              <w:rPr>
                <w:sz w:val="17"/>
              </w:rPr>
              <w:t>2026-10-20</w:t>
            </w:r>
          </w:p>
        </w:tc>
        <w:tc>
          <w:tcPr>
            <w:tcW w:type="dxa" w:w="1440"/>
            <w:shd w:fill="C6EFCE" w:val="clear"/>
          </w:tcPr>
          <w:p>
            <w:r>
              <w:rPr>
                <w:sz w:val="17"/>
              </w:rPr>
              <w:t>21,457</w:t>
            </w:r>
          </w:p>
        </w:tc>
        <w:tc>
          <w:tcPr>
            <w:tcW w:type="dxa" w:w="1440"/>
            <w:shd w:fill="C6EFCE" w:val="clear"/>
          </w:tcPr>
          <w:p>
            <w:r>
              <w:rPr>
                <w:b/>
                <w:sz w:val="17"/>
              </w:rPr>
              <w:t>22,307</w:t>
            </w:r>
          </w:p>
        </w:tc>
        <w:tc>
          <w:tcPr>
            <w:tcW w:type="dxa" w:w="1440"/>
            <w:shd w:fill="C6EFCE" w:val="clear"/>
          </w:tcPr>
          <w:p>
            <w:r>
              <w:rPr>
                <w:sz w:val="17"/>
              </w:rPr>
              <w:t>23,158</w:t>
            </w:r>
          </w:p>
        </w:tc>
        <w:tc>
          <w:tcPr>
            <w:tcW w:type="dxa" w:w="1440"/>
            <w:shd w:fill="C6EFCE" w:val="clear"/>
          </w:tcPr>
          <w:p>
            <w:r>
              <w:rPr>
                <w:b/>
                <w:color w:val="008000"/>
                <w:sz w:val="17"/>
              </w:rPr>
              <w:t>+4.5%</w:t>
            </w:r>
          </w:p>
        </w:tc>
      </w:tr>
      <w:tr>
        <w:tc>
          <w:tcPr>
            <w:tcW w:type="dxa" w:w="1440"/>
            <w:shd w:fill="C6EFCE" w:val="clear"/>
          </w:tcPr>
          <w:p>
            <w:r>
              <w:rPr>
                <w:sz w:val="17"/>
              </w:rPr>
              <w:t>J+3  ⭐</w:t>
            </w:r>
          </w:p>
        </w:tc>
        <w:tc>
          <w:tcPr>
            <w:tcW w:type="dxa" w:w="1440"/>
            <w:shd w:fill="C6EFCE" w:val="clear"/>
          </w:tcPr>
          <w:p>
            <w:r>
              <w:rPr>
                <w:sz w:val="17"/>
              </w:rPr>
              <w:t>2026-10-21</w:t>
            </w:r>
          </w:p>
        </w:tc>
        <w:tc>
          <w:tcPr>
            <w:tcW w:type="dxa" w:w="1440"/>
            <w:shd w:fill="C6EFCE" w:val="clear"/>
          </w:tcPr>
          <w:p>
            <w:r>
              <w:rPr>
                <w:sz w:val="17"/>
              </w:rPr>
              <w:t>21,545</w:t>
            </w:r>
          </w:p>
        </w:tc>
        <w:tc>
          <w:tcPr>
            <w:tcW w:type="dxa" w:w="1440"/>
            <w:shd w:fill="C6EFCE" w:val="clear"/>
          </w:tcPr>
          <w:p>
            <w:r>
              <w:rPr>
                <w:b/>
                <w:sz w:val="17"/>
              </w:rPr>
              <w:t>22,601</w:t>
            </w:r>
          </w:p>
        </w:tc>
        <w:tc>
          <w:tcPr>
            <w:tcW w:type="dxa" w:w="1440"/>
            <w:shd w:fill="C6EFCE" w:val="clear"/>
          </w:tcPr>
          <w:p>
            <w:r>
              <w:rPr>
                <w:sz w:val="17"/>
              </w:rPr>
              <w:t>23,656</w:t>
            </w:r>
          </w:p>
        </w:tc>
        <w:tc>
          <w:tcPr>
            <w:tcW w:type="dxa" w:w="1440"/>
            <w:shd w:fill="C6EFCE" w:val="clear"/>
          </w:tcPr>
          <w:p>
            <w:r>
              <w:rPr>
                <w:b/>
                <w:color w:val="008000"/>
                <w:sz w:val="17"/>
              </w:rPr>
              <w:t>+5.9%</w:t>
            </w:r>
          </w:p>
        </w:tc>
      </w:tr>
      <w:tr>
        <w:tc>
          <w:tcPr>
            <w:tcW w:type="dxa" w:w="1440"/>
            <w:shd w:fill="C6EFCE" w:val="clear"/>
          </w:tcPr>
          <w:p>
            <w:r>
              <w:rPr>
                <w:sz w:val="17"/>
              </w:rPr>
              <w:t>J+4  ⭐</w:t>
            </w:r>
          </w:p>
        </w:tc>
        <w:tc>
          <w:tcPr>
            <w:tcW w:type="dxa" w:w="1440"/>
            <w:shd w:fill="C6EFCE" w:val="clear"/>
          </w:tcPr>
          <w:p>
            <w:r>
              <w:rPr>
                <w:sz w:val="17"/>
              </w:rPr>
              <w:t>2026-10-22</w:t>
            </w:r>
          </w:p>
        </w:tc>
        <w:tc>
          <w:tcPr>
            <w:tcW w:type="dxa" w:w="1440"/>
            <w:shd w:fill="C6EFCE" w:val="clear"/>
          </w:tcPr>
          <w:p>
            <w:r>
              <w:rPr>
                <w:sz w:val="17"/>
              </w:rPr>
              <w:t>21,646</w:t>
            </w:r>
          </w:p>
        </w:tc>
        <w:tc>
          <w:tcPr>
            <w:tcW w:type="dxa" w:w="1440"/>
            <w:shd w:fill="C6EFCE" w:val="clear"/>
          </w:tcPr>
          <w:p>
            <w:r>
              <w:rPr>
                <w:b/>
                <w:sz w:val="17"/>
              </w:rPr>
              <w:t>22,880</w:t>
            </w:r>
          </w:p>
        </w:tc>
        <w:tc>
          <w:tcPr>
            <w:tcW w:type="dxa" w:w="1440"/>
            <w:shd w:fill="C6EFCE" w:val="clear"/>
          </w:tcPr>
          <w:p>
            <w:r>
              <w:rPr>
                <w:sz w:val="17"/>
              </w:rPr>
              <w:t>24,113</w:t>
            </w:r>
          </w:p>
        </w:tc>
        <w:tc>
          <w:tcPr>
            <w:tcW w:type="dxa" w:w="1440"/>
            <w:shd w:fill="C6EFCE" w:val="clear"/>
          </w:tcPr>
          <w:p>
            <w:r>
              <w:rPr>
                <w:b/>
                <w:color w:val="008000"/>
                <w:sz w:val="17"/>
              </w:rPr>
              <w:t>+7.2%</w:t>
            </w:r>
          </w:p>
        </w:tc>
      </w:tr>
      <w:tr>
        <w:tc>
          <w:tcPr>
            <w:tcW w:type="dxa" w:w="1440"/>
            <w:shd w:fill="C6EFCE" w:val="clear"/>
          </w:tcPr>
          <w:p>
            <w:r>
              <w:rPr>
                <w:sz w:val="17"/>
              </w:rPr>
              <w:t>J+5  ⭐</w:t>
            </w:r>
          </w:p>
        </w:tc>
        <w:tc>
          <w:tcPr>
            <w:tcW w:type="dxa" w:w="1440"/>
            <w:shd w:fill="C6EFCE" w:val="clear"/>
          </w:tcPr>
          <w:p>
            <w:r>
              <w:rPr>
                <w:sz w:val="17"/>
              </w:rPr>
              <w:t>2026-10-23</w:t>
            </w:r>
          </w:p>
        </w:tc>
        <w:tc>
          <w:tcPr>
            <w:tcW w:type="dxa" w:w="1440"/>
            <w:shd w:fill="C6EFCE" w:val="clear"/>
          </w:tcPr>
          <w:p>
            <w:r>
              <w:rPr>
                <w:sz w:val="17"/>
              </w:rPr>
              <w:t>21,738</w:t>
            </w:r>
          </w:p>
        </w:tc>
        <w:tc>
          <w:tcPr>
            <w:tcW w:type="dxa" w:w="1440"/>
            <w:shd w:fill="C6EFCE" w:val="clear"/>
          </w:tcPr>
          <w:p>
            <w:r>
              <w:rPr>
                <w:b/>
                <w:sz w:val="17"/>
              </w:rPr>
              <w:t>23,133</w:t>
            </w:r>
          </w:p>
        </w:tc>
        <w:tc>
          <w:tcPr>
            <w:tcW w:type="dxa" w:w="1440"/>
            <w:shd w:fill="C6EFCE" w:val="clear"/>
          </w:tcPr>
          <w:p>
            <w:r>
              <w:rPr>
                <w:sz w:val="17"/>
              </w:rPr>
              <w:t>24,527</w:t>
            </w:r>
          </w:p>
        </w:tc>
        <w:tc>
          <w:tcPr>
            <w:tcW w:type="dxa" w:w="1440"/>
            <w:shd w:fill="C6EFCE" w:val="clear"/>
          </w:tcPr>
          <w:p>
            <w:r>
              <w:rPr>
                <w:b/>
                <w:color w:val="008000"/>
                <w:sz w:val="17"/>
              </w:rPr>
              <w:t>+8.4%</w:t>
            </w:r>
          </w:p>
        </w:tc>
      </w:tr>
      <w:tr>
        <w:tc>
          <w:tcPr>
            <w:tcW w:type="dxa" w:w="1440"/>
            <w:shd w:fill="C6EFCE" w:val="clear"/>
          </w:tcPr>
          <w:p>
            <w:r>
              <w:rPr>
                <w:sz w:val="17"/>
              </w:rPr>
              <w:t>J+6  ⭐</w:t>
            </w:r>
          </w:p>
        </w:tc>
        <w:tc>
          <w:tcPr>
            <w:tcW w:type="dxa" w:w="1440"/>
            <w:shd w:fill="C6EFCE" w:val="clear"/>
          </w:tcPr>
          <w:p>
            <w:r>
              <w:rPr>
                <w:sz w:val="17"/>
              </w:rPr>
              <w:t>2026-10-26</w:t>
            </w:r>
          </w:p>
        </w:tc>
        <w:tc>
          <w:tcPr>
            <w:tcW w:type="dxa" w:w="1440"/>
            <w:shd w:fill="C6EFCE" w:val="clear"/>
          </w:tcPr>
          <w:p>
            <w:r>
              <w:rPr>
                <w:sz w:val="17"/>
              </w:rPr>
              <w:t>21,844</w:t>
            </w:r>
          </w:p>
        </w:tc>
        <w:tc>
          <w:tcPr>
            <w:tcW w:type="dxa" w:w="1440"/>
            <w:shd w:fill="C6EFCE" w:val="clear"/>
          </w:tcPr>
          <w:p>
            <w:r>
              <w:rPr>
                <w:b/>
                <w:sz w:val="17"/>
              </w:rPr>
              <w:t>23,389</w:t>
            </w:r>
          </w:p>
        </w:tc>
        <w:tc>
          <w:tcPr>
            <w:tcW w:type="dxa" w:w="1440"/>
            <w:shd w:fill="C6EFCE" w:val="clear"/>
          </w:tcPr>
          <w:p>
            <w:r>
              <w:rPr>
                <w:sz w:val="17"/>
              </w:rPr>
              <w:t>24,933</w:t>
            </w:r>
          </w:p>
        </w:tc>
        <w:tc>
          <w:tcPr>
            <w:tcW w:type="dxa" w:w="1440"/>
            <w:shd w:fill="C6EFCE" w:val="clear"/>
          </w:tcPr>
          <w:p>
            <w:r>
              <w:rPr>
                <w:b/>
                <w:color w:val="008000"/>
                <w:sz w:val="17"/>
              </w:rPr>
              <w:t>+9.5%</w:t>
            </w:r>
          </w:p>
        </w:tc>
      </w:tr>
      <w:tr>
        <w:tc>
          <w:tcPr>
            <w:tcW w:type="dxa" w:w="1440"/>
            <w:shd w:fill="C6EFCE" w:val="clear"/>
          </w:tcPr>
          <w:p>
            <w:r>
              <w:rPr>
                <w:sz w:val="17"/>
              </w:rPr>
              <w:t>J+7  ⭐</w:t>
            </w:r>
          </w:p>
        </w:tc>
        <w:tc>
          <w:tcPr>
            <w:tcW w:type="dxa" w:w="1440"/>
            <w:shd w:fill="C6EFCE" w:val="clear"/>
          </w:tcPr>
          <w:p>
            <w:r>
              <w:rPr>
                <w:sz w:val="17"/>
              </w:rPr>
              <w:t>2026-10-27</w:t>
            </w:r>
          </w:p>
        </w:tc>
        <w:tc>
          <w:tcPr>
            <w:tcW w:type="dxa" w:w="1440"/>
            <w:shd w:fill="C6EFCE" w:val="clear"/>
          </w:tcPr>
          <w:p>
            <w:r>
              <w:rPr>
                <w:sz w:val="17"/>
              </w:rPr>
              <w:t>21,967</w:t>
            </w:r>
          </w:p>
        </w:tc>
        <w:tc>
          <w:tcPr>
            <w:tcW w:type="dxa" w:w="1440"/>
            <w:shd w:fill="C6EFCE" w:val="clear"/>
          </w:tcPr>
          <w:p>
            <w:r>
              <w:rPr>
                <w:b/>
                <w:sz w:val="17"/>
              </w:rPr>
              <w:t>23,654</w:t>
            </w:r>
          </w:p>
        </w:tc>
        <w:tc>
          <w:tcPr>
            <w:tcW w:type="dxa" w:w="1440"/>
            <w:shd w:fill="C6EFCE" w:val="clear"/>
          </w:tcPr>
          <w:p>
            <w:r>
              <w:rPr>
                <w:sz w:val="17"/>
              </w:rPr>
              <w:t>25,341</w:t>
            </w:r>
          </w:p>
        </w:tc>
        <w:tc>
          <w:tcPr>
            <w:tcW w:type="dxa" w:w="1440"/>
            <w:shd w:fill="C6EFCE" w:val="clear"/>
          </w:tcPr>
          <w:p>
            <w:r>
              <w:rPr>
                <w:b/>
                <w:color w:val="008000"/>
                <w:sz w:val="17"/>
              </w:rPr>
              <w:t>+10.8%</w:t>
            </w:r>
          </w:p>
        </w:tc>
      </w:tr>
      <w:tr>
        <w:tc>
          <w:tcPr>
            <w:tcW w:type="dxa" w:w="1440"/>
            <w:shd w:fill="C6EFCE" w:val="clear"/>
          </w:tcPr>
          <w:p>
            <w:r>
              <w:rPr>
                <w:sz w:val="17"/>
              </w:rPr>
              <w:t>J+8  ⭐</w:t>
            </w:r>
          </w:p>
        </w:tc>
        <w:tc>
          <w:tcPr>
            <w:tcW w:type="dxa" w:w="1440"/>
            <w:shd w:fill="C6EFCE" w:val="clear"/>
          </w:tcPr>
          <w:p>
            <w:r>
              <w:rPr>
                <w:sz w:val="17"/>
              </w:rPr>
              <w:t>2026-10-28</w:t>
            </w:r>
          </w:p>
        </w:tc>
        <w:tc>
          <w:tcPr>
            <w:tcW w:type="dxa" w:w="1440"/>
            <w:shd w:fill="C6EFCE" w:val="clear"/>
          </w:tcPr>
          <w:p>
            <w:r>
              <w:rPr>
                <w:sz w:val="17"/>
              </w:rPr>
              <w:t>22,102</w:t>
            </w:r>
          </w:p>
        </w:tc>
        <w:tc>
          <w:tcPr>
            <w:tcW w:type="dxa" w:w="1440"/>
            <w:shd w:fill="C6EFCE" w:val="clear"/>
          </w:tcPr>
          <w:p>
            <w:r>
              <w:rPr>
                <w:b/>
                <w:sz w:val="17"/>
              </w:rPr>
              <w:t>23,926</w:t>
            </w:r>
          </w:p>
        </w:tc>
        <w:tc>
          <w:tcPr>
            <w:tcW w:type="dxa" w:w="1440"/>
            <w:shd w:fill="C6EFCE" w:val="clear"/>
          </w:tcPr>
          <w:p>
            <w:r>
              <w:rPr>
                <w:sz w:val="17"/>
              </w:rPr>
              <w:t>25,751</w:t>
            </w:r>
          </w:p>
        </w:tc>
        <w:tc>
          <w:tcPr>
            <w:tcW w:type="dxa" w:w="1440"/>
            <w:shd w:fill="C6EFCE" w:val="clear"/>
          </w:tcPr>
          <w:p>
            <w:r>
              <w:rPr>
                <w:b/>
                <w:color w:val="008000"/>
                <w:sz w:val="17"/>
              </w:rPr>
              <w:t>+12.1%</w:t>
            </w:r>
          </w:p>
        </w:tc>
      </w:tr>
      <w:tr>
        <w:tc>
          <w:tcPr>
            <w:tcW w:type="dxa" w:w="1440"/>
            <w:shd w:fill="C6EFCE" w:val="clear"/>
          </w:tcPr>
          <w:p>
            <w:r>
              <w:rPr>
                <w:sz w:val="17"/>
              </w:rPr>
              <w:t>J+9  ⭐</w:t>
            </w:r>
          </w:p>
        </w:tc>
        <w:tc>
          <w:tcPr>
            <w:tcW w:type="dxa" w:w="1440"/>
            <w:shd w:fill="C6EFCE" w:val="clear"/>
          </w:tcPr>
          <w:p>
            <w:r>
              <w:rPr>
                <w:sz w:val="17"/>
              </w:rPr>
              <w:t>2026-10-29</w:t>
            </w:r>
          </w:p>
        </w:tc>
        <w:tc>
          <w:tcPr>
            <w:tcW w:type="dxa" w:w="1440"/>
            <w:shd w:fill="C6EFCE" w:val="clear"/>
          </w:tcPr>
          <w:p>
            <w:r>
              <w:rPr>
                <w:sz w:val="17"/>
              </w:rPr>
              <w:t>22,273</w:t>
            </w:r>
          </w:p>
        </w:tc>
        <w:tc>
          <w:tcPr>
            <w:tcW w:type="dxa" w:w="1440"/>
            <w:shd w:fill="C6EFCE" w:val="clear"/>
          </w:tcPr>
          <w:p>
            <w:r>
              <w:rPr>
                <w:b/>
                <w:sz w:val="17"/>
              </w:rPr>
              <w:t>24,232</w:t>
            </w:r>
          </w:p>
        </w:tc>
        <w:tc>
          <w:tcPr>
            <w:tcW w:type="dxa" w:w="1440"/>
            <w:shd w:fill="C6EFCE" w:val="clear"/>
          </w:tcPr>
          <w:p>
            <w:r>
              <w:rPr>
                <w:sz w:val="17"/>
              </w:rPr>
              <w:t>26,192</w:t>
            </w:r>
          </w:p>
        </w:tc>
        <w:tc>
          <w:tcPr>
            <w:tcW w:type="dxa" w:w="1440"/>
            <w:shd w:fill="C6EFCE" w:val="clear"/>
          </w:tcPr>
          <w:p>
            <w:r>
              <w:rPr>
                <w:b/>
                <w:color w:val="008000"/>
                <w:sz w:val="17"/>
              </w:rPr>
              <w:t>+13.5%</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22,416</w:t>
            </w:r>
          </w:p>
        </w:tc>
        <w:tc>
          <w:tcPr>
            <w:tcW w:type="dxa" w:w="1440"/>
            <w:shd w:fill="C6EFCE" w:val="clear"/>
          </w:tcPr>
          <w:p>
            <w:r>
              <w:rPr>
                <w:b/>
                <w:sz w:val="17"/>
              </w:rPr>
              <w:t>24,505</w:t>
            </w:r>
          </w:p>
        </w:tc>
        <w:tc>
          <w:tcPr>
            <w:tcW w:type="dxa" w:w="1440"/>
            <w:shd w:fill="C6EFCE" w:val="clear"/>
          </w:tcPr>
          <w:p>
            <w:r>
              <w:rPr>
                <w:sz w:val="17"/>
              </w:rPr>
              <w:t>26,594</w:t>
            </w:r>
          </w:p>
        </w:tc>
        <w:tc>
          <w:tcPr>
            <w:tcW w:type="dxa" w:w="1440"/>
            <w:shd w:fill="C6EFCE" w:val="clear"/>
          </w:tcPr>
          <w:p>
            <w:r>
              <w:rPr>
                <w:b/>
                <w:color w:val="008000"/>
                <w:sz w:val="17"/>
              </w:rPr>
              <w:t>+14.8%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 RAPPORT D'ANALYSE FINANCIÈRE — STBC (SITAB S.A.)</w:t>
        <w:br/>
        <w:t>**Bourse Régionale des Valeurs Mobilières (BRVM) — Secteur : Entreprise (Tabac/Distribution)**</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STBC s'établit à **383,34 milliards FCFA**, un niveau qui place la société parmi les valeurs les plus importantes de la cote BRVM, reflétant sa position de leader sur le marché ouest-africain du tabac. Le BPA de **2 014 FCFA/action** traduit la capacité bénéficiaire de chaque titre, même si ce chiffre est en recul par rapport à l'exercice 2024. Le PER de **10,6x** se situe dans la fourchette moyenne du marché BRVM (8-12x), suggérant une valorisation raisonnable et non spéculative au regard des bénéfices générés. En revanche, le P/B de **8,46x** — très supérieur au seuil de 4x — indique que le marché valorise le titre à une forte prime par rapport à sa valeur comptable, ce qui est cohérent avec la rentabilité exceptionnelle des fonds propres (ROE de 79,75%) mais constitue un facteur de vigilance en cas de normalisation des marges. Enfin, l'EV/EBITDA de **7,6x** (fourchette 5-10x) confirme une valorisation équilibrée de la valeur d'entreprise rapportée à la capacité opérationnelle, cohérente avec le PER et suggérant que le marché intègre déjà la solidité opérationnelle de la société.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STBC affiche une variation totale quasi nulle de **+0,28%**, avec une dernière séance en hausse de **+0,71%** à **21 350 FCFA**, traduisant une phase de consolidation latérale plutôt qu'une tendance directionnelle claire. Le range de trading s'étend de **20 895 FCFA** (plus bas) à **25 000 FCFA** (plus haut), soit une amplitude d'environ 19,6%, signe d'une volatilité intra-période notable malgré la stabilité finale. La moyenne de **22 573 FCFA** est supérieure à la médiane de **22 218 FCFA**, et le mode se situe à **22 000 FCFA** : cet écart confirme une distribution légèrement asymétrique, cohérente avec le skewness positif de **0,594** qui indique davantage de journées de cotation sous la moyenne (queue de distribution vers les hauts). L'écart-type de **1 109 FCFA** avec un coefficient de variation de **4,9%** révèle une dispersion modérée du cours autour de sa moyenne, tandis que le kurtosis de **-0,698** (mésokurtique) suggère une distribution proche de la normale, sans risque excessif de pics extrêmes. La volatilité annualisée de **36,7%** positionne le titre dans la catégorie des valeurs à volatilité **élevée** (&gt;30%), ce qui est cohérent avec la sensibilité du secteur tabac aux annonces fiscales et réglementaires.</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**21 533 FCFA** et la MM50 à **22 200,6 FCFA**, toutes deux supérieures au cours actuel de 21 350 FCFA. Cette configuration baissière (cours sous ses moyennes, MM20 sous MM50) traduit une pression vendeuse persistante et justifie la décision technique de **Vente**.</w:t>
      </w:r>
    </w:p>
    <w:p>
      <w:pPr>
        <w:spacing w:after="120" w:line="276" w:lineRule="auto"/>
      </w:pPr>
      <w:r>
        <w:t>**Bandes de Bollinger :** Le cours (21 350 FCFA) évolue dans la partie basse de la bande, entre la borne inférieure de **20 901,9 FCFA** et la borne supérieure de **22 164,1 FCFA**. La proximité de la borne basse suggère un potentiel de rebond technique, mais l'absence de franchissement significatif maintient la décision **Neutre**.</w:t>
      </w:r>
    </w:p>
    <w:p>
      <w:pPr>
        <w:spacing w:after="120" w:line="276" w:lineRule="auto"/>
      </w:pPr>
      <w:r>
        <w:t>**MACD :** La valeur du MACD (**-230,25**) est légèrement inférieure à son signal (**-228,47**), avec un histogramme négatif. Cette configuration en territoire négatif confirme un momentum baissier toujours actif, justifiant la décision de **Vente**.</w:t>
      </w:r>
    </w:p>
    <w:p>
      <w:pPr>
        <w:spacing w:after="120" w:line="276" w:lineRule="auto"/>
      </w:pPr>
      <w:r>
        <w:t>**RSI :** À **48,47**, le RSI se situe en zone neutre (30-70), sans signal de surachat ni de survente. Cette position médiane traduit un équilibre entre acheteurs et vendeurs et justifie la décision **Neutre**.</w:t>
      </w:r>
    </w:p>
    <w:p>
      <w:pPr>
        <w:spacing w:after="120" w:line="276" w:lineRule="auto"/>
      </w:pPr>
      <w:r>
        <w:t>**Stochastique :** Le %K (**25,15**) est supérieur au %D (**10,78**), avec un croisement haussier en zone de survente (&lt;20 pour le %D). Ce signal précoce de retournement potentiel contraste avec les autres indicateurs et justifie la décision **Neutre**.</w:t>
      </w:r>
    </w:p>
    <w:p>
      <w:pPr>
        <w:spacing w:after="120" w:line="276" w:lineRule="auto"/>
      </w:pPr>
      <w:r>
        <w:t>**Conclusion technique :** Les indicateurs techniques présentent une configuration majoritairement baissière (cours sous les MM, MACD négatif) mais avec des signaux de stabilisation voire de rebond précoce (RSI neutre, stochastique en survente avec croisement haussier, cours proche de la borne basse de Bollinger). Cette divergence suggère une phase de transition : la pression vendeuse s'essouffle sans pour autant confirmer un retournement haussier. La prudence reste de mise tant que le cours n'aura pas reconquis la MM20 (21 533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SITAB a réalisé un chiffre d'affaires de **268,537 milliards FCFA**, en croissance de **+25,3%** par rapport à 2024, portée par une progression des volumes de 5,6% et un effet prix favorable. Le résultat net s'établit à **36,158 milliards FCFA**, en baisse de **-17,5%** par rapport aux 44,2 milliards de 2024, sous l'effet de la hausse des droits d'accise (de 49% à 70%) et d'un contrôle fiscal. La marge nette recule à **13,46%** (contre 20,4% en 2024) et la marge commerciale chute de 29,8% à 22,7%. Malgré cette dégradation, les ratios de rentabilité restent exceptionnels : **ROE de 79,75%** et **ROA de 48,09%**, bien au-dessus des seuils de référence (&gt;15% pour le ROE). La structure financière est remarquablement saine avec une **autonomie financière de 60,3%**, une **dépendance financière de 0,003%** (quasi-absence de dettes financières) et une **trésorerie nette de 30,763 milliards FCFA**. Le BFR de **5,639 milliards FCFA** reste maîtrisé, avec un délai client de **42,57 jours** (modéré) et une durée de stockage de **5,73 jours** (très faible, adapté à une activité de distribution). La rotation des actifs de **357,17%** témoigne d'une efficacité opérationnelle élevée.</w:t>
      </w:r>
    </w:p>
    <w:p>
      <w:pPr>
        <w:spacing w:after="120" w:line="276" w:lineRule="auto"/>
      </w:pPr>
      <w:r>
        <w:t>**Estimations basées sur les rapports trimestriels :** Le rapport du **T1 2026** (publié en 2026) indique un CA de **68,8 milliards FCFA** (+12%) et des volumes en hausse de **+10%**, marquant un redressement commercial après la contraction de 2025, mais un résultat net de **9,3 milliards FCFA** (-1%) sous la pression des charges. Le rapport du **T2 2026** confirme cette stabilisation avec un CA de **70,05 milliards FCFA** (+1%) et un résultat net de **8,64 milliards FCFA** (-0,2%), soit une marge nette de 12,3%. Sur cette base, on peut estimer que l'exercice 2026 devrait afficher un CA annuel de l'ordre de **280-285 milliards FCFA** et un résultat net de **36-38 milliards FCFA**, soit une stabilisation de la rentabilité après la correction de 2025. Le dividende proposé de **1 940 FCFA/action** (rendement d'environ 9,1% au cours actuel) reste attractif, bien qu'en baisse par rapport aux 2 375 FCFA de 2024, avec un taux de distribution de 84,9% qui demeure généreux mais soutenable.</w:t>
      </w:r>
    </w:p>
    <w:p>
      <w:pPr>
        <w:spacing w:after="120" w:line="276" w:lineRule="auto"/>
      </w:pPr>
      <w:r>
        <w:t>**Recommandation fondamentale :** La solidité bilantielle (zéro dette, trésorerie abondante), la croissance du CA et la rentabilité toujours élevée plaident pour une valeur de rendement de qualité. Cependant, la dégradation des marges, la pression fiscale persistante et la politique de dividende très généreuse (105% du bénéfice net en 2025 selon certains rapports) constituent des signaux d'alerte. La recommandation fondamentale est de **CONSERVER**, en attendant la confirmation d'une maîtrise des coûts sur l'exercice 2026.</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de l'analyse conduit à une recommandation de **CONSERVER**, avec un niveau de confiance **Moyen** et un risque global **Moyen**. Sur le plan de la **valorisation (Partie 0)**, le PER de 10,6x et l'EV/EBITDA de 7,6x indiquent une valorisation raisonnable, mais le P/B de 8,46x traduit une prime exigeante qui limite le potentiel de revalorisation à court terme. Le **comportement du cours (Partie 1)** révèle une tendance latérale (+0,28% sur 100 jours) avec une volatilité élevée (36,7%) et une distribution asymétrique (skewness positif), ce qui n'est pas défavorable mais n'offre pas de signal directionnel fort. Les **signaux techniques (Partie 2)** sont majoritairement baissiers (cours sous MM20/MM50, MACD négatif) mais présentent des prémices de rebond (stochastique en survente, RSI neutre), suggérant une phase de transition. Les **fondamentaux (Partie 3)** restent solides — CA en croissance de 25,3%, ROE de 79,75%, trésorerie de 30,8 milliards FCFA, zéro dette — mais la dégradation des marges (marge nette de 13,46% contre 20,4% en 2024) et la pression fiscale constituent des vents contraires. Les **prédictions IA (J+1 à J+10)** anticipent une trajectoire haussière de 21 996 FCFA à 23 133 FCFA (+8,3% sur 5 séances), ce qui **contredit** les signaux techniques baissiers à court terme mais **confirme** la thèse d'un rebond technique depuis la borne basse de Bollinger. Cette divergence entre prédiction haussière et technique baissière invite à la prudence : le potentiel de rebond existe, mais il nécessite une confirmation par le franchissement de la MM20 (21 533 FCFA). L'horizon d'investissement optimal est le **moyen terme (3-12 mois)**, le temps que la société démontre sa capacité à stabiliser ses marges et que le cours reconquière ses moyennes mobiles. Une position **ACHAT** ne serait justifiée qu'en cas de confirmation du rebond technique et d'amélioration des marges au T3 2026.</w:t>
      </w:r>
    </w:p>
    <w:p>
      <w:pPr>
        <w:spacing w:after="120" w:line="276" w:lineRule="auto"/>
      </w:pPr>
      <w:r>
        <w:t>---</w:t>
      </w:r>
    </w:p>
    <w:p>
      <w:pPr>
        <w:spacing w:after="120" w:line="276" w:lineRule="auto"/>
      </w:pPr>
      <w:r>
        <w:t>*Rapport généré le 19 octobre 2026 — Sources : BRVM (données de marché, états financiers 2025, rapports trimestriels T1/T2 2026, avis d'AG du 15 juillet 2026). Les prédictions IA sont fournies à titre indicatif et ne constituent pas une garantie de performance future.*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45.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195.18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6,863 titres</w:t>
            </w:r>
          </w:p>
        </w:tc>
        <w:tc>
          <w:tcPr>
            <w:tcW w:type="dxa" w:w="2268"/>
            <w:shd w:fill="FFF2CC" w:val="clear"/>
          </w:tcPr>
          <w:p>
            <w:r>
              <w:rPr>
                <w:b/>
                <w:color w:val="503200"/>
                <w:sz w:val="16"/>
              </w:rPr>
              <w:t xml:space="preserve">Cours actuel : </w:t>
            </w:r>
            <w:r>
              <w:rPr>
                <w:color w:val="000000"/>
                <w:sz w:val="17"/>
              </w:rPr>
              <w:t>3,100 FCFA</w:t>
            </w:r>
          </w:p>
          <w:p>
            <w:r>
              <w:rPr>
                <w:b/>
                <w:color w:val="503200"/>
                <w:sz w:val="16"/>
              </w:rPr>
              <w:t xml:space="preserve">Var. 100 jours : </w:t>
            </w:r>
            <w:r>
              <w:rPr>
                <w:b/>
                <w:color w:val="007800"/>
                <w:sz w:val="17"/>
              </w:rPr>
              <w:t>+8.01%</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2,770 FCFA</w:t>
            </w:r>
          </w:p>
          <w:p>
            <w:r>
              <w:rPr>
                <w:b/>
                <w:color w:val="503200"/>
                <w:sz w:val="16"/>
              </w:rPr>
              <w:t xml:space="preserve">Volatilité ann. : </w:t>
            </w:r>
            <w:r>
              <w:rPr>
                <w:color w:val="000000"/>
                <w:sz w:val="17"/>
              </w:rPr>
              <w:t>43.9%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6.24% (Moyenne) — μ=3,033 FCFA, σ=189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β=0.1562 (Défensif) — Cov=0.000012, Var(idx)=0.000077, ρ=0.050,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σ_j=2.76%/j (Stable) — Vol. annualisée≈43.9%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2,940</w:t>
            </w:r>
          </w:p>
        </w:tc>
        <w:tc>
          <w:tcPr>
            <w:tcW w:type="dxa" w:w="1440"/>
            <w:shd w:fill="FAFAFA" w:val="clear"/>
          </w:tcPr>
          <w:p>
            <w:r>
              <w:rPr>
                <w:b/>
                <w:sz w:val="17"/>
              </w:rPr>
              <w:t>3,080</w:t>
            </w:r>
          </w:p>
        </w:tc>
        <w:tc>
          <w:tcPr>
            <w:tcW w:type="dxa" w:w="1440"/>
            <w:shd w:fill="FAFAFA" w:val="clear"/>
          </w:tcPr>
          <w:p>
            <w:r>
              <w:rPr>
                <w:sz w:val="17"/>
              </w:rPr>
              <w:t>3,219</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2,879</w:t>
            </w:r>
          </w:p>
        </w:tc>
        <w:tc>
          <w:tcPr>
            <w:tcW w:type="dxa" w:w="1440"/>
            <w:shd w:fill="FAFAFA" w:val="clear"/>
          </w:tcPr>
          <w:p>
            <w:r>
              <w:rPr>
                <w:b/>
                <w:sz w:val="17"/>
              </w:rPr>
              <w:t>3,076</w:t>
            </w:r>
          </w:p>
        </w:tc>
        <w:tc>
          <w:tcPr>
            <w:tcW w:type="dxa" w:w="1440"/>
            <w:shd w:fill="FAFAFA" w:val="clear"/>
          </w:tcPr>
          <w:p>
            <w:r>
              <w:rPr>
                <w:sz w:val="17"/>
              </w:rPr>
              <w:t>3,273</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2,825</w:t>
            </w:r>
          </w:p>
        </w:tc>
        <w:tc>
          <w:tcPr>
            <w:tcW w:type="dxa" w:w="1440"/>
            <w:shd w:fill="FAFAFA" w:val="clear"/>
          </w:tcPr>
          <w:p>
            <w:r>
              <w:rPr>
                <w:b/>
                <w:sz w:val="17"/>
              </w:rPr>
              <w:t>3,066</w:t>
            </w:r>
          </w:p>
        </w:tc>
        <w:tc>
          <w:tcPr>
            <w:tcW w:type="dxa" w:w="1440"/>
            <w:shd w:fill="FAFAFA" w:val="clear"/>
          </w:tcPr>
          <w:p>
            <w:r>
              <w:rPr>
                <w:sz w:val="17"/>
              </w:rPr>
              <w:t>3,307</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2,780</w:t>
            </w:r>
          </w:p>
        </w:tc>
        <w:tc>
          <w:tcPr>
            <w:tcW w:type="dxa" w:w="1440"/>
            <w:shd w:fill="FAFAFA" w:val="clear"/>
          </w:tcPr>
          <w:p>
            <w:r>
              <w:rPr>
                <w:b/>
                <w:sz w:val="17"/>
              </w:rPr>
              <w:t>3,058</w:t>
            </w:r>
          </w:p>
        </w:tc>
        <w:tc>
          <w:tcPr>
            <w:tcW w:type="dxa" w:w="1440"/>
            <w:shd w:fill="FAFAFA" w:val="clear"/>
          </w:tcPr>
          <w:p>
            <w:r>
              <w:rPr>
                <w:sz w:val="17"/>
              </w:rPr>
              <w:t>3,335</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2,741</w:t>
            </w:r>
          </w:p>
        </w:tc>
        <w:tc>
          <w:tcPr>
            <w:tcW w:type="dxa" w:w="1440"/>
            <w:shd w:fill="FAFAFA" w:val="clear"/>
          </w:tcPr>
          <w:p>
            <w:r>
              <w:rPr>
                <w:b/>
                <w:sz w:val="17"/>
              </w:rPr>
              <w:t>3,050</w:t>
            </w:r>
          </w:p>
        </w:tc>
        <w:tc>
          <w:tcPr>
            <w:tcW w:type="dxa" w:w="1440"/>
            <w:shd w:fill="FAFAFA" w:val="clear"/>
          </w:tcPr>
          <w:p>
            <w:r>
              <w:rPr>
                <w:sz w:val="17"/>
              </w:rPr>
              <w:t>3,360</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2,705</w:t>
            </w:r>
          </w:p>
        </w:tc>
        <w:tc>
          <w:tcPr>
            <w:tcW w:type="dxa" w:w="1440"/>
            <w:shd w:fill="FAFAFA" w:val="clear"/>
          </w:tcPr>
          <w:p>
            <w:r>
              <w:rPr>
                <w:b/>
                <w:sz w:val="17"/>
              </w:rPr>
              <w:t>3,043</w:t>
            </w:r>
          </w:p>
        </w:tc>
        <w:tc>
          <w:tcPr>
            <w:tcW w:type="dxa" w:w="1440"/>
            <w:shd w:fill="FAFAFA" w:val="clear"/>
          </w:tcPr>
          <w:p>
            <w:r>
              <w:rPr>
                <w:sz w:val="17"/>
              </w:rPr>
              <w:t>3,381</w:t>
            </w:r>
          </w:p>
        </w:tc>
        <w:tc>
          <w:tcPr>
            <w:tcW w:type="dxa" w:w="1440"/>
            <w:shd w:fill="FAFAFA" w:val="clear"/>
          </w:tcPr>
          <w:p>
            <w:r>
              <w:rPr>
                <w:b/>
                <w:color w:val="C00000"/>
                <w:sz w:val="17"/>
              </w:rPr>
              <w:t>-1.8%</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2,672</w:t>
            </w:r>
          </w:p>
        </w:tc>
        <w:tc>
          <w:tcPr>
            <w:tcW w:type="dxa" w:w="1440"/>
            <w:shd w:fill="FFDCE0" w:val="clear"/>
          </w:tcPr>
          <w:p>
            <w:r>
              <w:rPr>
                <w:b/>
                <w:sz w:val="17"/>
              </w:rPr>
              <w:t>3,037</w:t>
            </w:r>
          </w:p>
        </w:tc>
        <w:tc>
          <w:tcPr>
            <w:tcW w:type="dxa" w:w="1440"/>
            <w:shd w:fill="FFDCE0" w:val="clear"/>
          </w:tcPr>
          <w:p>
            <w:r>
              <w:rPr>
                <w:sz w:val="17"/>
              </w:rPr>
              <w:t>3,401</w:t>
            </w:r>
          </w:p>
        </w:tc>
        <w:tc>
          <w:tcPr>
            <w:tcW w:type="dxa" w:w="1440"/>
            <w:shd w:fill="FFDCE0"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2,642</w:t>
            </w:r>
          </w:p>
        </w:tc>
        <w:tc>
          <w:tcPr>
            <w:tcW w:type="dxa" w:w="1440"/>
            <w:shd w:fill="FFDCE0" w:val="clear"/>
          </w:tcPr>
          <w:p>
            <w:r>
              <w:rPr>
                <w:b/>
                <w:sz w:val="17"/>
              </w:rPr>
              <w:t>3,030</w:t>
            </w:r>
          </w:p>
        </w:tc>
        <w:tc>
          <w:tcPr>
            <w:tcW w:type="dxa" w:w="1440"/>
            <w:shd w:fill="FFDCE0" w:val="clear"/>
          </w:tcPr>
          <w:p>
            <w:r>
              <w:rPr>
                <w:sz w:val="17"/>
              </w:rPr>
              <w:t>3,419</w:t>
            </w:r>
          </w:p>
        </w:tc>
        <w:tc>
          <w:tcPr>
            <w:tcW w:type="dxa" w:w="1440"/>
            <w:shd w:fill="FFDCE0" w:val="clear"/>
          </w:tcPr>
          <w:p>
            <w:r>
              <w:rPr>
                <w:b/>
                <w:color w:val="C00000"/>
                <w:sz w:val="17"/>
              </w:rPr>
              <w:t>-2.3%</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2,613</w:t>
            </w:r>
          </w:p>
        </w:tc>
        <w:tc>
          <w:tcPr>
            <w:tcW w:type="dxa" w:w="1440"/>
            <w:shd w:fill="FFDCE0" w:val="clear"/>
          </w:tcPr>
          <w:p>
            <w:r>
              <w:rPr>
                <w:b/>
                <w:sz w:val="17"/>
              </w:rPr>
              <w:t>3,024</w:t>
            </w:r>
          </w:p>
        </w:tc>
        <w:tc>
          <w:tcPr>
            <w:tcW w:type="dxa" w:w="1440"/>
            <w:shd w:fill="FFDCE0" w:val="clear"/>
          </w:tcPr>
          <w:p>
            <w:r>
              <w:rPr>
                <w:sz w:val="17"/>
              </w:rPr>
              <w:t>3,435</w:t>
            </w:r>
          </w:p>
        </w:tc>
        <w:tc>
          <w:tcPr>
            <w:tcW w:type="dxa" w:w="1440"/>
            <w:shd w:fill="FFDCE0" w:val="clear"/>
          </w:tcPr>
          <w:p>
            <w:r>
              <w:rPr>
                <w:b/>
                <w:color w:val="C00000"/>
                <w:sz w:val="17"/>
              </w:rPr>
              <w:t>-2.5%</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2,585</w:t>
            </w:r>
          </w:p>
        </w:tc>
        <w:tc>
          <w:tcPr>
            <w:tcW w:type="dxa" w:w="1440"/>
            <w:shd w:fill="FFDCE0" w:val="clear"/>
          </w:tcPr>
          <w:p>
            <w:r>
              <w:rPr>
                <w:b/>
                <w:sz w:val="17"/>
              </w:rPr>
              <w:t>3,018</w:t>
            </w:r>
          </w:p>
        </w:tc>
        <w:tc>
          <w:tcPr>
            <w:tcW w:type="dxa" w:w="1440"/>
            <w:shd w:fill="FFDCE0" w:val="clear"/>
          </w:tcPr>
          <w:p>
            <w:r>
              <w:rPr>
                <w:sz w:val="17"/>
              </w:rPr>
              <w:t>3,451</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 RAPPORT D'ANALYSE FINANCIÈRE — TTLC (TotalEnergies Marketing Côte d'Ivoire)</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**195,18 milliards FCFA**, TTLC s'affirme comme une valeur de premier plan de la cote BRVM, représentant un pilier du compartiment énergétique régional. Le **BPA de 144 FCFA/action** traduit la profitabilité unitaire du titre, mais le **PER de 21,5x** place la société nettement au-dessus de la moyenne BRVM (8-12x), signalant que les investisseurs paient une prime significative pour la croissance attendue ou la solidité du leader. Le **P/B de 5,39x**, très supérieur au seuil de 4x, confirme cette valorisation exigeante avec une forte prime sur la valeur comptable, tandis que l'**EV/EBITDA de 11,2x** (fourchette 10-15x) traduit une valorisation élevée de la capacité opérationnelle. L'ensemble de ces ratios dessine un titre **cher sur les fondamentaux actuels**, dont la justification repose sur la qualité du leadership sectoriel et les perspectives de croissance, mais qui laisse peu de marge de sécurité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TTLC affiche une **variation totale de +8,01%**, portée par une dernière séance vigoureuse de **+3,33%** qui ramène le cours à **3 100 FCFA**. Le range de trading s'étend de **2 770 FCFA** (plus bas) à **3 595 FCFA** (plus haut), soit une amplitude de près de 30% qui témoigne d'une réelle dynamique haussière entrecoupée de corrections. La tendance générale demeure **haussière**, le cours actuel se situant au-dessus de la moyenne (3 033 FCFA) et de la médiane (2 990 FCFA). Les statistiques descriptives révèlent une **distribution légèrement asymétrique à droite** (skewness de 0,793), signifiant que les journées sous la moyenne sont plus fréquentes mais compensées par des pics haussiers marqués — un profil typique de consolidation avec accélérations. L'**écart-type de 190 FCFA (CV=6,3%)** indique une dispersion modérée autour de la moyenne, tandis que le **kurtosis de -0,381** (mésokurtique) suggère une distribution proche de la normale, sans risque excessif de pics extrêmes. La **volatilité annualisée de 43,9%** classe le titre dans la catégorie **élevée (&gt;30%)**, reflet de la sensibilité sectorielle aux prix pétroliers et à la liquidité du marché BRVM.</w:t>
      </w:r>
    </w:p>
    <w:p>
      <w:pPr>
        <w:spacing w:after="120" w:line="276" w:lineRule="auto"/>
      </w:pPr>
      <w:r>
        <w:t>---</w:t>
      </w:r>
    </w:p>
    <w:p>
      <w:pPr>
        <w:spacing w:after="120" w:line="276" w:lineRule="auto"/>
      </w:pPr>
      <w:r>
        <w:t>## PARTIE 2 : ANALYSE TECHNIQUE DÉTAILLÉE</w:t>
      </w:r>
    </w:p>
    <w:p>
      <w:pPr>
        <w:spacing w:after="120" w:line="276" w:lineRule="auto"/>
      </w:pPr>
      <w:r>
        <w:t>**Moyennes Mobiles** : La MM20 (3 064,25 FCFA) et la MM50 (3 173,3 FCFA) encadrent le cours actuel de 3 100 FCFA, qui se situe au-dessus de la MM20 mais sous la MM50. Cette configuration traduit une reprise de court terme dans une tendance de moyen terme encore baissière, justifiant la **décision de Vente** du système (cours sous la MM50, croisement MM20 &lt; MM50).</w:t>
      </w:r>
    </w:p>
    <w:p>
      <w:pPr>
        <w:spacing w:after="120" w:line="276" w:lineRule="auto"/>
      </w:pPr>
      <w:r>
        <w:t>**Bandes de Bollinger** : Le cours (3 100 FCFA) évolue dans la partie médiane de la bande, entre la borne inférieure (2 886,39 FCFA) et supérieure (3 242,11 FCFA). L'absence d'extension vers les extrêmes traduit une volatilité contenue et une phase de consolidation, d'où la **décision Neutre** — ni signal d'achat sur rebond, ni signal de vente sur surchauffe.</w:t>
      </w:r>
    </w:p>
    <w:p>
      <w:pPr>
        <w:spacing w:after="120" w:line="276" w:lineRule="auto"/>
      </w:pPr>
      <w:r>
        <w:t>**MACD** : La valeur du MACD (-35,011) est supérieure à son signal (-42,029), configuration haussière avec un histogramme positif. Le momentum se redresse depuis la zone négative, suggérant un retournement progressif, ce qui justifie la **décision d'Achat** malgré un positionnement encore sous la ligne zéro.</w:t>
      </w:r>
    </w:p>
    <w:p>
      <w:pPr>
        <w:spacing w:after="120" w:line="276" w:lineRule="auto"/>
      </w:pPr>
      <w:r>
        <w:t>**RSI** : À **52,174**, l'indicateur se situe en zone parfaitement neutre (30-70), ni suracheté ni survendu. Cette position médiane confirme l'absence de pression directionnelle forte et justifie la **décision Neutre**, en cohérence avec la phase de consolidation observée.</w:t>
      </w:r>
    </w:p>
    <w:p>
      <w:pPr>
        <w:spacing w:after="120" w:line="276" w:lineRule="auto"/>
      </w:pPr>
      <w:r>
        <w:t>**Stochastique** : Le %K (68,657) est supérieur au %D (58,706), avec un croisement haussier en zone haute mais non extrême (&lt;80). Le momentum de court terme est positif sans être en surachat, justifiant la **décision Neutre** par prudence sur le potentiel de hausse résiduel.</w:t>
      </w:r>
    </w:p>
    <w:p>
      <w:pPr>
        <w:spacing w:after="120" w:line="276" w:lineRule="auto"/>
      </w:pPr>
      <w:r>
        <w:t>**Conclusion technique** : Les indicateurs présentent une **configuration mixte à dominante neutre**, avec un signal d'achat isolé du MACD contredit par la décision de vente des moyennes mobiles et la neutralité du RSI, du stochastique et des Bollinger. Le titre se trouve dans une **phase de transition** entre consolidation et reprise, nécessitant une confirmation par cassure de la MM50 (3 173 FCFA) pour valider un retournement haussier durable. La prudence technique recommande d'attendre un signal plus net avant engagement.</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officiels de TTLC (rapport annuel au 31/12/2025) affichent un **chiffre d'affaires de 588,709 milliards FCFA**, en repli de **-5,2%** sur un an, dans un contexte de contraction des volumes hors réseau. Le **résultat net s'établit à 9,087 milliards FCFA** (-3%), avec une **marge nette de 1,54%** en légère amélioration, tandis que la **valeur ajoutée progresse de +7% à 29,553 milliards** et l'**EBE de +12% à 22,347 milliards** — signe d'une meilleure maîtrise des coûts d'approvisionnement. La rentabilité des fonds propres reste excellente avec un **ROE de 25,10%** (&gt;15% = excellent), bien que le **ROA de 4,82%** traduise la faible intensité capitalistique du modèle de distribution. En tant qu'entreprise de distribution pétrolière, TTLC présente un **BFR négatif de -9,662 milliards FCFA** (favorable, financement par les fournisseurs), un **délai fournisseurs de 49,72 jours** (bon pour la trésorerie) et une **durée de stockage de 13,80 jours** (rotation rapide). Cependant, la **trésorerie nette est négative à -21,926 milliards FCFA** et l'**autonomie financière de 19,21%** (&lt;30% = insuffisant) révèle une dépendance aux crédits court terme, avec un **ratio d'endettement de 90,23%** préoccupant. La **capacité de remboursement de 1,71 an** reste acceptable. Les rapports trimestriels confirment la dynamique : le **T1 2026 (rapport 2026)** affiche un CA de **154,392 milliards FCFA (+4,3%)** et un résultat net de **2,329 milliards (+5,5%)**, tandis que le **S1 2025** avait montré un recul de -7,1% du CA et -25,5% du résultat net, et le **T3 2025** une baisse de -5,7% du CA et -30,2% du résultat net. **On estime donc que l'exercice 2026 devrait renouer avec la croissance** (+4-5% de CA), portée par l'expansion du réseau (182 stations) et la diversification GPL/lubrifiants, mais la soutenabilité du dividende (payout &gt;100%, 10 milliards FCFA distribués) et la trésorerie négative constituent des **risques à surveiller**. La recommandation fondamentale est **CONSERVER** : leader solide et rentable, mais valorisation exigeante et structure financière à surveiller.</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**déséquilibre entre valorisation exigeante et signaux mitigés**. La **valorisation (Partie 0)** affiche des multiples premium (PER 21,5x vs 8-12x BRVM, P/B 5,39x, EV/EBITDA 11,2x) qui intègrent déjà une large part des perspectives de croissance, limitant le potentiel d'appréciation. Le **comportement du cours (Partie 1)** est haussier (+8,01%) mais avec une volatilité élevée (43,9%) et une asymétrie positive (skewness 0,793) qui traduit des pics haussiers compensant des journées baissières fréquentes — profil favorable mais risqué. Les **signaux techniques (Partie 2)** sont **divergents** : MACD acheteur isolé contre moyennes mobiles vendeuses, RSI/Bollinger/stochastique neutres, plaidant pour une phase d'attente. Les **fondamentaux (Partie 3)** demeurent solides (ROE 25,10%, EBE +12%, leader sectoriel, T1 2026 en croissance +4,3%) mais entachés par une trésorerie nette négative (-21,9 Mds) et un payout &gt;100%. Les **prédictions IA (J+1 à J+10)** anticipent une **légère érosion** de 3 080 à 3 050 FCFA (-1%), confirmant la phase de consolidation technique sans effondrement. Face à cette **convergence partielle** (fondamentaux solides mais valorisation tendue, technique neutre, prédiction baissière modérée), la recommandation finale est **CONSERVER**, avec un **niveau de confiance Moyen** et un **risque global Élevé** (volatilité 43,9%, endettement 90%, valorisation premium). L'**horizon optimal est le moyen terme (3-12 mois)**, le temps que la croissance du T1 2026 se confirme sur l'exercice complet et que la structure de trésorerie s'améliore ; un renforcement ne serait justifié qu'en cas de correction vers 2 850-2 900 FCFA (zone de support/mode) offrant un meilleur point d'entrée.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46.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118.91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3,442 titres</w:t>
            </w:r>
          </w:p>
        </w:tc>
        <w:tc>
          <w:tcPr>
            <w:tcW w:type="dxa" w:w="2268"/>
            <w:shd w:fill="FFF2CC" w:val="clear"/>
          </w:tcPr>
          <w:p>
            <w:r>
              <w:rPr>
                <w:b/>
                <w:color w:val="503200"/>
                <w:sz w:val="16"/>
              </w:rPr>
              <w:t xml:space="preserve">Cours actuel : </w:t>
            </w:r>
            <w:r>
              <w:rPr>
                <w:color w:val="000000"/>
                <w:sz w:val="17"/>
              </w:rPr>
              <w:t>3,650 FCFA</w:t>
            </w:r>
          </w:p>
          <w:p>
            <w:r>
              <w:rPr>
                <w:b/>
                <w:color w:val="503200"/>
                <w:sz w:val="16"/>
              </w:rPr>
              <w:t xml:space="preserve">Var. 100 jours : </w:t>
            </w:r>
            <w:r>
              <w:rPr>
                <w:b/>
                <w:color w:val="007800"/>
                <w:sz w:val="17"/>
              </w:rPr>
              <w:t>+14.06%</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3,200 FCFA</w:t>
            </w:r>
          </w:p>
          <w:p>
            <w:r>
              <w:rPr>
                <w:b/>
                <w:color w:val="503200"/>
                <w:sz w:val="16"/>
              </w:rPr>
              <w:t xml:space="preserve">Volatilité ann. : </w:t>
            </w:r>
            <w:r>
              <w:rPr>
                <w:color w:val="000000"/>
                <w:sz w:val="17"/>
              </w:rPr>
              <w:t>42.3%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6.73% (Moyenne) — μ=3,724 FCFA, σ=251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β=0.3701 (Défensif) — Cov=0.000028, Var(idx)=0.000077, ρ=0.120,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3,442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σ_j=2.67%/j (Stable) — Vol. annualisée≈42.3%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3,518</w:t>
            </w:r>
          </w:p>
        </w:tc>
        <w:tc>
          <w:tcPr>
            <w:tcW w:type="dxa" w:w="1440"/>
            <w:shd w:fill="FAFAFA" w:val="clear"/>
          </w:tcPr>
          <w:p>
            <w:r>
              <w:rPr>
                <w:b/>
                <w:sz w:val="17"/>
              </w:rPr>
              <w:t>3,647</w:t>
            </w:r>
          </w:p>
        </w:tc>
        <w:tc>
          <w:tcPr>
            <w:tcW w:type="dxa" w:w="1440"/>
            <w:shd w:fill="FAFAFA" w:val="clear"/>
          </w:tcPr>
          <w:p>
            <w:r>
              <w:rPr>
                <w:sz w:val="17"/>
              </w:rPr>
              <w:t>3,775</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3,455</w:t>
            </w:r>
          </w:p>
        </w:tc>
        <w:tc>
          <w:tcPr>
            <w:tcW w:type="dxa" w:w="1440"/>
            <w:shd w:fill="FAFAFA" w:val="clear"/>
          </w:tcPr>
          <w:p>
            <w:r>
              <w:rPr>
                <w:b/>
                <w:sz w:val="17"/>
              </w:rPr>
              <w:t>3,636</w:t>
            </w:r>
          </w:p>
        </w:tc>
        <w:tc>
          <w:tcPr>
            <w:tcW w:type="dxa" w:w="1440"/>
            <w:shd w:fill="FAFAFA" w:val="clear"/>
          </w:tcPr>
          <w:p>
            <w:r>
              <w:rPr>
                <w:sz w:val="17"/>
              </w:rPr>
              <w:t>3,818</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3,407</w:t>
            </w:r>
          </w:p>
        </w:tc>
        <w:tc>
          <w:tcPr>
            <w:tcW w:type="dxa" w:w="1440"/>
            <w:shd w:fill="FAFAFA" w:val="clear"/>
          </w:tcPr>
          <w:p>
            <w:r>
              <w:rPr>
                <w:b/>
                <w:sz w:val="17"/>
              </w:rPr>
              <w:t>3,628</w:t>
            </w:r>
          </w:p>
        </w:tc>
        <w:tc>
          <w:tcPr>
            <w:tcW w:type="dxa" w:w="1440"/>
            <w:shd w:fill="FAFAFA" w:val="clear"/>
          </w:tcPr>
          <w:p>
            <w:r>
              <w:rPr>
                <w:sz w:val="17"/>
              </w:rPr>
              <w:t>3,850</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3,366</w:t>
            </w:r>
          </w:p>
        </w:tc>
        <w:tc>
          <w:tcPr>
            <w:tcW w:type="dxa" w:w="1440"/>
            <w:shd w:fill="FAFAFA" w:val="clear"/>
          </w:tcPr>
          <w:p>
            <w:r>
              <w:rPr>
                <w:b/>
                <w:sz w:val="17"/>
              </w:rPr>
              <w:t>3,621</w:t>
            </w:r>
          </w:p>
        </w:tc>
        <w:tc>
          <w:tcPr>
            <w:tcW w:type="dxa" w:w="1440"/>
            <w:shd w:fill="FAFAFA" w:val="clear"/>
          </w:tcPr>
          <w:p>
            <w:r>
              <w:rPr>
                <w:sz w:val="17"/>
              </w:rPr>
              <w:t>3,876</w:t>
            </w:r>
          </w:p>
        </w:tc>
        <w:tc>
          <w:tcPr>
            <w:tcW w:type="dxa" w:w="1440"/>
            <w:shd w:fill="FAFAFA" w:val="clear"/>
          </w:tcPr>
          <w:p>
            <w:r>
              <w:rPr>
                <w:b/>
                <w:color w:val="C00000"/>
                <w:sz w:val="17"/>
              </w:rPr>
              <w:t>-0.8%</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3,329</w:t>
            </w:r>
          </w:p>
        </w:tc>
        <w:tc>
          <w:tcPr>
            <w:tcW w:type="dxa" w:w="1440"/>
            <w:shd w:fill="FAFAFA" w:val="clear"/>
          </w:tcPr>
          <w:p>
            <w:r>
              <w:rPr>
                <w:b/>
                <w:sz w:val="17"/>
              </w:rPr>
              <w:t>3,614</w:t>
            </w:r>
          </w:p>
        </w:tc>
        <w:tc>
          <w:tcPr>
            <w:tcW w:type="dxa" w:w="1440"/>
            <w:shd w:fill="FAFAFA" w:val="clear"/>
          </w:tcPr>
          <w:p>
            <w:r>
              <w:rPr>
                <w:sz w:val="17"/>
              </w:rPr>
              <w:t>3,899</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3,296</w:t>
            </w:r>
          </w:p>
        </w:tc>
        <w:tc>
          <w:tcPr>
            <w:tcW w:type="dxa" w:w="1440"/>
            <w:shd w:fill="FAFAFA" w:val="clear"/>
          </w:tcPr>
          <w:p>
            <w:r>
              <w:rPr>
                <w:b/>
                <w:sz w:val="17"/>
              </w:rPr>
              <w:t>3,607</w:t>
            </w:r>
          </w:p>
        </w:tc>
        <w:tc>
          <w:tcPr>
            <w:tcW w:type="dxa" w:w="1440"/>
            <w:shd w:fill="FAFAFA" w:val="clear"/>
          </w:tcPr>
          <w:p>
            <w:r>
              <w:rPr>
                <w:sz w:val="17"/>
              </w:rPr>
              <w:t>3,919</w:t>
            </w:r>
          </w:p>
        </w:tc>
        <w:tc>
          <w:tcPr>
            <w:tcW w:type="dxa" w:w="1440"/>
            <w:shd w:fill="FAFAFA" w:val="clear"/>
          </w:tcPr>
          <w:p>
            <w:r>
              <w:rPr>
                <w:b/>
                <w:color w:val="C00000"/>
                <w:sz w:val="17"/>
              </w:rPr>
              <w:t>-1.2%</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3,265</w:t>
            </w:r>
          </w:p>
        </w:tc>
        <w:tc>
          <w:tcPr>
            <w:tcW w:type="dxa" w:w="1440"/>
            <w:shd w:fill="FAFAFA" w:val="clear"/>
          </w:tcPr>
          <w:p>
            <w:r>
              <w:rPr>
                <w:b/>
                <w:sz w:val="17"/>
              </w:rPr>
              <w:t>3,601</w:t>
            </w:r>
          </w:p>
        </w:tc>
        <w:tc>
          <w:tcPr>
            <w:tcW w:type="dxa" w:w="1440"/>
            <w:shd w:fill="FAFAFA" w:val="clear"/>
          </w:tcPr>
          <w:p>
            <w:r>
              <w:rPr>
                <w:sz w:val="17"/>
              </w:rPr>
              <w:t>3,937</w:t>
            </w:r>
          </w:p>
        </w:tc>
        <w:tc>
          <w:tcPr>
            <w:tcW w:type="dxa" w:w="1440"/>
            <w:shd w:fill="FAFAFA" w:val="clear"/>
          </w:tcPr>
          <w:p>
            <w:r>
              <w:rPr>
                <w:b/>
                <w:color w:val="C00000"/>
                <w:sz w:val="17"/>
              </w:rPr>
              <w:t>-1.3%</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3,237</w:t>
            </w:r>
          </w:p>
        </w:tc>
        <w:tc>
          <w:tcPr>
            <w:tcW w:type="dxa" w:w="1440"/>
            <w:shd w:fill="FAFAFA" w:val="clear"/>
          </w:tcPr>
          <w:p>
            <w:r>
              <w:rPr>
                <w:b/>
                <w:sz w:val="17"/>
              </w:rPr>
              <w:t>3,595</w:t>
            </w:r>
          </w:p>
        </w:tc>
        <w:tc>
          <w:tcPr>
            <w:tcW w:type="dxa" w:w="1440"/>
            <w:shd w:fill="FAFAFA" w:val="clear"/>
          </w:tcPr>
          <w:p>
            <w:r>
              <w:rPr>
                <w:sz w:val="17"/>
              </w:rPr>
              <w:t>3,953</w:t>
            </w:r>
          </w:p>
        </w:tc>
        <w:tc>
          <w:tcPr>
            <w:tcW w:type="dxa" w:w="1440"/>
            <w:shd w:fill="FAFAFA" w:val="clear"/>
          </w:tcPr>
          <w:p>
            <w:r>
              <w:rPr>
                <w:b/>
                <w:color w:val="C00000"/>
                <w:sz w:val="17"/>
              </w:rPr>
              <w:t>-1.5%</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3,210</w:t>
            </w:r>
          </w:p>
        </w:tc>
        <w:tc>
          <w:tcPr>
            <w:tcW w:type="dxa" w:w="1440"/>
            <w:shd w:fill="FAFAFA" w:val="clear"/>
          </w:tcPr>
          <w:p>
            <w:r>
              <w:rPr>
                <w:b/>
                <w:sz w:val="17"/>
              </w:rPr>
              <w:t>3,589</w:t>
            </w:r>
          </w:p>
        </w:tc>
        <w:tc>
          <w:tcPr>
            <w:tcW w:type="dxa" w:w="1440"/>
            <w:shd w:fill="FAFAFA" w:val="clear"/>
          </w:tcPr>
          <w:p>
            <w:r>
              <w:rPr>
                <w:sz w:val="17"/>
              </w:rPr>
              <w:t>3,968</w:t>
            </w:r>
          </w:p>
        </w:tc>
        <w:tc>
          <w:tcPr>
            <w:tcW w:type="dxa" w:w="1440"/>
            <w:shd w:fill="FAFAFA" w:val="clear"/>
          </w:tcPr>
          <w:p>
            <w:r>
              <w:rPr>
                <w:b/>
                <w:color w:val="C00000"/>
                <w:sz w:val="17"/>
              </w:rPr>
              <w:t>-1.7%</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3,184</w:t>
            </w:r>
          </w:p>
        </w:tc>
        <w:tc>
          <w:tcPr>
            <w:tcW w:type="dxa" w:w="1440"/>
            <w:shd w:fill="FAFAFA" w:val="clear"/>
          </w:tcPr>
          <w:p>
            <w:r>
              <w:rPr>
                <w:b/>
                <w:sz w:val="17"/>
              </w:rPr>
              <w:t>3,583</w:t>
            </w:r>
          </w:p>
        </w:tc>
        <w:tc>
          <w:tcPr>
            <w:tcW w:type="dxa" w:w="1440"/>
            <w:shd w:fill="FAFAFA" w:val="clear"/>
          </w:tcPr>
          <w:p>
            <w:r>
              <w:rPr>
                <w:sz w:val="17"/>
              </w:rPr>
              <w:t>3,983</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 📊 RAPPORT D'ANALYSE FINANCIÈRE — TTLS (TotalEnergies Marketing Sénégal)</w:t>
        <w:br/>
        <w:t>### BRVM | Secteur : Distribution Pétrolière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**118,91 Mds FCFA**, TTLS figure parmi les valeurs moyennes-capitalisations les plus liquides de la BRVM, ce qui lui confère une place de choix dans les portefeuilles institutionnels régionaux. Le **BPA de 208 FCFA/action** traduit un bénéfice unitaire modeste, typique d'une activité de distribution à faible marge. Le **PER de 17,5x** se situe nettement au-dessus de la moyenne BRVM (~8-12x), signalant que le marché paie une prime pour la qualité du leader et la stabilité de l'actionnariat (TotalEnergies à 69,1%), mais cette prime reste modérée au regard des standards internationaux du secteur. Le **P/B de 4,21x** — supérieur à 4x — traduit une valorisation exigeante par rapport à la valeur comptable, cohérente avec un ROE élevé (24%) qui justifie en partie cette prime. Enfin, l'**EV/EBITDA de 7,4x** demeure dans la fourchette raisonnable (5-10x), indiquant que la valeur d'entreprise reste proportionnée à la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TTLS affiche une **variation totale de +14,06%**, portant le cours à **3 650 FCFA**, malgré un repli de **-1,35% sur la dernière séance** qui marque une légère prise de bénéfices. Le range de trading s'étend de **3 200 FCFA (plus bas)** à **4 500 FCFA (plus haut)**, soit une amplitude de 40,6% qui témoigne d'une réelle dynamique haussière entrecoupée de corrections. La tendance générale reste donc **haussière sur la période**, mais le cours actuel se situe dans le bas de la fourchette récente, suggérant une phase de consolidation. Les statistiques descriptives révèlent une **moyenne de 3 724 FCFA** légèrement supérieure à la **médiane de 3 700 FCFA**, avec un **mode à 3 800 FCFA** : cet écart confirme une distribution asymétrique, cohérente avec le **skewness positif de 0,682** qui indique davantage de journées de cours sous la moyenne (queue de distribution étirée vers le bas). L'**écart-type de 252 FCFA (CV=6,8%)** traduit une dispersion modérée du cours autour de sa tendance, tandis que le **kurtosis de 0,591 (mésokurtique)** suggère un comportement proche d'une distribution normale, sans risque excessif de pics extrêmes. La **volatilité annualisée de 42,3%** classe le titre dans la catégorie **élevée (&gt;30%)**, ce qui est notable pour une valeur défensive et impose une gestion prudente du risque de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(3 706 FCFA) et la MM50 (3 750,8 FCFA) se situent toutes deux **au-dessus du cours actuel (3 650 FCFA)**, configuration baissière de court terme. La MM20 étant sous la MM50, on observe un croisement défavorable confirmant la pression vendeuse récente ; la décision technique est logiquement **Vente**.</w:t>
      </w:r>
    </w:p>
    <w:p>
      <w:pPr>
        <w:spacing w:after="120" w:line="276" w:lineRule="auto"/>
      </w:pPr>
      <w:r>
        <w:t>**Bandes de Bollinger** : Le cours (3 650 FCFA) évolue dans la moitié inférieure de la bande, entre la borne inférieure (3 499,97 FCFA) et la borne supérieure (3 912,03 FCFA), sans test des extrêmes. Cette position centrale-basse traduit une volatilité contenue et une absence de signal directionnel fort ; la décision est **Neutre**, le titre cherchant un point d'équilibre.</w:t>
      </w:r>
    </w:p>
    <w:p>
      <w:pPr>
        <w:spacing w:after="120" w:line="276" w:lineRule="auto"/>
      </w:pPr>
      <w:r>
        <w:t>**MACD** : La valeur du MACD (-40,331) est **supérieure à son signal (-42,284)**, configuration haussière malgré des valeurs négatives. Le momentum se redresse progressivement depuis la zone de survente, et le croisement positif du MACD au-dessus de sa ligne de signal justifie la décision **Achat**, signal précurseur d'un retournement possible.</w:t>
      </w:r>
    </w:p>
    <w:p>
      <w:pPr>
        <w:spacing w:after="120" w:line="276" w:lineRule="auto"/>
      </w:pPr>
      <w:r>
        <w:t>**RSI** : À **42,328**, le RSI se situe en zone neutre (30-70), sans surachat ni survente. Cette valeur légèrement sous la barre des 50 indique une dynamique encore fragile mais sans excès baissier, justifiant la décision **Neutre** ; le titre conserve un potentiel de rebond sans être techniquement survendu.</w:t>
      </w:r>
    </w:p>
    <w:p>
      <w:pPr>
        <w:spacing w:after="120" w:line="276" w:lineRule="auto"/>
      </w:pPr>
      <w:r>
        <w:t>**Stochastique** : Le %K (25,0) est nettement inférieur au %D (44,167), signalant une pression baissière de court terme, mais le %K en zone de survente (&lt;20-25) approche un seuil de rebond potentiel. La décision reste **Neutre** car le croisement baissier n'est pas encore invalidé, mais la configuration appelle à la vigilance pour un retournement.</w:t>
      </w:r>
    </w:p>
    <w:p>
      <w:pPr>
        <w:spacing w:after="120" w:line="276" w:lineRule="auto"/>
      </w:pPr>
      <w:r>
        <w:t>**Conclusion technique** : Les indicateurs présentent un tableau **mitigé à légèrement baissier** : les moyennes mobiles confirment une pression vendeuse de court terme, tandis que le MACD en redressement et le RSI neutre suggèrent une possible stabilisation. Le stochastique en zone de survente et les Bandes de Bollinger sans excès indiquent que le potentiel de baisse est limité. La convergence partielle (MACD acheteur vs MM vendeuses) plaide pour une **phase de consolidation latérale** avant une reprise directionnelle, avec un support clé à surveiller vers 3 500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TTLS a réalisé un **chiffre d'affaires de 455,209 Mds FCFA**, en **recul de 6,13%** par rapport à 2024, conséquence assumée de l'arrêt stratégique de la commercialisation du fuel lourd (39,5 Mds FCFA de CA en 2024). Le **résultat net s'établit à 6,779 Mds FCFA**, avec une **marge nette de 1,49%** — structurellement faible mais conforme au secteur de distribution de commodités. La rentabilité des fonds propres est excellente avec un **ROE de 24,0%** (bien supérieur au seuil de 15%), tandis que le **ROA de 3,95%** reflète l'intensité capitalistique de l'activité. La structure financière présente des points de vigilance : l'**autonomie financière de 16,44%** est inférieure au seuil sain de 30%, et le **ratio d'endettement de 52,16%** reste maîtrisé grâce à une **capacité de remboursement de 0,94 an** (dette financière/CAF) très confortable. Le **BFR est négatif à -36,899 Mds FCFA** — un atout majeur — porté par un **délai fournisseurs de 97,76 jours** nettement supérieur au **délai clients de 47,43 jours**, générant une trésorerie nette positive de 13,941 Mds FCFA. Le **Free Cash Flow de 17,483 Mds FCFA** et la **couverture des intérêts à 485,9%** confirment la solidité opérationnelle.</w:t>
      </w:r>
    </w:p>
    <w:p>
      <w:pPr>
        <w:spacing w:after="120" w:line="276" w:lineRule="auto"/>
      </w:pPr>
      <w:r>
        <w:t>**Estimations issues des rapports trimestriels** : Le rapport du **T1 2026 (daté du 31/03/2026)** révèle un CA de 99,9 Mds FCFA (-10% en glissement annuel, effet de la révision réglementaire des prix à la pompe en décembre 2025), mais un **résultat d'exploitation en hausse de 28% à 2,623 Mds FCFA** et un **résultat net en progression de 5% à 1,585 Mds FCFA** (marge nette améliorée à 1,59%). Sur cette base, **on estime que l'exercice 2026 devrait confirmer la résilience opérationnelle** avec une marge nette stabilisée autour de 1,5-1,6%, malgré un CA annuel projeté en baisse de 8-10%. Les rapports 2025 (T1, S1, T3) confirment la tendance : sacrifice volontaire des volumes au profit de la qualité des revenus (marges lubrifiants, GPL, réseau). La **recommandation fondamentale est CONSERVER** : leader incontesté (140 stations, part de marché ~21%), soutien actionnarial fort (69,1%), génération de cash robuste, mais rentabilité structurellement faible et dépendance aux décisions réglementaires de l'État sénégalais sur les prix.</w:t>
      </w:r>
    </w:p>
    <w:p>
      <w:pPr>
        <w:spacing w:after="120" w:line="276" w:lineRule="auto"/>
      </w:pPr>
      <w:r>
        <w:t>---</w:t>
      </w:r>
    </w:p>
    <w:p>
      <w:pPr>
        <w:spacing w:after="120" w:line="276" w:lineRule="auto"/>
      </w:pPr>
      <w:r>
        <w:t>## PARTIE 4 : CONCLUSION D'INVESTISSEMENT</w:t>
      </w:r>
    </w:p>
    <w:p>
      <w:pPr>
        <w:spacing w:after="120" w:line="276" w:lineRule="auto"/>
      </w:pPr>
      <w:r>
        <w:t>La **valorisation** (Partie 0) présente un profil contrasté : PER de 17,5x supérieur à la moyenne BRVM et P/B de 4,21x exigeant traduisent une prime de qualité, tempérée par un EV/EBITDA raisonnable de 7,4x — le titre n'est ni sous-évalué ni excessivement surévalué. Le **comportement du cours** (Partie 1) affiche une tendance haussière de fond (+14,06%) mais une consolidation récente, avec une volatilité élevée (42,3%) et un skewness positif signalant une asymétrie défavorable aux détenteurs ; le kurtosis normal écarte le risque de pics extrêmes. Les **signaux techniques** (Partie 2) sont divergents : MM vendeuses vs MACD acheteur, RSI et stochastique neutres — configuration de consolidation sans signal directionnel fort. Les **fondamentaux** (Partie 3) demeurent solides : ROE de 24%, BFR négatif, FCF de 17,5 Mds FCFA, et résilience confirmée par le T1 2026 (+28% de résultat d'exploitation), malgré un CA en repli structurel. Les **prédictions IA (J+1 à J+10)** anticipent une trajectoire baissière graduelle de 3 647 à 3 614 FCFA (-0,9% sur 5 séances), cohérente avec la pression technique de court terme mais contredisant le redressement du MACD. **Synthèse** : la convergence partielle entre valorisation correcte, fondamentaux solides et technique en consolidation, tempérée par des prédictions baissières de court terme, plaide pour une **recommandation CONSERVER**. Le niveau de **confiance est Moyen** (divergence technique/prédiction), le **risque global est Moyen** (volatilité élevée mais fondamentaux défensifs), et l'**horizon optimal est le moyen terme (3-12 mois)**, le temps que la consolidation s'achève et que les résultats semestriels 2026 confirment la résilience des marges. Un passage à l'ACHAT serait justifié sous 3 500 FCFA (support de Bollinger) avec confirmation du retournement du MACD.</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47.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413.25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45,000 FCFA</w:t>
            </w:r>
          </w:p>
          <w:p>
            <w:r>
              <w:rPr>
                <w:b/>
                <w:color w:val="503200"/>
                <w:sz w:val="16"/>
              </w:rPr>
              <w:t xml:space="preserve">Var. 100 jours : </w:t>
            </w:r>
            <w:r>
              <w:rPr>
                <w:b/>
                <w:color w:val="B40000"/>
                <w:sz w:val="17"/>
              </w:rPr>
              <w:t>-22.41%</w:t>
            </w:r>
          </w:p>
          <w:p>
            <w:r>
              <w:rPr>
                <w:b/>
                <w:color w:val="503200"/>
                <w:sz w:val="16"/>
              </w:rPr>
              <w:t xml:space="preserve">Plus haut 100j : </w:t>
            </w:r>
            <w:r>
              <w:rPr>
                <w:color w:val="000000"/>
                <w:sz w:val="17"/>
              </w:rPr>
              <w:t>59,900 FCFA</w:t>
            </w:r>
          </w:p>
          <w:p>
            <w:r>
              <w:rPr>
                <w:b/>
                <w:color w:val="503200"/>
                <w:sz w:val="16"/>
              </w:rPr>
              <w:t xml:space="preserve">Plus bas 100j : </w:t>
            </w:r>
            <w:r>
              <w:rPr>
                <w:color w:val="000000"/>
                <w:sz w:val="17"/>
              </w:rPr>
              <w:t>44,410 FCFA</w:t>
            </w:r>
          </w:p>
          <w:p>
            <w:r>
              <w:rPr>
                <w:b/>
                <w:color w:val="503200"/>
                <w:sz w:val="16"/>
              </w:rPr>
              <w:t xml:space="preserve">Volatilité ann. : </w:t>
            </w:r>
            <w:r>
              <w:rPr>
                <w:color w:val="000000"/>
                <w:sz w:val="17"/>
              </w:rPr>
              <w:t>56.1%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6.56% (Moyenne) — μ=53,541 FCFA, σ=3,512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β=0.7066 (Défensif) — Cov=0.000055, Var(idx)=0.000077, ρ=0.174,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σ_j=3.54%/j (Modérée) — Vol. annualisée≈56.1%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03190"/>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42,209</w:t>
            </w:r>
          </w:p>
        </w:tc>
        <w:tc>
          <w:tcPr>
            <w:tcW w:type="dxa" w:w="1440"/>
            <w:shd w:fill="FAFAFA" w:val="clear"/>
          </w:tcPr>
          <w:p>
            <w:r>
              <w:rPr>
                <w:b/>
                <w:sz w:val="17"/>
              </w:rPr>
              <w:t>45,008</w:t>
            </w:r>
          </w:p>
        </w:tc>
        <w:tc>
          <w:tcPr>
            <w:tcW w:type="dxa" w:w="1440"/>
            <w:shd w:fill="FAFAFA" w:val="clear"/>
          </w:tcPr>
          <w:p>
            <w:r>
              <w:rPr>
                <w:sz w:val="17"/>
              </w:rPr>
              <w:t>47,808</w:t>
            </w:r>
          </w:p>
        </w:tc>
        <w:tc>
          <w:tcPr>
            <w:tcW w:type="dxa" w:w="1440"/>
            <w:shd w:fill="FAFAFA" w:val="clear"/>
          </w:tcPr>
          <w:p>
            <w:r>
              <w:rPr>
                <w:b/>
                <w:color w:val="008000"/>
                <w:sz w:val="17"/>
              </w:rPr>
              <w:t>+0.0%</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40,965</w:t>
            </w:r>
          </w:p>
        </w:tc>
        <w:tc>
          <w:tcPr>
            <w:tcW w:type="dxa" w:w="1440"/>
            <w:shd w:fill="FAFAFA" w:val="clear"/>
          </w:tcPr>
          <w:p>
            <w:r>
              <w:rPr>
                <w:b/>
                <w:sz w:val="17"/>
              </w:rPr>
              <w:t>44,916</w:t>
            </w:r>
          </w:p>
        </w:tc>
        <w:tc>
          <w:tcPr>
            <w:tcW w:type="dxa" w:w="1440"/>
            <w:shd w:fill="FAFAFA" w:val="clear"/>
          </w:tcPr>
          <w:p>
            <w:r>
              <w:rPr>
                <w:sz w:val="17"/>
              </w:rPr>
              <w:t>48,866</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40,070</w:t>
            </w:r>
          </w:p>
        </w:tc>
        <w:tc>
          <w:tcPr>
            <w:tcW w:type="dxa" w:w="1440"/>
            <w:shd w:fill="FAFAFA" w:val="clear"/>
          </w:tcPr>
          <w:p>
            <w:r>
              <w:rPr>
                <w:b/>
                <w:sz w:val="17"/>
              </w:rPr>
              <w:t>44,908</w:t>
            </w:r>
          </w:p>
        </w:tc>
        <w:tc>
          <w:tcPr>
            <w:tcW w:type="dxa" w:w="1440"/>
            <w:shd w:fill="FAFAFA" w:val="clear"/>
          </w:tcPr>
          <w:p>
            <w:r>
              <w:rPr>
                <w:sz w:val="17"/>
              </w:rPr>
              <w:t>49,746</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39,342</w:t>
            </w:r>
          </w:p>
        </w:tc>
        <w:tc>
          <w:tcPr>
            <w:tcW w:type="dxa" w:w="1440"/>
            <w:shd w:fill="FAFAFA" w:val="clear"/>
          </w:tcPr>
          <w:p>
            <w:r>
              <w:rPr>
                <w:b/>
                <w:sz w:val="17"/>
              </w:rPr>
              <w:t>44,931</w:t>
            </w:r>
          </w:p>
        </w:tc>
        <w:tc>
          <w:tcPr>
            <w:tcW w:type="dxa" w:w="1440"/>
            <w:shd w:fill="FAFAFA" w:val="clear"/>
          </w:tcPr>
          <w:p>
            <w:r>
              <w:rPr>
                <w:sz w:val="17"/>
              </w:rPr>
              <w:t>50,520</w:t>
            </w:r>
          </w:p>
        </w:tc>
        <w:tc>
          <w:tcPr>
            <w:tcW w:type="dxa" w:w="1440"/>
            <w:shd w:fill="FAFAFA" w:val="clear"/>
          </w:tcPr>
          <w:p>
            <w:r>
              <w:rPr>
                <w:b/>
                <w:color w:val="C00000"/>
                <w:sz w:val="17"/>
              </w:rPr>
              <w:t>-0.2%</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38,714</w:t>
            </w:r>
          </w:p>
        </w:tc>
        <w:tc>
          <w:tcPr>
            <w:tcW w:type="dxa" w:w="1440"/>
            <w:shd w:fill="FAFAFA" w:val="clear"/>
          </w:tcPr>
          <w:p>
            <w:r>
              <w:rPr>
                <w:b/>
                <w:sz w:val="17"/>
              </w:rPr>
              <w:t>44,968</w:t>
            </w:r>
          </w:p>
        </w:tc>
        <w:tc>
          <w:tcPr>
            <w:tcW w:type="dxa" w:w="1440"/>
            <w:shd w:fill="FAFAFA" w:val="clear"/>
          </w:tcPr>
          <w:p>
            <w:r>
              <w:rPr>
                <w:sz w:val="17"/>
              </w:rPr>
              <w:t>51,221</w:t>
            </w:r>
          </w:p>
        </w:tc>
        <w:tc>
          <w:tcPr>
            <w:tcW w:type="dxa" w:w="1440"/>
            <w:shd w:fill="FAFAFA" w:val="clear"/>
          </w:tcPr>
          <w:p>
            <w:r>
              <w:rPr>
                <w:b/>
                <w:color w:val="C00000"/>
                <w:sz w:val="17"/>
              </w:rPr>
              <w:t>-0.1%</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38,155</w:t>
            </w:r>
          </w:p>
        </w:tc>
        <w:tc>
          <w:tcPr>
            <w:tcW w:type="dxa" w:w="1440"/>
            <w:shd w:fill="FAFAFA" w:val="clear"/>
          </w:tcPr>
          <w:p>
            <w:r>
              <w:rPr>
                <w:b/>
                <w:sz w:val="17"/>
              </w:rPr>
              <w:t>45,012</w:t>
            </w:r>
          </w:p>
        </w:tc>
        <w:tc>
          <w:tcPr>
            <w:tcW w:type="dxa" w:w="1440"/>
            <w:shd w:fill="FAFAFA" w:val="clear"/>
          </w:tcPr>
          <w:p>
            <w:r>
              <w:rPr>
                <w:sz w:val="17"/>
              </w:rPr>
              <w:t>51,869</w:t>
            </w:r>
          </w:p>
        </w:tc>
        <w:tc>
          <w:tcPr>
            <w:tcW w:type="dxa" w:w="1440"/>
            <w:shd w:fill="FAFAFA" w:val="clear"/>
          </w:tcPr>
          <w:p>
            <w:r>
              <w:rPr>
                <w:b/>
                <w:color w:val="008000"/>
                <w:sz w:val="17"/>
              </w:rPr>
              <w:t>+0.0%</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37,646</w:t>
            </w:r>
          </w:p>
        </w:tc>
        <w:tc>
          <w:tcPr>
            <w:tcW w:type="dxa" w:w="1440"/>
            <w:shd w:fill="FAFAFA" w:val="clear"/>
          </w:tcPr>
          <w:p>
            <w:r>
              <w:rPr>
                <w:b/>
                <w:sz w:val="17"/>
              </w:rPr>
              <w:t>45,061</w:t>
            </w:r>
          </w:p>
        </w:tc>
        <w:tc>
          <w:tcPr>
            <w:tcW w:type="dxa" w:w="1440"/>
            <w:shd w:fill="FAFAFA" w:val="clear"/>
          </w:tcPr>
          <w:p>
            <w:r>
              <w:rPr>
                <w:sz w:val="17"/>
              </w:rPr>
              <w:t>52,476</w:t>
            </w:r>
          </w:p>
        </w:tc>
        <w:tc>
          <w:tcPr>
            <w:tcW w:type="dxa" w:w="1440"/>
            <w:shd w:fill="FAFAFA" w:val="clear"/>
          </w:tcPr>
          <w:p>
            <w:r>
              <w:rPr>
                <w:b/>
                <w:color w:val="008000"/>
                <w:sz w:val="17"/>
              </w:rPr>
              <w:t>+0.1%</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37,176</w:t>
            </w:r>
          </w:p>
        </w:tc>
        <w:tc>
          <w:tcPr>
            <w:tcW w:type="dxa" w:w="1440"/>
            <w:shd w:fill="FAFAFA" w:val="clear"/>
          </w:tcPr>
          <w:p>
            <w:r>
              <w:rPr>
                <w:b/>
                <w:sz w:val="17"/>
              </w:rPr>
              <w:t>45,112</w:t>
            </w:r>
          </w:p>
        </w:tc>
        <w:tc>
          <w:tcPr>
            <w:tcW w:type="dxa" w:w="1440"/>
            <w:shd w:fill="FAFAFA" w:val="clear"/>
          </w:tcPr>
          <w:p>
            <w:r>
              <w:rPr>
                <w:sz w:val="17"/>
              </w:rPr>
              <w:t>53,048</w:t>
            </w:r>
          </w:p>
        </w:tc>
        <w:tc>
          <w:tcPr>
            <w:tcW w:type="dxa" w:w="1440"/>
            <w:shd w:fill="FAFAFA" w:val="clear"/>
          </w:tcPr>
          <w:p>
            <w:r>
              <w:rPr>
                <w:b/>
                <w:color w:val="008000"/>
                <w:sz w:val="17"/>
              </w:rPr>
              <w:t>+0.2%</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36,737</w:t>
            </w:r>
          </w:p>
        </w:tc>
        <w:tc>
          <w:tcPr>
            <w:tcW w:type="dxa" w:w="1440"/>
            <w:shd w:fill="FAFAFA" w:val="clear"/>
          </w:tcPr>
          <w:p>
            <w:r>
              <w:rPr>
                <w:b/>
                <w:sz w:val="17"/>
              </w:rPr>
              <w:t>45,164</w:t>
            </w:r>
          </w:p>
        </w:tc>
        <w:tc>
          <w:tcPr>
            <w:tcW w:type="dxa" w:w="1440"/>
            <w:shd w:fill="FAFAFA" w:val="clear"/>
          </w:tcPr>
          <w:p>
            <w:r>
              <w:rPr>
                <w:sz w:val="17"/>
              </w:rPr>
              <w:t>53,591</w:t>
            </w:r>
          </w:p>
        </w:tc>
        <w:tc>
          <w:tcPr>
            <w:tcW w:type="dxa" w:w="1440"/>
            <w:shd w:fill="FAFAFA" w:val="clear"/>
          </w:tcPr>
          <w:p>
            <w:r>
              <w:rPr>
                <w:b/>
                <w:color w:val="008000"/>
                <w:sz w:val="17"/>
              </w:rPr>
              <w:t>+0.4%</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36,324</w:t>
            </w:r>
          </w:p>
        </w:tc>
        <w:tc>
          <w:tcPr>
            <w:tcW w:type="dxa" w:w="1440"/>
            <w:shd w:fill="FAFAFA" w:val="clear"/>
          </w:tcPr>
          <w:p>
            <w:r>
              <w:rPr>
                <w:b/>
                <w:sz w:val="17"/>
              </w:rPr>
              <w:t>45,217</w:t>
            </w:r>
          </w:p>
        </w:tc>
        <w:tc>
          <w:tcPr>
            <w:tcW w:type="dxa" w:w="1440"/>
            <w:shd w:fill="FAFAFA" w:val="clear"/>
          </w:tcPr>
          <w:p>
            <w:r>
              <w:rPr>
                <w:sz w:val="17"/>
              </w:rPr>
              <w:t>54,110</w:t>
            </w:r>
          </w:p>
        </w:tc>
        <w:tc>
          <w:tcPr>
            <w:tcW w:type="dxa" w:w="1440"/>
            <w:shd w:fill="FAFAFA" w:val="clear"/>
          </w:tcPr>
          <w:p>
            <w:r>
              <w:rPr>
                <w:b/>
                <w:color w:val="008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 RAPPORT D'ANALYSE FINANCIÈRE — UNILEVER CÔTE D'IVOIRE (UNLC)</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d'UNLC s'établit à **413,25 milliards FCFA**, un niveau significatif à l'échelle de la BRVM qui place la valeur parmi les capitalisations moyennes à élevées du marché régional, reflétant la notoriété du groupe Unilever malgré une capitalisation flottante limitée. Les ratios de valorisation classiques (BPA, PER, P/B, EV/EBITDA) ne sont pas calculables en l'état, faute de données financières structurées exploitables dans la base (les états financiers disponibles étant anciens et le résultat net 2023 de 640 millions FCFA rapporté à un nombre d'actions non communiqué ne permet pas un BPA fiable). À titre indicatif, avec un bénéfice net 2023 de 640,3 millions FCFA pour une capitalisation de 413,25 milliards FCFA, le PER implicite ressortirait à un niveau extrêmement élevé (supérieur à 600x), très au-dessus de la moyenne BRVM (~8-12x), ce qui traduit une valorisation portée par la marque et les anticipations plutôt que par les bénéfices courants. Le P/B est également non pertinent à commenter puisque les capitaux propres sont négatifs (-10,66 milliards FCFA en 2023), signe d'une structure bilancielle dégradée que le marché continue pourtant de valoriser généreusement.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UNLC affiche une **variation totale de -22,41%**, une correction marquée qui contraste avec le rebond de **+1,33% enregistré lors de la dernière séance (J-1)**, suggérant une tentative de stabilisation après une longue phase de repli. Le cours actuel de **45 000 FCFA** évolue dans un range de trading de **44 410 FCFA (plus bas) à 59 900 FCFA (plus haut)**, soit un amplitude de plus de 15 000 FCFA qui témoigne d'une tendance générale clairement baissière sur la période, le titre se rapprochant dangereusement de son plancher. Les statistiques descriptives révèlent une **moyenne de 53 541 FCFA** contre une **médiane de 54 000 FCFA**, un écart modeste qui indique une distribution globalement équilibrée, tandis que le **mode à 58 000 FCFA** — nettement supérieur au cours actuel — confirme que le titre a longtemps stagné sur des niveaux élevés avant de chuter. L'**écart-type de 3 530 FCFA (CV = 6,6%)** traduit une dispersion modérée du cours autour de sa moyenne, mais la **volatilité annualisée de 56,1%** classe le titre dans la catégorie des valeurs à volatilité élevée (&gt;30%), ce qui est cohérent avec la correction brutale observée. Le **kurtosis de -0,213 (mésokurtique)** indique une distribution proche de la normale, sans risque de pics extrêmes marqué, tandis que le **skewness de -0,452** révèle une asymétrie légèrement négative — bien que qualifiée de « symétrique » dans les données — signalant une prédominance des rendements négatifs sur la période, en ligne avec la tendance baissière.</w:t>
      </w:r>
    </w:p>
    <w:p>
      <w:pPr>
        <w:spacing w:after="120" w:line="276" w:lineRule="auto"/>
      </w:pPr>
      <w:r>
        <w:t>---</w:t>
      </w:r>
    </w:p>
    <w:p>
      <w:pPr>
        <w:spacing w:after="120" w:line="276" w:lineRule="auto"/>
      </w:pPr>
      <w:r>
        <w:t>## PARTIE 2 : ANALYSE TECHNIQUE DÉTAILLÉE</w:t>
      </w:r>
    </w:p>
    <w:p>
      <w:pPr>
        <w:spacing w:after="120" w:line="276" w:lineRule="auto"/>
      </w:pPr>
      <w:r>
        <w:t>**Moyennes Mobiles :** La **MM20 à 48 667,75 FCFA** et la **MM50 à 51 794,8 FCFA** se situent toutes deux au-dessus du cours actuel (45 000 FCFA), avec une MM20 inférieure à la MM50 — configuration baissière caractéristique d'un marché en tendance descendante. Le cours évoluant sous ses deux moyennes mobiles, la pression vendeuse reste dominante et la décision technique **« Vente »** est pleinement justifiée.</w:t>
      </w:r>
    </w:p>
    <w:p>
      <w:pPr>
        <w:spacing w:after="120" w:line="276" w:lineRule="auto"/>
      </w:pPr>
      <w:r>
        <w:t>**Bandes de Bollinger :** Le cours (45 000 FCFA) se situe dans la partie basse du canal, entre la **borne inférieure à 43 747,73 FCFA** et la **borne supérieure à 53 587,78 FCFA**, sans toutefois toucher la borne basse. Cette position traduit une volatilité contenue dans un canal large, avec un potentiel de rebond technique vers la moyenne mobile des bandes, justifiant la décision **« Neutre »** — ni signal d'achat franc (pas de rebond sur la borne basse), ni signal de vente supplémentaire.</w:t>
      </w:r>
    </w:p>
    <w:p>
      <w:pPr>
        <w:spacing w:after="120" w:line="276" w:lineRule="auto"/>
      </w:pPr>
      <w:r>
        <w:t>**MACD :** La valeur du MACD (**-1 808,44**) est inférieure à sa ligne de signal (**-1 465,09**), avec un histogramme négatif qui confirme un momentum baissier persistant. La divergence négative MACD-Signal, bien qu'en voie de réduction, maintient la décision **« Vente »** : la dynamique descendante n'est pas encore inversée.</w:t>
      </w:r>
    </w:p>
    <w:p>
      <w:pPr>
        <w:spacing w:after="120" w:line="276" w:lineRule="auto"/>
      </w:pPr>
      <w:r>
        <w:t>**RSI :** À **30,456**, le RSI se situe juste au-dessus du seuil de survente (30), zone charnière où le titre devient statistiquement attractif pour des achats contrarians. La décision **« Neutre »** reflète cette position ambiguë : le titre n'est pas encore officiellement en survente, mais il s'en approche dangereusement, ce qui limite le potentiel de baisse supplémentaire.</w:t>
      </w:r>
    </w:p>
    <w:p>
      <w:pPr>
        <w:spacing w:after="120" w:line="276" w:lineRule="auto"/>
      </w:pPr>
      <w:r>
        <w:t>**Stochastique :** Le **%K à 8,953** et le **%D à 2,984** sont tous deux en zone de survente extrême (&lt;20), avec un %K nettement supérieur au %D — configuration de croisement haussier imminent qui justifie la décision **« Achat »**. C'est le seul indicateur franchement positif du tableau technique, signalant un possible rebond à court terme.</w:t>
      </w:r>
    </w:p>
    <w:p>
      <w:pPr>
        <w:spacing w:after="120" w:line="276" w:lineRule="auto"/>
      </w:pPr>
      <w:r>
        <w:t>**Conclusion technique :** Les indicateurs techniques présentent une **divergence notable** : les moyennes mobiles et le MACD confirment une tendance baissière de fond, tandis que le RSI (proche de la survente) et surtout le stochastique (survente extrême avec croisement haussier) suggèrent un rebond technique imminent. Les Bandes de Bollinger en position neutre n'apportent pas de confirmation directionnelle. La convergence partielle vers un **rebond de court terme** existe, mais elle reste fragile et ne remet pas en cause la tendance baissière moyen terme tant que le cours n'aura pas reconquis la MM20 (48 667 FCFA).</w:t>
      </w:r>
    </w:p>
    <w:p>
      <w:pPr>
        <w:spacing w:after="120" w:line="276" w:lineRule="auto"/>
      </w:pPr>
      <w:r>
        <w:t>---</w:t>
      </w:r>
    </w:p>
    <w:p>
      <w:pPr>
        <w:spacing w:after="120" w:line="276" w:lineRule="auto"/>
      </w:pPr>
      <w:r>
        <w:t>## PARTIE 3 : ANALYSE FONDAMENTALE (SECTION CRITIQUE)</w:t>
      </w:r>
    </w:p>
    <w:p>
      <w:pPr>
        <w:spacing w:after="120" w:line="276" w:lineRule="auto"/>
      </w:pPr>
      <w:r>
        <w:t>Les états financiers officiels disponibles, issus des rapports annuels **clos au 31 décembre 2023, 2022 et 2021** (rapports anciens, analysés par MISTRAL en mars 2026), révèlent une situation contrastée. **En 2023**, UNLC a réalisé un **chiffre d'affaires de 24 336 010 000 FCFA**, stable par rapport à 2022 (même montant), et dégagé un **bénéfice net de 640 334 855 FCFA** — un retour à la profitabilité après la **perte nette de 6 908 362 002 FCFA en 2022** (et -6 382 600 386 FCFA selon une autre lecture du rapport 2022). La **marge nette 2023 ressort à 2,63%**, très en dessous de la moyenne sectorielle FMCG (5-10%), tandis que le **résultat d'exploitation (XD) passe de -6 258 millions FCFA en 2022 à +3 340 millions FCFA en 2023**, traduisant un redressement opérationnel réel mais fragile. Sur le plan bilanciel, la situation reste préoccupante : les **capitaux propres sont négatifs à -10 658 millions FCFA en 2023**, le **report à nouveau s'élève à -35 635 millions FCFA**, et les **dettes financières atteignent 4 379 millions FCFA** (contre 3 827 millions en 2022). Le **ROE et le ROA ne sont pas calculables de manière significative** en raison de capitaux propres négatifs, ce qui constitue en soi un signal d'alerte majeur. L'évolution historique montre une **volatilité extrême des résultats** : bénéfice de 6 090 millions FCFA en 2021 (marge nette 25%, portée par des éléments exceptionnels), effondrement en perte de -6,9 milliards en 2022 (impact de la cession de l'activité Thé et de charges non récurrentes), puis redressement timide en 2023. **Aucun dividende n'a été versé en 2023, 2022 ni 2021**, la priorité étant la reconstitution des fonds propres. La recommandation fondamentale qui se dégage de ces rapports 2021-2023 est celle d'une **grande prudence** : la marque Unilever et le portefeuille de produits résilients (Omo, Blue Band, etc.) constituent des atouts, mais la structure financière (fonds propres négatifs, endettement, absence de croissance du CA) et la faible rentabilité maintiennent le profil de risque à un niveau élevé, justifiant un statut de **« Conserver avec vigilance »** plutôt qu'un achat.</w:t>
      </w:r>
    </w:p>
    <w:p>
      <w:pPr>
        <w:spacing w:after="120" w:line="276" w:lineRule="auto"/>
      </w:pPr>
      <w:r>
        <w:t>---</w:t>
      </w:r>
    </w:p>
    <w:p>
      <w:pPr>
        <w:spacing w:after="120" w:line="276" w:lineRule="auto"/>
      </w:pPr>
      <w:r>
        <w:t>## PARTIE 4 : CONCLUSION D'INVESTISSEMENT</w:t>
      </w:r>
    </w:p>
    <w:p>
      <w:pPr>
        <w:spacing w:after="120" w:line="276" w:lineRule="auto"/>
      </w:pPr>
      <w:r>
        <w:t>La synthèse des quatre piliers d'analyse conduit à un diagnostic nuancé. **Sur la valorisation (Partie 0)**, l'absence de ratios exploitables et le PER implicite extrêmement élevé (bénéfice 2023 de 640 millions FCFA face à 413 milliards de capitalisation) traduisent une valorisation portée par la marque et non par les fondamentaux, avec des capitaux propres négatifs qui rendent le P/B inopérant — un signal de **surévaluation relative** au regard des bénéfices. **Sur le comportement du cours (Partie 1)**, la tendance est clairement baissière (-22,41% sur 100 jours), la volatilité élevée (56,1%) et le skewness négatif (-0,452) confirment une pression vendeuse dominante, même si le rebond de J-1 (+1,33%) et le kurtosis proche de la normale suggèrent une possible accalmie. **Sur le plan technique (Partie 2)**, la divergence est nette : MM et MACD restent baissiers, mais le stochastique en survente extrême (%K=8,95, %D=2,98) et le RSI à 30,46 plaident pour un **rebond de court terme**, sans inversion de tendance. **Sur les fondamentaux (Partie 3)**, les rapports 2021-2023 montrent un redressement opérationnel réel (XD positif en 2023) mais une structure financière toujours fragile (fonds propres négatifs, absence de dividende, marge nette de 2,63%). **Les prédictions IA (J+1 à J+10)** anticipent une trajectoire quasi stable autour de 44 900-45 000 FCFA, confirmant l'absence de catalyseur haussier majeur et la consolidation du cours à son plancher. **Recommandation finale : CONSERVER (avec vigilance)**, avec un **niveau de confiance moyen** et un **risque global élevé**. La convergence entre technique de court terme (rebond possible) et fondamental (redressement fragile) ne justifie ni un achat agressif ni une vente panique, mais impose une surveillance rapprochée des prochains résultats semestriels. **Horizon optimal : moyen terme (3-12 mois)**, en attendant la confirmation d'une stabilisation des capitaux propres et d'une amélioration durable de la rentabilité avant tout renforcement de position.</w:t>
      </w:r>
    </w:p>
    <w:p/>
    <w:p/>
    <w:p>
      <w:r>
        <w:t>════════════════════════════════════════════════════════════════════════════════</w:t>
      </w:r>
    </w:p>
    <w:p>
      <w:r>
        <w:br w:type="page"/>
      </w:r>
    </w:p>
    <w:p>
      <w:pPr>
        <w:pStyle w:val="Heading2"/>
        <w:spacing w:before="360"/>
      </w:pPr>
      <w:r>
        <w:rPr>
          <w:color w:val="0066CC"/>
        </w:rPr>
        <w:t>48.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44.51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13,318 titres</w:t>
            </w:r>
          </w:p>
        </w:tc>
        <w:tc>
          <w:tcPr>
            <w:tcW w:type="dxa" w:w="2268"/>
            <w:shd w:fill="FFF2CC" w:val="clear"/>
          </w:tcPr>
          <w:p>
            <w:r>
              <w:rPr>
                <w:b/>
                <w:color w:val="503200"/>
                <w:sz w:val="16"/>
              </w:rPr>
              <w:t xml:space="preserve">Cours actuel : </w:t>
            </w:r>
            <w:r>
              <w:rPr>
                <w:color w:val="000000"/>
                <w:sz w:val="17"/>
              </w:rPr>
              <w:t>2,145 FCFA</w:t>
            </w:r>
          </w:p>
          <w:p>
            <w:r>
              <w:rPr>
                <w:b/>
                <w:color w:val="503200"/>
                <w:sz w:val="16"/>
              </w:rPr>
              <w:t xml:space="preserve">Var. 100 jours : </w:t>
            </w:r>
            <w:r>
              <w:rPr>
                <w:b/>
                <w:color w:val="007800"/>
                <w:sz w:val="17"/>
              </w:rPr>
              <w:t>+20.51%</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16.8/100 → Faible</w:t>
      </w:r>
    </w:p>
    <w:p>
      <w:pPr>
        <w:spacing w:before="40" w:after="80"/>
      </w:pPr>
      <w:r>
        <w:rPr>
          <w:rFonts w:ascii="Courier New" w:hAnsi="Courier New"/>
          <w:color w:val="006400"/>
          <w:sz w:val="18"/>
        </w:rPr>
        <w:t>███░░░░░░░░░░░░░░░░░  16.8/100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14.83% (Moyenne) — μ=2,042 FCFA, σ=303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β=0.6876 (Défensif) — Cov=0.000053, Var(idx)=0.000077, ρ=0.189,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13,318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σ_j=3.16%/j (Modérée) — Vol. annualisée≈50.1%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9287"/>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2,062</w:t>
            </w:r>
          </w:p>
        </w:tc>
        <w:tc>
          <w:tcPr>
            <w:tcW w:type="dxa" w:w="1440"/>
            <w:shd w:fill="FAFAFA" w:val="clear"/>
          </w:tcPr>
          <w:p>
            <w:r>
              <w:rPr>
                <w:b/>
                <w:sz w:val="17"/>
              </w:rPr>
              <w:t>2,137</w:t>
            </w:r>
          </w:p>
        </w:tc>
        <w:tc>
          <w:tcPr>
            <w:tcW w:type="dxa" w:w="1440"/>
            <w:shd w:fill="FAFAFA" w:val="clear"/>
          </w:tcPr>
          <w:p>
            <w:r>
              <w:rPr>
                <w:sz w:val="17"/>
              </w:rPr>
              <w:t>2,213</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2,019</w:t>
            </w:r>
          </w:p>
        </w:tc>
        <w:tc>
          <w:tcPr>
            <w:tcW w:type="dxa" w:w="1440"/>
            <w:shd w:fill="FAFAFA" w:val="clear"/>
          </w:tcPr>
          <w:p>
            <w:r>
              <w:rPr>
                <w:b/>
                <w:sz w:val="17"/>
              </w:rPr>
              <w:t>2,125</w:t>
            </w:r>
          </w:p>
        </w:tc>
        <w:tc>
          <w:tcPr>
            <w:tcW w:type="dxa" w:w="1440"/>
            <w:shd w:fill="FAFAFA" w:val="clear"/>
          </w:tcPr>
          <w:p>
            <w:r>
              <w:rPr>
                <w:sz w:val="17"/>
              </w:rPr>
              <w:t>2,230</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1,984</w:t>
            </w:r>
          </w:p>
        </w:tc>
        <w:tc>
          <w:tcPr>
            <w:tcW w:type="dxa" w:w="1440"/>
            <w:shd w:fill="FAFAFA" w:val="clear"/>
          </w:tcPr>
          <w:p>
            <w:r>
              <w:rPr>
                <w:b/>
                <w:sz w:val="17"/>
              </w:rPr>
              <w:t>2,113</w:t>
            </w:r>
          </w:p>
        </w:tc>
        <w:tc>
          <w:tcPr>
            <w:tcW w:type="dxa" w:w="1440"/>
            <w:shd w:fill="FAFAFA" w:val="clear"/>
          </w:tcPr>
          <w:p>
            <w:r>
              <w:rPr>
                <w:sz w:val="17"/>
              </w:rPr>
              <w:t>2,241</w:t>
            </w:r>
          </w:p>
        </w:tc>
        <w:tc>
          <w:tcPr>
            <w:tcW w:type="dxa" w:w="1440"/>
            <w:shd w:fill="FAFAFA" w:val="clear"/>
          </w:tcPr>
          <w:p>
            <w:r>
              <w:rPr>
                <w:b/>
                <w:color w:val="C00000"/>
                <w:sz w:val="17"/>
              </w:rPr>
              <w:t>-1.5%</w:t>
            </w:r>
          </w:p>
        </w:tc>
      </w:tr>
      <w:tr>
        <w:tc>
          <w:tcPr>
            <w:tcW w:type="dxa" w:w="1440"/>
            <w:shd w:fill="FFDCE0" w:val="clear"/>
          </w:tcPr>
          <w:p>
            <w:r>
              <w:rPr>
                <w:sz w:val="17"/>
              </w:rPr>
              <w:t>J+4  ⭐</w:t>
            </w:r>
          </w:p>
        </w:tc>
        <w:tc>
          <w:tcPr>
            <w:tcW w:type="dxa" w:w="1440"/>
            <w:shd w:fill="FFDCE0" w:val="clear"/>
          </w:tcPr>
          <w:p>
            <w:r>
              <w:rPr>
                <w:sz w:val="17"/>
              </w:rPr>
              <w:t>2026-10-22</w:t>
            </w:r>
          </w:p>
        </w:tc>
        <w:tc>
          <w:tcPr>
            <w:tcW w:type="dxa" w:w="1440"/>
            <w:shd w:fill="FFDCE0" w:val="clear"/>
          </w:tcPr>
          <w:p>
            <w:r>
              <w:rPr>
                <w:sz w:val="17"/>
              </w:rPr>
              <w:t>1,953</w:t>
            </w:r>
          </w:p>
        </w:tc>
        <w:tc>
          <w:tcPr>
            <w:tcW w:type="dxa" w:w="1440"/>
            <w:shd w:fill="FFDCE0" w:val="clear"/>
          </w:tcPr>
          <w:p>
            <w:r>
              <w:rPr>
                <w:b/>
                <w:sz w:val="17"/>
              </w:rPr>
              <w:t>2,101</w:t>
            </w:r>
          </w:p>
        </w:tc>
        <w:tc>
          <w:tcPr>
            <w:tcW w:type="dxa" w:w="1440"/>
            <w:shd w:fill="FFDCE0" w:val="clear"/>
          </w:tcPr>
          <w:p>
            <w:r>
              <w:rPr>
                <w:sz w:val="17"/>
              </w:rPr>
              <w:t>2,249</w:t>
            </w:r>
          </w:p>
        </w:tc>
        <w:tc>
          <w:tcPr>
            <w:tcW w:type="dxa" w:w="1440"/>
            <w:shd w:fill="FFDCE0"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2026-10-23</w:t>
            </w:r>
          </w:p>
        </w:tc>
        <w:tc>
          <w:tcPr>
            <w:tcW w:type="dxa" w:w="1440"/>
            <w:shd w:fill="FFDCE0" w:val="clear"/>
          </w:tcPr>
          <w:p>
            <w:r>
              <w:rPr>
                <w:sz w:val="17"/>
              </w:rPr>
              <w:t>1,926</w:t>
            </w:r>
          </w:p>
        </w:tc>
        <w:tc>
          <w:tcPr>
            <w:tcW w:type="dxa" w:w="1440"/>
            <w:shd w:fill="FFDCE0" w:val="clear"/>
          </w:tcPr>
          <w:p>
            <w:r>
              <w:rPr>
                <w:b/>
                <w:sz w:val="17"/>
              </w:rPr>
              <w:t>2,090</w:t>
            </w:r>
          </w:p>
        </w:tc>
        <w:tc>
          <w:tcPr>
            <w:tcW w:type="dxa" w:w="1440"/>
            <w:shd w:fill="FFDCE0" w:val="clear"/>
          </w:tcPr>
          <w:p>
            <w:r>
              <w:rPr>
                <w:sz w:val="17"/>
              </w:rPr>
              <w:t>2,254</w:t>
            </w:r>
          </w:p>
        </w:tc>
        <w:tc>
          <w:tcPr>
            <w:tcW w:type="dxa" w:w="1440"/>
            <w:shd w:fill="FFDCE0" w:val="clear"/>
          </w:tcPr>
          <w:p>
            <w:r>
              <w:rPr>
                <w:b/>
                <w:color w:val="C00000"/>
                <w:sz w:val="17"/>
              </w:rPr>
              <w:t>-2.6%</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1,900</w:t>
            </w:r>
          </w:p>
        </w:tc>
        <w:tc>
          <w:tcPr>
            <w:tcW w:type="dxa" w:w="1440"/>
            <w:shd w:fill="FFDCE0" w:val="clear"/>
          </w:tcPr>
          <w:p>
            <w:r>
              <w:rPr>
                <w:b/>
                <w:sz w:val="17"/>
              </w:rPr>
              <w:t>2,079</w:t>
            </w:r>
          </w:p>
        </w:tc>
        <w:tc>
          <w:tcPr>
            <w:tcW w:type="dxa" w:w="1440"/>
            <w:shd w:fill="FFDCE0" w:val="clear"/>
          </w:tcPr>
          <w:p>
            <w:r>
              <w:rPr>
                <w:sz w:val="17"/>
              </w:rPr>
              <w:t>2,257</w:t>
            </w:r>
          </w:p>
        </w:tc>
        <w:tc>
          <w:tcPr>
            <w:tcW w:type="dxa" w:w="1440"/>
            <w:shd w:fill="FFDCE0" w:val="clear"/>
          </w:tcPr>
          <w:p>
            <w:r>
              <w:rPr>
                <w:b/>
                <w:color w:val="C00000"/>
                <w:sz w:val="17"/>
              </w:rPr>
              <w:t>-3.1%</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1,876</w:t>
            </w:r>
          </w:p>
        </w:tc>
        <w:tc>
          <w:tcPr>
            <w:tcW w:type="dxa" w:w="1440"/>
            <w:shd w:fill="FFDCE0" w:val="clear"/>
          </w:tcPr>
          <w:p>
            <w:r>
              <w:rPr>
                <w:b/>
                <w:sz w:val="17"/>
              </w:rPr>
              <w:t>2,068</w:t>
            </w:r>
          </w:p>
        </w:tc>
        <w:tc>
          <w:tcPr>
            <w:tcW w:type="dxa" w:w="1440"/>
            <w:shd w:fill="FFDCE0" w:val="clear"/>
          </w:tcPr>
          <w:p>
            <w:r>
              <w:rPr>
                <w:sz w:val="17"/>
              </w:rPr>
              <w:t>2,260</w:t>
            </w:r>
          </w:p>
        </w:tc>
        <w:tc>
          <w:tcPr>
            <w:tcW w:type="dxa" w:w="1440"/>
            <w:shd w:fill="FFDCE0" w:val="clear"/>
          </w:tcPr>
          <w:p>
            <w:r>
              <w:rPr>
                <w:b/>
                <w:color w:val="C00000"/>
                <w:sz w:val="17"/>
              </w:rPr>
              <w:t>-3.6%</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1,853</w:t>
            </w:r>
          </w:p>
        </w:tc>
        <w:tc>
          <w:tcPr>
            <w:tcW w:type="dxa" w:w="1440"/>
            <w:shd w:fill="FFDCE0" w:val="clear"/>
          </w:tcPr>
          <w:p>
            <w:r>
              <w:rPr>
                <w:b/>
                <w:sz w:val="17"/>
              </w:rPr>
              <w:t>2,058</w:t>
            </w:r>
          </w:p>
        </w:tc>
        <w:tc>
          <w:tcPr>
            <w:tcW w:type="dxa" w:w="1440"/>
            <w:shd w:fill="FFDCE0" w:val="clear"/>
          </w:tcPr>
          <w:p>
            <w:r>
              <w:rPr>
                <w:sz w:val="17"/>
              </w:rPr>
              <w:t>2,262</w:t>
            </w:r>
          </w:p>
        </w:tc>
        <w:tc>
          <w:tcPr>
            <w:tcW w:type="dxa" w:w="1440"/>
            <w:shd w:fill="FFDCE0" w:val="clear"/>
          </w:tcPr>
          <w:p>
            <w:r>
              <w:rPr>
                <w:b/>
                <w:color w:val="C00000"/>
                <w:sz w:val="17"/>
              </w:rPr>
              <w:t>-4.1%</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1,832</w:t>
            </w:r>
          </w:p>
        </w:tc>
        <w:tc>
          <w:tcPr>
            <w:tcW w:type="dxa" w:w="1440"/>
            <w:shd w:fill="FFDCE0" w:val="clear"/>
          </w:tcPr>
          <w:p>
            <w:r>
              <w:rPr>
                <w:b/>
                <w:sz w:val="17"/>
              </w:rPr>
              <w:t>2,048</w:t>
            </w:r>
          </w:p>
        </w:tc>
        <w:tc>
          <w:tcPr>
            <w:tcW w:type="dxa" w:w="1440"/>
            <w:shd w:fill="FFDCE0" w:val="clear"/>
          </w:tcPr>
          <w:p>
            <w:r>
              <w:rPr>
                <w:sz w:val="17"/>
              </w:rPr>
              <w:t>2,264</w:t>
            </w:r>
          </w:p>
        </w:tc>
        <w:tc>
          <w:tcPr>
            <w:tcW w:type="dxa" w:w="1440"/>
            <w:shd w:fill="FFDCE0" w:val="clear"/>
          </w:tcPr>
          <w:p>
            <w:r>
              <w:rPr>
                <w:b/>
                <w:color w:val="C00000"/>
                <w:sz w:val="17"/>
              </w:rPr>
              <w:t>-4.5%</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1,812</w:t>
            </w:r>
          </w:p>
        </w:tc>
        <w:tc>
          <w:tcPr>
            <w:tcW w:type="dxa" w:w="1440"/>
            <w:shd w:fill="FFDCE0" w:val="clear"/>
          </w:tcPr>
          <w:p>
            <w:r>
              <w:rPr>
                <w:b/>
                <w:sz w:val="17"/>
              </w:rPr>
              <w:t>2,038</w:t>
            </w:r>
          </w:p>
        </w:tc>
        <w:tc>
          <w:tcPr>
            <w:tcW w:type="dxa" w:w="1440"/>
            <w:shd w:fill="FFDCE0" w:val="clear"/>
          </w:tcPr>
          <w:p>
            <w:r>
              <w:rPr>
                <w:sz w:val="17"/>
              </w:rPr>
              <w:t>2,264</w:t>
            </w:r>
          </w:p>
        </w:tc>
        <w:tc>
          <w:tcPr>
            <w:tcW w:type="dxa" w:w="1440"/>
            <w:shd w:fill="FFDCE0" w:val="clear"/>
          </w:tcPr>
          <w:p>
            <w:r>
              <w:rPr>
                <w:b/>
                <w:color w:val="C00000"/>
                <w:sz w:val="17"/>
              </w:rPr>
              <w:t>-5.0%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3.693 Mds FCFA</w:t>
            </w:r>
          </w:p>
        </w:tc>
        <w:tc>
          <w:tcPr>
            <w:tcW w:type="dxa" w:w="5669"/>
            <w:shd w:fill="FFFFFF" w:val="clear"/>
          </w:tcPr>
          <w:p>
            <w:r>
              <w:rPr>
                <w:color w:val="282828"/>
                <w:sz w:val="15"/>
              </w:rPr>
              <w:t>Créances clients = 12.7%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12.179 Mds FCFA</w:t>
            </w:r>
          </w:p>
        </w:tc>
        <w:tc>
          <w:tcPr>
            <w:tcW w:type="dxa" w:w="5669"/>
            <w:shd w:fill="FFFFFF" w:val="clear"/>
          </w:tcPr>
          <w:p>
            <w:r>
              <w:rPr>
                <w:color w:val="282828"/>
                <w:sz w:val="15"/>
              </w:rPr>
              <w:t>Rotation stocks = 2.4x/an.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17.281 Mds FCFA</w:t>
            </w:r>
          </w:p>
        </w:tc>
        <w:tc>
          <w:tcPr>
            <w:tcW w:type="dxa" w:w="5669"/>
            <w:shd w:fill="FFFFFF" w:val="clear"/>
          </w:tcPr>
          <w:p>
            <w:r>
              <w:rPr>
                <w:color w:val="282828"/>
                <w:sz w:val="15"/>
              </w:rPr>
              <w:t>Ratio actif circ./passif circ. = 2.84x.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114.77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9.507 Mds FCFA</w:t>
            </w:r>
          </w:p>
        </w:tc>
        <w:tc>
          <w:tcPr>
            <w:tcW w:type="dxa" w:w="5669"/>
            <w:shd w:fill="FFFFFF" w:val="clear"/>
          </w:tcPr>
          <w:p>
            <w:r>
              <w:rPr>
                <w:color w:val="282828"/>
                <w:sz w:val="15"/>
              </w:rPr>
              <w:t>Outil industriel (30.0%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10.642 Mds FCFA</w:t>
            </w:r>
          </w:p>
        </w:tc>
        <w:tc>
          <w:tcPr>
            <w:tcW w:type="dxa" w:w="5669"/>
            <w:shd w:fill="FFFFFF" w:val="clear"/>
          </w:tcPr>
          <w:p>
            <w:r>
              <w:rPr>
                <w:color w:val="282828"/>
                <w:sz w:val="15"/>
              </w:rPr>
              <w:t>Actif immobilisé = 33.5%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3.813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31.736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6.156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24.619 Mds FCFA</w:t>
            </w:r>
          </w:p>
        </w:tc>
        <w:tc>
          <w:tcPr>
            <w:tcW w:type="dxa" w:w="5669"/>
            <w:shd w:fill="FFFFFF" w:val="clear"/>
          </w:tcPr>
          <w:p>
            <w:r>
              <w:rPr>
                <w:color w:val="282828"/>
                <w:sz w:val="15"/>
              </w:rPr>
              <w:t>Fonds propres = 77.6%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25.643 Mds FCFA</w:t>
            </w:r>
          </w:p>
        </w:tc>
        <w:tc>
          <w:tcPr>
            <w:tcW w:type="dxa" w:w="5669"/>
            <w:shd w:fill="FFFFFF" w:val="clear"/>
          </w:tcPr>
          <w:p>
            <w:r>
              <w:rPr>
                <w:color w:val="282828"/>
                <w:sz w:val="15"/>
              </w:rPr>
              <w:t>Capitaux permanents / Actif immobilisé = 2.41x.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4.977 Mds FCFA</w:t>
            </w:r>
          </w:p>
        </w:tc>
        <w:tc>
          <w:tcPr>
            <w:tcW w:type="dxa" w:w="5669"/>
            <w:shd w:fill="FFFFFF" w:val="clear"/>
          </w:tcPr>
          <w:p>
            <w:r>
              <w:rPr>
                <w:color w:val="282828"/>
                <w:sz w:val="15"/>
              </w:rPr>
              <w:t>Délai fournisseurs implicite ≈ 63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368.66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368.66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7.117 Mds FCFA</w:t>
            </w:r>
          </w:p>
        </w:tc>
        <w:tc>
          <w:tcPr>
            <w:tcW w:type="dxa" w:w="5669"/>
            <w:shd w:fill="FFFFFF" w:val="clear"/>
          </w:tcPr>
          <w:p>
            <w:r>
              <w:rPr>
                <w:color w:val="282828"/>
                <w:sz w:val="15"/>
              </w:rPr>
              <w:t>Dettes totales = 22.4%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29.032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29.032 Mds FCFA</w:t>
            </w:r>
          </w:p>
        </w:tc>
        <w:tc>
          <w:tcPr>
            <w:tcW w:type="dxa" w:w="5669"/>
            <w:shd w:fill="FFFFFF" w:val="clear"/>
          </w:tcPr>
          <w:p>
            <w:r>
              <w:rPr>
                <w:color w:val="282828"/>
                <w:sz w:val="15"/>
              </w:rPr>
              <w:t>Chiffre d'affaires. Croissance: 6.2%.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2.155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5.436 Mds FCFA</w:t>
            </w:r>
          </w:p>
        </w:tc>
        <w:tc>
          <w:tcPr>
            <w:tcW w:type="dxa" w:w="5669"/>
            <w:shd w:fill="FFFFFF" w:val="clear"/>
          </w:tcPr>
          <w:p>
            <w:r>
              <w:rPr>
                <w:color w:val="282828"/>
                <w:sz w:val="15"/>
              </w:rPr>
              <w:t>Masse salariale = 18.7%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6.563 Mds FCFA</w:t>
            </w:r>
          </w:p>
        </w:tc>
        <w:tc>
          <w:tcPr>
            <w:tcW w:type="dxa" w:w="5669"/>
            <w:shd w:fill="FFFFFF" w:val="clear"/>
          </w:tcPr>
          <w:p>
            <w:r>
              <w:rPr>
                <w:color w:val="282828"/>
                <w:sz w:val="15"/>
              </w:rPr>
              <w:t>VA = 22.6%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1.127 Mds FCFA</w:t>
            </w:r>
          </w:p>
        </w:tc>
        <w:tc>
          <w:tcPr>
            <w:tcW w:type="dxa" w:w="5669"/>
            <w:shd w:fill="FFFFFF" w:val="clear"/>
          </w:tcPr>
          <w:p>
            <w:r>
              <w:rPr>
                <w:color w:val="282828"/>
                <w:sz w:val="15"/>
              </w:rPr>
              <w:t>EBE = 3.9%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-423.61 M FCFA</w:t>
            </w:r>
          </w:p>
        </w:tc>
        <w:tc>
          <w:tcPr>
            <w:tcW w:type="dxa" w:w="5669"/>
            <w:shd w:fill="FFFFFF" w:val="clear"/>
          </w:tcPr>
          <w:p>
            <w:r>
              <w:rPr>
                <w:color w:val="282828"/>
                <w:sz w:val="15"/>
              </w:rPr>
              <w:t>Profit d'exploitation = -1.5%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-624.11 M FCFA</w:t>
            </w:r>
          </w:p>
        </w:tc>
        <w:tc>
          <w:tcPr>
            <w:tcW w:type="dxa" w:w="5669"/>
            <w:shd w:fill="FFFFFF" w:val="clear"/>
          </w:tcPr>
          <w:p>
            <w:r>
              <w:rPr>
                <w:color w:val="282828"/>
                <w:sz w:val="15"/>
              </w:rPr>
              <w:t>Marge nette = -2.1%.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904.48 M FCFA</w:t>
            </w:r>
          </w:p>
        </w:tc>
        <w:tc>
          <w:tcPr>
            <w:tcW w:type="dxa" w:w="5669"/>
            <w:shd w:fill="FFFFFF" w:val="clear"/>
          </w:tcPr>
          <w:p>
            <w:r>
              <w:rPr>
                <w:color w:val="282828"/>
                <w:sz w:val="15"/>
              </w:rPr>
              <w:t>CAF = 0.90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-8.124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9.399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43.03 M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-8.239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11.187 Mds FCFA</w:t>
            </w:r>
          </w:p>
        </w:tc>
        <w:tc>
          <w:tcPr>
            <w:tcW w:type="dxa" w:w="5669"/>
            <w:shd w:fill="FFFFFF" w:val="clear"/>
          </w:tcPr>
          <w:p>
            <w:r>
              <w:rPr>
                <w:color w:val="282828"/>
                <w:sz w:val="15"/>
              </w:rPr>
              <w:t>BFR = 38.5%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15.001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3.813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53.53%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-2.15%</w:t>
            </w:r>
          </w:p>
        </w:tc>
        <w:tc>
          <w:tcPr>
            <w:tcW w:type="dxa" w:w="5669"/>
            <w:shd w:fill="FFFFFF" w:val="clear"/>
          </w:tcPr>
          <w:p>
            <w:r>
              <w:rPr>
                <w:color w:val="282828"/>
                <w:sz w:val="15"/>
              </w:rPr>
              <w:t>Résultat net / revenus = -2.15%.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-1.46%</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-2.54%</w:t>
            </w:r>
          </w:p>
        </w:tc>
        <w:tc>
          <w:tcPr>
            <w:tcW w:type="dxa" w:w="5669"/>
            <w:shd w:fill="FFFFFF" w:val="clear"/>
          </w:tcPr>
          <w:p>
            <w:r>
              <w:rPr>
                <w:color w:val="282828"/>
                <w:sz w:val="15"/>
              </w:rPr>
              <w:t>Résultat net / capitaux propres = -2.54%.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-1.97%</w:t>
            </w:r>
          </w:p>
        </w:tc>
        <w:tc>
          <w:tcPr>
            <w:tcW w:type="dxa" w:w="5669"/>
            <w:shd w:fill="FFFFFF" w:val="clear"/>
          </w:tcPr>
          <w:p>
            <w:r>
              <w:rPr>
                <w:color w:val="282828"/>
                <w:sz w:val="15"/>
              </w:rPr>
              <w:t>Résultat net / total actif = -1.97%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91.48%</w:t>
            </w:r>
          </w:p>
        </w:tc>
        <w:tc>
          <w:tcPr>
            <w:tcW w:type="dxa" w:w="5669"/>
            <w:shd w:fill="FFFFFF" w:val="clear"/>
          </w:tcPr>
          <w:p>
            <w:r>
              <w:rPr>
                <w:color w:val="282828"/>
                <w:sz w:val="15"/>
              </w:rPr>
              <w:t>CA / total actif = 91.48x.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6.21%</w:t>
            </w:r>
          </w:p>
        </w:tc>
        <w:tc>
          <w:tcPr>
            <w:tcW w:type="dxa" w:w="5669"/>
            <w:shd w:fill="FFFFFF" w:val="clear"/>
          </w:tcPr>
          <w:p>
            <w:r>
              <w:rPr>
                <w:color w:val="282828"/>
                <w:sz w:val="15"/>
              </w:rPr>
              <w:t>Croissance CA vs exercice précédent = 6.21%.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77.58%</w:t>
            </w:r>
          </w:p>
        </w:tc>
        <w:tc>
          <w:tcPr>
            <w:tcW w:type="dxa" w:w="5669"/>
            <w:shd w:fill="FFFFFF" w:val="clear"/>
          </w:tcPr>
          <w:p>
            <w:r>
              <w:rPr>
                <w:color w:val="282828"/>
                <w:sz w:val="15"/>
              </w:rPr>
              <w:t>Fonds propres / total bilan = 77.58%.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22.42%</w:t>
            </w:r>
          </w:p>
        </w:tc>
        <w:tc>
          <w:tcPr>
            <w:tcW w:type="dxa" w:w="5669"/>
            <w:shd w:fill="FFFFFF" w:val="clear"/>
          </w:tcPr>
          <w:p>
            <w:r>
              <w:rPr>
                <w:color w:val="282828"/>
                <w:sz w:val="15"/>
              </w:rPr>
              <w:t>Dettes financières / total bilan = 22.42%.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1.50%</w:t>
            </w:r>
          </w:p>
        </w:tc>
        <w:tc>
          <w:tcPr>
            <w:tcW w:type="dxa" w:w="5669"/>
            <w:shd w:fill="FFFFFF" w:val="clear"/>
          </w:tcPr>
          <w:p>
            <w:r>
              <w:rPr>
                <w:color w:val="282828"/>
                <w:sz w:val="15"/>
              </w:rPr>
              <w:t>Dettes totales / fonds propres = 1.50%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445.93%</w:t>
            </w:r>
          </w:p>
        </w:tc>
        <w:tc>
          <w:tcPr>
            <w:tcW w:type="dxa" w:w="5669"/>
            <w:shd w:fill="FFFFFF" w:val="clear"/>
          </w:tcPr>
          <w:p>
            <w:r>
              <w:rPr>
                <w:color w:val="282828"/>
                <w:sz w:val="15"/>
              </w:rPr>
              <w:t>Total actif / dettes totales = 445.93x.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346.19%</w:t>
            </w:r>
          </w:p>
        </w:tc>
        <w:tc>
          <w:tcPr>
            <w:tcW w:type="dxa" w:w="5669"/>
            <w:shd w:fill="FFFFFF" w:val="clear"/>
          </w:tcPr>
          <w:p>
            <w:r>
              <w:rPr>
                <w:color w:val="282828"/>
                <w:sz w:val="15"/>
              </w:rPr>
              <w:t>Actif circulant / passif circulant = 346.19x.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62.59%</w:t>
            </w:r>
          </w:p>
        </w:tc>
        <w:tc>
          <w:tcPr>
            <w:tcW w:type="dxa" w:w="5669"/>
            <w:shd w:fill="FFFFFF" w:val="clear"/>
          </w:tcPr>
          <w:p>
            <w:r>
              <w:rPr>
                <w:color w:val="282828"/>
                <w:sz w:val="15"/>
              </w:rPr>
              <w:t>Trésorerie / passif circulant = 62.59x.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146.32%</w:t>
            </w:r>
          </w:p>
        </w:tc>
        <w:tc>
          <w:tcPr>
            <w:tcW w:type="dxa" w:w="5669"/>
            <w:shd w:fill="FFFFFF" w:val="clear"/>
          </w:tcPr>
          <w:p>
            <w:r>
              <w:rPr>
                <w:color w:val="282828"/>
                <w:sz w:val="15"/>
              </w:rPr>
              <w:t>(Actif circ. - stocks) / passif circ. = 146.32x.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240.96%</w:t>
            </w:r>
          </w:p>
        </w:tc>
        <w:tc>
          <w:tcPr>
            <w:tcW w:type="dxa" w:w="5669"/>
            <w:shd w:fill="FFFFFF" w:val="clear"/>
          </w:tcPr>
          <w:p>
            <w:r>
              <w:rPr>
                <w:color w:val="282828"/>
                <w:sz w:val="15"/>
              </w:rPr>
              <w:t>Capitaux permanents / actif immobilisé = 240.96x.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-1249.16%</w:t>
            </w:r>
          </w:p>
        </w:tc>
        <w:tc>
          <w:tcPr>
            <w:tcW w:type="dxa" w:w="5669"/>
            <w:shd w:fill="FFFFFF" w:val="clear"/>
          </w:tcPr>
          <w:p>
            <w:r>
              <w:rPr>
                <w:color w:val="282828"/>
                <w:sz w:val="15"/>
              </w:rPr>
              <w:t>Résultat exploit. / charges financières = -1249.16x.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789.90%</w:t>
            </w:r>
          </w:p>
        </w:tc>
        <w:tc>
          <w:tcPr>
            <w:tcW w:type="dxa" w:w="5669"/>
            <w:shd w:fill="FFFFFF" w:val="clear"/>
          </w:tcPr>
          <w:p>
            <w:r>
              <w:rPr>
                <w:color w:val="282828"/>
                <w:sz w:val="15"/>
              </w:rPr>
              <w:t>CAF / investissements = 789.90x.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45.8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102.4 j</w:t>
            </w:r>
          </w:p>
        </w:tc>
        <w:tc>
          <w:tcPr>
            <w:tcW w:type="dxa" w:w="5669"/>
            <w:shd w:fill="FFFFFF" w:val="clear"/>
          </w:tcPr>
          <w:p>
            <w:r>
              <w:rPr>
                <w:color w:val="282828"/>
                <w:sz w:val="15"/>
              </w:rPr>
              <w:t>Paiement des fournisseurs en 102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325.0 j</w:t>
            </w:r>
          </w:p>
        </w:tc>
        <w:tc>
          <w:tcPr>
            <w:tcW w:type="dxa" w:w="5669"/>
            <w:shd w:fill="FFFFFF" w:val="clear"/>
          </w:tcPr>
          <w:p>
            <w:r>
              <w:rPr>
                <w:color w:val="282828"/>
                <w:sz w:val="15"/>
              </w:rPr>
              <w:t>Stock écoulé en 325 jours. ❌ Stock quasi-bloqué — risque d'obsolescence ou de surstock.</w:t>
            </w:r>
          </w:p>
        </w:tc>
      </w:tr>
    </w:tbl>
    <w:p/>
    <w:p>
      <w:pPr>
        <w:spacing w:after="120" w:line="276" w:lineRule="auto"/>
      </w:pPr>
      <w:r>
        <w:t># RAPPORT D'ANALYSE FINANCIÈRE — UNIWAX (UNXC) —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44,51 milliards FCFA, UNXC s'inscrit dans la moyenne des capitalisations de la cote BRVM, sans toutefois figurer parmi les poids lourds du marché régional. Le BPA ressort à -30 FCFA/action, traduisant une société encore déficitaire sur l'exercice 2025, ce qui rend le PER de -71,3x mécaniquement inexploitable comme signal de valorisation (un PER négatif signifie simplement que les bénéfices sont négatifs). Le P/B de 1,81x indique que le marché valorise l'action à près du double de sa valeur comptable, un niveau raisonnable pour une entreprise en redressement mais qui n'offre pas de décote évidente. En revanche, l'EV/EBITDA de 36,4x apparaît très exigeant (seuil d'alerte &gt;15x), signifiant que la valeur d'entreprise intègre déjà fortement l'amélioration opérationnelle attendue. L'absence de PER positif et le niveau élevé de l'EV/EBITDA suggèrent une valorisation tendue qui repose davantage sur les perspectives de retournement que sur les résultats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UNXC affiche une progression totale de +20,51%, portée par un cours actuel de 2 145 FCFA, malgré un repli de -1,61% sur la dernière séance. Le titre a évolué dans un range très large, du plus bas de 1 250 FCFA au plus haut de 2 495 FCFA, soit un écart de près de 100% entre les extrêmes — signe d'une forte amplitude de trading. La tendance générale est clairement haussière sur la période, le cours actuel se situant dans la moitié supérieure du range. Les statistiques descriptives révèlent une moyenne de 2 042 FCFA légèrement supérieure à la médiane de 1 970 FCFA, avec un mode identique à la médiane, indiquant une distribution légèrement tirée vers le haut par les pics récents. L'écart-type de 304 FCFA (CV=14,9%) traduit une dispersion modérée autour de la moyenne, tandis que le kurtosis de -0,394 (mésokurtique) et le skewness de -0,418 (distribution quasi symétrique, légèrement étalée vers la gauche) suggèrent un comportement proche d'une loi normale, sans risque extrême de pics. La volatilité annualisée de 50,1% classe le titre dans la catégorie des valeurs très volatiles (&gt;30%), ce qui est cohérent avec un profil de valeur de retournement.</w:t>
      </w:r>
    </w:p>
    <w:p>
      <w:pPr>
        <w:spacing w:after="120" w:line="276" w:lineRule="auto"/>
      </w:pPr>
      <w:r>
        <w:t>---</w:t>
      </w:r>
    </w:p>
    <w:p>
      <w:pPr>
        <w:spacing w:after="120" w:line="276" w:lineRule="auto"/>
      </w:pPr>
      <w:r>
        <w:t>## PARTIE 2 : ANALYSE TECHNIQUE DÉTAILLÉE</w:t>
      </w:r>
    </w:p>
    <w:p>
      <w:pPr>
        <w:spacing w:after="120" w:line="276" w:lineRule="auto"/>
      </w:pPr>
      <w:r>
        <w:t>**Moyennes Mobiles** : La MM20 (2 286,25 FCFA) et la MM50 (2 283,0 FCFA) sont quasi confondues et se situent toutes deux au-dessus du cours actuel (2 145 FCFA), ce qui traduit une pression baissière de court terme malgré la tendance haussière de fond. La décision affichée « Achat » reflète probablement le croisement antérieur des moyennes ou la dynamique de redressement, mais la position du cours sous les deux moyennes invite à la prudence.</w:t>
      </w:r>
    </w:p>
    <w:p>
      <w:pPr>
        <w:spacing w:after="120" w:line="276" w:lineRule="auto"/>
      </w:pPr>
      <w:r>
        <w:t>**Bandes de Bollinger** : Le cours (2 145 FCFA) évolue dans la partie basse de la bande, entre la borne inférieure (2 109,44 FCFA) et la borne supérieure (2 463,06 FCFA), sans franchissement des extrêmes. La décision « Neutre » est cohérente : le titre n'est ni en survente extrême ni en surachat, et la largeur des bandes confirme la volatilité élevée déjà relevée.</w:t>
      </w:r>
    </w:p>
    <w:p>
      <w:pPr>
        <w:spacing w:after="120" w:line="276" w:lineRule="auto"/>
      </w:pPr>
      <w:r>
        <w:t>**MACD** : La valeur du MACD (-29,47) est nettement inférieure à son signal (-2,696), avec un histogramme négatif et croissant en divergence baissière. La décision « Vente » traduit un momentum négatif de court terme, le MACD étant passé sous zéro, ce qui suggère une correction en cours après la hausse des 100 derniers jours.</w:t>
      </w:r>
    </w:p>
    <w:p>
      <w:pPr>
        <w:spacing w:after="120" w:line="276" w:lineRule="auto"/>
      </w:pPr>
      <w:r>
        <w:t>**RSI** : À 30,476, le RSI se situe à la frontière de la zone de survente (seuil 30), sans y être encore entré. La décision « Neutre » est appropriée : le titre n'est pas techniquement survendu de manière extrême, mais la proximité du seuil indique une pression vendeuse persistante qui pourrait offrir un point d'entrée si le seuil est franchi puis rebondit.</w:t>
      </w:r>
    </w:p>
    <w:p>
      <w:pPr>
        <w:spacing w:after="120" w:line="276" w:lineRule="auto"/>
      </w:pPr>
      <w:r>
        <w:t>**Stochastique** : Le %K à 0,0 et le %D à 3,39 traduisent une position en zone de survente profonde, avec un %K au plancher absolu. La décision « Achat » s'explique par le potentiel de rebond technique imminent, le croisement %K/%D en zone basse étant traditionnellement un signal d'achat contrarien.</w:t>
      </w:r>
    </w:p>
    <w:p>
      <w:pPr>
        <w:spacing w:after="120" w:line="276" w:lineRule="auto"/>
      </w:pPr>
      <w:r>
        <w:t>**Conclusion technique** : Les indicateurs sont divergents — les moyennes mobiles et le MACD plaident pour la prudence voire la vente, tandis que le stochastique et la proximité du RSI en zone de survente suggèrent un rebond technique possible. Le titre se trouve dans une phase de correction au sein d'une tendance haussière de fond, avec un cours sous ses moyennes mais un stochastique au plancher. La convergence des signaux reste faible, ce qui plaide pour une posture d'attente avant toute décision directionnelle.</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(états financiers annuels) dressent le portrait d'une entreprise en redressement mais encore déficitaire : le chiffre d'affaires s'établit à 29,032 milliards FCFA (+6,2% selon le rapport 2025), le résultat net reste négatif à -624,11 millions FCFA (marge nette -2,15%), avec un ROE de -2,54% et un ROA de -1,97% — des niveaux de rentabilité encore très faibles malgré l'amélioration. La structure financière est néanmoins solide : autonomie financière de 77,58%, ratio d'endettement de seulement 1,50%, liquidité générale de 346% et trésorerie nette positive de 3,813 milliards FCFA. En tant qu'entreprise textile, les délais d'exploitation méritent attention : délai client de 45,80 jours (risque de trésorerie modéré), délai fournisseur de 102,43 jours (favorable à la trésorerie) et surtout durée de stockage de 324,99 jours, extrêmement élevée, qui immobilise massivement du capital (stocks de 12,179 milliards FCFA, soit 38% du total actif). Le BFR de 11,187 milliards FCFA pèse lourdement, et le flux opérationnel négatif de -8,124 milliards FCFA confirme que le redressement est financé par des cessions d'actifs (flux d'investissement +9,399 milliards FCFA) plutôt que par l'exploitation. Les rapports trimestriels confirment la trajectoire : le rapport du S1 2026 (publié en 2026) montre un CA de 15,752 milliards FCFA (+0,3%) et surtout un **résultat d'exploitation redevenu positif à 771 millions FCFA** contre -314 millions au S1 2025, avec un résultat net de 771 millions FCFA (hors plus-value exceptionnelle de 2025). Le rapport du T3 2025 (30/09/2025) soulignait déjà l'absence de perte au T3 seul, et le rapport annuel 2025 confirme l'EBE positif à 1,127 milliard FCFA contre -0,35 milliard en 2024. **Estimation** : sur la base du S1 2026 (résultat d'exploitation +771 M FCFA), on peut estimer que l'exercice 2026 devrait confirmer le retour à une rentabilité opérationnelle positive, condition sine qua non d'un retour durable aux bénéfices. La recommandation fondamentale est donc « Conserver avec biais positif » : la solidité bilancielle et le retournement opérationnel sont réels, mais la valorisation (EV/EBITDA 36,4x) intègre déjà largement ce scénario, et la dépendance aux cessions d'actifs ainsi que la durée de stockage excessive restent des risques majeurs.</w:t>
      </w:r>
    </w:p>
    <w:p>
      <w:pPr>
        <w:spacing w:after="120" w:line="276" w:lineRule="auto"/>
      </w:pPr>
      <w:r>
        <w:t>---</w:t>
      </w:r>
    </w:p>
    <w:p>
      <w:pPr>
        <w:spacing w:after="120" w:line="276" w:lineRule="auto"/>
      </w:pPr>
      <w:r>
        <w:t>## PARTIE 4 : CONCLUSION D'INVESTISSEMENT</w:t>
      </w:r>
    </w:p>
    <w:p>
      <w:pPr>
        <w:spacing w:after="120" w:line="276" w:lineRule="auto"/>
      </w:pPr>
      <w:r>
        <w:t>La valorisation (Partie 0) apparaît tendue : PER négatif inexploitable, P/B de 1,81x sans décote et EV/EBITDA de 36,4x très exigeant traduisent un marché qui a déjà anticipé le redressement. Le comportement du cours (Partie 1) est haussier sur 100 jours (+20,51%) mais avec une volatilité très élevée (50,1%) et une distribution quasi normale (kurtosis -0,394, skewness -0,418) sans risque extrême de pics, le titre évoluant dans la moitié haute de son range. Les signaux techniques (Partie 2) sont divergents : MACD baissier et cours sous les moyennes mobiles plaident pour la prudence, tandis que le stochastique au plancher (%K=0,0) et le RSI proche de la survente (30,5) suggèrent un rebond technique possible — la convergence est insuffisante pour un signal directionnel fort. Les fondamentaux (Partie 3) montrent un redressement réel et documenté (EBE 2025 positif à 1,127 Md FCFA, résultat d'exploitation S1 2026 positif à 771 M FCFA, structure financière très saine avec 77,6% d'autonomie financière) mais une rentabilité nette encore fragile et une valorisation qui ne laisse pas de marge de sécurité. Les prédictions IA (J+1 à J+10) anticipent une trajectoire baissière continue de 2 137 à 2 090 FCFA, soit -2,6% sur 10 jours, ce qui **contredit** le rebond technique attendu par le stochastique et **confirme** le momentum baissier du MACD. Sur la base de cette synthèse, la recommandation finale est **CONSERVER** : le redressement fondamental est tangible mais déjà valorisé, les signaux techniques sont contradictoires et les prédictions IA penchent pour une consolidation de court terme. Le niveau de confiance est **Moyen** (divergence technique et valorisation tendue), le niveau de risque global est **Élevé** (volatilité 50,1%, valorisation exigeante, dépendance aux cessions d'actifs), et l'horizon optimal est le **moyen terme (3-12 mois)**, le temps que la rentabilité opérationnelle se confirme sur un exercice complet avant d'envisager un renforcement.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- 48 sociétés analysées.</w:t>
      </w:r>
    </w:p>
    <w:p/>
    <w:p>
      <w:pPr>
        <w:jc w:val="center"/>
      </w:pPr>
      <w:r>
        <w:rPr>
          <w:i/>
          <w:color w:val="808080"/>
          <w:sz w:val="16"/>
        </w:rPr>
        <w:t xml:space="preserve">Analyse Multi-AI - </w:t>
      </w:r>
      <w:r>
        <w:rPr>
          <w:i/>
        </w:rPr>
        <w:t xml:space="preserve">DeepSeek: 49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