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14/08/2026 à 06:19</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45 ACHAT  |  2 NEUTRE  |  0 VENTE  (sur 47 sociétés)</w:t>
      </w:r>
    </w:p>
    <w:p>
      <w:pPr>
        <w:spacing w:before="20" w:after="20"/>
        <w:ind w:left="360" w:right="360"/>
        <w:shd w:val="clear" w:color="auto" w:fill="EBF5FB"/>
      </w:pPr>
      <w:r>
        <w:rPr>
          <w:b/>
          <w:sz w:val="19"/>
        </w:rPr>
        <w:t xml:space="preserve">Top opportunité :  </w:t>
      </w:r>
      <w:r>
        <w:rPr>
          <w:color w:val="008000"/>
          <w:sz w:val="19"/>
        </w:rPr>
        <w:t>LNBB  (score 79/100)</w:t>
      </w:r>
    </w:p>
    <w:p>
      <w:pPr>
        <w:spacing w:before="20" w:after="20"/>
        <w:ind w:left="360" w:right="360"/>
        <w:shd w:val="clear" w:color="auto" w:fill="EBF5FB"/>
      </w:pPr>
      <w:r>
        <w:rPr>
          <w:b/>
          <w:sz w:val="19"/>
        </w:rPr>
        <w:t xml:space="preserve">Secteur surperformant :  </w:t>
      </w:r>
      <w:r>
        <w:rPr>
          <w:color w:val="008000"/>
          <w:sz w:val="19"/>
        </w:rPr>
        <w:t>SERVICES PUBLICS  (+57.0%)</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18 sociétés — vérifier avant d'investir</w:t>
      </w:r>
    </w:p>
    <w:p>
      <w:pPr>
        <w:spacing w:before="20" w:after="20"/>
        <w:ind w:left="360" w:right="360"/>
        <w:shd w:val="clear" w:color="auto" w:fill="EBF5FB"/>
      </w:pPr>
      <w:r>
        <w:rPr>
          <w:b/>
          <w:sz w:val="19"/>
        </w:rPr>
        <w:t xml:space="preserve">⚠️ Liquidité réduite :  </w:t>
      </w:r>
      <w:r>
        <w:rPr>
          <w:color w:val="C00000"/>
          <w:sz w:val="19"/>
        </w:rPr>
        <w:t>9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496.22 points </w:t>
      </w:r>
      <w:r>
        <w:rPr>
          <w:color w:val="008000"/>
        </w:rPr>
        <w:t>(+0.82%)</w:t>
      </w:r>
      <w:r>
        <w:t xml:space="preserve"> sur la séance. </w:t>
      </w:r>
      <w:r>
        <w:t>La capitalisation globale du marché atteint 19 135,033 milliards FCFA.</w:t>
      </w:r>
    </w:p>
    <w:p/>
    <w:p>
      <w:pPr>
        <w:pStyle w:val="Heading3"/>
      </w:pPr>
      <w:r>
        <w:t>📊 Évolution de l'indice BRVM Composite (100 derniers jours)</w:t>
      </w:r>
    </w:p>
    <w:p>
      <w:r>
        <w:rPr>
          <w:b/>
        </w:rPr>
        <w:t xml:space="preserve">BRVM Composite — </w:t>
      </w:r>
      <w:r>
        <w:t xml:space="preserve">Sur les 100 derniers jours de cotation (2026-03-17 au 2026-08-13), l'indice BRVM Composite a évolué de </w:t>
      </w:r>
      <w:r>
        <w:rPr>
          <w:b/>
          <w:color w:val="008000"/>
        </w:rPr>
        <w:t>+20.44%</w:t>
      </w:r>
      <w:r>
        <w:t>, passant de 412.02 pts à 496.22 pts. Le plus haut atteint est 496.22 pts et le plus bas 397.33 pts. Sur l'ensemble de la période, la moyenne de l'indice s'établit à 436.40 pts, la médiane à 435.45 pts et le mode à 403.36 pts</w:t>
      </w:r>
      <w:r>
        <w:t xml:space="preserve"> (asymétrie positive — plus de jours sous la moyenne). </w:t>
      </w:r>
      <w:r>
        <w:t xml:space="preserve">L'écart-type de 31.82 pts (CV=7.3%) traduit une modérée dispersion des cotations. Le kurtosis de -1.32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+20.45%</w:t>
      </w:r>
      <w:r>
        <w:t xml:space="preserve"> sur la période, passant de 15 885,659 Mds FCFA à 19 135,033 Mds FCFA. Le pic de capitalisation observé est de 19 135,033 Mds FCFA et le plancher de 15 319,235 Mds FCFA. La moyenne de la capitalisation sur la période s'établit à 16 818,391 Mds FCFA, la médiane à 16 779,442 Mds FCFA et le mode à 15 319,235 Mds FCFA</w:t>
      </w:r>
      <w:r>
        <w:t xml:space="preserve"> (asymétrie positive). </w:t>
      </w:r>
      <w:r>
        <w:t>L'écart-type de 1 221,411 Mds FCFA (CV=7.3%) reflète une modérée variabilité de la valorisation du marché. Le kurtosis de -1.32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3190 FCFA | </w:t>
      </w:r>
      <w:r>
        <w:rPr>
          <w:b/>
          <w:color w:val="008000"/>
        </w:rPr>
        <w:t>ACHAT</w:t>
      </w:r>
      <w:r>
        <w:t xml:space="preserve"> | Confiance: Faible | Risque: Moyen</w:t>
      </w:r>
    </w:p>
    <w:p>
      <w:pPr>
        <w:pStyle w:val="ListNumber"/>
      </w:pPr>
      <w:r>
        <w:rPr>
          <w:b/>
        </w:rPr>
        <w:t>BICB - BIIC BN - Banque internationale pour le commerce du benin</w:t>
      </w:r>
      <w:r>
        <w:t xml:space="preserve"> | Prix: 8475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29000 FCFA | </w:t>
      </w:r>
      <w:r>
        <w:rPr>
          <w:b/>
          <w:color w:val="008000"/>
        </w:rPr>
        <w:t>ACHAT</w:t>
      </w:r>
      <w:r>
        <w:t xml:space="preserve"> | Confiance: Élevée | Risque: Moyen</w:t>
      </w:r>
    </w:p>
    <w:p>
      <w:pPr>
        <w:pStyle w:val="ListNumber"/>
      </w:pPr>
      <w:r>
        <w:rPr>
          <w:b/>
        </w:rPr>
        <w:t>BNBC - BNBC - BERNABE CI</w:t>
      </w:r>
      <w:r>
        <w:t xml:space="preserve"> | Prix: 2000 FCFA | </w:t>
      </w:r>
      <w:r>
        <w:rPr>
          <w:b/>
          <w:color w:val="008000"/>
        </w:rPr>
        <w:t>ACHAT</w:t>
      </w:r>
      <w:r>
        <w:t xml:space="preserve"> | Confiance: Élevée | Risque: Faible</w:t>
      </w:r>
    </w:p>
    <w:p>
      <w:pPr>
        <w:pStyle w:val="ListNumber"/>
      </w:pPr>
      <w:r>
        <w:rPr>
          <w:b/>
        </w:rPr>
        <w:t>BOAB - BANK OF AFRICA BENIN</w:t>
      </w:r>
      <w:r>
        <w:t xml:space="preserve"> | Prix: 8690 FCFA | </w:t>
      </w:r>
      <w:r>
        <w:rPr>
          <w:b/>
          <w:color w:val="008000"/>
        </w:rPr>
        <w:t>ACHAT</w:t>
      </w:r>
      <w:r>
        <w:t xml:space="preserve"> | Confiance: Faible | Risque: Moyen</w:t>
      </w:r>
    </w:p>
    <w:p>
      <w:pPr>
        <w:pStyle w:val="ListNumber"/>
      </w:pPr>
      <w:r>
        <w:rPr>
          <w:b/>
        </w:rPr>
        <w:t>BOABF - BANK OF AFRICA BURKINA FASO</w:t>
      </w:r>
      <w:r>
        <w:t xml:space="preserve"> | Prix: 7100 FCFA | </w:t>
      </w:r>
      <w:r>
        <w:rPr>
          <w:b/>
          <w:color w:val="008000"/>
        </w:rPr>
        <w:t>ACHAT</w:t>
      </w:r>
      <w:r>
        <w:t xml:space="preserve"> | Confiance: Moyen | Risque: Faible</w:t>
      </w:r>
    </w:p>
    <w:p>
      <w:pPr>
        <w:pStyle w:val="ListNumber"/>
      </w:pPr>
      <w:r>
        <w:rPr>
          <w:b/>
        </w:rPr>
        <w:t>BOAC - BANK OF AFRICA COTE D'IVOIRE</w:t>
      </w:r>
      <w:r>
        <w:t xml:space="preserve"> | Prix: 12500 FCFA | </w:t>
      </w:r>
      <w:r>
        <w:rPr>
          <w:b/>
          <w:color w:val="008000"/>
        </w:rPr>
        <w:t>ACHAT</w:t>
      </w:r>
      <w:r>
        <w:t xml:space="preserve"> | Confiance: Moyen | Risque: Faible</w:t>
      </w:r>
    </w:p>
    <w:p>
      <w:pPr>
        <w:pStyle w:val="ListNumber"/>
      </w:pPr>
      <w:r>
        <w:rPr>
          <w:b/>
        </w:rPr>
        <w:t>BOAM - BANK OF AFRICA MALI</w:t>
      </w:r>
      <w:r>
        <w:t xml:space="preserve"> | Prix: 6140 FCFA | </w:t>
      </w:r>
      <w:r>
        <w:rPr>
          <w:b/>
          <w:color w:val="008000"/>
        </w:rPr>
        <w:t>ACHAT</w:t>
      </w:r>
      <w:r>
        <w:t xml:space="preserve"> | Confiance: Faible | Risque: Faible</w:t>
      </w:r>
    </w:p>
    <w:p>
      <w:pPr>
        <w:pStyle w:val="ListNumber"/>
      </w:pPr>
      <w:r>
        <w:rPr>
          <w:b/>
        </w:rPr>
        <w:t>BOAN - BANK OF AFRICA NIGER</w:t>
      </w:r>
      <w:r>
        <w:t xml:space="preserve"> | Prix: 5100 FCFA | </w:t>
      </w:r>
      <w:r>
        <w:rPr>
          <w:b/>
          <w:color w:val="008000"/>
        </w:rPr>
        <w:t>ACHAT</w:t>
      </w:r>
      <w:r>
        <w:t xml:space="preserve"> | Confiance: Élevée | Risque: Moyen</w:t>
      </w:r>
    </w:p>
    <w:p>
      <w:pPr>
        <w:pStyle w:val="ListNumber"/>
      </w:pPr>
      <w:r>
        <w:rPr>
          <w:b/>
        </w:rPr>
        <w:t>BOAS - BANK OF AFRICA SENEGAL</w:t>
      </w:r>
      <w:r>
        <w:t xml:space="preserve"> | Prix: 7690 FCFA | </w:t>
      </w:r>
      <w:r>
        <w:rPr>
          <w:b/>
          <w:color w:val="008000"/>
        </w:rPr>
        <w:t>ACHAT</w:t>
      </w:r>
      <w:r>
        <w:t xml:space="preserve"> | Confiance: Moyen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SDCC - SDCC - Société de Distribution d'Eau de Côte d'Ivoire</w:t>
      </w:r>
      <w:r>
        <w:t xml:space="preserve"> | Prix: 11610 FCFA | </w:t>
      </w:r>
      <w:r>
        <w:rPr>
          <w:b/>
          <w:color w:val="C00000"/>
        </w:rPr>
        <w:t>CONSERVER</w:t>
      </w:r>
      <w:r>
        <w:t xml:space="preserve"> | Confiance: Moyen | Risque: Moyen</w:t>
      </w:r>
    </w:p>
    <w:p>
      <w:pPr>
        <w:pStyle w:val="ListNumber"/>
      </w:pPr>
      <w:r>
        <w:rPr>
          <w:b/>
        </w:rPr>
        <w:t>SIVC - SIVC - ERIUM CI (Ex AIR LIQUIDECI)</w:t>
      </w:r>
      <w:r>
        <w:t xml:space="preserve"> | Prix: 2410 FCFA | </w:t>
      </w:r>
      <w:r>
        <w:rPr>
          <w:b/>
          <w:color w:val="C00000"/>
        </w:rPr>
        <w:t>CONSERVER ⚠️</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57.00%</w:t>
      </w:r>
      <w:r>
        <w:t xml:space="preserve">  |  </w:t>
      </w:r>
      <w:r>
        <w:rPr>
          <w:b/>
        </w:rPr>
        <w:t xml:space="preserve">vs BRVM Composite: </w:t>
      </w:r>
      <w:r>
        <w:rPr>
          <w:b/>
          <w:color w:val="008000"/>
        </w:rPr>
        <w:t>+36.56%  🟢 Surperformance</w:t>
      </w:r>
      <w:r>
        <w:br/>
      </w:r>
      <w:r>
        <w:rPr>
          <w:b/>
        </w:rPr>
        <w:t xml:space="preserve">Sentiment général: </w:t>
      </w:r>
      <w:r>
        <w:t xml:space="preserve">ACHAT  |  </w:t>
      </w:r>
      <w:r>
        <w:rPr>
          <w:b/>
        </w:rPr>
        <w:t xml:space="preserve">Risque moyen: </w:t>
      </w:r>
      <w:r>
        <w:t xml:space="preserve">Moyen  |  </w:t>
      </w:r>
      <w:r>
        <w:rPr>
          <w:b/>
        </w:rPr>
        <w:t xml:space="preserve">Prix moyen: </w:t>
      </w:r>
      <w:r>
        <w:t>8530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37.18%</w:t>
      </w:r>
      <w:r>
        <w:t xml:space="preserve">  |  </w:t>
      </w:r>
      <w:r>
        <w:rPr>
          <w:b/>
        </w:rPr>
        <w:t xml:space="preserve">vs BRVM Composite: </w:t>
      </w:r>
      <w:r>
        <w:rPr>
          <w:b/>
          <w:color w:val="008000"/>
        </w:rPr>
        <w:t>+16.74%  🟢 Surperformance</w:t>
      </w:r>
      <w:r>
        <w:br/>
      </w:r>
      <w:r>
        <w:rPr>
          <w:b/>
        </w:rPr>
        <w:t xml:space="preserve">Sentiment général: </w:t>
      </w:r>
      <w:r>
        <w:t xml:space="preserve">ACHAT  |  </w:t>
      </w:r>
      <w:r>
        <w:rPr>
          <w:b/>
        </w:rPr>
        <w:t xml:space="preserve">Risque moyen: </w:t>
      </w:r>
      <w:r>
        <w:t xml:space="preserve">Moyen  |  </w:t>
      </w:r>
      <w:r>
        <w:rPr>
          <w:b/>
        </w:rPr>
        <w:t xml:space="preserve">Prix moyen: </w:t>
      </w:r>
      <w:r>
        <w:t>13086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30.37%</w:t>
      </w:r>
      <w:r>
        <w:t xml:space="preserve">  |  </w:t>
      </w:r>
      <w:r>
        <w:rPr>
          <w:b/>
        </w:rPr>
        <w:t xml:space="preserve">vs BRVM Composite: </w:t>
      </w:r>
      <w:r>
        <w:rPr>
          <w:b/>
          <w:color w:val="008000"/>
        </w:rPr>
        <w:t>+9.93%  🟢 Surperformance</w:t>
      </w:r>
      <w:r>
        <w:br/>
      </w:r>
      <w:r>
        <w:rPr>
          <w:b/>
        </w:rPr>
        <w:t xml:space="preserve">Sentiment général: </w:t>
      </w:r>
      <w:r>
        <w:t xml:space="preserve">ACHAT  |  </w:t>
      </w:r>
      <w:r>
        <w:rPr>
          <w:b/>
        </w:rPr>
        <w:t xml:space="preserve">Risque moyen: </w:t>
      </w:r>
      <w:r>
        <w:t xml:space="preserve">Faible  |  </w:t>
      </w:r>
      <w:r>
        <w:rPr>
          <w:b/>
        </w:rPr>
        <w:t xml:space="preserve">Prix moyen: </w:t>
      </w:r>
      <w:r>
        <w:t>19246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11.19%</w:t>
      </w:r>
      <w:r>
        <w:t xml:space="preserve">  |  </w:t>
      </w:r>
      <w:r>
        <w:rPr>
          <w:b/>
        </w:rPr>
        <w:t xml:space="preserve">vs BRVM Composite: </w:t>
      </w:r>
      <w:r>
        <w:rPr>
          <w:b/>
          <w:color w:val="C00000"/>
        </w:rPr>
        <w:t>-9.25%  🔴 Sous-performance</w:t>
      </w:r>
      <w:r>
        <w:br/>
      </w:r>
      <w:r>
        <w:rPr>
          <w:b/>
        </w:rPr>
        <w:t xml:space="preserve">Sentiment général: </w:t>
      </w:r>
      <w:r>
        <w:t xml:space="preserve">ACHAT  |  </w:t>
      </w:r>
      <w:r>
        <w:rPr>
          <w:b/>
        </w:rPr>
        <w:t xml:space="preserve">Risque moyen: </w:t>
      </w:r>
      <w:r>
        <w:t xml:space="preserve">Moyen  |  </w:t>
      </w:r>
      <w:r>
        <w:rPr>
          <w:b/>
        </w:rPr>
        <w:t xml:space="preserve">Prix moyen: </w:t>
      </w:r>
      <w:r>
        <w:t>6312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9.69%</w:t>
      </w:r>
      <w:r>
        <w:t xml:space="preserve">  |  </w:t>
      </w:r>
      <w:r>
        <w:rPr>
          <w:b/>
        </w:rPr>
        <w:t xml:space="preserve">vs BRVM Composite: </w:t>
      </w:r>
      <w:r>
        <w:rPr>
          <w:b/>
          <w:color w:val="C00000"/>
        </w:rPr>
        <w:t>-10.75%  🔴 Sous-performance</w:t>
      </w:r>
      <w:r>
        <w:br/>
      </w:r>
      <w:r>
        <w:rPr>
          <w:b/>
        </w:rPr>
        <w:t xml:space="preserve">Sentiment général: </w:t>
      </w:r>
      <w:r>
        <w:t xml:space="preserve">ACHAT  |  </w:t>
      </w:r>
      <w:r>
        <w:rPr>
          <w:b/>
        </w:rPr>
        <w:t xml:space="preserve">Risque moyen: </w:t>
      </w:r>
      <w:r>
        <w:t xml:space="preserve">Moyen  |  </w:t>
      </w:r>
      <w:r>
        <w:rPr>
          <w:b/>
        </w:rPr>
        <w:t xml:space="preserve">Prix moyen: </w:t>
      </w:r>
      <w:r>
        <w:t>2775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7.97%</w:t>
      </w:r>
      <w:r>
        <w:t xml:space="preserve">  |  </w:t>
      </w:r>
      <w:r>
        <w:rPr>
          <w:b/>
        </w:rPr>
        <w:t xml:space="preserve">vs BRVM Composite: </w:t>
      </w:r>
      <w:r>
        <w:rPr>
          <w:b/>
          <w:color w:val="C00000"/>
        </w:rPr>
        <w:t>-12.47%  🔴 Sous-performance</w:t>
      </w:r>
      <w:r>
        <w:br/>
      </w:r>
      <w:r>
        <w:rPr>
          <w:b/>
        </w:rPr>
        <w:t xml:space="preserve">Sentiment général: </w:t>
      </w:r>
      <w:r>
        <w:t xml:space="preserve">ACHAT  |  </w:t>
      </w:r>
      <w:r>
        <w:rPr>
          <w:b/>
        </w:rPr>
        <w:t xml:space="preserve">Risque moyen: </w:t>
      </w:r>
      <w:r>
        <w:t xml:space="preserve">Faible  |  </w:t>
      </w:r>
      <w:r>
        <w:rPr>
          <w:b/>
        </w:rPr>
        <w:t xml:space="preserve">Prix moyen: </w:t>
      </w:r>
      <w:r>
        <w:t>17598 FCFA</w:t>
        <w:br/>
      </w:r>
      <w:r>
        <w:rPr>
          <w:b/>
        </w:rPr>
        <w:br/>
        <w:t xml:space="preserve">Sociétés: </w:t>
      </w:r>
      <w:r>
        <w:t>ONTBF (ONTBF - ONATEL BURKINA FASO), ORAC (ORAC - ORANGE COTE D'IVOIRE), SNTS (SNTS - SONATEL SN)</w:t>
      </w:r>
    </w:p>
    <w:p/>
    <w:p>
      <w:pPr>
        <w:pStyle w:val="Heading3"/>
      </w:pPr>
      <w:r>
        <w:t>Secteur: INDUSTRIELS</w:t>
      </w:r>
    </w:p>
    <w:p>
      <w:r>
        <w:rPr>
          <w:b/>
        </w:rPr>
        <w:t xml:space="preserve">Nombre de sociétés: </w:t>
      </w:r>
      <w:r>
        <w:t xml:space="preserve">6  |  </w:t>
      </w:r>
      <w:r>
        <w:rPr>
          <w:b/>
        </w:rPr>
        <w:t xml:space="preserve">Performance moyenne (100j): </w:t>
      </w:r>
      <w:r>
        <w:rPr>
          <w:color w:val="008000"/>
        </w:rPr>
        <w:t>2.85%</w:t>
      </w:r>
      <w:r>
        <w:t xml:space="preserve">  |  </w:t>
      </w:r>
      <w:r>
        <w:rPr>
          <w:b/>
        </w:rPr>
        <w:t xml:space="preserve">vs BRVM Composite: </w:t>
      </w:r>
      <w:r>
        <w:rPr>
          <w:b/>
          <w:color w:val="C00000"/>
        </w:rPr>
        <w:t>-17.59%  🔴 Sous-performance</w:t>
      </w:r>
      <w:r>
        <w:br/>
      </w:r>
      <w:r>
        <w:rPr>
          <w:b/>
        </w:rPr>
        <w:t xml:space="preserve">Sentiment général: </w:t>
      </w:r>
      <w:r>
        <w:t xml:space="preserve">ACHAT  |  </w:t>
      </w:r>
      <w:r>
        <w:rPr>
          <w:b/>
        </w:rPr>
        <w:t xml:space="preserve">Risque moyen: </w:t>
      </w:r>
      <w:r>
        <w:t xml:space="preserve">Moyen  |  </w:t>
      </w:r>
      <w:r>
        <w:rPr>
          <w:b/>
        </w:rPr>
        <w:t xml:space="preserve">Prix moyen: </w:t>
      </w:r>
      <w:r>
        <w:t>2506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BICC, BNBC, BOAN, CFAC, CIEC, ECOC, LNBB, NSBC, ONTBF, PALC, SAFC, SIBC, SNTS, STBC, TTLC,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BICB, BOABF, BOAC, BOAS, CABC, ETIT, NEIC, ORGT, PRSC, SCRC, SEMC, SHEC, SOGC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BOAB, BOAM, CBIBF, FTSC, NTLC, ORAC, SDSC, SGBC, SICC, SLBC, SMBC, SPHC, STAC, TTLS, UNLC</w:t>
            </w:r>
          </w:p>
        </w:tc>
        <w:tc>
          <w:tcPr>
            <w:tcW w:type="dxa" w:w="2160"/>
            <w:shd w:fill="FFC7CE" w:val="clear"/>
          </w:tcPr>
          <w:p>
            <w:pPr>
              <w:spacing w:before="40" w:after="40"/>
            </w:pPr>
            <w:r/>
            <w:r>
              <w:rPr>
                <w:b w:val="0"/>
                <w:sz w:val="16"/>
              </w:rPr>
              <w:t>SDCC, SIVC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2403316</w:t>
            </w:r>
          </w:p>
        </w:tc>
        <w:tc>
          <w:tcPr>
            <w:tcW w:type="dxa" w:w="1728"/>
          </w:tcPr>
          <w:p>
            <w:r>
              <w:t>164979877 FCFA</w:t>
            </w:r>
          </w:p>
        </w:tc>
        <w:tc>
          <w:tcPr>
            <w:tcW w:type="dxa" w:w="1728"/>
          </w:tcPr>
          <w:p>
            <w:r>
              <w:t>112.50%</w:t>
            </w:r>
          </w:p>
        </w:tc>
        <w:tc>
          <w:tcPr>
            <w:tcW w:type="dxa" w:w="1728"/>
          </w:tcPr>
          <w:p>
            <w:r>
              <w:t>ACHAT</w:t>
            </w:r>
          </w:p>
        </w:tc>
      </w:tr>
      <w:tr>
        <w:tc>
          <w:tcPr>
            <w:tcW w:type="dxa" w:w="1728"/>
          </w:tcPr>
          <w:p>
            <w:r>
              <w:t>SDSC (SDSC - AFRICA GLOBAL LOGISTICS CI)</w:t>
            </w:r>
          </w:p>
        </w:tc>
        <w:tc>
          <w:tcPr>
            <w:tcW w:type="dxa" w:w="1728"/>
          </w:tcPr>
          <w:p>
            <w:r>
              <w:t>16489</w:t>
            </w:r>
          </w:p>
        </w:tc>
        <w:tc>
          <w:tcPr>
            <w:tcW w:type="dxa" w:w="1728"/>
          </w:tcPr>
          <w:p>
            <w:r>
              <w:t>42628460 FCFA</w:t>
            </w:r>
          </w:p>
        </w:tc>
        <w:tc>
          <w:tcPr>
            <w:tcW w:type="dxa" w:w="1728"/>
          </w:tcPr>
          <w:p>
            <w:r>
              <w:t>42.24%</w:t>
            </w:r>
          </w:p>
        </w:tc>
        <w:tc>
          <w:tcPr>
            <w:tcW w:type="dxa" w:w="1728"/>
          </w:tcPr>
          <w:p>
            <w:r>
              <w:t>ACHAT</w:t>
            </w:r>
          </w:p>
        </w:tc>
      </w:tr>
      <w:tr>
        <w:tc>
          <w:tcPr>
            <w:tcW w:type="dxa" w:w="1728"/>
          </w:tcPr>
          <w:p>
            <w:r>
              <w:t>SNTS (SNTS - SONATEL SN)</w:t>
            </w:r>
          </w:p>
        </w:tc>
        <w:tc>
          <w:tcPr>
            <w:tcW w:type="dxa" w:w="1728"/>
          </w:tcPr>
          <w:p>
            <w:r>
              <w:t>11367</w:t>
            </w:r>
          </w:p>
        </w:tc>
        <w:tc>
          <w:tcPr>
            <w:tcW w:type="dxa" w:w="1728"/>
          </w:tcPr>
          <w:p>
            <w:r>
              <w:t>355335071 FCFA</w:t>
            </w:r>
          </w:p>
        </w:tc>
        <w:tc>
          <w:tcPr>
            <w:tcW w:type="dxa" w:w="1728"/>
          </w:tcPr>
          <w:p>
            <w:r>
              <w:t>10.35%</w:t>
            </w:r>
          </w:p>
        </w:tc>
        <w:tc>
          <w:tcPr>
            <w:tcW w:type="dxa" w:w="1728"/>
          </w:tcPr>
          <w:p>
            <w:r>
              <w:t>ACHAT</w:t>
            </w:r>
          </w:p>
        </w:tc>
      </w:tr>
      <w:tr>
        <w:tc>
          <w:tcPr>
            <w:tcW w:type="dxa" w:w="1728"/>
          </w:tcPr>
          <w:p>
            <w:r>
              <w:t>UNXC (UNXC - UNIWAX COTE D'IVOIRE)</w:t>
            </w:r>
          </w:p>
        </w:tc>
        <w:tc>
          <w:tcPr>
            <w:tcW w:type="dxa" w:w="1728"/>
          </w:tcPr>
          <w:p>
            <w:r>
              <w:t>11223</w:t>
            </w:r>
          </w:p>
        </w:tc>
        <w:tc>
          <w:tcPr>
            <w:tcW w:type="dxa" w:w="1728"/>
          </w:tcPr>
          <w:p>
            <w:r>
              <w:t>21094270 FCFA</w:t>
            </w:r>
          </w:p>
        </w:tc>
        <w:tc>
          <w:tcPr>
            <w:tcW w:type="dxa" w:w="1728"/>
          </w:tcPr>
          <w:p>
            <w:r>
              <w:t>-1.27%</w:t>
            </w:r>
          </w:p>
        </w:tc>
        <w:tc>
          <w:tcPr>
            <w:tcW w:type="dxa" w:w="1728"/>
          </w:tcPr>
          <w:p>
            <w:r>
              <w:t>ACHAT</w:t>
            </w:r>
          </w:p>
        </w:tc>
      </w:tr>
      <w:tr>
        <w:tc>
          <w:tcPr>
            <w:tcW w:type="dxa" w:w="1728"/>
          </w:tcPr>
          <w:p>
            <w:r>
              <w:t>BICB (BIIC BN - Banque internationale pour le commerce du benin)</w:t>
            </w:r>
          </w:p>
        </w:tc>
        <w:tc>
          <w:tcPr>
            <w:tcW w:type="dxa" w:w="1728"/>
          </w:tcPr>
          <w:p>
            <w:r>
              <w:t>10603</w:t>
            </w:r>
          </w:p>
        </w:tc>
        <w:tc>
          <w:tcPr>
            <w:tcW w:type="dxa" w:w="1728"/>
          </w:tcPr>
          <w:p>
            <w:r>
              <w:t>80543437 FCFA</w:t>
            </w:r>
          </w:p>
        </w:tc>
        <w:tc>
          <w:tcPr>
            <w:tcW w:type="dxa" w:w="1728"/>
          </w:tcPr>
          <w:p>
            <w:r>
              <w:t>61.43%</w:t>
            </w:r>
          </w:p>
        </w:tc>
        <w:tc>
          <w:tcPr>
            <w:tcW w:type="dxa" w:w="1728"/>
          </w:tcPr>
          <w:p>
            <w:r>
              <w:t>ACHAT</w:t>
            </w:r>
          </w:p>
        </w:tc>
      </w:tr>
      <w:tr>
        <w:tc>
          <w:tcPr>
            <w:tcW w:type="dxa" w:w="1728"/>
          </w:tcPr>
          <w:p>
            <w:r>
              <w:t>SOGC (SOGC - Société des caoutchoucs de Grand-Béréby)</w:t>
            </w:r>
          </w:p>
        </w:tc>
        <w:tc>
          <w:tcPr>
            <w:tcW w:type="dxa" w:w="1728"/>
          </w:tcPr>
          <w:p>
            <w:r>
              <w:t>10471</w:t>
            </w:r>
          </w:p>
        </w:tc>
        <w:tc>
          <w:tcPr>
            <w:tcW w:type="dxa" w:w="1728"/>
          </w:tcPr>
          <w:p>
            <w:r>
              <w:t>78846122 FCFA</w:t>
            </w:r>
          </w:p>
        </w:tc>
        <w:tc>
          <w:tcPr>
            <w:tcW w:type="dxa" w:w="1728"/>
          </w:tcPr>
          <w:p>
            <w:r>
              <w:t>-17.81%</w:t>
            </w:r>
          </w:p>
        </w:tc>
        <w:tc>
          <w:tcPr>
            <w:tcW w:type="dxa" w:w="1728"/>
          </w:tcPr>
          <w:p>
            <w:r>
              <w:t>ACHAT</w:t>
            </w:r>
          </w:p>
        </w:tc>
      </w:tr>
      <w:tr>
        <w:tc>
          <w:tcPr>
            <w:tcW w:type="dxa" w:w="1728"/>
          </w:tcPr>
          <w:p>
            <w:r>
              <w:t>SIBC (SIBC - SOCIETE IVOIRIENNE DE BANQUE)</w:t>
            </w:r>
          </w:p>
        </w:tc>
        <w:tc>
          <w:tcPr>
            <w:tcW w:type="dxa" w:w="1728"/>
          </w:tcPr>
          <w:p>
            <w:r>
              <w:t>9004</w:t>
            </w:r>
          </w:p>
        </w:tc>
        <w:tc>
          <w:tcPr>
            <w:tcW w:type="dxa" w:w="1728"/>
          </w:tcPr>
          <w:p>
            <w:r>
              <w:t>80775317 FCFA</w:t>
            </w:r>
          </w:p>
        </w:tc>
        <w:tc>
          <w:tcPr>
            <w:tcW w:type="dxa" w:w="1728"/>
          </w:tcPr>
          <w:p>
            <w:r>
              <w:t>28.62%</w:t>
            </w:r>
          </w:p>
        </w:tc>
        <w:tc>
          <w:tcPr>
            <w:tcW w:type="dxa" w:w="1728"/>
          </w:tcPr>
          <w:p>
            <w:r>
              <w:t>ACHAT</w:t>
            </w:r>
          </w:p>
        </w:tc>
      </w:tr>
      <w:tr>
        <w:tc>
          <w:tcPr>
            <w:tcW w:type="dxa" w:w="1728"/>
          </w:tcPr>
          <w:p>
            <w:r>
              <w:t>ONTBF (ONTBF - ONATEL BURKINA FASO)</w:t>
            </w:r>
          </w:p>
        </w:tc>
        <w:tc>
          <w:tcPr>
            <w:tcW w:type="dxa" w:w="1728"/>
          </w:tcPr>
          <w:p>
            <w:r>
              <w:t>7965</w:t>
            </w:r>
          </w:p>
        </w:tc>
        <w:tc>
          <w:tcPr>
            <w:tcW w:type="dxa" w:w="1728"/>
          </w:tcPr>
          <w:p>
            <w:r>
              <w:t>21919117 FCFA</w:t>
            </w:r>
          </w:p>
        </w:tc>
        <w:tc>
          <w:tcPr>
            <w:tcW w:type="dxa" w:w="1728"/>
          </w:tcPr>
          <w:p>
            <w:r>
              <w:t>-6.04%</w:t>
            </w:r>
          </w:p>
        </w:tc>
        <w:tc>
          <w:tcPr>
            <w:tcW w:type="dxa" w:w="1728"/>
          </w:tcPr>
          <w:p>
            <w:r>
              <w:t>ACHAT</w:t>
            </w:r>
          </w:p>
        </w:tc>
      </w:tr>
      <w:tr>
        <w:tc>
          <w:tcPr>
            <w:tcW w:type="dxa" w:w="1728"/>
          </w:tcPr>
          <w:p>
            <w:r>
              <w:t>SCRC (SCRC - SUCRIVOIRE)</w:t>
            </w:r>
          </w:p>
        </w:tc>
        <w:tc>
          <w:tcPr>
            <w:tcW w:type="dxa" w:w="1728"/>
          </w:tcPr>
          <w:p>
            <w:r>
              <w:t>7415</w:t>
            </w:r>
          </w:p>
        </w:tc>
        <w:tc>
          <w:tcPr>
            <w:tcW w:type="dxa" w:w="1728"/>
          </w:tcPr>
          <w:p>
            <w:r>
              <w:t>27051756 FCFA</w:t>
            </w:r>
          </w:p>
        </w:tc>
        <w:tc>
          <w:tcPr>
            <w:tcW w:type="dxa" w:w="1728"/>
          </w:tcPr>
          <w:p>
            <w:r>
              <w:t>153.95%</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CFAC (CFAC - CFAO MOTORS CI)</w:t>
            </w:r>
          </w:p>
        </w:tc>
        <w:tc>
          <w:tcPr>
            <w:tcW w:type="dxa" w:w="1728"/>
          </w:tcPr>
          <w:p>
            <w:r>
              <w:t>3268</w:t>
            </w:r>
          </w:p>
        </w:tc>
        <w:tc>
          <w:tcPr>
            <w:tcW w:type="dxa" w:w="1728"/>
          </w:tcPr>
          <w:p>
            <w:r>
              <w:t>5388982 FCFA</w:t>
            </w:r>
          </w:p>
        </w:tc>
        <w:tc>
          <w:tcPr>
            <w:tcW w:type="dxa" w:w="1728"/>
          </w:tcPr>
          <w:p>
            <w:r>
              <w:t>-8.31%</w:t>
            </w:r>
          </w:p>
        </w:tc>
        <w:tc>
          <w:tcPr>
            <w:tcW w:type="dxa" w:w="1728"/>
          </w:tcPr>
          <w:p>
            <w:r>
              <w:t>ACHAT</w:t>
            </w:r>
          </w:p>
        </w:tc>
      </w:tr>
      <w:tr>
        <w:tc>
          <w:tcPr>
            <w:tcW w:type="dxa" w:w="1728"/>
          </w:tcPr>
          <w:p>
            <w:r>
              <w:t>TTLS (TTLS - TOTAL ENERGIES MARKETING SENEGAL)</w:t>
            </w:r>
          </w:p>
        </w:tc>
        <w:tc>
          <w:tcPr>
            <w:tcW w:type="dxa" w:w="1728"/>
          </w:tcPr>
          <w:p>
            <w:r>
              <w:t>3232</w:t>
            </w:r>
          </w:p>
        </w:tc>
        <w:tc>
          <w:tcPr>
            <w:tcW w:type="dxa" w:w="1728"/>
          </w:tcPr>
          <w:p>
            <w:r>
              <w:t>11968685 FCFA</w:t>
            </w:r>
          </w:p>
        </w:tc>
        <w:tc>
          <w:tcPr>
            <w:tcW w:type="dxa" w:w="1728"/>
          </w:tcPr>
          <w:p>
            <w:r>
              <w:t>12.15%</w:t>
            </w:r>
          </w:p>
        </w:tc>
        <w:tc>
          <w:tcPr>
            <w:tcW w:type="dxa" w:w="1728"/>
          </w:tcPr>
          <w:p>
            <w:r>
              <w:t>ACHAT</w:t>
            </w:r>
          </w:p>
        </w:tc>
      </w:tr>
      <w:tr>
        <w:tc>
          <w:tcPr>
            <w:tcW w:type="dxa" w:w="1728"/>
          </w:tcPr>
          <w:p>
            <w:r>
              <w:t>ABJC (ABJC - SERVAIR ABIDJAN CI)</w:t>
            </w:r>
          </w:p>
        </w:tc>
        <w:tc>
          <w:tcPr>
            <w:tcW w:type="dxa" w:w="1728"/>
          </w:tcPr>
          <w:p>
            <w:r>
              <w:t>3187</w:t>
            </w:r>
          </w:p>
        </w:tc>
        <w:tc>
          <w:tcPr>
            <w:tcW w:type="dxa" w:w="1728"/>
          </w:tcPr>
          <w:p>
            <w:r>
              <w:t>9599135 FCFA</w:t>
            </w:r>
          </w:p>
        </w:tc>
        <w:tc>
          <w:tcPr>
            <w:tcW w:type="dxa" w:w="1728"/>
          </w:tcPr>
          <w:p>
            <w:r>
              <w:t>-1.85%</w:t>
            </w:r>
          </w:p>
        </w:tc>
        <w:tc>
          <w:tcPr>
            <w:tcW w:type="dxa" w:w="1728"/>
          </w:tcPr>
          <w:p>
            <w:r>
              <w:t>ACHAT</w:t>
            </w:r>
          </w:p>
        </w:tc>
      </w:tr>
      <w:tr>
        <w:tc>
          <w:tcPr>
            <w:tcW w:type="dxa" w:w="1728"/>
          </w:tcPr>
          <w:p>
            <w:r>
              <w:t>CABC (CABC - SICABLE COTE D'IVOIRE)</w:t>
            </w:r>
          </w:p>
        </w:tc>
        <w:tc>
          <w:tcPr>
            <w:tcW w:type="dxa" w:w="1728"/>
          </w:tcPr>
          <w:p>
            <w:r>
              <w:t>2852</w:t>
            </w:r>
          </w:p>
        </w:tc>
        <w:tc>
          <w:tcPr>
            <w:tcW w:type="dxa" w:w="1728"/>
          </w:tcPr>
          <w:p>
            <w:r>
              <w:t>10200020 FCFA</w:t>
            </w:r>
          </w:p>
        </w:tc>
        <w:tc>
          <w:tcPr>
            <w:tcW w:type="dxa" w:w="1728"/>
          </w:tcPr>
          <w:p>
            <w:r>
              <w:t>6.40%</w:t>
            </w:r>
          </w:p>
        </w:tc>
        <w:tc>
          <w:tcPr>
            <w:tcW w:type="dxa" w:w="1728"/>
          </w:tcPr>
          <w:p>
            <w:r>
              <w:t>ACHAT</w:t>
            </w:r>
          </w:p>
        </w:tc>
      </w:tr>
      <w:tr>
        <w:tc>
          <w:tcPr>
            <w:tcW w:type="dxa" w:w="1728"/>
          </w:tcPr>
          <w:p>
            <w:r>
              <w:t>PALC (PALC - PALM COTE D'IVOIRE)</w:t>
            </w:r>
          </w:p>
        </w:tc>
        <w:tc>
          <w:tcPr>
            <w:tcW w:type="dxa" w:w="1728"/>
          </w:tcPr>
          <w:p>
            <w:r>
              <w:t>2521</w:t>
            </w:r>
          </w:p>
        </w:tc>
        <w:tc>
          <w:tcPr>
            <w:tcW w:type="dxa" w:w="1728"/>
          </w:tcPr>
          <w:p>
            <w:r>
              <w:t>22245655 FCFA</w:t>
            </w:r>
          </w:p>
        </w:tc>
        <w:tc>
          <w:tcPr>
            <w:tcW w:type="dxa" w:w="1728"/>
          </w:tcPr>
          <w:p>
            <w:r>
              <w:t>-4.66%</w:t>
            </w:r>
          </w:p>
        </w:tc>
        <w:tc>
          <w:tcPr>
            <w:tcW w:type="dxa" w:w="1728"/>
          </w:tcPr>
          <w:p>
            <w:r>
              <w:t>ACHAT</w:t>
            </w:r>
          </w:p>
        </w:tc>
      </w:tr>
      <w:tr>
        <w:tc>
          <w:tcPr>
            <w:tcW w:type="dxa" w:w="1728"/>
          </w:tcPr>
          <w:p>
            <w:r>
              <w:t>SLBC (SLBC - SOLIBRA COTE D'IVOIRE)</w:t>
            </w:r>
          </w:p>
        </w:tc>
        <w:tc>
          <w:tcPr>
            <w:tcW w:type="dxa" w:w="1728"/>
          </w:tcPr>
          <w:p>
            <w:r>
              <w:t>2100</w:t>
            </w:r>
          </w:p>
        </w:tc>
        <w:tc>
          <w:tcPr>
            <w:tcW w:type="dxa" w:w="1728"/>
          </w:tcPr>
          <w:p>
            <w:r>
              <w:t>81143376 FCFA</w:t>
            </w:r>
          </w:p>
        </w:tc>
        <w:tc>
          <w:tcPr>
            <w:tcW w:type="dxa" w:w="1728"/>
          </w:tcPr>
          <w:p>
            <w:r>
              <w:t>-3.81%</w:t>
            </w:r>
          </w:p>
        </w:tc>
        <w:tc>
          <w:tcPr>
            <w:tcW w:type="dxa" w:w="1728"/>
          </w:tcPr>
          <w:p>
            <w:r>
              <w:t>ACHAT</w:t>
            </w:r>
          </w:p>
        </w:tc>
      </w:tr>
      <w:tr>
        <w:tc>
          <w:tcPr>
            <w:tcW w:type="dxa" w:w="1728"/>
          </w:tcPr>
          <w:p>
            <w:r>
              <w:t>BNBC (BNBC - BERNABE CI)</w:t>
            </w:r>
          </w:p>
        </w:tc>
        <w:tc>
          <w:tcPr>
            <w:tcW w:type="dxa" w:w="1728"/>
          </w:tcPr>
          <w:p>
            <w:r>
              <w:t>2018</w:t>
            </w:r>
          </w:p>
        </w:tc>
        <w:tc>
          <w:tcPr>
            <w:tcW w:type="dxa" w:w="1728"/>
          </w:tcPr>
          <w:p>
            <w:r>
              <w:t>3874051 FCFA</w:t>
            </w:r>
          </w:p>
        </w:tc>
        <w:tc>
          <w:tcPr>
            <w:tcW w:type="dxa" w:w="1728"/>
          </w:tcPr>
          <w:p>
            <w:r>
              <w:t>24.22%</w:t>
            </w:r>
          </w:p>
        </w:tc>
        <w:tc>
          <w:tcPr>
            <w:tcW w:type="dxa" w:w="1728"/>
          </w:tcPr>
          <w:p>
            <w:r>
              <w:t>ACHAT</w:t>
            </w:r>
          </w:p>
        </w:tc>
      </w:tr>
      <w:tr>
        <w:tc>
          <w:tcPr>
            <w:tcW w:type="dxa" w:w="1728"/>
          </w:tcPr>
          <w:p>
            <w:r>
              <w:t>SMBC (SMBC - Société Multinationale de Bitumes COTE D'IVOIRE)</w:t>
            </w:r>
          </w:p>
        </w:tc>
        <w:tc>
          <w:tcPr>
            <w:tcW w:type="dxa" w:w="1728"/>
          </w:tcPr>
          <w:p>
            <w:r>
              <w:t>2005</w:t>
            </w:r>
          </w:p>
        </w:tc>
        <w:tc>
          <w:tcPr>
            <w:tcW w:type="dxa" w:w="1728"/>
          </w:tcPr>
          <w:p>
            <w:r>
              <w:t>31929027 FCFA</w:t>
            </w:r>
          </w:p>
        </w:tc>
        <w:tc>
          <w:tcPr>
            <w:tcW w:type="dxa" w:w="1728"/>
          </w:tcPr>
          <w:p>
            <w:r>
              <w:t>23.68%</w:t>
            </w:r>
          </w:p>
        </w:tc>
        <w:tc>
          <w:tcPr>
            <w:tcW w:type="dxa" w:w="1728"/>
          </w:tcPr>
          <w:p>
            <w:r>
              <w:t>ACHAT</w:t>
            </w:r>
          </w:p>
        </w:tc>
      </w:tr>
      <w:tr>
        <w:tc>
          <w:tcPr>
            <w:tcW w:type="dxa" w:w="1728"/>
          </w:tcPr>
          <w:p>
            <w:r>
              <w:t>SPHC (SPHC - Société Africaine de Plantation d'Hévéas de Côte d'Ivoire)</w:t>
            </w:r>
          </w:p>
        </w:tc>
        <w:tc>
          <w:tcPr>
            <w:tcW w:type="dxa" w:w="1728"/>
          </w:tcPr>
          <w:p>
            <w:r>
              <w:t>1953</w:t>
            </w:r>
          </w:p>
        </w:tc>
        <w:tc>
          <w:tcPr>
            <w:tcW w:type="dxa" w:w="1728"/>
          </w:tcPr>
          <w:p>
            <w:r>
              <w:t>14679078 FCFA</w:t>
            </w:r>
          </w:p>
        </w:tc>
        <w:tc>
          <w:tcPr>
            <w:tcW w:type="dxa" w:w="1728"/>
          </w:tcPr>
          <w:p>
            <w:r>
              <w:t>-4.71%</w:t>
            </w:r>
          </w:p>
        </w:tc>
        <w:tc>
          <w:tcPr>
            <w:tcW w:type="dxa" w:w="1728"/>
          </w:tcPr>
          <w:p>
            <w:r>
              <w:t>ACHAT</w:t>
            </w:r>
          </w:p>
        </w:tc>
      </w:tr>
      <w:tr>
        <w:tc>
          <w:tcPr>
            <w:tcW w:type="dxa" w:w="1728"/>
          </w:tcPr>
          <w:p>
            <w:r>
              <w:t>NSBC (NSBC - NSIA BANQUE COTE D'IVOIRE)</w:t>
            </w:r>
          </w:p>
        </w:tc>
        <w:tc>
          <w:tcPr>
            <w:tcW w:type="dxa" w:w="1728"/>
          </w:tcPr>
          <w:p>
            <w:r>
              <w:t>1746</w:t>
            </w:r>
          </w:p>
        </w:tc>
        <w:tc>
          <w:tcPr>
            <w:tcW w:type="dxa" w:w="1728"/>
          </w:tcPr>
          <w:p>
            <w:r>
              <w:t>40092633 FCFA</w:t>
            </w:r>
          </w:p>
        </w:tc>
        <w:tc>
          <w:tcPr>
            <w:tcW w:type="dxa" w:w="1728"/>
          </w:tcPr>
          <w:p>
            <w:r>
              <w:t>61.97%</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FTSC - FTSC - FILTISAC COTE D'IVOIRE</w:t>
      </w:r>
    </w:p>
    <w:p>
      <w:r>
        <w:rPr>
          <w:b/>
        </w:rPr>
        <w:t xml:space="preserve">Score de divergence: </w:t>
      </w:r>
      <w:r>
        <w:t>6/8</w:t>
        <w:br/>
      </w:r>
      <w:r>
        <w:rPr>
          <w:b/>
        </w:rPr>
        <w:t xml:space="preserve">Description: </w:t>
      </w:r>
      <w:r>
        <w:t>Signaux d'achat: MACD | Signaux de vente: MM, Bollinger, RSI, Stochastique | Recommandation finale: ACHAT</w:t>
        <w:br/>
      </w:r>
    </w:p>
    <w:p/>
    <w:p>
      <w:pPr>
        <w:pStyle w:val="Heading3"/>
      </w:pPr>
      <w:r>
        <w:t>2. SGBC - SGBC - SOCIETE GENERALE COTE D'IVOIRE</w:t>
      </w:r>
    </w:p>
    <w:p>
      <w:r>
        <w:rPr>
          <w:b/>
        </w:rPr>
        <w:t xml:space="preserve">Score de divergence: </w:t>
      </w:r>
      <w:r>
        <w:t>6/8</w:t>
        <w:br/>
      </w:r>
      <w:r>
        <w:rPr>
          <w:b/>
        </w:rPr>
        <w:t xml:space="preserve">Description: </w:t>
      </w:r>
      <w:r>
        <w:t>Signaux d'achat: MACD | Signaux de vente: MM, Bollinger, RSI, Stochastique | Recommandation finale: ACHAT</w:t>
        <w:br/>
      </w:r>
    </w:p>
    <w:p/>
    <w:p>
      <w:pPr>
        <w:pStyle w:val="Heading3"/>
      </w:pPr>
      <w:r>
        <w:t>3. SPHC - SPHC - Société Africaine de Plantation d'Hévéas de Côte d'Ivoire</w:t>
      </w:r>
    </w:p>
    <w:p>
      <w:r>
        <w:rPr>
          <w:b/>
        </w:rPr>
        <w:t xml:space="preserve">Score de divergence: </w:t>
      </w:r>
      <w:r>
        <w:t>6/8</w:t>
        <w:br/>
      </w:r>
      <w:r>
        <w:rPr>
          <w:b/>
        </w:rPr>
        <w:t xml:space="preserve">Description: </w:t>
      </w:r>
      <w:r>
        <w:t>Signaux d'achat: MACD | Signaux de vente: MM, Bollinger, RSI, Stochastique | Recommandation finale: ACHAT</w:t>
        <w:br/>
      </w:r>
    </w:p>
    <w:p/>
    <w:p>
      <w:pPr>
        <w:pStyle w:val="Heading3"/>
      </w:pPr>
      <w:r>
        <w:t>4. CBIBF - CBIBF - CORIS BANK INTERNATIONAL BURKINA FASO</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5. SLBC - SLBC - SOLIBRA COTE D'IVOIRE</w:t>
      </w:r>
    </w:p>
    <w:p>
      <w:r>
        <w:rPr>
          <w:b/>
        </w:rPr>
        <w:t xml:space="preserve">Score de divergence: </w:t>
      </w:r>
      <w:r>
        <w:t>5/8</w:t>
        <w:br/>
      </w:r>
      <w:r>
        <w:rPr>
          <w:b/>
        </w:rPr>
        <w:t xml:space="preserve">Description: </w:t>
      </w:r>
      <w:r>
        <w:t>Signaux de vente: MM, MACD | Recommandation finale: ACHAT</w:t>
        <w:br/>
      </w:r>
    </w:p>
    <w:p/>
    <w:p>
      <w:pPr>
        <w:pStyle w:val="Heading3"/>
      </w:pPr>
      <w:r>
        <w:t>6. TTLS - TTLS - TOTAL ENERGIES MARKETING SENEGAL</w:t>
      </w:r>
    </w:p>
    <w:p>
      <w:r>
        <w:rPr>
          <w:b/>
        </w:rPr>
        <w:t xml:space="preserve">Score de divergence: </w:t>
      </w:r>
      <w:r>
        <w:t>5/8</w:t>
        <w:br/>
      </w:r>
      <w:r>
        <w:rPr>
          <w:b/>
        </w:rPr>
        <w:t xml:space="preserve">Description: </w:t>
      </w:r>
      <w:r>
        <w:t>Signaux de vente: MM, MACD | Recommandation finale: ACHAT</w:t>
        <w:br/>
      </w:r>
    </w:p>
    <w:p/>
    <w:p>
      <w:pPr>
        <w:pStyle w:val="Heading3"/>
      </w:pPr>
      <w:r>
        <w:t>7. ABJC - ABJC - SERVAIR ABIDJAN CI</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8. BOAB - BANK OF AFRICA BENIN</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9. BOAM - BANK OF AFRICA MALI</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10. NTLC - NTLC - NESTLE COTE D'IVOIRE</w:t>
      </w:r>
    </w:p>
    <w:p>
      <w:r>
        <w:rPr>
          <w:b/>
        </w:rPr>
        <w:t xml:space="preserve">Score de divergence: </w:t>
      </w:r>
      <w:r>
        <w:t>4/8</w:t>
        <w:br/>
      </w:r>
      <w:r>
        <w:rPr>
          <w:b/>
        </w:rPr>
        <w:t xml:space="preserve">Description: </w:t>
      </w:r>
      <w:r>
        <w:t>Signaux d'achat: MM, MACD | Signaux de vente: Bollinger, RSI,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24</w:t>
            </w:r>
          </w:p>
        </w:tc>
        <w:tc>
          <w:tcPr>
            <w:tcW w:type="dxa" w:w="2160"/>
          </w:tcPr>
          <w:p>
            <w:r>
              <w:t>0</w:t>
            </w:r>
          </w:p>
        </w:tc>
      </w:tr>
      <w:tr>
        <w:tc>
          <w:tcPr>
            <w:tcW w:type="dxa" w:w="2160"/>
          </w:tcPr>
          <w:p>
            <w:r>
              <w:t>Risque Moyen</w:t>
            </w:r>
          </w:p>
        </w:tc>
        <w:tc>
          <w:tcPr>
            <w:tcW w:type="dxa" w:w="2160"/>
          </w:tcPr>
          <w:p>
            <w:r>
              <w:t>0</w:t>
            </w:r>
          </w:p>
        </w:tc>
        <w:tc>
          <w:tcPr>
            <w:tcW w:type="dxa" w:w="2160"/>
          </w:tcPr>
          <w:p>
            <w:r>
              <w:t>23</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BNBC (BNBC - BERNABE CI)</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PALC (PALC - PALM COTE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SNTS (SNTS - SONATEL SN)</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 (BANK OF AFRICA BENIN)</w:t>
      </w:r>
    </w:p>
    <w:p>
      <w:pPr>
        <w:pStyle w:val="ListBullet"/>
      </w:pPr>
      <w:r>
        <w:t>• BOAN (BANK OF AFRICA NIGER)</w:t>
      </w:r>
    </w:p>
    <w:p>
      <w:pPr>
        <w:pStyle w:val="ListBullet"/>
      </w:pPr>
      <w:r>
        <w:t>• CABC (CABC - SICABLE COTE D'IVOIRE)</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SICC (SICC - SICOR COTE D'IVOIRE)</w:t>
      </w:r>
    </w:p>
    <w:p>
      <w:pPr>
        <w:pStyle w:val="ListBullet"/>
      </w:pPr>
      <w:r>
        <w:t>• SMBC (SMBC - Société Multinationale de Bitumes COTE D'IVOIRE)</w:t>
      </w:r>
    </w:p>
    <w:p>
      <w:pPr>
        <w:pStyle w:val="ListBullet"/>
      </w:pPr>
      <w:r>
        <w:t>• STAC (STAC - SETAO COTE D'IVOIRE)</w:t>
      </w:r>
    </w:p>
    <w:p>
      <w:pPr>
        <w:pStyle w:val="ListBullet"/>
      </w:pPr>
      <w:r>
        <w:t>• TTLS (TTLS - TOTAL ENERGIES MARKETING SENEGAL)</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L'indice MXV des matières premières fluctue autour de 2 800 points, indiquant une stabilité relative après des variations récentes. Par ailleurs, le contexte géopolitique mondial incite les investisseurs à rechercher des stratégies de protection d'actifs. Enfin, l'engouement pour les produits financiers hyperspéculatifs comme les "perps" suscite des inquiétudes réglementaires et de stabilité.</w:t>
      </w:r>
    </w:p>
    <w:p>
      <w:pPr>
        <w:pStyle w:val="Heading3"/>
      </w:pPr>
      <w:r>
        <w:rPr>
          <w:color w:val="500050"/>
        </w:rPr>
        <w:t>⚡ Impact estimé sur la BRVM</w:t>
      </w:r>
    </w:p>
    <w:p>
      <w:pPr>
        <w:spacing w:before="20" w:after="40"/>
        <w:ind w:left="280"/>
      </w:pPr>
      <w:r>
        <w:rPr>
          <w:i/>
          <w:sz w:val="18"/>
        </w:rPr>
        <w:t>La stabilité des matières premières est neutre pour la BRVM, mais l'aversion au risque mondiale peut réduire l'appétit des investisseurs étrangers pour les marchés émergents comme la BRVM. Les secteurs dépendants des importations (énergie, consommation) pourraient voir leurs marges stables, sans pression inflationniste majeure.</w:t>
      </w:r>
    </w:p>
    <w:p>
      <w:pPr>
        <w:pStyle w:val="Heading2"/>
      </w:pPr>
      <w:r>
        <w:rPr>
          <w:color w:val="006E32"/>
        </w:rPr>
        <w:t>🌍 Plan Africain</w:t>
      </w:r>
    </w:p>
    <w:p>
      <w:pPr>
        <w:spacing w:before="20" w:after="40"/>
        <w:ind w:left="0"/>
      </w:pPr>
      <w:r>
        <w:rPr>
          <w:sz w:val="18"/>
        </w:rPr>
        <w:t>L'investissement dans l'économie des soins est présenté comme un levier de croissance stratégique par un officiel sénégalais, et l'OMS recommande l'investissement privé dans la santé en Mauritanie. Par ailleurs, la Senelec a émis 108 milliards de FCFA de dette verte à la Bourse de Luxembourg, illustrant l'attrait des obligations vertes africaines.</w:t>
      </w:r>
    </w:p>
    <w:p>
      <w:pPr>
        <w:pStyle w:val="Heading3"/>
      </w:pPr>
      <w:r>
        <w:rPr>
          <w:color w:val="500050"/>
        </w:rPr>
        <w:t>⚡ Impact estimé sur la BRVM</w:t>
      </w:r>
    </w:p>
    <w:p>
      <w:pPr>
        <w:spacing w:before="20" w:after="40"/>
        <w:ind w:left="280"/>
      </w:pPr>
      <w:r>
        <w:rPr>
          <w:i/>
          <w:sz w:val="18"/>
        </w:rPr>
        <w:t>Ces initiatives dans la santé et la finance verte pourraient indirectement bénéficier aux sociétés BRVM actives dans les services financiers (BOAC, BOAN, ECOC) via des opportunités de financement de projets. Cependant, l'impact direct reste limité à court terme.</w:t>
      </w:r>
    </w:p>
    <w:p>
      <w:pPr>
        <w:pStyle w:val="Heading2"/>
      </w:pPr>
      <w:r>
        <w:rPr>
          <w:color w:val="145A28"/>
        </w:rPr>
        <w:t>🌍 Plan Afrique de l'Ouest</w:t>
      </w:r>
    </w:p>
    <w:p>
      <w:pPr>
        <w:spacing w:before="20" w:after="40"/>
        <w:ind w:left="0"/>
      </w:pPr>
      <w:r>
        <w:rPr>
          <w:sz w:val="18"/>
        </w:rPr>
        <w:t>Le projet de monnaie unique de la CEDEAO, l'Eco, est envisagé pour 2027 mais se heurte à des obstacles économiques et politiques, notamment la divergence des politiques budgétaires. La fin de mandat du président de la Commission de la CEDEAO marque une transition institutionnelle.</w:t>
      </w:r>
    </w:p>
    <w:p>
      <w:pPr>
        <w:pStyle w:val="Heading3"/>
      </w:pPr>
      <w:r>
        <w:rPr>
          <w:color w:val="500050"/>
        </w:rPr>
        <w:t>⚡ Impact estimé sur la BRVM</w:t>
      </w:r>
    </w:p>
    <w:p>
      <w:pPr>
        <w:spacing w:before="20" w:after="40"/>
        <w:ind w:left="280"/>
      </w:pPr>
      <w:r>
        <w:rPr>
          <w:i/>
          <w:sz w:val="18"/>
        </w:rPr>
        <w:t>L'incertitude autour de l'Eco pourrait maintenir un statu quo monétaire, favorable à la stabilité du FCFA et donc aux entreprises cotées. La transition à la tête de la CEDEAO est neutre pour les opérateurs économiques de la zone.</w:t>
      </w:r>
    </w:p>
    <w:p>
      <w:pPr>
        <w:pStyle w:val="Heading2"/>
      </w:pPr>
      <w:r>
        <w:rPr>
          <w:color w:val="8C4600"/>
        </w:rPr>
        <w:t>🏦 Plan UEMOA / Zone Franc</w:t>
      </w:r>
    </w:p>
    <w:p>
      <w:pPr>
        <w:spacing w:before="20" w:after="40"/>
        <w:ind w:left="0"/>
      </w:pPr>
      <w:r>
        <w:rPr>
          <w:sz w:val="18"/>
        </w:rPr>
        <w:t>La libération de 82 militaires maliens détenus par des groupes jihadistes est un signal positif pour la sécurité régionale. Aucune décision BCEAO spécifique n'a été rapportée dans les actualités collectées.</w:t>
      </w:r>
    </w:p>
    <w:p>
      <w:pPr>
        <w:pStyle w:val="Heading3"/>
      </w:pPr>
      <w:r>
        <w:rPr>
          <w:color w:val="500050"/>
        </w:rPr>
        <w:t>⚡ Impact estimé sur la BRVM</w:t>
      </w:r>
    </w:p>
    <w:p>
      <w:pPr>
        <w:spacing w:before="20" w:after="40"/>
        <w:ind w:left="280"/>
      </w:pPr>
      <w:r>
        <w:rPr>
          <w:i/>
          <w:sz w:val="18"/>
        </w:rPr>
        <w:t>L'amélioration sécuritaire au Mali peut renforcer la confiance des investisseurs dans la région, bénéficiant aux sociétés ayant des activités transfrontalières comme les télécommunications (ONTBF, SNTS) et les banques (SIBC, BNBC).</w:t>
      </w:r>
    </w:p>
    <w:p>
      <w:pPr>
        <w:pStyle w:val="Heading2"/>
      </w:pPr>
      <w:r>
        <w:rPr>
          <w:color w:val="003366"/>
        </w:rPr>
        <w:t>📈 Plan BRVM</w:t>
      </w:r>
    </w:p>
    <w:p>
      <w:pPr>
        <w:spacing w:before="20" w:after="40"/>
        <w:ind w:left="0"/>
      </w:pPr>
      <w:r>
        <w:rPr>
          <w:sz w:val="18"/>
        </w:rPr>
        <w:t>Les résultats encourageants des sociétés cotées ivoiriennes à la BRVM ont été soulignés en juin, indiquant une dynamique positive des fondamentaux. L'indice BRVM Composite se situe à 496.22 points.</w:t>
      </w:r>
    </w:p>
    <w:p>
      <w:pPr>
        <w:pStyle w:val="Heading3"/>
      </w:pPr>
      <w:r>
        <w:rPr>
          <w:color w:val="500050"/>
        </w:rPr>
        <w:t>⚡ Impact estimé sur la BRVM</w:t>
      </w:r>
    </w:p>
    <w:p>
      <w:pPr>
        <w:spacing w:before="20" w:after="40"/>
        <w:ind w:left="280"/>
      </w:pPr>
      <w:r>
        <w:rPr>
          <w:i/>
          <w:sz w:val="18"/>
        </w:rPr>
        <w:t>Cette tendance positive des résultats pourrait soutenir les valorisations des valeurs ivoiriennes comme SGBC, BICB et PALC. Les investisseurs devraient surveiller les publications de résultats à venir pour confirmer cette dynamique.</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L'instabilité géopolitique croissante est un thème central, avec des stratégies de protection d'actifs recommandées. Le contexte international est marqué par des tensions qui pourraient affecter les flux de capitaux vers les marchés émergents.</w:t>
      </w:r>
    </w:p>
    <w:p>
      <w:pPr>
        <w:pStyle w:val="Heading3"/>
      </w:pPr>
      <w:r>
        <w:rPr>
          <w:color w:val="500050"/>
        </w:rPr>
        <w:t>⚡ Impact estimé sur la BRVM</w:t>
      </w:r>
    </w:p>
    <w:p>
      <w:pPr>
        <w:spacing w:before="20" w:after="40"/>
        <w:ind w:left="280"/>
      </w:pPr>
      <w:r>
        <w:rPr>
          <w:i/>
          <w:sz w:val="18"/>
        </w:rPr>
        <w:t>L'instabilité mondiale peut conduire les investisseurs à privilégier les actifs refuges, réduisant temporairement l'intérêt pour la BRVM. Cependant, la BRVM peut être perçue comme une valeur refuge régionale en Afrique de l'Ouest.</w:t>
      </w:r>
    </w:p>
    <w:p>
      <w:pPr>
        <w:pStyle w:val="Heading2"/>
      </w:pPr>
      <w:r>
        <w:rPr>
          <w:color w:val="006E32"/>
        </w:rPr>
        <w:t>🌍 Plan Africain</w:t>
      </w:r>
    </w:p>
    <w:p>
      <w:pPr>
        <w:spacing w:before="20" w:after="40"/>
        <w:ind w:left="0"/>
      </w:pPr>
      <w:r>
        <w:rPr>
          <w:sz w:val="18"/>
        </w:rPr>
        <w:t>La libération de 82 militaires maliens par le FLA/JNIM est un développement positif pour la résolution des conflits au Sahel. Le Mali a également gracié un agent français, geste diplomatique envers Paris.</w:t>
      </w:r>
    </w:p>
    <w:p>
      <w:pPr>
        <w:pStyle w:val="Heading3"/>
      </w:pPr>
      <w:r>
        <w:rPr>
          <w:color w:val="500050"/>
        </w:rPr>
        <w:t>⚡ Impact estimé sur la BRVM</w:t>
      </w:r>
    </w:p>
    <w:p>
      <w:pPr>
        <w:spacing w:before="20" w:after="40"/>
        <w:ind w:left="280"/>
      </w:pPr>
      <w:r>
        <w:rPr>
          <w:i/>
          <w:sz w:val="18"/>
        </w:rPr>
        <w:t>L'amélioration de la situation sécuritaire et diplomatique au Mali pourrait réduire la prime de risque pays dans la région, bénéficiant aux sociétés cotées ayant des expositions sahéliennes (BOAM, ORGT).</w:t>
      </w:r>
    </w:p>
    <w:p>
      <w:pPr>
        <w:pStyle w:val="Heading2"/>
      </w:pPr>
      <w:r>
        <w:rPr>
          <w:color w:val="145A28"/>
        </w:rPr>
        <w:t>🌍 Plan Afrique de l'Ouest</w:t>
      </w:r>
    </w:p>
    <w:p>
      <w:pPr>
        <w:spacing w:before="20" w:after="40"/>
        <w:ind w:left="0"/>
      </w:pPr>
      <w:r>
        <w:rPr>
          <w:sz w:val="18"/>
        </w:rPr>
        <w:t>Les discussions sur la monnaie unique Eco restent au centre des préoccupations politiques régionales. La CEDEAO traverse une période de transition institutionnelle avec le départ de son président de commission.</w:t>
      </w:r>
    </w:p>
    <w:p>
      <w:pPr>
        <w:pStyle w:val="Heading3"/>
      </w:pPr>
      <w:r>
        <w:rPr>
          <w:color w:val="500050"/>
        </w:rPr>
        <w:t>⚡ Impact estimé sur la BRVM</w:t>
      </w:r>
    </w:p>
    <w:p>
      <w:pPr>
        <w:spacing w:before="20" w:after="40"/>
        <w:ind w:left="280"/>
      </w:pPr>
      <w:r>
        <w:rPr>
          <w:i/>
          <w:sz w:val="18"/>
        </w:rPr>
        <w:t>Les incertitudes politiques régionales sont modérées, mais la continuité institutionnelle est assurée. Les sociétés cotées opérant dans plusieurs pays de la CEDEAO (ECOC, BOAC) ne semblent pas exposées à des risques politiques immédiats.</w:t>
      </w:r>
    </w:p>
    <w:p>
      <w:pPr>
        <w:pStyle w:val="Heading2"/>
      </w:pPr>
      <w:r>
        <w:rPr>
          <w:color w:val="8C4600"/>
        </w:rPr>
        <w:t>🏦 Plan UEMOA / Zone Franc</w:t>
      </w:r>
    </w:p>
    <w:p>
      <w:pPr>
        <w:spacing w:before="20" w:after="40"/>
        <w:ind w:left="0"/>
      </w:pPr>
      <w:r>
        <w:rPr>
          <w:sz w:val="18"/>
        </w:rPr>
        <w:t>La libération des militaires maliens est le fait politique majeur de la zone, avec des implications sécuritaires positives. Aucune réforme institutionnelle majeure n'a été rapportée.</w:t>
      </w:r>
    </w:p>
    <w:p>
      <w:pPr>
        <w:pStyle w:val="Heading3"/>
      </w:pPr>
      <w:r>
        <w:rPr>
          <w:color w:val="500050"/>
        </w:rPr>
        <w:t>⚡ Impact estimé sur la BRVM</w:t>
      </w:r>
    </w:p>
    <w:p>
      <w:pPr>
        <w:spacing w:before="20" w:after="40"/>
        <w:ind w:left="280"/>
      </w:pPr>
      <w:r>
        <w:rPr>
          <w:i/>
          <w:sz w:val="18"/>
        </w:rPr>
        <w:t>Un environnement sécuritaire amélioré dans la zone UEMOA est favorable à l'activité économique et donc aux performances des sociétés cotées, notamment dans la consommation (STBC, NTLC) et les services financiers.</w:t>
      </w:r>
    </w:p>
    <w:p>
      <w:pPr>
        <w:pStyle w:val="Heading2"/>
      </w:pPr>
      <w:r>
        <w:rPr>
          <w:color w:val="003366"/>
        </w:rPr>
        <w:t>📈 Plan BRVM</w:t>
      </w:r>
    </w:p>
    <w:p>
      <w:pPr>
        <w:spacing w:before="20" w:after="40"/>
        <w:ind w:left="0"/>
      </w:pPr>
      <w:r>
        <w:rPr>
          <w:sz w:val="18"/>
        </w:rPr>
        <w:t>Aucune actualité réglementaire spécifique au niveau du CREPMF ou de la gouvernance des sociétés cotées n'a été rapportée dans les données collectées.</w:t>
      </w:r>
    </w:p>
    <w:p>
      <w:pPr>
        <w:pStyle w:val="Heading3"/>
      </w:pPr>
      <w:r>
        <w:rPr>
          <w:color w:val="500050"/>
        </w:rPr>
        <w:t>⚡ Impact estimé sur la BRVM</w:t>
      </w:r>
    </w:p>
    <w:p>
      <w:pPr>
        <w:spacing w:before="20" w:after="40"/>
        <w:ind w:left="280"/>
      </w:pPr>
      <w:r>
        <w:rPr>
          <w:i/>
          <w:sz w:val="18"/>
        </w:rPr>
        <w:t>Données insuffisantes pour évaluer l'impact réglementaire sur le marché.</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L'indice MXV des matières premières est stable autour de 2 800 points. Le marché des produits dérivés hyperspéculatifs ("perps") est en plein essor, suscitant des préoccupations. Les stratégies de protection d'actifs sont recommandées dans le contexte géopolitique actuel.</w:t>
      </w:r>
    </w:p>
    <w:p>
      <w:pPr>
        <w:pStyle w:val="Heading3"/>
      </w:pPr>
      <w:r>
        <w:rPr>
          <w:color w:val="500050"/>
        </w:rPr>
        <w:t>⚡ Impact estimé sur la BRVM</w:t>
      </w:r>
    </w:p>
    <w:p>
      <w:pPr>
        <w:spacing w:before="20" w:after="40"/>
        <w:ind w:left="280"/>
      </w:pPr>
      <w:r>
        <w:rPr>
          <w:i/>
          <w:sz w:val="18"/>
        </w:rPr>
        <w:t>La stabilité des matières premières est neutre pour les secteurs BRVM. L'engouement pour les produits spéculatifs mondiaux pourrait détourner certains capitaux, mais l'impact sur la BRVM reste limité compte tenu de son profil de marché régional.</w:t>
      </w:r>
    </w:p>
    <w:p>
      <w:pPr>
        <w:pStyle w:val="Heading2"/>
      </w:pPr>
      <w:r>
        <w:rPr>
          <w:color w:val="006E32"/>
        </w:rPr>
        <w:t>🌍 Plan Africain</w:t>
      </w:r>
    </w:p>
    <w:p>
      <w:pPr>
        <w:spacing w:before="20" w:after="40"/>
        <w:ind w:left="0"/>
      </w:pPr>
      <w:r>
        <w:rPr>
          <w:sz w:val="18"/>
        </w:rPr>
        <w:t>L'émission de dette verte de 108 milliards FCFA par Senelec à Luxembourg démontre l'intérêt des émetteurs africains pour les marchés internationaux de capitaux. Aucune notation souveraine ou émission d'eurobond n'a été rapportée.</w:t>
      </w:r>
    </w:p>
    <w:p>
      <w:pPr>
        <w:pStyle w:val="Heading3"/>
      </w:pPr>
      <w:r>
        <w:rPr>
          <w:color w:val="500050"/>
        </w:rPr>
        <w:t>⚡ Impact estimé sur la BRVM</w:t>
      </w:r>
    </w:p>
    <w:p>
      <w:pPr>
        <w:spacing w:before="20" w:after="40"/>
        <w:ind w:left="280"/>
      </w:pPr>
      <w:r>
        <w:rPr>
          <w:i/>
          <w:sz w:val="18"/>
        </w:rPr>
        <w:t>Cette émission obligataire pourrait créer une concurrence pour les capitaux, mais elle démontre aussi la vitalité des émetteurs de la zone. Les banques BRVM (BOAN, BNBC) pourraient jouer un rôle dans la distribution de tels produits.</w:t>
      </w:r>
    </w:p>
    <w:p>
      <w:pPr>
        <w:pStyle w:val="Heading2"/>
      </w:pPr>
      <w:r>
        <w:rPr>
          <w:color w:val="145A28"/>
        </w:rPr>
        <w:t>🌍 Plan Afrique de l'Ouest</w:t>
      </w:r>
    </w:p>
    <w:p>
      <w:pPr>
        <w:spacing w:before="20" w:after="40"/>
        <w:ind w:left="0"/>
      </w:pPr>
      <w:r>
        <w:rPr>
          <w:sz w:val="18"/>
        </w:rPr>
        <w:t>Le projet de monnaie unique Eco et ses implications financières restent un sujet majeur. La BRVM demeure la principale place financière de la sous-région.</w:t>
      </w:r>
    </w:p>
    <w:p>
      <w:pPr>
        <w:pStyle w:val="Heading3"/>
      </w:pPr>
      <w:r>
        <w:rPr>
          <w:color w:val="500050"/>
        </w:rPr>
        <w:t>⚡ Impact estimé sur la BRVM</w:t>
      </w:r>
    </w:p>
    <w:p>
      <w:pPr>
        <w:spacing w:before="20" w:after="40"/>
        <w:ind w:left="280"/>
      </w:pPr>
      <w:r>
        <w:rPr>
          <w:i/>
          <w:sz w:val="18"/>
        </w:rPr>
        <w:t>La BRVM conserve son statut de place financière de référence en Afrique de l'Ouest, attirant les flux de capitaux sous-régionaux. Les incertitudes sur l'Eco n'affectent pas directement la compétitivité de la BRVM.</w:t>
      </w:r>
    </w:p>
    <w:p>
      <w:pPr>
        <w:pStyle w:val="Heading2"/>
      </w:pPr>
      <w:r>
        <w:rPr>
          <w:color w:val="8C4600"/>
        </w:rPr>
        <w:t>🏦 Plan UEMOA / Zone Franc</w:t>
      </w:r>
    </w:p>
    <w:p>
      <w:pPr>
        <w:spacing w:before="20" w:after="40"/>
        <w:ind w:left="0"/>
      </w:pPr>
      <w:r>
        <w:rPr>
          <w:sz w:val="18"/>
        </w:rPr>
        <w:t>Aucune donnée spécifique sur le marché des titres publics UEMOA, le taux interbancaire ou la liquidité n'a été fournie dans les actualités collectées.</w:t>
      </w:r>
    </w:p>
    <w:p>
      <w:pPr>
        <w:pStyle w:val="Heading3"/>
      </w:pPr>
      <w:r>
        <w:rPr>
          <w:color w:val="500050"/>
        </w:rPr>
        <w:t>⚡ Impact estimé sur la BRVM</w:t>
      </w:r>
    </w:p>
    <w:p>
      <w:pPr>
        <w:spacing w:before="20" w:after="40"/>
        <w:ind w:left="280"/>
      </w:pPr>
      <w:r>
        <w:rPr>
          <w:i/>
          <w:sz w:val="18"/>
        </w:rPr>
        <w:t>Données insuffisantes pour analyser l'arbitrage entre titres publics et actions BRVM.</w:t>
      </w:r>
    </w:p>
    <w:p>
      <w:pPr>
        <w:pStyle w:val="Heading2"/>
      </w:pPr>
      <w:r>
        <w:rPr>
          <w:color w:val="003366"/>
        </w:rPr>
        <w:t>📈 Plan BRVM</w:t>
      </w:r>
    </w:p>
    <w:p>
      <w:pPr>
        <w:spacing w:before="20" w:after="40"/>
        <w:ind w:left="0"/>
      </w:pPr>
      <w:r>
        <w:rPr>
          <w:sz w:val="18"/>
        </w:rPr>
        <w:t>L'indice BRVM Composite est à 496.22 points. Les résultats encourageants des sociétés ivoiriennes ont été soulignés, suggérant une dynamique positive des fondamentaux. Aucune donnée sur les volumes ou les mouvements individuels de titres n'est disponible.</w:t>
      </w:r>
    </w:p>
    <w:p>
      <w:pPr>
        <w:pStyle w:val="Heading3"/>
      </w:pPr>
      <w:r>
        <w:rPr>
          <w:color w:val="500050"/>
        </w:rPr>
        <w:t>⚡ Impact estimé sur la BRVM</w:t>
      </w:r>
    </w:p>
    <w:p>
      <w:pPr>
        <w:spacing w:before="20" w:after="40"/>
        <w:ind w:left="280"/>
      </w:pPr>
      <w:r>
        <w:rPr>
          <w:i/>
          <w:sz w:val="18"/>
        </w:rPr>
        <w:t>Les fondamentaux solides des sociétés cotées ivoiriennes (SGBC, BICB, PALC, SOGC, ETIT) soutiennent une perspective positive. Les investisseurs devraient surveiller les valeurs de consommation (NTLC, SIVC, CFAC) et les télécoms (ONTBF) pour des opportunités d'achat. Les titres sous pression ne sont pas identifiables avec les données actuelles.</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L'environnement macro-économique et politique pour la BRVM est globalement stable et positif. La stabilité des matières premières, l'amélioration sécuritaire au Mali, et les résultats encourageants des sociétés cotées ivoiriennes soutiennent une perspective constructive. Les incertitudes géopolitiques mondiales et le projet de monnaie unique Eco constituent des facteurs de vigilance, mais sans risque immédiat pour le marché. **Recommandation : maintenir une position investie sur les valeurs de qualité (SGBC, BOAC, ONTBF) et surveiller les publications de résultats pour ajuster les positions.**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2026-08-11</w:t>
            </w:r>
          </w:p>
        </w:tc>
        <w:tc>
          <w:tcPr>
            <w:tcW w:type="dxa" w:w="1728"/>
          </w:tcPr>
          <w:p>
            <w:r>
              <w:rPr>
                <w:sz w:val="14"/>
              </w:rPr>
              <w:t>Protection des actifs dans un contexte d’instabilité géopolitique - Cy</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géopolitique mon</w:t>
            </w:r>
          </w:p>
        </w:tc>
      </w:tr>
      <w:tr>
        <w:tc>
          <w:tcPr>
            <w:tcW w:type="dxa" w:w="1728"/>
          </w:tcPr>
          <w:p>
            <w:r>
              <w:rPr>
                <w:sz w:val="14"/>
              </w:rPr>
              <w:t>2026-08-11</w:t>
            </w:r>
          </w:p>
        </w:tc>
        <w:tc>
          <w:tcPr>
            <w:tcW w:type="dxa" w:w="1728"/>
          </w:tcPr>
          <w:p>
            <w:r>
              <w:rPr>
                <w:sz w:val="14"/>
              </w:rPr>
              <w:t>La folie des « perps », ces produits financiers hyperspéculatifs qui p</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2026-08-10</w:t>
            </w:r>
          </w:p>
        </w:tc>
        <w:tc>
          <w:tcPr>
            <w:tcW w:type="dxa" w:w="1728"/>
          </w:tcPr>
          <w:p>
            <w:r>
              <w:rPr>
                <w:sz w:val="14"/>
              </w:rPr>
              <w:t>Les prix du pétrole ont chuté, tandis que le cours de l'argent a bondi</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2026-08-11</w:t>
            </w:r>
          </w:p>
        </w:tc>
        <w:tc>
          <w:tcPr>
            <w:tcW w:type="dxa" w:w="1728"/>
          </w:tcPr>
          <w:p>
            <w:r>
              <w:rPr>
                <w:sz w:val="14"/>
              </w:rPr>
              <w:t>⚫Synthèse des matières premières : Pétrole, or, gaz naturel, émissions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2026-08-10</w:t>
            </w:r>
          </w:p>
        </w:tc>
        <w:tc>
          <w:tcPr>
            <w:tcW w:type="dxa" w:w="1728"/>
          </w:tcPr>
          <w:p>
            <w:r>
              <w:rPr>
                <w:sz w:val="14"/>
              </w:rPr>
              <w:t>La BCE va-t-elle relever à nouveau ses taux d’intérêt en 2026, pour en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 xml:space="preserve">Monnaie unique en Afrique de l’Ouest : en 2027, l’Eco sur les rails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Côte d'Ivoire : Fin de mandat à la CEDEAO, Omar Alieu Touray chez Alas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2026-08-11</w:t>
            </w:r>
          </w:p>
        </w:tc>
        <w:tc>
          <w:tcPr>
            <w:tcW w:type="dxa" w:w="1728"/>
          </w:tcPr>
          <w:p>
            <w:r>
              <w:rPr>
                <w:sz w:val="14"/>
              </w:rPr>
              <w:t>Creativo El Matador en France - Afriquinfos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2026-08-11</w:t>
            </w:r>
          </w:p>
        </w:tc>
        <w:tc>
          <w:tcPr>
            <w:tcW w:type="dxa" w:w="1728"/>
          </w:tcPr>
          <w:p>
            <w:r>
              <w:rPr>
                <w:sz w:val="14"/>
              </w:rPr>
              <w:t>2è édition du Prix ‘Start-ups de la CEDEAO’: Pourquoi et comment aller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2026-08-13</w:t>
            </w:r>
          </w:p>
        </w:tc>
        <w:tc>
          <w:tcPr>
            <w:tcW w:type="dxa" w:w="1728"/>
          </w:tcPr>
          <w:p>
            <w:r>
              <w:rPr>
                <w:sz w:val="14"/>
              </w:rPr>
              <w:t>Mali : 82 militaires détenus par le JNIM/FLA depuis avril libérés - ko</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Le Mali fait un geste envers Paris en graciant un agent français conda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Sénégal : les élus obligés de déclarer leur patrimoine pour lutter con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Mali : Assimi Goïta gracie un Français condamné à 20 ans et ordonne so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Mali : 10 choses à savoir sur Fatou Binta Diop, la discrète conseillèr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 xml:space="preserve">Monnaie unique en Afrique de l’Ouest : en 2027, l’Eco sur les rails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Le Mali fait un geste envers Paris en graciant un agent français conda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Mali : Assimi Goïta gracie un Français condamné à 20 ans et ordonne so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 xml:space="preserve">Monnaie unique en Afrique de l’Ouest : en 2027, l’Eco sur les rails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Le Mali fait un geste envers Paris en graciant un agent français conda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Sénégal : les élus obligés de déclarer leur patrimoine pour lutter con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 xml:space="preserve">Monnaie unique en Afrique de l’Ouest : en 2027, l’Eco sur les rails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Le Mali fait un geste envers Paris en graciant un agent français conda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Sénégal : les élus obligés de déclarer leur patrimoine pour lutter con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 xml:space="preserve">Monnaie unique en Afrique de l’Ouest : en 2027, l’Eco sur les rails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Mali : 82 militaires détenus par le JNIM/FLA depuis avril libérés - ko</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Le Mali fait un geste envers Paris en graciant un agent français conda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 xml:space="preserve">Monnaie unique en Afrique de l’Ouest : en 2027, l’Eco sur les rails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Le Mali fait un geste envers Paris en graciant un agent français conda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Trafic de cocaïne au Sahel : comment le corridor Mali-Niger-Libye alim</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Sénégal : près de la moitié des hauts fonctionnaires n’ont pas déclaré</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Récapitulatif Hebdomadaire BRVM : Hausse de 0,59% et Mouvements Clés à</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 xml:space="preserve">Monnaie unique en Afrique de l’Ouest : en 2027, l’Eco sur les rails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Le Mali fait un geste envers Paris en graciant un agent français conda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Sénégal : les élus obligés de déclarer leur patrimoine pour lutter con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Mali : 10 choses à savoir sur Fatou Binta Diop, la discrète conseillèr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2026-08-13</w:t>
            </w:r>
          </w:p>
        </w:tc>
        <w:tc>
          <w:tcPr>
            <w:tcW w:type="dxa" w:w="1728"/>
          </w:tcPr>
          <w:p>
            <w:r>
              <w:rPr>
                <w:sz w:val="14"/>
              </w:rPr>
              <w:t>Mali : 82 militaires détenus par le JNIM/FLA depuis avril libérés - ko</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Le Mali fait un geste envers Paris en graciant un agent français conda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Sénégal : les élus obligés de déclarer leur patrimoine pour lutter con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Trafic de cocaïne au Sahel : comment le corridor Mali-Niger-Libye alim</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Sénégal : près de la moitié des hauts fonctionnaires n’ont pas déclaré</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Récapitulatif Hebdomadaire BRVM : Hausse de 0,59% et Mouvements Clés à</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matieres_premieres  (2 alerte(s))</w:t>
      </w:r>
    </w:p>
    <w:p>
      <w:pPr>
        <w:spacing w:before="40" w:after="40"/>
        <w:ind w:left="360"/>
      </w:pPr>
      <w:r>
        <w:rPr>
          <w:color w:val="646464"/>
          <w:sz w:val="17"/>
        </w:rPr>
        <w:t xml:space="preserve">[14/08/2026] ⚪  </w:t>
      </w:r>
      <w:r>
        <w:rPr>
          <w:b/>
          <w:color w:val="505050"/>
          <w:sz w:val="18"/>
        </w:rPr>
        <w:t>Marché des matières premières : l'indice MXV fluctue autour de la barre des 2 800 points. - Vietnam.vn</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les prix des matières premières, fluctue autour de 2 800 points, indiquant une certaine stabilité après des variations récentes. Cette évolution reflète les tensions entre l'offre et la demande sur les marchés internationaux. Pour la BRVM, cela pourrait avoir des implications indirectes sur les secteurs exportateurs de matièr</w:t>
      </w:r>
    </w:p>
    <w:p>
      <w:pPr>
        <w:spacing w:before="0" w:after="40"/>
        <w:ind w:left="600"/>
      </w:pPr>
      <w:r>
        <w:rPr>
          <w:color w:val="00643C"/>
          <w:sz w:val="16"/>
        </w:rPr>
        <w:t>Points clés : L'indice MXV évolue autour de 2 800 points, signe de stabilité relative.  •  Les fluctuations des matières premières influencent les économies dépendantes des exportations.</w:t>
      </w:r>
    </w:p>
    <w:p>
      <w:pPr>
        <w:spacing w:before="0" w:after="60"/>
        <w:ind w:left="600"/>
      </w:pPr>
      <w:r>
        <w:rPr>
          <w:color w:val="0064B4"/>
          <w:sz w:val="15"/>
        </w:rPr>
        <w:t>Source : https://news.google.com/rss/articles/CBMijgFBVV95cUxPdm9EcFNfVm4tQjFkNE5TM0FRWUd</w:t>
      </w:r>
    </w:p>
    <w:p>
      <w:pPr>
        <w:spacing w:before="40" w:after="40"/>
        <w:ind w:left="360"/>
      </w:pPr>
      <w:r>
        <w:rPr>
          <w:color w:val="646464"/>
          <w:sz w:val="17"/>
        </w:rPr>
        <w:t xml:space="preserve">[13/08/2026] ⚪  </w:t>
      </w:r>
      <w:r>
        <w:rPr>
          <w:b/>
          <w:color w:val="505050"/>
          <w:sz w:val="18"/>
        </w:rPr>
        <w:t>Cacao : comment la Côte d’Ivoire adapte son modèle face aux mutations du marché mondial - agenceecofin.com</w:t>
      </w:r>
      <w:r>
        <w:rPr>
          <w:color w:val="787878"/>
          <w:sz w:val="15"/>
        </w:rPr>
        <w:t xml:space="preserve">  [matieres_premieres]</w:t>
      </w:r>
      <w:r>
        <w:rPr>
          <w:color w:val="B47800"/>
          <w:sz w:val="16"/>
        </w:rPr>
        <w:t xml:space="preserve">  ★ 50/10</w:t>
      </w:r>
    </w:p>
    <w:p>
      <w:pPr>
        <w:spacing w:before="0" w:after="20"/>
        <w:ind w:left="600"/>
      </w:pPr>
      <w:r>
        <w:rPr>
          <w:color w:val="323232"/>
          <w:sz w:val="17"/>
        </w:rPr>
        <w:t>La Côte d'Ivoire, premier producteur mondial de cacao, adapte son modèle économique face aux évolutions du marché mondial, notamment la volatilité des prix et les nouvelles exigences de durabilité. Le pays cherche à renforcer sa position en diversifiant ses débouchés et en améliorant la transformation locale. Cette stratégie vise à stabiliser les r</w:t>
      </w:r>
    </w:p>
    <w:p>
      <w:pPr>
        <w:spacing w:before="0" w:after="40"/>
        <w:ind w:left="600"/>
      </w:pPr>
      <w:r>
        <w:rPr>
          <w:color w:val="00643C"/>
          <w:sz w:val="16"/>
        </w:rPr>
        <w:t>Points clés : Adaptation du modèle ivoirien aux mutations du marché mondial du cacao.  •  Renforcement de la transformation locale et diversification des débouchés.</w:t>
      </w:r>
    </w:p>
    <w:p>
      <w:pPr>
        <w:spacing w:before="0" w:after="60"/>
        <w:ind w:left="600"/>
      </w:pPr>
      <w:r>
        <w:rPr>
          <w:color w:val="0064B4"/>
          <w:sz w:val="15"/>
        </w:rPr>
        <w:t>Source : https://news.google.com/rss/articles/CBMi2gFBVV95cUxQcWViZHFvMGNqTGVhLUN2dl9ETWE</w:t>
      </w:r>
    </w:p>
    <w:p>
      <w:pPr>
        <w:spacing w:before="120" w:after="40"/>
      </w:pPr>
      <w:r>
        <w:rPr>
          <w:b/>
          <w:color w:val="00467F"/>
          <w:sz w:val="20"/>
        </w:rPr>
        <w:t>🔑 politique  (12 alerte(s))</w:t>
      </w:r>
    </w:p>
    <w:p>
      <w:pPr>
        <w:spacing w:before="40" w:after="40"/>
        <w:ind w:left="360"/>
      </w:pPr>
      <w:r>
        <w:rPr>
          <w:color w:val="646464"/>
          <w:sz w:val="17"/>
        </w:rPr>
        <w:t xml:space="preserve">[13/08/2026] 🟢  </w:t>
      </w:r>
      <w:r>
        <w:rPr>
          <w:b/>
          <w:color w:val="008000"/>
          <w:sz w:val="18"/>
        </w:rPr>
        <w:t>Mali : le FLA annonce la libération de 82 militaires maliens - Le Matin d'Algérie</w:t>
      </w:r>
      <w:r>
        <w:rPr>
          <w:color w:val="787878"/>
          <w:sz w:val="15"/>
        </w:rPr>
        <w:t xml:space="preserve">  [politique]</w:t>
      </w:r>
      <w:r>
        <w:rPr>
          <w:color w:val="B47800"/>
          <w:sz w:val="16"/>
        </w:rPr>
        <w:t xml:space="preserve">  ★ 50/10</w:t>
      </w:r>
    </w:p>
    <w:p>
      <w:pPr>
        <w:spacing w:before="0" w:after="20"/>
        <w:ind w:left="600"/>
      </w:pPr>
      <w:r>
        <w:rPr>
          <w:color w:val="323232"/>
          <w:sz w:val="17"/>
        </w:rPr>
        <w:t>Le Front de libération de l'Azawad (FLA) a annoncé la libération de 82 militaires maliens, une avancée dans le processus de résolution du conflit au Mali. Cette nouvelle intervient dans un contexte de tensions sécuritaires dans la région, mais pourrait favoriser un apaisement des relations entre les parties prenantes. Pour les marchés financiers de</w:t>
      </w:r>
    </w:p>
    <w:p>
      <w:pPr>
        <w:spacing w:before="0" w:after="40"/>
        <w:ind w:left="600"/>
      </w:pPr>
      <w:r>
        <w:rPr>
          <w:color w:val="00643C"/>
          <w:sz w:val="16"/>
        </w:rPr>
        <w:t>Points clés : Libération de 82 militaires maliens par le FLA  •  Avancée dans le dialogue et la résolution du conflit au Mali  •  Contexte sécuritaire régional toujours fragile  •  Impact indirect sur la confiance des investisseurs dans la zone UEMOA</w:t>
      </w:r>
    </w:p>
    <w:p>
      <w:pPr>
        <w:spacing w:before="0" w:after="60"/>
        <w:ind w:left="600"/>
      </w:pPr>
      <w:r>
        <w:rPr>
          <w:color w:val="0064B4"/>
          <w:sz w:val="15"/>
        </w:rPr>
        <w:t>Source : https://news.google.com/rss/articles/CBMikAFBVV95cUxOR3V5VUMyQS1QNENMcUVtR0s3ZWJ</w:t>
      </w:r>
    </w:p>
    <w:p>
      <w:pPr>
        <w:spacing w:before="40" w:after="40"/>
        <w:ind w:left="360"/>
      </w:pPr>
      <w:r>
        <w:rPr>
          <w:color w:val="646464"/>
          <w:sz w:val="17"/>
        </w:rPr>
        <w:t xml:space="preserve">[13/08/2026] ⚪  </w:t>
      </w:r>
      <w:r>
        <w:rPr>
          <w:b/>
          <w:color w:val="505050"/>
          <w:sz w:val="18"/>
        </w:rPr>
        <w:t>Mali : Assimi Goïta gracie un Français condamné à 20 ans et ordonne son expulsion - koaci.com</w:t>
      </w:r>
      <w:r>
        <w:rPr>
          <w:color w:val="787878"/>
          <w:sz w:val="15"/>
        </w:rPr>
        <w:t xml:space="preserve">  [politique]</w:t>
      </w:r>
      <w:r>
        <w:rPr>
          <w:color w:val="B47800"/>
          <w:sz w:val="16"/>
        </w:rPr>
        <w:t xml:space="preserve">  ★ 50/10</w:t>
      </w:r>
    </w:p>
    <w:p>
      <w:pPr>
        <w:spacing w:before="0" w:after="20"/>
        <w:ind w:left="600"/>
      </w:pPr>
      <w:r>
        <w:rPr>
          <w:color w:val="323232"/>
          <w:sz w:val="17"/>
        </w:rPr>
        <w:t>Le président de la transition malienne, Assimi Goïta, a gracié un ressortissant français condamné à 20 ans de prison et ordonné son expulsion. Cette décision intervient dans un contexte de tensions diplomatiques entre le Mali et la France. L'information est rapportée par le site koaci.com, spécialisé dans l'actualité ouest-africaine.</w:t>
      </w:r>
    </w:p>
    <w:p>
      <w:pPr>
        <w:spacing w:before="0" w:after="40"/>
        <w:ind w:left="600"/>
      </w:pPr>
      <w:r>
        <w:rPr>
          <w:color w:val="00643C"/>
          <w:sz w:val="16"/>
        </w:rPr>
        <w:t>Points clés : Grâce présidentielle accordée à un Français condamné à 20 ans  •  Expulsion ordonnée vers la France  •  Contexte de tensions diplomatiques Mali-France</w:t>
      </w:r>
    </w:p>
    <w:p>
      <w:pPr>
        <w:spacing w:before="0" w:after="60"/>
        <w:ind w:left="600"/>
      </w:pPr>
      <w:r>
        <w:rPr>
          <w:color w:val="0064B4"/>
          <w:sz w:val="15"/>
        </w:rPr>
        <w:t>Source : https://news.google.com/rss/articles/CBMi4AFBVV95cUxQV2hRckRZZUlRZnVSWGdHRnRyVnh</w:t>
      </w:r>
    </w:p>
    <w:p>
      <w:pPr>
        <w:spacing w:before="40" w:after="40"/>
        <w:ind w:left="360"/>
      </w:pPr>
      <w:r>
        <w:rPr>
          <w:color w:val="646464"/>
          <w:sz w:val="17"/>
        </w:rPr>
        <w:t xml:space="preserve">[13/08/2026] 🟢  </w:t>
      </w:r>
      <w:r>
        <w:rPr>
          <w:b/>
          <w:color w:val="008000"/>
          <w:sz w:val="18"/>
        </w:rPr>
        <w:t>Mali : 82 militaires détenus par le JNIM/FLA depuis avril libérés - koaci.com</w:t>
      </w:r>
      <w:r>
        <w:rPr>
          <w:color w:val="787878"/>
          <w:sz w:val="15"/>
        </w:rPr>
        <w:t xml:space="preserve">  [politique]</w:t>
      </w:r>
      <w:r>
        <w:rPr>
          <w:color w:val="B47800"/>
          <w:sz w:val="16"/>
        </w:rPr>
        <w:t xml:space="preserve">  ★ 50/10</w:t>
      </w:r>
    </w:p>
    <w:p>
      <w:pPr>
        <w:spacing w:before="0" w:after="20"/>
        <w:ind w:left="600"/>
      </w:pPr>
      <w:r>
        <w:rPr>
          <w:color w:val="323232"/>
          <w:sz w:val="17"/>
        </w:rPr>
        <w:t>Le Mali a annoncé la libération de 82 militaires détenus par les groupes jihadistes JNIM/FLA depuis avril. Cette libération intervient dans un contexte de tensions sécuritaires persistantes dans la région. Bien que positive sur le plan humanitaire, elle ne modifie pas fondamentalement la situation sécuritaire régionale. L'impact économique pour l'U</w:t>
      </w:r>
    </w:p>
    <w:p>
      <w:pPr>
        <w:spacing w:before="0" w:after="40"/>
        <w:ind w:left="600"/>
      </w:pPr>
      <w:r>
        <w:rPr>
          <w:color w:val="00643C"/>
          <w:sz w:val="16"/>
        </w:rPr>
        <w:t>Points clés : Libération de 82 militaires maliens détenus depuis avril par JNIM/FLA.  •  Événement sécuritaire majeur au Mali, pays membre de l'UEMOA.  •  Potentiel de réduction des tensions régionales, mais sans effet direct sur les marchés financiers.</w:t>
      </w:r>
    </w:p>
    <w:p>
      <w:pPr>
        <w:spacing w:before="0" w:after="60"/>
        <w:ind w:left="600"/>
      </w:pPr>
      <w:r>
        <w:rPr>
          <w:color w:val="0064B4"/>
          <w:sz w:val="15"/>
        </w:rPr>
        <w:t>Source : https://news.google.com/rss/articles/CBMiygFBVV95cUxOV3YzYVE4MFdiaFRRVzZWS0lUSEl</w:t>
      </w:r>
    </w:p>
    <w:p>
      <w:pPr>
        <w:spacing w:before="40" w:after="40"/>
        <w:ind w:left="360"/>
      </w:pPr>
      <w:r>
        <w:rPr>
          <w:color w:val="646464"/>
          <w:sz w:val="17"/>
        </w:rPr>
        <w:t xml:space="preserve">[13/08/2026] ⚪  </w:t>
      </w:r>
      <w:r>
        <w:rPr>
          <w:b/>
          <w:color w:val="505050"/>
          <w:sz w:val="18"/>
        </w:rPr>
        <w:t xml:space="preserve">Mali : soupçonné de conspiration et condamné à 20 ans de prison, un agent des renseignements français finalement gracié </w:t>
      </w:r>
      <w:r>
        <w:rPr>
          <w:color w:val="787878"/>
          <w:sz w:val="15"/>
        </w:rPr>
        <w:t xml:space="preserve">  [politique]</w:t>
      </w:r>
      <w:r>
        <w:rPr>
          <w:color w:val="B47800"/>
          <w:sz w:val="16"/>
        </w:rPr>
        <w:t xml:space="preserve">  ★ 50/10</w:t>
      </w:r>
    </w:p>
    <w:p>
      <w:pPr>
        <w:spacing w:before="0" w:after="20"/>
        <w:ind w:left="600"/>
      </w:pPr>
      <w:r>
        <w:rPr>
          <w:color w:val="323232"/>
          <w:sz w:val="17"/>
        </w:rPr>
        <w:t>Un agent des renseignements français, condamné à 20 ans de prison au Mali pour conspiration, a été gracié par les autorités maliennes. Cette décision intervient dans un contexte de tensions diplomatiques entre Bamako et Paris. L'événement est principalement politique et n'a pas de lien direct avec les marchés financiers de la zone UEMOA.</w:t>
      </w:r>
    </w:p>
    <w:p>
      <w:pPr>
        <w:spacing w:before="0" w:after="40"/>
        <w:ind w:left="600"/>
      </w:pPr>
      <w:r>
        <w:rPr>
          <w:color w:val="00643C"/>
          <w:sz w:val="16"/>
        </w:rPr>
        <w:t>Points clés : Grâce présidentielle accordée à un agent français condamné pour conspiration.  •  Contexte de relations tendues entre le Mali et la France.  •  Aucun impact économique direct sur la zone UEMOA.</w:t>
      </w:r>
    </w:p>
    <w:p>
      <w:pPr>
        <w:spacing w:before="0" w:after="60"/>
        <w:ind w:left="600"/>
      </w:pPr>
      <w:r>
        <w:rPr>
          <w:color w:val="0064B4"/>
          <w:sz w:val="15"/>
        </w:rPr>
        <w:t>Source : https://news.google.com/rss/articles/CBMi_AFBVV95cUxQTU1XY2oxbVkySV9qU1BNdVhGSnZ</w:t>
      </w:r>
    </w:p>
    <w:p>
      <w:pPr>
        <w:spacing w:before="40" w:after="40"/>
        <w:ind w:left="360"/>
      </w:pPr>
      <w:r>
        <w:rPr>
          <w:color w:val="646464"/>
          <w:sz w:val="17"/>
        </w:rPr>
        <w:t xml:space="preserve">[13/08/2026] ⚪  </w:t>
      </w:r>
      <w:r>
        <w:rPr>
          <w:b/>
          <w:color w:val="505050"/>
          <w:sz w:val="18"/>
        </w:rPr>
        <w:t>Mali : 10 choses à savoir sur Fatou Binta Diop, la discrète conseillère diplomatique d’Assimi Goïta - Jeune Afrique</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dresse le portrait de Fatou Binta Diop, conseillère diplomatique du président de transition malien Assimi Goïta, en mettant en lumière son rôle discret mais influent dans la politique étrangère du Mali. Il détaille son parcours, ses compétences et ses relations, sans révéler d'orientations économiques majeures. Cette nomi</w:t>
      </w:r>
    </w:p>
    <w:p>
      <w:pPr>
        <w:spacing w:before="0" w:after="40"/>
        <w:ind w:left="600"/>
      </w:pPr>
      <w:r>
        <w:rPr>
          <w:color w:val="00643C"/>
          <w:sz w:val="16"/>
        </w:rPr>
        <w:t>Points clés : Fatou Binta Diop est une figure clé de la diplomatie malienne sous Assimi Goïta.  •  Son profil est perçu comme discret mais influent dans les relations internationales du Mali.  •  L'article ne mentionne pas de mesures économiques directes, mais souligne l'importance de la diplomatie dans la stabilité régionale.</w:t>
      </w:r>
    </w:p>
    <w:p>
      <w:pPr>
        <w:spacing w:before="0" w:after="60"/>
        <w:ind w:left="600"/>
      </w:pPr>
      <w:r>
        <w:rPr>
          <w:color w:val="0064B4"/>
          <w:sz w:val="15"/>
        </w:rPr>
        <w:t>Source : https://news.google.com/rss/articles/CBMi2wFBVV95cUxNSWVucXpTbHNvNFRTaDB1cjZfaUF</w:t>
      </w:r>
    </w:p>
    <w:p>
      <w:pPr>
        <w:spacing w:before="120" w:after="40"/>
      </w:pPr>
      <w:r>
        <w:rPr>
          <w:b/>
          <w:color w:val="00467F"/>
          <w:sz w:val="20"/>
        </w:rPr>
        <w:t>🔑 économique  (5 alerte(s))</w:t>
      </w:r>
    </w:p>
    <w:p>
      <w:pPr>
        <w:spacing w:before="40" w:after="40"/>
        <w:ind w:left="360"/>
      </w:pPr>
      <w:r>
        <w:rPr>
          <w:color w:val="646464"/>
          <w:sz w:val="17"/>
        </w:rPr>
        <w:t xml:space="preserve">[13/08/2026] ⚪  </w:t>
      </w:r>
      <w:r>
        <w:rPr>
          <w:b/>
          <w:color w:val="505050"/>
          <w:sz w:val="18"/>
        </w:rPr>
        <w:t>Monnaie unique en Afrique de l’Ouest : en 2027, l’Eco sur les rails ? - Enderi</w:t>
      </w:r>
      <w:r>
        <w:rPr>
          <w:color w:val="787878"/>
          <w:sz w:val="15"/>
        </w:rPr>
        <w:t xml:space="preserve">  [économique]</w:t>
      </w:r>
      <w:r>
        <w:rPr>
          <w:color w:val="B47800"/>
          <w:sz w:val="16"/>
        </w:rPr>
        <w:t xml:space="preserve">  ★ 50/10</w:t>
      </w:r>
    </w:p>
    <w:p>
      <w:pPr>
        <w:spacing w:before="0" w:after="20"/>
        <w:ind w:left="600"/>
      </w:pPr>
      <w:r>
        <w:rPr>
          <w:color w:val="323232"/>
          <w:sz w:val="17"/>
        </w:rPr>
        <w:t>L'article de Enderi évoque le projet de monnaie unique ouest-africaine, l'Eco, dont le lancement est envisagé pour 2027. Il analyse les avancées et les obstacles, notamment les critères de convergence économique et les tensions politiques. Le texte souligne les incertitudes persistantes malgré les engagements des États membres. Il s'agit d'une pers</w:t>
      </w:r>
    </w:p>
    <w:p>
      <w:pPr>
        <w:spacing w:before="0" w:after="40"/>
        <w:ind w:left="600"/>
      </w:pPr>
      <w:r>
        <w:rPr>
          <w:color w:val="00643C"/>
          <w:sz w:val="16"/>
        </w:rPr>
        <w:t>Points clés : Lancement de l'Eco prévu en 2027 en Afrique de l'Ouest.  •  Critères de convergence économique à respecter par les pays membres.  •  Obstacles politiques et économiques à surmonter.  •  Incertitudes sur le calendrier et la faisabilité du projet.</w:t>
      </w:r>
    </w:p>
    <w:p>
      <w:pPr>
        <w:spacing w:before="0" w:after="60"/>
        <w:ind w:left="600"/>
      </w:pPr>
      <w:r>
        <w:rPr>
          <w:color w:val="0064B4"/>
          <w:sz w:val="15"/>
        </w:rPr>
        <w:t>Source : https://news.google.com/rss/articles/CBMiiAFBVV95cUxPQVoyZXItdzNQM1p6Sm96c3JHMWp</w:t>
      </w:r>
    </w:p>
    <w:p>
      <w:pPr>
        <w:spacing w:before="40" w:after="40"/>
        <w:ind w:left="360"/>
      </w:pPr>
      <w:r>
        <w:rPr>
          <w:color w:val="646464"/>
          <w:sz w:val="17"/>
        </w:rPr>
        <w:t xml:space="preserve">[13/08/2026] ⚪  </w:t>
      </w:r>
      <w:r>
        <w:rPr>
          <w:b/>
          <w:color w:val="505050"/>
          <w:sz w:val="18"/>
        </w:rPr>
        <w:t>À quel point le projet de monnaie unique de la CEDEAO est-il réaliste ? - TRT Afrika</w:t>
      </w:r>
      <w:r>
        <w:rPr>
          <w:color w:val="787878"/>
          <w:sz w:val="15"/>
        </w:rPr>
        <w:t xml:space="preserve">  [économique]</w:t>
      </w:r>
      <w:r>
        <w:rPr>
          <w:color w:val="B47800"/>
          <w:sz w:val="16"/>
        </w:rPr>
        <w:t xml:space="preserve">  ★ 50/10</w:t>
      </w:r>
    </w:p>
    <w:p>
      <w:pPr>
        <w:spacing w:before="0" w:after="20"/>
        <w:ind w:left="600"/>
      </w:pPr>
      <w:r>
        <w:rPr>
          <w:color w:val="323232"/>
          <w:sz w:val="17"/>
        </w:rPr>
        <w:t>Le projet de monnaie unique de la CEDEAO, bien qu'ambitieux, se heurte à de nombreux obstacles économiques et politiques, notamment la divergence des économies membres et la question de la souveraineté monétaire. L'initiative, portée par certains pays, reste confrontée à des défis de convergence macroéconomique et de coordination des politiques bud</w:t>
      </w:r>
    </w:p>
    <w:p>
      <w:pPr>
        <w:spacing w:before="0" w:after="40"/>
        <w:ind w:left="600"/>
      </w:pPr>
      <w:r>
        <w:rPr>
          <w:color w:val="00643C"/>
          <w:sz w:val="16"/>
        </w:rPr>
        <w:t>Points clés : Le projet de monnaie unique de la CEDEAO est confronté à des divergences économiques majeures entre les pays membres.  •  La question de la souveraineté monétaire et les réticences politiques freinent l'avancement du projet.  •  Les critères de convergence (inflation, déficit budgétaire, etc.) ne sont pas remplis par la majorité des États.  •  L'échéance de 2027 semble irréaliste, mais le projet reste un objectif stratégique à long terme.</w:t>
      </w:r>
    </w:p>
    <w:p>
      <w:pPr>
        <w:spacing w:before="0" w:after="60"/>
        <w:ind w:left="600"/>
      </w:pPr>
      <w:r>
        <w:rPr>
          <w:color w:val="0064B4"/>
          <w:sz w:val="15"/>
        </w:rPr>
        <w:t>Source : https://news.google.com/rss/articles/CBMiZkFVX3lxTFBuRHRUSV85bnpWNy1MRktyZGVMM3l</w:t>
      </w:r>
    </w:p>
    <w:p>
      <w:pPr>
        <w:spacing w:before="40" w:after="40"/>
        <w:ind w:left="360"/>
      </w:pPr>
      <w:r>
        <w:rPr>
          <w:color w:val="646464"/>
          <w:sz w:val="17"/>
        </w:rPr>
        <w:t xml:space="preserve">[12/08/2026] ⚪  </w:t>
      </w:r>
      <w:r>
        <w:rPr>
          <w:b/>
          <w:color w:val="505050"/>
          <w:sz w:val="18"/>
        </w:rPr>
        <w:t>Côte d'Ivoire : Fin de mandat à la CEDEAO, Omar Alieu Touray chez Alassane Ouattara pour des adieux et des remerciements</w:t>
      </w:r>
      <w:r>
        <w:rPr>
          <w:color w:val="787878"/>
          <w:sz w:val="15"/>
        </w:rPr>
        <w:t xml:space="preserve">  [économique]</w:t>
      </w:r>
      <w:r>
        <w:rPr>
          <w:color w:val="B47800"/>
          <w:sz w:val="16"/>
        </w:rPr>
        <w:t xml:space="preserve">  ★ 50/10</w:t>
      </w:r>
    </w:p>
    <w:p>
      <w:pPr>
        <w:spacing w:before="0" w:after="20"/>
        <w:ind w:left="600"/>
      </w:pPr>
      <w:r>
        <w:rPr>
          <w:color w:val="323232"/>
          <w:sz w:val="17"/>
        </w:rPr>
        <w:t>Le président de la Commission de la CEDEAO, Omar Alieu Touray, a rencontré le président ivoirien Alassane Ouattara à l'occasion de la fin de son mandat, pour des adieux et des remerciements. Cette visite s'inscrit dans le cadre des relations diplomatiques entre la Côte d'Ivoire et l'organisation régionale. Elle marque une transition à la tête de la</w:t>
      </w:r>
    </w:p>
    <w:p>
      <w:pPr>
        <w:spacing w:before="0" w:after="40"/>
        <w:ind w:left="600"/>
      </w:pPr>
      <w:r>
        <w:rPr>
          <w:color w:val="00643C"/>
          <w:sz w:val="16"/>
        </w:rPr>
        <w:t>Points clés : Fin de mandat d'Omar Alieu Touray à la CEDEAO  •  Rencontre avec Alassane Ouattara pour des adieux  •  Contexte diplomatique régional</w:t>
      </w:r>
    </w:p>
    <w:p>
      <w:pPr>
        <w:spacing w:before="0" w:after="60"/>
        <w:ind w:left="600"/>
      </w:pPr>
      <w:r>
        <w:rPr>
          <w:color w:val="0064B4"/>
          <w:sz w:val="15"/>
        </w:rPr>
        <w:t>Source : https://news.google.com/rss/articles/CBMinAJBVV95cUxOa3FWRFNMcjVnVV9ZNG83bUVNM2h</w:t>
      </w:r>
    </w:p>
    <w:p>
      <w:pPr>
        <w:spacing w:before="40" w:after="40"/>
        <w:ind w:left="360"/>
      </w:pPr>
      <w:r>
        <w:rPr>
          <w:color w:val="646464"/>
          <w:sz w:val="17"/>
        </w:rPr>
        <w:t xml:space="preserve">[12/08/2026] ⚪  </w:t>
      </w:r>
      <w:r>
        <w:rPr>
          <w:b/>
          <w:color w:val="505050"/>
          <w:sz w:val="18"/>
        </w:rPr>
        <w:t>À quel point le projet de monnaie unique de la CEDEAO est-il réaliste ? - TRT Afrika</w:t>
      </w:r>
      <w:r>
        <w:rPr>
          <w:color w:val="787878"/>
          <w:sz w:val="15"/>
        </w:rPr>
        <w:t xml:space="preserve">  [économique]</w:t>
      </w:r>
      <w:r>
        <w:rPr>
          <w:color w:val="B47800"/>
          <w:sz w:val="16"/>
        </w:rPr>
        <w:t xml:space="preserve">  ★ 50/10</w:t>
      </w:r>
    </w:p>
    <w:p>
      <w:pPr>
        <w:spacing w:before="0" w:after="20"/>
        <w:ind w:left="600"/>
      </w:pPr>
      <w:r>
        <w:rPr>
          <w:color w:val="323232"/>
          <w:sz w:val="17"/>
        </w:rPr>
        <w:t>Le projet de monnaie unique de la CEDEAO, bien qu'ambitieux, se heurte à de nombreux obstacles économiques et politiques, notamment la divergence des performances économiques, les critères de convergence non respectés et la souveraineté monétaire des États membres. L'initiative, relancée avec un nouveau calendrier, reste incertaine et nécessite des</w:t>
      </w:r>
    </w:p>
    <w:p>
      <w:pPr>
        <w:spacing w:before="0" w:after="40"/>
        <w:ind w:left="600"/>
      </w:pPr>
      <w:r>
        <w:rPr>
          <w:color w:val="00643C"/>
          <w:sz w:val="16"/>
        </w:rPr>
        <w:t>Points clés : Les critères de convergence macroéconomique (déficit budgétaire, inflation, dette) ne sont pas remplis par la majorité des pays membres.  •  La question de la souveraineté monétaire et la perte de contrôle des politiques monétaires nationales constituent un frein majeur.  •  Le projet prévoit une feuille de route avec des étapes progressives, mais son calendrier a déjà été repoussé à plusieurs reprises.</w:t>
      </w:r>
    </w:p>
    <w:p>
      <w:pPr>
        <w:spacing w:before="0" w:after="60"/>
        <w:ind w:left="600"/>
      </w:pPr>
      <w:r>
        <w:rPr>
          <w:color w:val="0064B4"/>
          <w:sz w:val="15"/>
        </w:rPr>
        <w:t>Source : https://news.google.com/rss/articles/CBMi1gFBVV95cUxOTlk2VndnZEhFZlMyX3kzblBwelN</w:t>
      </w:r>
    </w:p>
    <w:p>
      <w:pPr>
        <w:spacing w:before="40" w:after="40"/>
        <w:ind w:left="360"/>
      </w:pPr>
      <w:r>
        <w:rPr>
          <w:color w:val="646464"/>
          <w:sz w:val="17"/>
        </w:rPr>
        <w:t xml:space="preserve">[11/08/2026] 🟢  </w:t>
      </w:r>
      <w:r>
        <w:rPr>
          <w:b/>
          <w:color w:val="008000"/>
          <w:sz w:val="18"/>
        </w:rPr>
        <w:t>2è édition du Prix ‘Start-ups de la CEDEAO’: Pourquoi et comment aller à la chasse de 30 mille USD dans la cagnotte? - A</w:t>
      </w:r>
      <w:r>
        <w:rPr>
          <w:color w:val="787878"/>
          <w:sz w:val="15"/>
        </w:rPr>
        <w:t xml:space="preserve">  [économique]</w:t>
      </w:r>
      <w:r>
        <w:rPr>
          <w:color w:val="B47800"/>
          <w:sz w:val="16"/>
        </w:rPr>
        <w:t xml:space="preserve">  ★ 50/10</w:t>
      </w:r>
    </w:p>
    <w:p>
      <w:pPr>
        <w:spacing w:before="0" w:after="20"/>
        <w:ind w:left="600"/>
      </w:pPr>
      <w:r>
        <w:rPr>
          <w:color w:val="323232"/>
          <w:sz w:val="17"/>
        </w:rPr>
        <w:t>La deuxième édition du Prix 'Start-ups de la CEDEAO' est lancée, offrant une cagnotte de 30 000 USD aux jeunes entreprises innovantes de la région. L'article explique les raisons de participer, notamment la visibilité et le financement, ainsi que les modalités de candidature. Cette initiative vise à stimuler l'entrepreneuriat et l'innovation en Afr</w:t>
      </w:r>
    </w:p>
    <w:p>
      <w:pPr>
        <w:spacing w:before="0" w:after="40"/>
        <w:ind w:left="600"/>
      </w:pPr>
      <w:r>
        <w:rPr>
          <w:color w:val="00643C"/>
          <w:sz w:val="16"/>
        </w:rPr>
        <w:t>Points clés : Cagnotte de 30 000 USD pour les start-ups de la CEDEAO  •  Opportunité de financement et de visibilité pour les entrepreneurs  •  Encouragement de l'innovation et de la croissance économique régionale</w:t>
      </w:r>
    </w:p>
    <w:p>
      <w:pPr>
        <w:spacing w:before="0" w:after="60"/>
        <w:ind w:left="600"/>
      </w:pPr>
      <w:r>
        <w:rPr>
          <w:color w:val="0064B4"/>
          <w:sz w:val="15"/>
        </w:rPr>
        <w:t>Source : https://news.google.com/rss/articles/CBMi2AFBVV95cUxPRzlaVDlpVXpWVzFrMWpqcXBiV0p</w:t>
      </w:r>
    </w:p>
    <w:p>
      <w:pPr>
        <w:spacing w:before="120" w:after="40"/>
      </w:pPr>
      <w:r>
        <w:rPr>
          <w:b/>
          <w:color w:val="00467F"/>
          <w:sz w:val="20"/>
        </w:rPr>
        <w:t>🔑 geopolitique  (1 alerte(s))</w:t>
      </w:r>
    </w:p>
    <w:p>
      <w:pPr>
        <w:spacing w:before="40" w:after="40"/>
        <w:ind w:left="360"/>
      </w:pPr>
      <w:r>
        <w:rPr>
          <w:color w:val="646464"/>
          <w:sz w:val="17"/>
        </w:rPr>
        <w:t xml:space="preserve">[11/08/2026] ⚪  </w:t>
      </w:r>
      <w:r>
        <w:rPr>
          <w:b/>
          <w:color w:val="505050"/>
          <w:sz w:val="18"/>
        </w:rPr>
        <w:t>Protection des actifs dans un contexte d’instabilité géopolitique - Cyril Jarnias</w:t>
      </w:r>
      <w:r>
        <w:rPr>
          <w:color w:val="787878"/>
          <w:sz w:val="15"/>
        </w:rPr>
        <w:t xml:space="preserve">  [geopolitique]</w:t>
      </w:r>
      <w:r>
        <w:rPr>
          <w:color w:val="B47800"/>
          <w:sz w:val="16"/>
        </w:rPr>
        <w:t xml:space="preserve">  ★ 50/10</w:t>
      </w:r>
    </w:p>
    <w:p>
      <w:pPr>
        <w:spacing w:before="0" w:after="20"/>
        <w:ind w:left="600"/>
      </w:pPr>
      <w:r>
        <w:rPr>
          <w:color w:val="323232"/>
          <w:sz w:val="17"/>
        </w:rPr>
        <w:t>L'article de Cyril Jarnias aborde les stratégies de protection des actifs financiers dans un contexte d'instabilité géopolitique croissante. Il souligne l'importance de la diversification géographique et sectorielle, ainsi que le recours à des valeurs refuges comme l'or et les obligations d'État. L'auteur recommande une gestion proactive des risque</w:t>
      </w:r>
    </w:p>
    <w:p>
      <w:pPr>
        <w:spacing w:before="0" w:after="40"/>
        <w:ind w:left="600"/>
      </w:pPr>
      <w:r>
        <w:rPr>
          <w:color w:val="00643C"/>
          <w:sz w:val="16"/>
        </w:rPr>
        <w:t>Points clés : Diversification des actifs pour réduire l'exposition aux risques géopolitiques.  •  Privilégier les valeurs refuges (or, obligations souveraines) en période de tension.  •  Surveiller les indicateurs politiques et économiques pour anticiper les chocs.</w:t>
      </w:r>
    </w:p>
    <w:p>
      <w:pPr>
        <w:spacing w:before="0" w:after="60"/>
        <w:ind w:left="600"/>
      </w:pPr>
      <w:r>
        <w:rPr>
          <w:color w:val="0064B4"/>
          <w:sz w:val="15"/>
        </w:rPr>
        <w:t>Source : https://news.google.com/rss/articles/CBMigAFBVV95cUxQek1XTkh3T3hIQnZkbjdmakVhd2d</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LNBB</w:t>
            </w:r>
          </w:p>
        </w:tc>
        <w:tc>
          <w:tcPr>
            <w:tcW w:type="dxa" w:w="1080"/>
            <w:shd w:fill="C6EFCE" w:val="clear"/>
          </w:tcPr>
          <w:p>
            <w:r>
              <w:rPr>
                <w:sz w:val="16"/>
              </w:rPr>
              <w:t>CONSOMMATION DISCR</w:t>
            </w:r>
          </w:p>
        </w:tc>
        <w:tc>
          <w:tcPr>
            <w:tcW w:type="dxa" w:w="1080"/>
            <w:shd w:fill="C6EFCE" w:val="clear"/>
          </w:tcPr>
          <w:p>
            <w:r>
              <w:rPr>
                <w:sz w:val="16"/>
              </w:rPr>
              <w:t>4,000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12,500</w:t>
            </w:r>
          </w:p>
        </w:tc>
        <w:tc>
          <w:tcPr>
            <w:tcW w:type="dxa" w:w="1080"/>
            <w:shd w:fill="C6EFCE" w:val="clear"/>
          </w:tcPr>
          <w:p>
            <w:r>
              <w:rPr>
                <w:b/>
                <w:sz w:val="16"/>
              </w:rPr>
              <w:t>76/100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1,940</w:t>
            </w:r>
          </w:p>
        </w:tc>
        <w:tc>
          <w:tcPr>
            <w:tcW w:type="dxa" w:w="1080"/>
            <w:shd w:fill="C6EFCE" w:val="clear"/>
          </w:tcPr>
          <w:p>
            <w:r>
              <w:rPr>
                <w:b/>
                <w:sz w:val="16"/>
              </w:rPr>
              <w:t>75/100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5,100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16,000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2,800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9,100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31,995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STBC</w:t>
            </w:r>
          </w:p>
        </w:tc>
        <w:tc>
          <w:tcPr>
            <w:tcW w:type="dxa" w:w="1080"/>
            <w:shd w:fill="C6EFCE" w:val="clear"/>
          </w:tcPr>
          <w:p>
            <w:r>
              <w:rPr>
                <w:sz w:val="16"/>
              </w:rPr>
              <w:t>CONSOMMATION DE BA</w:t>
            </w:r>
          </w:p>
        </w:tc>
        <w:tc>
          <w:tcPr>
            <w:tcW w:type="dxa" w:w="1080"/>
            <w:shd w:fill="C6EFCE" w:val="clear"/>
          </w:tcPr>
          <w:p>
            <w:r>
              <w:rPr>
                <w:sz w:val="16"/>
              </w:rPr>
              <w:t>22,375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3,000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2,000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6,140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1,600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17,450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3,065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9,000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SOGC</w:t>
            </w:r>
          </w:p>
        </w:tc>
        <w:tc>
          <w:tcPr>
            <w:tcW w:type="dxa" w:w="1080"/>
            <w:shd w:fill="C6EFCE" w:val="clear"/>
          </w:tcPr>
          <w:p>
            <w:r>
              <w:rPr>
                <w:sz w:val="16"/>
              </w:rPr>
              <w:t>CONSOMMATION DE BA</w:t>
            </w:r>
          </w:p>
        </w:tc>
        <w:tc>
          <w:tcPr>
            <w:tcW w:type="dxa" w:w="1080"/>
            <w:shd w:fill="C6EFCE" w:val="clear"/>
          </w:tcPr>
          <w:p>
            <w:r>
              <w:rPr>
                <w:sz w:val="16"/>
              </w:rPr>
              <w:t>7,315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3,490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5,450</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18,000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8,475</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23,000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23</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5,555</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3,695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2,795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29,000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7,100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BOAS</w:t>
            </w:r>
          </w:p>
        </w:tc>
        <w:tc>
          <w:tcPr>
            <w:tcW w:type="dxa" w:w="1080"/>
            <w:shd w:fill="EBF5FB" w:val="clear"/>
          </w:tcPr>
          <w:p>
            <w:r>
              <w:rPr>
                <w:sz w:val="16"/>
              </w:rPr>
              <w:t>SERVICES FINANCIER</w:t>
            </w:r>
          </w:p>
        </w:tc>
        <w:tc>
          <w:tcPr>
            <w:tcW w:type="dxa" w:w="1080"/>
            <w:shd w:fill="EBF5FB" w:val="clear"/>
          </w:tcPr>
          <w:p>
            <w:r>
              <w:rPr>
                <w:sz w:val="16"/>
              </w:rPr>
              <w:t>7,690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8,000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3,190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8,690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68</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2,190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SHEC</w:t>
            </w:r>
          </w:p>
        </w:tc>
        <w:tc>
          <w:tcPr>
            <w:tcW w:type="dxa" w:w="1080"/>
            <w:shd w:fill="EBF5FB" w:val="clear"/>
          </w:tcPr>
          <w:p>
            <w:r>
              <w:rPr>
                <w:sz w:val="16"/>
              </w:rPr>
              <w:t>ENERGIE</w:t>
            </w:r>
          </w:p>
        </w:tc>
        <w:tc>
          <w:tcPr>
            <w:tcW w:type="dxa" w:w="1080"/>
            <w:shd w:fill="EBF5FB" w:val="clear"/>
          </w:tcPr>
          <w:p>
            <w:r>
              <w:rPr>
                <w:sz w:val="16"/>
              </w:rPr>
              <w:t>2,200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16,450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2,655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28,700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2,200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9,380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39,200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38,000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3,600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45</w:t>
            </w:r>
          </w:p>
        </w:tc>
        <w:tc>
          <w:tcPr>
            <w:tcW w:type="dxa" w:w="1080"/>
            <w:shd w:fill="FEFEFE" w:val="clear"/>
          </w:tcPr>
          <w:p>
            <w:r>
              <w:rPr>
                <w:sz w:val="16"/>
              </w:rPr>
              <w:t>SIVC</w:t>
            </w:r>
          </w:p>
        </w:tc>
        <w:tc>
          <w:tcPr>
            <w:tcW w:type="dxa" w:w="1080"/>
            <w:shd w:fill="FEFEFE" w:val="clear"/>
          </w:tcPr>
          <w:p>
            <w:r>
              <w:rPr>
                <w:sz w:val="16"/>
              </w:rPr>
              <w:t>INDUSTRIELS</w:t>
            </w:r>
          </w:p>
        </w:tc>
        <w:tc>
          <w:tcPr>
            <w:tcW w:type="dxa" w:w="1080"/>
            <w:shd w:fill="FEFEFE" w:val="clear"/>
          </w:tcPr>
          <w:p>
            <w:r>
              <w:rPr>
                <w:sz w:val="16"/>
              </w:rPr>
              <w:t>2,410</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r>
        <w:tc>
          <w:tcPr>
            <w:tcW w:type="dxa" w:w="1080"/>
            <w:shd w:fill="FEFEFE" w:val="clear"/>
          </w:tcPr>
          <w:p>
            <w:r>
              <w:rPr>
                <w:sz w:val="16"/>
              </w:rPr>
              <w:t>46</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58,000</w:t>
            </w:r>
          </w:p>
        </w:tc>
        <w:tc>
          <w:tcPr>
            <w:tcW w:type="dxa" w:w="1080"/>
            <w:shd w:fill="FEFEFE" w:val="clear"/>
          </w:tcPr>
          <w:p>
            <w:r>
              <w:rPr>
                <w:b/>
                <w:sz w:val="16"/>
              </w:rPr>
              <w:t>53/100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SDCC</w:t>
            </w:r>
          </w:p>
        </w:tc>
        <w:tc>
          <w:tcPr>
            <w:tcW w:type="dxa" w:w="1080"/>
            <w:shd w:fill="FEFEFE" w:val="clear"/>
          </w:tcPr>
          <w:p>
            <w:r>
              <w:rPr>
                <w:sz w:val="16"/>
              </w:rPr>
              <w:t>SERVICES PUBLICS</w:t>
            </w:r>
          </w:p>
        </w:tc>
        <w:tc>
          <w:tcPr>
            <w:tcW w:type="dxa" w:w="1080"/>
            <w:shd w:fill="FEFEFE" w:val="clear"/>
          </w:tcPr>
          <w:p>
            <w:r>
              <w:rPr>
                <w:sz w:val="16"/>
              </w:rPr>
              <w:t>11,610</w:t>
            </w:r>
          </w:p>
        </w:tc>
        <w:tc>
          <w:tcPr>
            <w:tcW w:type="dxa" w:w="1080"/>
            <w:shd w:fill="FEFEFE" w:val="clear"/>
          </w:tcPr>
          <w:p>
            <w:r>
              <w:rPr>
                <w:b/>
                <w:sz w:val="16"/>
              </w:rPr>
              <w:t>47/100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LNBB</w:t>
            </w:r>
          </w:p>
        </w:tc>
        <w:tc>
          <w:tcPr>
            <w:tcW w:type="dxa" w:w="1728"/>
            <w:shd w:fill="DEEAF1" w:val="clear"/>
          </w:tcPr>
          <w:p>
            <w:r>
              <w:rPr>
                <w:sz w:val="17"/>
              </w:rPr>
              <w:t xml:space="preserve">LNBB - LOTERIE NATIONALE DU </w:t>
            </w:r>
          </w:p>
        </w:tc>
        <w:tc>
          <w:tcPr>
            <w:tcW w:type="dxa" w:w="1728"/>
            <w:shd w:fill="DEEAF1" w:val="clear"/>
          </w:tcPr>
          <w:p>
            <w:r>
              <w:rPr>
                <w:sz w:val="17"/>
              </w:rPr>
              <w:t>4,000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12,500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1,940</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16,000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2,800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9,100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SNTS</w:t>
            </w:r>
          </w:p>
        </w:tc>
        <w:tc>
          <w:tcPr>
            <w:tcW w:type="dxa" w:w="1728"/>
            <w:shd w:fill="DEEAF1" w:val="clear"/>
          </w:tcPr>
          <w:p>
            <w:r>
              <w:rPr>
                <w:sz w:val="17"/>
              </w:rPr>
              <w:t>SNTS - SONATEL SN</w:t>
            </w:r>
          </w:p>
        </w:tc>
        <w:tc>
          <w:tcPr>
            <w:tcW w:type="dxa" w:w="1728"/>
            <w:shd w:fill="DEEAF1" w:val="clear"/>
          </w:tcPr>
          <w:p>
            <w:r>
              <w:rPr>
                <w:sz w:val="17"/>
              </w:rPr>
              <w:t>31,995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STBC</w:t>
            </w:r>
          </w:p>
        </w:tc>
        <w:tc>
          <w:tcPr>
            <w:tcW w:type="dxa" w:w="1728"/>
            <w:shd w:fill="DEEAF1" w:val="clear"/>
          </w:tcPr>
          <w:p>
            <w:r>
              <w:rPr>
                <w:sz w:val="17"/>
              </w:rPr>
              <w:t>STBC - SITAB COTE D'IVOIRE</w:t>
            </w:r>
          </w:p>
        </w:tc>
        <w:tc>
          <w:tcPr>
            <w:tcW w:type="dxa" w:w="1728"/>
            <w:shd w:fill="DEEAF1" w:val="clear"/>
          </w:tcPr>
          <w:p>
            <w:r>
              <w:rPr>
                <w:sz w:val="17"/>
              </w:rPr>
              <w:t>22,375</w:t>
            </w:r>
          </w:p>
        </w:tc>
        <w:tc>
          <w:tcPr>
            <w:tcW w:type="dxa" w:w="1728"/>
            <w:shd w:fill="DEEAF1" w:val="clear"/>
          </w:tcPr>
          <w:p>
            <w:r>
              <w:rPr>
                <w:sz w:val="17"/>
              </w:rPr>
              <w:t>73/100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LNBB</w:t>
            </w:r>
          </w:p>
        </w:tc>
        <w:tc>
          <w:tcPr>
            <w:tcW w:type="dxa" w:w="1728"/>
            <w:shd w:fill="E2EFDA" w:val="clear"/>
          </w:tcPr>
          <w:p>
            <w:r>
              <w:rPr>
                <w:sz w:val="17"/>
              </w:rPr>
              <w:t xml:space="preserve">LNBB - LOTERIE NATIONALE DU </w:t>
            </w:r>
          </w:p>
        </w:tc>
        <w:tc>
          <w:tcPr>
            <w:tcW w:type="dxa" w:w="1728"/>
            <w:shd w:fill="E2EFDA" w:val="clear"/>
          </w:tcPr>
          <w:p>
            <w:r>
              <w:rPr>
                <w:sz w:val="17"/>
              </w:rPr>
              <w:t>4,000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12,500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1,940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BOAN</w:t>
            </w:r>
          </w:p>
        </w:tc>
        <w:tc>
          <w:tcPr>
            <w:tcW w:type="dxa" w:w="1728"/>
            <w:shd w:fill="E2EFDA" w:val="clear"/>
          </w:tcPr>
          <w:p>
            <w:r>
              <w:rPr>
                <w:sz w:val="17"/>
              </w:rPr>
              <w:t>BANK OF AFRICA NIGER</w:t>
            </w:r>
          </w:p>
        </w:tc>
        <w:tc>
          <w:tcPr>
            <w:tcW w:type="dxa" w:w="1728"/>
            <w:shd w:fill="E2EFDA" w:val="clear"/>
          </w:tcPr>
          <w:p>
            <w:r>
              <w:rPr>
                <w:sz w:val="17"/>
              </w:rPr>
              <w:t>5,100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16,000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2,800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9,100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31,995</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LNBB</w:t>
            </w:r>
          </w:p>
        </w:tc>
        <w:tc>
          <w:tcPr>
            <w:tcW w:type="dxa" w:w="1728"/>
            <w:shd w:fill="FCE4D6" w:val="clear"/>
          </w:tcPr>
          <w:p>
            <w:r>
              <w:rPr>
                <w:sz w:val="17"/>
              </w:rPr>
              <w:t xml:space="preserve">LNBB - LOTERIE NATIONALE DU </w:t>
            </w:r>
          </w:p>
        </w:tc>
        <w:tc>
          <w:tcPr>
            <w:tcW w:type="dxa" w:w="1728"/>
            <w:shd w:fill="FCE4D6" w:val="clear"/>
          </w:tcPr>
          <w:p>
            <w:r>
              <w:rPr>
                <w:sz w:val="17"/>
              </w:rPr>
              <w:t>4,000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12,500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1,940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BOAN</w:t>
            </w:r>
          </w:p>
        </w:tc>
        <w:tc>
          <w:tcPr>
            <w:tcW w:type="dxa" w:w="1728"/>
            <w:shd w:fill="FCE4D6" w:val="clear"/>
          </w:tcPr>
          <w:p>
            <w:r>
              <w:rPr>
                <w:sz w:val="17"/>
              </w:rPr>
              <w:t>BANK OF AFRICA NIGER</w:t>
            </w:r>
          </w:p>
        </w:tc>
        <w:tc>
          <w:tcPr>
            <w:tcW w:type="dxa" w:w="1728"/>
            <w:shd w:fill="FCE4D6" w:val="clear"/>
          </w:tcPr>
          <w:p>
            <w:r>
              <w:rPr>
                <w:sz w:val="17"/>
              </w:rPr>
              <w:t>5,100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16,000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2,800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9,100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31,995</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BOAM — BANK OF AFRICA MALI</w:t>
      </w:r>
    </w:p>
    <w:p>
      <w:pPr>
        <w:pStyle w:val="ListBullet"/>
        <w:spacing w:before="20"/>
        <w:ind w:left="400"/>
      </w:pPr>
      <w:r>
        <w:rPr>
          <w:sz w:val="18"/>
        </w:rPr>
        <w:t>🔴 RSI surachat (71.1 &gt; 70) — risque de correction</w:t>
      </w:r>
    </w:p>
    <w:p>
      <w:pPr>
        <w:pStyle w:val="ListBullet"/>
        <w:spacing w:before="20"/>
        <w:ind w:left="400"/>
      </w:pPr>
      <w:r>
        <w:rPr>
          <w:sz w:val="18"/>
        </w:rPr>
        <w:t>⚠️ Cours à 0.0% du plus haut 100j (6,140 FCFA)</w:t>
      </w:r>
    </w:p>
    <w:p>
      <w:pPr>
        <w:pStyle w:val="ListBullet"/>
        <w:spacing w:before="20"/>
        <w:ind w:left="400"/>
      </w:pPr>
      <w:r>
        <w:rPr>
          <w:sz w:val="18"/>
        </w:rPr>
        <w:t>🟠 Divergence tech(VENTE) / fond(ACHAT) — recommandation ajustée à ACHAT</w:t>
      </w:r>
    </w:p>
    <w:p>
      <w:pPr>
        <w:spacing w:before="120"/>
      </w:pPr>
      <w:r>
        <w:rPr>
          <w:b/>
          <w:color w:val="0050A0"/>
          <w:sz w:val="20"/>
        </w:rPr>
        <w:t>NTLC — NTLC - NESTLE COTE D'IVOIRE</w:t>
      </w:r>
    </w:p>
    <w:p>
      <w:pPr>
        <w:pStyle w:val="ListBullet"/>
        <w:spacing w:before="20"/>
        <w:ind w:left="400"/>
      </w:pPr>
      <w:r>
        <w:rPr>
          <w:sz w:val="18"/>
        </w:rPr>
        <w:t>🔴 RSI surachat (84.7 &gt; 70) — risque de correction</w:t>
      </w:r>
    </w:p>
    <w:p>
      <w:pPr>
        <w:pStyle w:val="ListBullet"/>
        <w:spacing w:before="20"/>
        <w:ind w:left="400"/>
      </w:pPr>
      <w:r>
        <w:rPr>
          <w:sz w:val="18"/>
        </w:rPr>
        <w:t>⚠️ Cours à 0.0% du plus haut 100j (17,450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RSI surachat (91.5 &gt; 70) — risque de correction</w:t>
      </w:r>
    </w:p>
    <w:p>
      <w:pPr>
        <w:pStyle w:val="ListBullet"/>
        <w:spacing w:before="20"/>
        <w:ind w:left="400"/>
      </w:pPr>
      <w:r>
        <w:rPr>
          <w:sz w:val="18"/>
        </w:rPr>
        <w:t>⚠️ Cours à 0.0% du plus haut 100j (18,000 FCFA)</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RSI surachat (72.2 &gt; 70) — risque de correction</w:t>
      </w:r>
    </w:p>
    <w:p>
      <w:pPr>
        <w:pStyle w:val="ListBullet"/>
        <w:spacing w:before="20"/>
        <w:ind w:left="400"/>
      </w:pPr>
      <w:r>
        <w:rPr>
          <w:sz w:val="18"/>
        </w:rPr>
        <w:t>⚠️ Cours à 0.0% du plus haut 100j (39,200 FCFA)</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RSI surachat (92.2 &gt; 70) — risque de correction</w:t>
      </w:r>
    </w:p>
    <w:p>
      <w:pPr>
        <w:pStyle w:val="ListBullet"/>
        <w:spacing w:before="20"/>
        <w:ind w:left="400"/>
      </w:pPr>
      <w:r>
        <w:rPr>
          <w:sz w:val="18"/>
        </w:rPr>
        <w:t>⚠️ Cours à 0.0% du plus haut 100j (9,380 FCFA)</w:t>
      </w:r>
    </w:p>
    <w:p>
      <w:pPr>
        <w:pStyle w:val="ListBullet"/>
        <w:spacing w:before="20"/>
        <w:ind w:left="400"/>
      </w:pPr>
      <w:r>
        <w:rPr>
          <w:sz w:val="18"/>
        </w:rPr>
        <w:t>🟠 Divergence tech(VENTE) / fond(ACHAT) — recommandation ajustée à ACHAT</w:t>
      </w:r>
    </w:p>
    <w:p>
      <w:pPr>
        <w:spacing w:before="120"/>
      </w:pPr>
      <w:r>
        <w:rPr>
          <w:b/>
          <w:color w:val="0050A0"/>
          <w:sz w:val="20"/>
        </w:rPr>
        <w:t>BICB — BIIC BN - Banque internationale pour le commerce du benin</w:t>
      </w:r>
    </w:p>
    <w:p>
      <w:pPr>
        <w:pStyle w:val="ListBullet"/>
        <w:spacing w:before="20"/>
        <w:ind w:left="400"/>
      </w:pPr>
      <w:r>
        <w:rPr>
          <w:sz w:val="18"/>
        </w:rPr>
        <w:t>🔴 RSI surachat (76.7 &gt; 70) — risque de correction</w:t>
      </w:r>
    </w:p>
    <w:p>
      <w:pPr>
        <w:pStyle w:val="ListBullet"/>
        <w:spacing w:before="20"/>
        <w:ind w:left="400"/>
      </w:pPr>
      <w:r>
        <w:rPr>
          <w:sz w:val="18"/>
        </w:rPr>
        <w:t>⚠️ Cours à 0.0% du plus haut 100j (8,475 FCFA)</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RSI surachat (78.9 &gt; 70) — risque de correction</w:t>
      </w:r>
    </w:p>
    <w:p>
      <w:pPr>
        <w:pStyle w:val="ListBullet"/>
        <w:spacing w:before="20"/>
        <w:ind w:left="400"/>
      </w:pPr>
      <w:r>
        <w:rPr>
          <w:sz w:val="18"/>
        </w:rPr>
        <w:t>⚠️ Cours à 1.7% du plus haut 100j (29,490 FCFA)</w:t>
      </w:r>
    </w:p>
    <w:p>
      <w:pPr>
        <w:spacing w:before="120"/>
      </w:pPr>
      <w:r>
        <w:rPr>
          <w:b/>
          <w:color w:val="0050A0"/>
          <w:sz w:val="20"/>
        </w:rPr>
        <w:t>BOAC — BANK OF AFRICA COTE D'IVOIRE</w:t>
      </w:r>
    </w:p>
    <w:p>
      <w:pPr>
        <w:pStyle w:val="ListBullet"/>
        <w:spacing w:before="20"/>
        <w:ind w:left="400"/>
      </w:pPr>
      <w:r>
        <w:rPr>
          <w:sz w:val="18"/>
        </w:rPr>
        <w:t>🔴 RSI surachat (88.0 &gt; 70) — risque de correction</w:t>
      </w:r>
    </w:p>
    <w:p>
      <w:pPr>
        <w:pStyle w:val="ListBullet"/>
        <w:spacing w:before="20"/>
        <w:ind w:left="400"/>
      </w:pPr>
      <w:r>
        <w:rPr>
          <w:sz w:val="18"/>
        </w:rPr>
        <w:t>⚠️ Cours à 0.0% du plus haut 100j (12,500 FCFA)</w:t>
      </w:r>
    </w:p>
    <w:p>
      <w:pPr>
        <w:spacing w:before="120"/>
      </w:pPr>
      <w:r>
        <w:rPr>
          <w:b/>
          <w:color w:val="0050A0"/>
          <w:sz w:val="20"/>
        </w:rPr>
        <w:t>CBIBF — CBIBF - CORIS BANK INTERNATIONAL BURKINA FASO</w:t>
      </w:r>
    </w:p>
    <w:p>
      <w:pPr>
        <w:pStyle w:val="ListBullet"/>
        <w:spacing w:before="20"/>
        <w:ind w:left="400"/>
      </w:pPr>
      <w:r>
        <w:rPr>
          <w:sz w:val="18"/>
        </w:rPr>
        <w:t>🔴 RSI surachat (79.5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RSI surachat (70.8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SDSC — SDSC - AFRICA GLOBAL LOGISTICS CI</w:t>
      </w:r>
    </w:p>
    <w:p>
      <w:pPr>
        <w:pStyle w:val="ListBullet"/>
        <w:spacing w:before="20"/>
        <w:ind w:left="400"/>
      </w:pPr>
      <w:r>
        <w:rPr>
          <w:sz w:val="18"/>
        </w:rPr>
        <w:t>⚠️ Cours à 0.9% du plus haut 100j (2,820 FCFA)</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(72.4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Divergence tech(VENTE) / fond(ACHAT) — recommandation ajustée à ACHAT</w:t>
      </w:r>
    </w:p>
    <w:p>
      <w:pPr>
        <w:spacing w:before="120"/>
      </w:pPr>
      <w:r>
        <w:rPr>
          <w:b/>
          <w:color w:val="0050A0"/>
          <w:sz w:val="20"/>
        </w:rPr>
        <w:t>BOAB — BANK OF AFRICA BENIN</w:t>
      </w:r>
    </w:p>
    <w:p>
      <w:pPr>
        <w:pStyle w:val="ListBullet"/>
        <w:spacing w:before="20"/>
        <w:ind w:left="400"/>
      </w:pPr>
      <w:r>
        <w:rPr>
          <w:sz w:val="18"/>
        </w:rPr>
        <w:t>🟠 Divergence tech(VENTE) / fond(ACHAT) — recommandation ajustée à ACHAT</w:t>
      </w:r>
    </w:p>
    <w:p>
      <w:pPr>
        <w:spacing w:before="120"/>
      </w:pPr>
      <w:r>
        <w:rPr>
          <w:b/>
          <w:color w:val="0050A0"/>
          <w:sz w:val="20"/>
        </w:rPr>
        <w:t>CABC — CABC - SICABLE COTE D'IVOIRE</w:t>
      </w:r>
    </w:p>
    <w:p>
      <w:pPr>
        <w:pStyle w:val="ListBullet"/>
        <w:spacing w:before="20"/>
        <w:ind w:left="400"/>
      </w:pPr>
      <w:r>
        <w:rPr>
          <w:sz w:val="18"/>
        </w:rPr>
        <w:t>🟢 RSI survente (27.3 &lt; 30) — opportunité potentielle</w:t>
      </w:r>
    </w:p>
    <w:p>
      <w:pPr>
        <w:spacing w:before="120"/>
      </w:pPr>
      <w:r>
        <w:rPr>
          <w:b/>
          <w:color w:val="0050A0"/>
          <w:sz w:val="20"/>
        </w:rPr>
        <w:t>CIEC — CIEC - Compagnie Ivoirienne d'Electricité</w:t>
      </w:r>
    </w:p>
    <w:p>
      <w:pPr>
        <w:pStyle w:val="ListBullet"/>
        <w:spacing w:before="20"/>
        <w:ind w:left="400"/>
      </w:pPr>
      <w:r>
        <w:rPr>
          <w:sz w:val="18"/>
        </w:rPr>
        <w:t>⚠️ Cours à 0.6% du plus haut 100j (5,485 FCFA)</w:t>
      </w:r>
    </w:p>
    <w:p>
      <w:pPr>
        <w:spacing w:before="120"/>
      </w:pPr>
      <w:r>
        <w:rPr>
          <w:b/>
          <w:color w:val="0050A0"/>
          <w:sz w:val="20"/>
        </w:rPr>
        <w:t>ORGT — ORGT - ORAGROUP TOGO</w:t>
      </w:r>
    </w:p>
    <w:p>
      <w:pPr>
        <w:pStyle w:val="ListBullet"/>
        <w:spacing w:before="20"/>
        <w:ind w:left="400"/>
      </w:pPr>
      <w:r>
        <w:rPr>
          <w:sz w:val="18"/>
        </w:rPr>
        <w:t>🔴 RSI surachat (83.5 &gt; 70) — risque de correction</w:t>
      </w:r>
    </w:p>
    <w:p>
      <w:pPr>
        <w:spacing w:before="120"/>
      </w:pPr>
      <w:r>
        <w:rPr>
          <w:b/>
          <w:color w:val="0050A0"/>
          <w:sz w:val="20"/>
        </w:rPr>
        <w:t>SIVC — SIVC - ERIUM CI (Ex AIR LIQUIDECI)</w:t>
      </w:r>
    </w:p>
    <w:p>
      <w:pPr>
        <w:pStyle w:val="ListBullet"/>
        <w:spacing w:before="20"/>
        <w:ind w:left="400"/>
      </w:pPr>
      <w:r>
        <w:rPr>
          <w:sz w:val="18"/>
        </w:rPr>
        <w:t>🟠 Divergence tech(VENTE) / fond(NEUTRE) — recommandation ajustée à CONSERVER ⚠️</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Cours à 1.6% du plus haut 100j (32,500 FCFA)</w:t>
      </w:r>
    </w:p>
    <w:p>
      <w:pPr>
        <w:spacing w:before="120"/>
      </w:pPr>
      <w:r>
        <w:rPr>
          <w:b/>
          <w:color w:val="0050A0"/>
          <w:sz w:val="20"/>
        </w:rPr>
        <w:t>STAC — STAC - SETAO COTE D'IVOIRE</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Cours à 2.0% du plus haut 100j (3,060 FCFA)</w:t>
      </w:r>
    </w:p>
    <w:p>
      <w:pPr>
        <w:spacing w:before="120"/>
      </w:pPr>
      <w:r>
        <w:rPr>
          <w:b/>
          <w:color w:val="0050A0"/>
          <w:sz w:val="20"/>
        </w:rPr>
        <w:t>TTLS — TTLS - TOTAL ENERGIES MARKETING SENEGAL</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24 société(s) (51%)</w:t>
            </w:r>
          </w:p>
        </w:tc>
        <w:tc>
          <w:tcPr>
            <w:tcW w:type="dxa" w:w="1644"/>
            <w:shd w:fill="FFEB9C" w:val="clear"/>
          </w:tcPr>
          <w:p>
            <w:r>
              <w:rPr>
                <w:b/>
                <w:color w:val="825A00"/>
                <w:sz w:val="19"/>
              </w:rPr>
              <w:t>23 société(s) (49%)</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21.3/100</w:t>
            </w:r>
          </w:p>
        </w:tc>
        <w:tc>
          <w:tcPr>
            <w:tcW w:type="dxa" w:w="1644"/>
            <w:shd w:fill="DEEAF1" w:val="clear"/>
          </w:tcPr>
          <w:p>
            <w:r>
              <w:rPr>
                <w:b/>
                <w:color w:val="000000"/>
                <w:sz w:val="19"/>
              </w:rPr>
              <w:t>19.3/100</w:t>
            </w:r>
          </w:p>
        </w:tc>
      </w:tr>
    </w:tbl>
    <w:p/>
    <w:p>
      <w:r>
        <w:rPr>
          <w:i/>
          <w:color w:val="006400"/>
          <w:sz w:val="18"/>
        </w:rPr>
        <w:t>✅ Le marché BRVM présente globalement un profil de risque FAIBLE (score moyen 21.3/100).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35.6/100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UNLC</w:t>
            </w:r>
          </w:p>
        </w:tc>
        <w:tc>
          <w:tcPr>
            <w:tcW w:type="dxa" w:w="2268"/>
            <w:shd w:fill="FFFFFF" w:val="clear"/>
          </w:tcPr>
          <w:p>
            <w:r>
              <w:rPr>
                <w:sz w:val="16"/>
              </w:rPr>
              <w:t>UNLC - UNILEVER COTE D'IVOIR…</w:t>
            </w:r>
          </w:p>
        </w:tc>
        <w:tc>
          <w:tcPr>
            <w:tcW w:type="dxa" w:w="1701"/>
            <w:shd w:fill="FFFFFF" w:val="clear"/>
          </w:tcPr>
          <w:p>
            <w:r>
              <w:rPr>
                <w:sz w:val="16"/>
              </w:rPr>
              <w:t>CONSOMMATION DE BA</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Liquidité très faible</w:t>
            </w:r>
          </w:p>
        </w:tc>
      </w:tr>
      <w:tr>
        <w:tc>
          <w:tcPr>
            <w:tcW w:type="dxa" w:w="567"/>
            <w:shd w:fill="FFFFFF" w:val="clear"/>
          </w:tcPr>
          <w:p>
            <w:r>
              <w:rPr>
                <w:b/>
                <w:sz w:val="16"/>
              </w:rPr>
              <w:t>#4</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SICC (35.6/100 — Moyen) : </w:t>
      </w:r>
      <w:r>
        <w:rPr>
          <w:sz w:val="17"/>
        </w:rPr>
        <w:t>Volatilité=Élevée | Bêta=Défensif | Liquidité=Très faible | Divergence signaux=taux divergence=40% (Très divergent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UNLC (32.8/100 — Moyen) : </w:t>
      </w:r>
      <w:r>
        <w:rPr>
          <w:sz w:val="17"/>
        </w:rPr>
        <w:t>Volatilité=Moyenne | Bêta=Très agressif | Liquidité=Très faible | Divergence signaux=taux divergence=20% (Mixte ⚠️) | Stabilité=Modérée</w:t>
      </w:r>
    </w:p>
    <w:p>
      <w:pPr>
        <w:pStyle w:val="ListBullet"/>
      </w:pPr>
      <w:r>
        <w:rPr>
          <w:b/>
          <w:color w:val="B40000"/>
          <w:sz w:val="18"/>
        </w:rPr>
        <w:t xml:space="preserve">#4 NSBC (31.3/100 — Moyen) : </w:t>
      </w:r>
      <w:r>
        <w:rPr>
          <w:sz w:val="17"/>
        </w:rPr>
        <w:t>Volatilité=Élevée | Bêta=Agressif | Liquidité=Bonne | Divergence signaux=taux divergence=20% (Mixte ⚠️) | Stabilité=Stable</w:t>
      </w:r>
    </w:p>
    <w:p>
      <w:pPr>
        <w:pStyle w:val="ListBullet"/>
      </w:pPr>
      <w:r>
        <w:rPr>
          <w:b/>
          <w:color w:val="B40000"/>
          <w:sz w:val="18"/>
        </w:rPr>
        <w:t xml:space="preserve">#5 NEIC (30.8/100 — Moyen) : </w:t>
      </w:r>
      <w:r>
        <w:rPr>
          <w:sz w:val="17"/>
        </w:rPr>
        <w:t>Volatilité=Élevée | Bêta=Contre-cyclique | Liquidité=Bonne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TTLC</w:t>
            </w:r>
          </w:p>
        </w:tc>
        <w:tc>
          <w:tcPr>
            <w:tcW w:type="dxa" w:w="2268"/>
            <w:shd w:fill="FFFFFF" w:val="clear"/>
          </w:tcPr>
          <w:p>
            <w:r>
              <w:rPr>
                <w:sz w:val="16"/>
              </w:rPr>
              <w:t>TTLC - TOTAL ENERGIES MARKET…</w:t>
            </w:r>
          </w:p>
        </w:tc>
        <w:tc>
          <w:tcPr>
            <w:tcW w:type="dxa" w:w="1701"/>
            <w:shd w:fill="FFFFFF" w:val="clear"/>
          </w:tcPr>
          <w:p>
            <w:r>
              <w:rPr>
                <w:sz w:val="16"/>
              </w:rPr>
              <w:t>ENERGIE</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15.5/100</w:t>
            </w:r>
          </w:p>
        </w:tc>
        <w:tc>
          <w:tcPr>
            <w:tcW w:type="dxa" w:w="1134"/>
            <w:shd w:fill="C6EFCE" w:val="clear"/>
          </w:tcPr>
          <w:p>
            <w:r>
              <w:rPr>
                <w:sz w:val="16"/>
              </w:rPr>
              <w:t>Faible</w:t>
            </w:r>
          </w:p>
        </w:tc>
        <w:tc>
          <w:tcPr>
            <w:tcW w:type="dxa" w:w="2381"/>
            <w:shd w:fill="FFFFFF" w:val="clear"/>
          </w:tcPr>
          <w:p>
            <w:r>
              <w:rPr>
                <w:sz w:val="16"/>
              </w:rPr>
              <w:t>📐 Bêta défensif</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35.6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Très divergent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24.5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FFEB9C" w:val="clear"/>
          </w:tcPr>
          <w:p>
            <w:r>
              <w:rPr>
                <w:b/>
                <w:color w:val="825A00"/>
                <w:sz w:val="15"/>
              </w:rPr>
              <w:t>22.0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18.5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18.0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17.1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-10.86%  |  Médiane : -8.37%</w:t>
            </w:r>
          </w:p>
        </w:tc>
      </w:tr>
      <w:tr>
        <w:tc>
          <w:tcPr>
            <w:tcW w:type="dxa" w:w="2835"/>
            <w:shd w:fill="DEEAF1" w:val="clear"/>
          </w:tcPr>
          <w:p>
            <w:r>
              <w:rPr>
                <w:b/>
                <w:sz w:val="18"/>
              </w:rPr>
              <w:t>Répartition</w:t>
            </w:r>
          </w:p>
        </w:tc>
        <w:tc>
          <w:tcPr>
            <w:tcW w:type="dxa" w:w="7370"/>
          </w:tcPr>
          <w:p>
            <w:r>
              <w:rPr>
                <w:b/>
                <w:sz w:val="18"/>
              </w:rPr>
              <w:t>📈 7 sociétés en hausse (&gt;+1%)   📉 37 en baisse (&lt;-1%)   ➡️ 3 neutres</w:t>
            </w:r>
          </w:p>
        </w:tc>
      </w:tr>
      <w:tr>
        <w:tc>
          <w:tcPr>
            <w:tcW w:type="dxa" w:w="2835"/>
            <w:shd w:fill="DEEAF1" w:val="clear"/>
          </w:tcPr>
          <w:p>
            <w:r>
              <w:rPr>
                <w:b/>
                <w:sz w:val="18"/>
              </w:rPr>
              <w:t>Confiance globale</w:t>
            </w:r>
          </w:p>
        </w:tc>
        <w:tc>
          <w:tcPr>
            <w:tcW w:type="dxa" w:w="7370"/>
          </w:tcPr>
          <w:p>
            <w:r>
              <w:rPr>
                <w:b/>
                <w:sz w:val="18"/>
              </w:rPr>
              <w:t>Élevée : 0 sociétés (0%)   Moyenne : 13   Faible : 34 (72%)   → Confiance dominante : Faible</w:t>
            </w:r>
          </w:p>
        </w:tc>
      </w:tr>
    </w:tbl>
    <w:p/>
    <w:p>
      <w:r>
        <w:rPr>
          <w:i/>
          <w:color w:val="282828"/>
          <w:sz w:val="18"/>
        </w:rPr>
        <w:t>📝 Analyse : Les modèles anticipent une correction généralisée. 37 sociétés sur 47 sont orientées à la baisse avec une variation moyenne de -10.86%.</w:t>
      </w:r>
    </w:p>
    <w:p>
      <w:r>
        <w:rPr>
          <w:i/>
          <w:color w:val="282828"/>
          <w:sz w:val="18"/>
        </w:rPr>
        <w:t>🎯 Fiabilité : ⚠️ La confiance est globalement FAIBLE (72%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3,490 FCFA</w:t>
            </w:r>
          </w:p>
        </w:tc>
        <w:tc>
          <w:tcPr>
            <w:tcW w:type="dxa" w:w="1417"/>
            <w:shd w:fill="FFFFFF" w:val="clear"/>
          </w:tcPr>
          <w:p>
            <w:r>
              <w:rPr>
                <w:sz w:val="16"/>
              </w:rPr>
              <w:t>6,091 FCFA</w:t>
            </w:r>
          </w:p>
        </w:tc>
        <w:tc>
          <w:tcPr>
            <w:tcW w:type="dxa" w:w="1134"/>
            <w:shd w:fill="C6EFCE" w:val="clear"/>
          </w:tcPr>
          <w:p>
            <w:r>
              <w:rPr>
                <w:b/>
                <w:color w:val="007800"/>
                <w:sz w:val="16"/>
              </w:rPr>
              <w:t>+74.54%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23,000 FCFA</w:t>
            </w:r>
          </w:p>
        </w:tc>
        <w:tc>
          <w:tcPr>
            <w:tcW w:type="dxa" w:w="1417"/>
            <w:shd w:fill="FFFFFF" w:val="clear"/>
          </w:tcPr>
          <w:p>
            <w:r>
              <w:rPr>
                <w:sz w:val="16"/>
              </w:rPr>
              <w:t>27,315 FCFA</w:t>
            </w:r>
          </w:p>
        </w:tc>
        <w:tc>
          <w:tcPr>
            <w:tcW w:type="dxa" w:w="1134"/>
            <w:shd w:fill="C6EFCE" w:val="clear"/>
          </w:tcPr>
          <w:p>
            <w:r>
              <w:rPr>
                <w:b/>
                <w:color w:val="007800"/>
                <w:sz w:val="16"/>
              </w:rPr>
              <w:t>+18.76%</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22,375 FCFA</w:t>
            </w:r>
          </w:p>
        </w:tc>
        <w:tc>
          <w:tcPr>
            <w:tcW w:type="dxa" w:w="1417"/>
            <w:shd w:fill="FFFFFF" w:val="clear"/>
          </w:tcPr>
          <w:p>
            <w:r>
              <w:rPr>
                <w:sz w:val="16"/>
              </w:rPr>
              <w:t>25,165 FCFA</w:t>
            </w:r>
          </w:p>
        </w:tc>
        <w:tc>
          <w:tcPr>
            <w:tcW w:type="dxa" w:w="1134"/>
            <w:shd w:fill="C6EFCE" w:val="clear"/>
          </w:tcPr>
          <w:p>
            <w:r>
              <w:rPr>
                <w:b/>
                <w:color w:val="007800"/>
                <w:sz w:val="16"/>
              </w:rPr>
              <w:t>+12.47%</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58,000 FCFA</w:t>
            </w:r>
          </w:p>
        </w:tc>
        <w:tc>
          <w:tcPr>
            <w:tcW w:type="dxa" w:w="1417"/>
            <w:shd w:fill="FFFFFF" w:val="clear"/>
          </w:tcPr>
          <w:p>
            <w:r>
              <w:rPr>
                <w:sz w:val="16"/>
              </w:rPr>
              <w:t>64,649 FCFA</w:t>
            </w:r>
          </w:p>
        </w:tc>
        <w:tc>
          <w:tcPr>
            <w:tcW w:type="dxa" w:w="1134"/>
            <w:shd w:fill="C6EFCE" w:val="clear"/>
          </w:tcPr>
          <w:p>
            <w:r>
              <w:rPr>
                <w:b/>
                <w:color w:val="007800"/>
                <w:sz w:val="16"/>
              </w:rPr>
              <w:t>+11.46%</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SOGC — SOGC - Société des caoutchoucs de G...</w:t>
            </w:r>
          </w:p>
        </w:tc>
        <w:tc>
          <w:tcPr>
            <w:tcW w:type="dxa" w:w="1701"/>
            <w:shd w:fill="FFFFFF" w:val="clear"/>
          </w:tcPr>
          <w:p>
            <w:r>
              <w:rPr>
                <w:sz w:val="16"/>
              </w:rPr>
              <w:t>CONSOMMATION DE BASE</w:t>
            </w:r>
          </w:p>
        </w:tc>
        <w:tc>
          <w:tcPr>
            <w:tcW w:type="dxa" w:w="1417"/>
            <w:shd w:fill="FFFFFF" w:val="clear"/>
          </w:tcPr>
          <w:p>
            <w:r>
              <w:rPr>
                <w:sz w:val="16"/>
              </w:rPr>
              <w:t>7,315 FCFA</w:t>
            </w:r>
          </w:p>
        </w:tc>
        <w:tc>
          <w:tcPr>
            <w:tcW w:type="dxa" w:w="1417"/>
            <w:shd w:fill="FFFFFF" w:val="clear"/>
          </w:tcPr>
          <w:p>
            <w:r>
              <w:rPr>
                <w:sz w:val="16"/>
              </w:rPr>
              <w:t>7,729 FCFA</w:t>
            </w:r>
          </w:p>
        </w:tc>
        <w:tc>
          <w:tcPr>
            <w:tcW w:type="dxa" w:w="1134"/>
            <w:shd w:fill="C6EFCE" w:val="clear"/>
          </w:tcPr>
          <w:p>
            <w:r>
              <w:rPr>
                <w:b/>
                <w:color w:val="007800"/>
                <w:sz w:val="16"/>
              </w:rPr>
              <w:t>+5.66%</w:t>
            </w:r>
          </w:p>
        </w:tc>
        <w:tc>
          <w:tcPr>
            <w:tcW w:type="dxa" w:w="1020"/>
            <w:shd w:fill="FFC7CE" w:val="clear"/>
          </w:tcPr>
          <w:p>
            <w:r>
              <w:rPr>
                <w:sz w:val="16"/>
              </w:rPr>
              <w:t>Faible</w:t>
            </w:r>
          </w:p>
        </w:tc>
      </w:tr>
    </w:tbl>
    <w:p/>
    <w:p>
      <w:pPr>
        <w:pStyle w:val="ListBullet"/>
      </w:pPr>
      <w:r>
        <w:rPr>
          <w:b/>
          <w:color w:val="006400"/>
          <w:sz w:val="18"/>
        </w:rPr>
        <w:t xml:space="preserve">#1 CABC </w:t>
      </w:r>
      <w:r>
        <w:rPr>
          <w:sz w:val="17"/>
        </w:rPr>
        <w:t>(CABC - SICABLE COTE D'IVOIRE) — hausse très forte (+74.5%) — signal potentiellement excessif, à croiser avec l'analyse technique. Trajectoire : 📈 Hausse continue. Cours actuel : 3,490 FCFA → prédit J+10 : 6,091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(+18.8%) — potentiel de revalorisation notable. Trajectoire : 📈 Hausse continue. Cours actuel : 23,000 FCFA → prédit J+10 : 27,315 FCFA. ⚠️ Confiance limitée — volatilité élevée ou données insuffisantes. Résultat indicatif uniquement.</w:t>
      </w:r>
    </w:p>
    <w:p>
      <w:pPr>
        <w:pStyle w:val="ListBullet"/>
      </w:pPr>
      <w:r>
        <w:rPr>
          <w:b/>
          <w:color w:val="006400"/>
          <w:sz w:val="18"/>
        </w:rPr>
        <w:t xml:space="preserve">#3 STBC </w:t>
      </w:r>
      <w:r>
        <w:rPr>
          <w:sz w:val="17"/>
        </w:rPr>
        <w:t>(STBC - SITAB COTE D'IVOIRE) — hausse significative (+12.5%) — potentiel de revalorisation notable. Trajectoire : 📈 Hausse continue. Cours actuel : 22,375 FCFA → prédit J+10 : 25,165 FCFA. ⚠️ Confiance limitée — volatilité élevée ou données insuffisantes. Résultat indicatif uniquement.</w:t>
      </w:r>
    </w:p>
    <w:p>
      <w:pPr>
        <w:pStyle w:val="ListBullet"/>
      </w:pPr>
      <w:r>
        <w:rPr>
          <w:b/>
          <w:color w:val="006400"/>
          <w:sz w:val="18"/>
        </w:rPr>
        <w:t xml:space="preserve">#4 UNLC </w:t>
      </w:r>
      <w:r>
        <w:rPr>
          <w:sz w:val="17"/>
        </w:rPr>
        <w:t>(UNLC - UNILEVER COTE D'IVOIRE) — hausse significative (+11.5%) — potentiel de revalorisation notable. Trajectoire : 📈 Hausse continue. Cours actuel : 58,000 FCFA → prédit J+10 : 64,649 FCFA. ⚠️ Confiance limitée — volatilité élevée ou données insuffisantes. Résultat indicatif uniquement.</w:t>
      </w:r>
    </w:p>
    <w:p>
      <w:pPr>
        <w:pStyle w:val="ListBullet"/>
      </w:pPr>
      <w:r>
        <w:rPr>
          <w:b/>
          <w:color w:val="006400"/>
          <w:sz w:val="18"/>
        </w:rPr>
        <w:t xml:space="preserve">#5 SOGC </w:t>
      </w:r>
      <w:r>
        <w:rPr>
          <w:sz w:val="17"/>
        </w:rPr>
        <w:t>(SOGC - Société des caoutchoucs de Grand-) — hausse modérée (+5.7%) — signal raisonnable et crédible. Trajectoire : 📈 Hausse continue. Cours actuel : 7,315 FCFA → prédit J+10 : 7,729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68 FCFA</w:t>
            </w:r>
          </w:p>
        </w:tc>
        <w:tc>
          <w:tcPr>
            <w:tcW w:type="dxa" w:w="1417"/>
            <w:shd w:fill="FFFFFF" w:val="clear"/>
          </w:tcPr>
          <w:p>
            <w:r>
              <w:rPr>
                <w:sz w:val="16"/>
              </w:rPr>
              <w:t>31 FCFA</w:t>
            </w:r>
          </w:p>
        </w:tc>
        <w:tc>
          <w:tcPr>
            <w:tcW w:type="dxa" w:w="1134"/>
            <w:shd w:fill="FFC7CE" w:val="clear"/>
          </w:tcPr>
          <w:p>
            <w:r>
              <w:rPr>
                <w:b/>
                <w:color w:val="B40000"/>
                <w:sz w:val="16"/>
              </w:rPr>
              <w:t>-54.15%</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3,695 FCFA</w:t>
            </w:r>
          </w:p>
        </w:tc>
        <w:tc>
          <w:tcPr>
            <w:tcW w:type="dxa" w:w="1417"/>
            <w:shd w:fill="FFFFFF" w:val="clear"/>
          </w:tcPr>
          <w:p>
            <w:r>
              <w:rPr>
                <w:sz w:val="16"/>
              </w:rPr>
              <w:t>1,694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5,555 FCFA</w:t>
            </w:r>
          </w:p>
        </w:tc>
        <w:tc>
          <w:tcPr>
            <w:tcW w:type="dxa" w:w="1417"/>
            <w:shd w:fill="FFFFFF" w:val="clear"/>
          </w:tcPr>
          <w:p>
            <w:r>
              <w:rPr>
                <w:sz w:val="16"/>
              </w:rPr>
              <w:t>2,586 FCFA</w:t>
            </w:r>
          </w:p>
        </w:tc>
        <w:tc>
          <w:tcPr>
            <w:tcW w:type="dxa" w:w="1134"/>
            <w:shd w:fill="FFC7CE" w:val="clear"/>
          </w:tcPr>
          <w:p>
            <w:r>
              <w:rPr>
                <w:b/>
                <w:color w:val="B40000"/>
                <w:sz w:val="16"/>
              </w:rPr>
              <w:t>-53.45%</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5,450 FCFA</w:t>
            </w:r>
          </w:p>
        </w:tc>
        <w:tc>
          <w:tcPr>
            <w:tcW w:type="dxa" w:w="1417"/>
            <w:shd w:fill="FFFFFF" w:val="clear"/>
          </w:tcPr>
          <w:p>
            <w:r>
              <w:rPr>
                <w:sz w:val="16"/>
              </w:rPr>
              <w:t>3,197 FCFA</w:t>
            </w:r>
          </w:p>
        </w:tc>
        <w:tc>
          <w:tcPr>
            <w:tcW w:type="dxa" w:w="1134"/>
            <w:shd w:fill="FFC7CE" w:val="clear"/>
          </w:tcPr>
          <w:p>
            <w:r>
              <w:rPr>
                <w:b/>
                <w:color w:val="B40000"/>
                <w:sz w:val="16"/>
              </w:rPr>
              <w:t>-41.33%</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STAC — STAC - SETAO COTE D'IVOIRE</w:t>
            </w:r>
          </w:p>
        </w:tc>
        <w:tc>
          <w:tcPr>
            <w:tcW w:type="dxa" w:w="1701"/>
            <w:shd w:fill="FFFFFF" w:val="clear"/>
          </w:tcPr>
          <w:p>
            <w:r>
              <w:rPr>
                <w:sz w:val="16"/>
              </w:rPr>
              <w:t>INDUSTRIELS</w:t>
            </w:r>
          </w:p>
        </w:tc>
        <w:tc>
          <w:tcPr>
            <w:tcW w:type="dxa" w:w="1417"/>
            <w:shd w:fill="FFFFFF" w:val="clear"/>
          </w:tcPr>
          <w:p>
            <w:r>
              <w:rPr>
                <w:sz w:val="16"/>
              </w:rPr>
              <w:t>2,655 FCFA</w:t>
            </w:r>
          </w:p>
        </w:tc>
        <w:tc>
          <w:tcPr>
            <w:tcW w:type="dxa" w:w="1417"/>
            <w:shd w:fill="FFFFFF" w:val="clear"/>
          </w:tcPr>
          <w:p>
            <w:r>
              <w:rPr>
                <w:sz w:val="16"/>
              </w:rPr>
              <w:t>1,607 FCFA</w:t>
            </w:r>
          </w:p>
        </w:tc>
        <w:tc>
          <w:tcPr>
            <w:tcW w:type="dxa" w:w="1134"/>
            <w:shd w:fill="FFC7CE" w:val="clear"/>
          </w:tcPr>
          <w:p>
            <w:r>
              <w:rPr>
                <w:b/>
                <w:color w:val="B40000"/>
                <w:sz w:val="16"/>
              </w:rPr>
              <w:t>-39.46%</w:t>
            </w:r>
          </w:p>
        </w:tc>
        <w:tc>
          <w:tcPr>
            <w:tcW w:type="dxa" w:w="1020"/>
            <w:shd w:fill="FFC7CE" w:val="clear"/>
          </w:tcPr>
          <w:p>
            <w:r>
              <w:rPr>
                <w:sz w:val="16"/>
              </w:rPr>
              <w:t>Faible</w:t>
            </w:r>
          </w:p>
        </w:tc>
      </w:tr>
    </w:tbl>
    <w:p/>
    <w:p>
      <w:pPr>
        <w:pStyle w:val="ListBullet"/>
      </w:pPr>
      <w:r>
        <w:rPr>
          <w:b/>
          <w:color w:val="B40000"/>
          <w:sz w:val="18"/>
        </w:rPr>
        <w:t xml:space="preserve">#1 ETIT </w:t>
      </w:r>
      <w:r>
        <w:rPr>
          <w:sz w:val="17"/>
        </w:rPr>
        <w:t>(ETIT - Ecobank Transnational Incorporate) — baisse très forte (-54.1%) — amplitude potentiellement surestimée par le modèle. Trajectoire : 📉 Baisse continue. Cours actuel : 68 FCFA → prédit J+10 : 31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3,695 FCFA → prédit J+10 : 1,694 FCFA. ⚠️ Confiance limitée — volatilité élevée. Ne pas agir sur ce seul signal.</w:t>
      </w:r>
    </w:p>
    <w:p>
      <w:pPr>
        <w:pStyle w:val="ListBullet"/>
      </w:pPr>
      <w:r>
        <w:rPr>
          <w:b/>
          <w:color w:val="B40000"/>
          <w:sz w:val="18"/>
        </w:rPr>
        <w:t xml:space="preserve">#3 SAFC </w:t>
      </w:r>
      <w:r>
        <w:rPr>
          <w:sz w:val="17"/>
        </w:rPr>
        <w:t>(SAFCA CI) — baisse très forte (-53.5%) — amplitude potentiellement surestimée par le modèle. Trajectoire : 📉 Baisse continue. Cours actuel : 5,555 FCFA → prédit J+10 : 2,586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(-41.3%) — amplitude potentiellement surestimée par le modèle. Trajectoire : 📉 Baisse continue. Cours actuel : 5,450 FCFA → prédit J+10 : 3,197 FCFA. ⚠️ Confiance limitée — volatilité élevée. Ne pas agir sur ce seul signal.</w:t>
      </w:r>
    </w:p>
    <w:p>
      <w:pPr>
        <w:pStyle w:val="ListBullet"/>
      </w:pPr>
      <w:r>
        <w:rPr>
          <w:b/>
          <w:color w:val="B40000"/>
          <w:sz w:val="18"/>
        </w:rPr>
        <w:t xml:space="preserve">#5 STAC </w:t>
      </w:r>
      <w:r>
        <w:rPr>
          <w:sz w:val="17"/>
        </w:rPr>
        <w:t>(STAC - SETAO COTE D'IVOIRE) — baisse très forte (-39.5%) — amplitude potentiellement surestimée par le modèle. Trajectoire : 📉 Baisse continue. Cours actuel : 2,655 FCFA → prédit J+10 : 1,607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3,490</w:t>
            </w:r>
          </w:p>
        </w:tc>
        <w:tc>
          <w:tcPr>
            <w:tcW w:type="dxa" w:w="1417"/>
            <w:shd w:fill="FFFFFF" w:val="clear"/>
          </w:tcPr>
          <w:p>
            <w:r>
              <w:rPr>
                <w:sz w:val="16"/>
              </w:rPr>
              <w:t>6,091</w:t>
            </w:r>
          </w:p>
        </w:tc>
        <w:tc>
          <w:tcPr>
            <w:tcW w:type="dxa" w:w="1134"/>
            <w:shd w:fill="C6EFCE" w:val="clear"/>
          </w:tcPr>
          <w:p>
            <w:r>
              <w:rPr>
                <w:b/>
                <w:color w:val="007800"/>
                <w:sz w:val="16"/>
              </w:rPr>
              <w:t>+74.54%</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23,000</w:t>
            </w:r>
          </w:p>
        </w:tc>
        <w:tc>
          <w:tcPr>
            <w:tcW w:type="dxa" w:w="1417"/>
            <w:shd w:fill="FFFFFF" w:val="clear"/>
          </w:tcPr>
          <w:p>
            <w:r>
              <w:rPr>
                <w:sz w:val="16"/>
              </w:rPr>
              <w:t>27,315</w:t>
            </w:r>
          </w:p>
        </w:tc>
        <w:tc>
          <w:tcPr>
            <w:tcW w:type="dxa" w:w="1134"/>
            <w:shd w:fill="C6EFCE" w:val="clear"/>
          </w:tcPr>
          <w:p>
            <w:r>
              <w:rPr>
                <w:b/>
                <w:color w:val="007800"/>
                <w:sz w:val="16"/>
              </w:rPr>
              <w:t>+18.76%</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22,375</w:t>
            </w:r>
          </w:p>
        </w:tc>
        <w:tc>
          <w:tcPr>
            <w:tcW w:type="dxa" w:w="1417"/>
            <w:shd w:fill="FFFFFF" w:val="clear"/>
          </w:tcPr>
          <w:p>
            <w:r>
              <w:rPr>
                <w:sz w:val="16"/>
              </w:rPr>
              <w:t>25,165</w:t>
            </w:r>
          </w:p>
        </w:tc>
        <w:tc>
          <w:tcPr>
            <w:tcW w:type="dxa" w:w="1134"/>
            <w:shd w:fill="C6EFCE" w:val="clear"/>
          </w:tcPr>
          <w:p>
            <w:r>
              <w:rPr>
                <w:b/>
                <w:color w:val="007800"/>
                <w:sz w:val="16"/>
              </w:rPr>
              <w:t>+12.47%</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58,000</w:t>
            </w:r>
          </w:p>
        </w:tc>
        <w:tc>
          <w:tcPr>
            <w:tcW w:type="dxa" w:w="1417"/>
            <w:shd w:fill="FFFFFF" w:val="clear"/>
          </w:tcPr>
          <w:p>
            <w:r>
              <w:rPr>
                <w:sz w:val="16"/>
              </w:rPr>
              <w:t>64,649</w:t>
            </w:r>
          </w:p>
        </w:tc>
        <w:tc>
          <w:tcPr>
            <w:tcW w:type="dxa" w:w="1134"/>
            <w:shd w:fill="C6EFCE" w:val="clear"/>
          </w:tcPr>
          <w:p>
            <w:r>
              <w:rPr>
                <w:b/>
                <w:color w:val="007800"/>
                <w:sz w:val="16"/>
              </w:rPr>
              <w:t>+11.46%</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7,315</w:t>
            </w:r>
          </w:p>
        </w:tc>
        <w:tc>
          <w:tcPr>
            <w:tcW w:type="dxa" w:w="1417"/>
            <w:shd w:fill="FFFFFF" w:val="clear"/>
          </w:tcPr>
          <w:p>
            <w:r>
              <w:rPr>
                <w:sz w:val="16"/>
              </w:rPr>
              <w:t>7,729</w:t>
            </w:r>
          </w:p>
        </w:tc>
        <w:tc>
          <w:tcPr>
            <w:tcW w:type="dxa" w:w="1134"/>
            <w:shd w:fill="C6EFCE" w:val="clear"/>
          </w:tcPr>
          <w:p>
            <w:r>
              <w:rPr>
                <w:b/>
                <w:color w:val="007800"/>
                <w:sz w:val="16"/>
              </w:rPr>
              <w:t>+5.66%</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2,190</w:t>
            </w:r>
          </w:p>
        </w:tc>
        <w:tc>
          <w:tcPr>
            <w:tcW w:type="dxa" w:w="1417"/>
            <w:shd w:fill="FFFFFF" w:val="clear"/>
          </w:tcPr>
          <w:p>
            <w:r>
              <w:rPr>
                <w:sz w:val="16"/>
              </w:rPr>
              <w:t>2,278</w:t>
            </w:r>
          </w:p>
        </w:tc>
        <w:tc>
          <w:tcPr>
            <w:tcW w:type="dxa" w:w="1134"/>
            <w:shd w:fill="C6EFCE" w:val="clear"/>
          </w:tcPr>
          <w:p>
            <w:r>
              <w:rPr>
                <w:b/>
                <w:color w:val="007800"/>
                <w:sz w:val="16"/>
              </w:rPr>
              <w:t>+4.04%</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9,000</w:t>
            </w:r>
          </w:p>
        </w:tc>
        <w:tc>
          <w:tcPr>
            <w:tcW w:type="dxa" w:w="1417"/>
            <w:shd w:fill="FFFFFF" w:val="clear"/>
          </w:tcPr>
          <w:p>
            <w:r>
              <w:rPr>
                <w:sz w:val="16"/>
              </w:rPr>
              <w:t>9,313</w:t>
            </w:r>
          </w:p>
        </w:tc>
        <w:tc>
          <w:tcPr>
            <w:tcW w:type="dxa" w:w="1134"/>
            <w:shd w:fill="C6EFCE" w:val="clear"/>
          </w:tcPr>
          <w:p>
            <w:r>
              <w:rPr>
                <w:b/>
                <w:color w:val="007800"/>
                <w:sz w:val="16"/>
              </w:rPr>
              <w:t>+3.48%</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3,065</w:t>
            </w:r>
          </w:p>
        </w:tc>
        <w:tc>
          <w:tcPr>
            <w:tcW w:type="dxa" w:w="1417"/>
            <w:shd w:fill="FFFFFF" w:val="clear"/>
          </w:tcPr>
          <w:p>
            <w:r>
              <w:rPr>
                <w:sz w:val="16"/>
              </w:rPr>
              <w:t>3,060</w:t>
            </w:r>
          </w:p>
        </w:tc>
        <w:tc>
          <w:tcPr>
            <w:tcW w:type="dxa" w:w="1134"/>
            <w:shd w:fill="FFEB9C" w:val="clear"/>
          </w:tcPr>
          <w:p>
            <w:r>
              <w:rPr>
                <w:b/>
                <w:color w:val="646400"/>
                <w:sz w:val="16"/>
              </w:rPr>
              <w:t>-0.17%</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2,800</w:t>
            </w:r>
          </w:p>
        </w:tc>
        <w:tc>
          <w:tcPr>
            <w:tcW w:type="dxa" w:w="1417"/>
            <w:shd w:fill="FFFFFF" w:val="clear"/>
          </w:tcPr>
          <w:p>
            <w:r>
              <w:rPr>
                <w:sz w:val="16"/>
              </w:rPr>
              <w:t>2,784</w:t>
            </w:r>
          </w:p>
        </w:tc>
        <w:tc>
          <w:tcPr>
            <w:tcW w:type="dxa" w:w="1134"/>
            <w:shd w:fill="FFEB9C" w:val="clear"/>
          </w:tcPr>
          <w:p>
            <w:r>
              <w:rPr>
                <w:b/>
                <w:color w:val="646400"/>
                <w:sz w:val="16"/>
              </w:rPr>
              <w:t>-0.58%</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16,000</w:t>
            </w:r>
          </w:p>
        </w:tc>
        <w:tc>
          <w:tcPr>
            <w:tcW w:type="dxa" w:w="1417"/>
            <w:shd w:fill="FFFFFF" w:val="clear"/>
          </w:tcPr>
          <w:p>
            <w:r>
              <w:rPr>
                <w:sz w:val="16"/>
              </w:rPr>
              <w:t>15,904</w:t>
            </w:r>
          </w:p>
        </w:tc>
        <w:tc>
          <w:tcPr>
            <w:tcW w:type="dxa" w:w="1134"/>
            <w:shd w:fill="FFEB9C" w:val="clear"/>
          </w:tcPr>
          <w:p>
            <w:r>
              <w:rPr>
                <w:b/>
                <w:color w:val="646400"/>
                <w:sz w:val="16"/>
              </w:rPr>
              <w:t>-0.60%</w:t>
            </w:r>
          </w:p>
        </w:tc>
        <w:tc>
          <w:tcPr>
            <w:tcW w:type="dxa" w:w="1134"/>
            <w:shd w:fill="FFEB9C" w:val="clear"/>
          </w:tcPr>
          <w:p>
            <w:r>
              <w:rPr>
                <w:sz w:val="16"/>
              </w:rPr>
              <w:t>Moyenne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4,000</w:t>
            </w:r>
          </w:p>
        </w:tc>
        <w:tc>
          <w:tcPr>
            <w:tcW w:type="dxa" w:w="1417"/>
            <w:shd w:fill="FFFFFF" w:val="clear"/>
          </w:tcPr>
          <w:p>
            <w:r>
              <w:rPr>
                <w:sz w:val="16"/>
              </w:rPr>
              <w:t>3,955</w:t>
            </w:r>
          </w:p>
        </w:tc>
        <w:tc>
          <w:tcPr>
            <w:tcW w:type="dxa" w:w="1134"/>
            <w:shd w:fill="FFC7CE" w:val="clear"/>
          </w:tcPr>
          <w:p>
            <w:r>
              <w:rPr>
                <w:b/>
                <w:color w:val="B40000"/>
                <w:sz w:val="16"/>
              </w:rPr>
              <w:t>-1.12%</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2,000</w:t>
            </w:r>
          </w:p>
        </w:tc>
        <w:tc>
          <w:tcPr>
            <w:tcW w:type="dxa" w:w="1417"/>
            <w:shd w:fill="FFFFFF" w:val="clear"/>
          </w:tcPr>
          <w:p>
            <w:r>
              <w:rPr>
                <w:sz w:val="16"/>
              </w:rPr>
              <w:t>1,974</w:t>
            </w:r>
          </w:p>
        </w:tc>
        <w:tc>
          <w:tcPr>
            <w:tcW w:type="dxa" w:w="1134"/>
            <w:shd w:fill="FFC7CE" w:val="clear"/>
          </w:tcPr>
          <w:p>
            <w:r>
              <w:rPr>
                <w:b/>
                <w:color w:val="B40000"/>
                <w:sz w:val="16"/>
              </w:rPr>
              <w:t>-1.28%</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38,000</w:t>
            </w:r>
          </w:p>
        </w:tc>
        <w:tc>
          <w:tcPr>
            <w:tcW w:type="dxa" w:w="1417"/>
            <w:shd w:fill="FFFFFF" w:val="clear"/>
          </w:tcPr>
          <w:p>
            <w:r>
              <w:rPr>
                <w:sz w:val="16"/>
              </w:rPr>
              <w:t>37,336</w:t>
            </w:r>
          </w:p>
        </w:tc>
        <w:tc>
          <w:tcPr>
            <w:tcW w:type="dxa" w:w="1134"/>
            <w:shd w:fill="FFC7CE" w:val="clear"/>
          </w:tcPr>
          <w:p>
            <w:r>
              <w:rPr>
                <w:b/>
                <w:color w:val="B40000"/>
                <w:sz w:val="16"/>
              </w:rPr>
              <w:t>-1.75%</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5,100</w:t>
            </w:r>
          </w:p>
        </w:tc>
        <w:tc>
          <w:tcPr>
            <w:tcW w:type="dxa" w:w="1417"/>
            <w:shd w:fill="FFFFFF" w:val="clear"/>
          </w:tcPr>
          <w:p>
            <w:r>
              <w:rPr>
                <w:sz w:val="16"/>
              </w:rPr>
              <w:t>5,007</w:t>
            </w:r>
          </w:p>
        </w:tc>
        <w:tc>
          <w:tcPr>
            <w:tcW w:type="dxa" w:w="1134"/>
            <w:shd w:fill="FFC7CE" w:val="clear"/>
          </w:tcPr>
          <w:p>
            <w:r>
              <w:rPr>
                <w:b/>
                <w:color w:val="B40000"/>
                <w:sz w:val="16"/>
              </w:rPr>
              <w:t>-1.82%</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31,995</w:t>
            </w:r>
          </w:p>
        </w:tc>
        <w:tc>
          <w:tcPr>
            <w:tcW w:type="dxa" w:w="1417"/>
            <w:shd w:fill="FFFFFF" w:val="clear"/>
          </w:tcPr>
          <w:p>
            <w:r>
              <w:rPr>
                <w:sz w:val="16"/>
              </w:rPr>
              <w:t>31,319</w:t>
            </w:r>
          </w:p>
        </w:tc>
        <w:tc>
          <w:tcPr>
            <w:tcW w:type="dxa" w:w="1134"/>
            <w:shd w:fill="FFC7CE" w:val="clear"/>
          </w:tcPr>
          <w:p>
            <w:r>
              <w:rPr>
                <w:b/>
                <w:color w:val="B40000"/>
                <w:sz w:val="16"/>
              </w:rPr>
              <w:t>-2.11%</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3,000</w:t>
            </w:r>
          </w:p>
        </w:tc>
        <w:tc>
          <w:tcPr>
            <w:tcW w:type="dxa" w:w="1417"/>
            <w:shd w:fill="FFFFFF" w:val="clear"/>
          </w:tcPr>
          <w:p>
            <w:r>
              <w:rPr>
                <w:sz w:val="16"/>
              </w:rPr>
              <w:t>2,933</w:t>
            </w:r>
          </w:p>
        </w:tc>
        <w:tc>
          <w:tcPr>
            <w:tcW w:type="dxa" w:w="1134"/>
            <w:shd w:fill="FFC7CE" w:val="clear"/>
          </w:tcPr>
          <w:p>
            <w:r>
              <w:rPr>
                <w:b/>
                <w:color w:val="B40000"/>
                <w:sz w:val="16"/>
              </w:rPr>
              <w:t>-2.24%</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8,000</w:t>
            </w:r>
          </w:p>
        </w:tc>
        <w:tc>
          <w:tcPr>
            <w:tcW w:type="dxa" w:w="1417"/>
            <w:shd w:fill="FFFFFF" w:val="clear"/>
          </w:tcPr>
          <w:p>
            <w:r>
              <w:rPr>
                <w:sz w:val="16"/>
              </w:rPr>
              <w:t>7,739</w:t>
            </w:r>
          </w:p>
        </w:tc>
        <w:tc>
          <w:tcPr>
            <w:tcW w:type="dxa" w:w="1134"/>
            <w:shd w:fill="FFC7CE" w:val="clear"/>
          </w:tcPr>
          <w:p>
            <w:r>
              <w:rPr>
                <w:b/>
                <w:color w:val="B40000"/>
                <w:sz w:val="16"/>
              </w:rPr>
              <w:t>-3.26%</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16,450</w:t>
            </w:r>
          </w:p>
        </w:tc>
        <w:tc>
          <w:tcPr>
            <w:tcW w:type="dxa" w:w="1417"/>
            <w:shd w:fill="FFFFFF" w:val="clear"/>
          </w:tcPr>
          <w:p>
            <w:r>
              <w:rPr>
                <w:sz w:val="16"/>
              </w:rPr>
              <w:t>15,852</w:t>
            </w:r>
          </w:p>
        </w:tc>
        <w:tc>
          <w:tcPr>
            <w:tcW w:type="dxa" w:w="1134"/>
            <w:shd w:fill="FFC7CE" w:val="clear"/>
          </w:tcPr>
          <w:p>
            <w:r>
              <w:rPr>
                <w:b/>
                <w:color w:val="B40000"/>
                <w:sz w:val="16"/>
              </w:rPr>
              <w:t>-3.63%</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39,200</w:t>
            </w:r>
          </w:p>
        </w:tc>
        <w:tc>
          <w:tcPr>
            <w:tcW w:type="dxa" w:w="1417"/>
            <w:shd w:fill="FFFFFF" w:val="clear"/>
          </w:tcPr>
          <w:p>
            <w:r>
              <w:rPr>
                <w:sz w:val="16"/>
              </w:rPr>
              <w:t>37,607</w:t>
            </w:r>
          </w:p>
        </w:tc>
        <w:tc>
          <w:tcPr>
            <w:tcW w:type="dxa" w:w="1134"/>
            <w:shd w:fill="FFC7CE" w:val="clear"/>
          </w:tcPr>
          <w:p>
            <w:r>
              <w:rPr>
                <w:b/>
                <w:color w:val="B40000"/>
                <w:sz w:val="16"/>
              </w:rPr>
              <w:t>-4.06%</w:t>
            </w:r>
          </w:p>
        </w:tc>
        <w:tc>
          <w:tcPr>
            <w:tcW w:type="dxa" w:w="1134"/>
            <w:shd w:fill="FFEB9C" w:val="clear"/>
          </w:tcPr>
          <w:p>
            <w:r>
              <w:rPr>
                <w:sz w:val="16"/>
              </w:rPr>
              <w:t>Moyenne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18,000</w:t>
            </w:r>
          </w:p>
        </w:tc>
        <w:tc>
          <w:tcPr>
            <w:tcW w:type="dxa" w:w="1417"/>
            <w:shd w:fill="FFFFFF" w:val="clear"/>
          </w:tcPr>
          <w:p>
            <w:r>
              <w:rPr>
                <w:sz w:val="16"/>
              </w:rPr>
              <w:t>17,045</w:t>
            </w:r>
          </w:p>
        </w:tc>
        <w:tc>
          <w:tcPr>
            <w:tcW w:type="dxa" w:w="1134"/>
            <w:shd w:fill="FFC7CE" w:val="clear"/>
          </w:tcPr>
          <w:p>
            <w:r>
              <w:rPr>
                <w:b/>
                <w:color w:val="B40000"/>
                <w:sz w:val="16"/>
              </w:rPr>
              <w:t>-5.31%</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4,495</w:t>
            </w:r>
          </w:p>
        </w:tc>
        <w:tc>
          <w:tcPr>
            <w:tcW w:type="dxa" w:w="1417"/>
            <w:shd w:fill="FFFFFF" w:val="clear"/>
          </w:tcPr>
          <w:p>
            <w:r>
              <w:rPr>
                <w:sz w:val="16"/>
              </w:rPr>
              <w:t>4,241</w:t>
            </w:r>
          </w:p>
        </w:tc>
        <w:tc>
          <w:tcPr>
            <w:tcW w:type="dxa" w:w="1134"/>
            <w:shd w:fill="FFC7CE" w:val="clear"/>
          </w:tcPr>
          <w:p>
            <w:r>
              <w:rPr>
                <w:b/>
                <w:color w:val="B40000"/>
                <w:sz w:val="16"/>
              </w:rPr>
              <w:t>-5.65%</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1,940</w:t>
            </w:r>
          </w:p>
        </w:tc>
        <w:tc>
          <w:tcPr>
            <w:tcW w:type="dxa" w:w="1417"/>
            <w:shd w:fill="FFFFFF" w:val="clear"/>
          </w:tcPr>
          <w:p>
            <w:r>
              <w:rPr>
                <w:sz w:val="16"/>
              </w:rPr>
              <w:t>1,823</w:t>
            </w:r>
          </w:p>
        </w:tc>
        <w:tc>
          <w:tcPr>
            <w:tcW w:type="dxa" w:w="1134"/>
            <w:shd w:fill="FFC7CE" w:val="clear"/>
          </w:tcPr>
          <w:p>
            <w:r>
              <w:rPr>
                <w:b/>
                <w:color w:val="B40000"/>
                <w:sz w:val="16"/>
              </w:rPr>
              <w:t>-6.01%</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17,450</w:t>
            </w:r>
          </w:p>
        </w:tc>
        <w:tc>
          <w:tcPr>
            <w:tcW w:type="dxa" w:w="1417"/>
            <w:shd w:fill="FFFFFF" w:val="clear"/>
          </w:tcPr>
          <w:p>
            <w:r>
              <w:rPr>
                <w:sz w:val="16"/>
              </w:rPr>
              <w:t>16,390</w:t>
            </w:r>
          </w:p>
        </w:tc>
        <w:tc>
          <w:tcPr>
            <w:tcW w:type="dxa" w:w="1134"/>
            <w:shd w:fill="FFC7CE" w:val="clear"/>
          </w:tcPr>
          <w:p>
            <w:r>
              <w:rPr>
                <w:b/>
                <w:color w:val="B40000"/>
                <w:sz w:val="16"/>
              </w:rPr>
              <w:t>-6.07%</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11,610</w:t>
            </w:r>
          </w:p>
        </w:tc>
        <w:tc>
          <w:tcPr>
            <w:tcW w:type="dxa" w:w="1417"/>
            <w:shd w:fill="FFFFFF" w:val="clear"/>
          </w:tcPr>
          <w:p>
            <w:r>
              <w:rPr>
                <w:sz w:val="16"/>
              </w:rPr>
              <w:t>10,638</w:t>
            </w:r>
          </w:p>
        </w:tc>
        <w:tc>
          <w:tcPr>
            <w:tcW w:type="dxa" w:w="1134"/>
            <w:shd w:fill="FFC7CE" w:val="clear"/>
          </w:tcPr>
          <w:p>
            <w:r>
              <w:rPr>
                <w:b/>
                <w:color w:val="B40000"/>
                <w:sz w:val="16"/>
              </w:rPr>
              <w:t>-8.37%</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7,100</w:t>
            </w:r>
          </w:p>
        </w:tc>
        <w:tc>
          <w:tcPr>
            <w:tcW w:type="dxa" w:w="1417"/>
            <w:shd w:fill="FFFFFF" w:val="clear"/>
          </w:tcPr>
          <w:p>
            <w:r>
              <w:rPr>
                <w:sz w:val="16"/>
              </w:rPr>
              <w:t>6,467</w:t>
            </w:r>
          </w:p>
        </w:tc>
        <w:tc>
          <w:tcPr>
            <w:tcW w:type="dxa" w:w="1134"/>
            <w:shd w:fill="FFC7CE" w:val="clear"/>
          </w:tcPr>
          <w:p>
            <w:r>
              <w:rPr>
                <w:b/>
                <w:color w:val="B40000"/>
                <w:sz w:val="16"/>
              </w:rPr>
              <w:t>-8.92%</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29,000</w:t>
            </w:r>
          </w:p>
        </w:tc>
        <w:tc>
          <w:tcPr>
            <w:tcW w:type="dxa" w:w="1417"/>
            <w:shd w:fill="FFFFFF" w:val="clear"/>
          </w:tcPr>
          <w:p>
            <w:r>
              <w:rPr>
                <w:sz w:val="16"/>
              </w:rPr>
              <w:t>26,205</w:t>
            </w:r>
          </w:p>
        </w:tc>
        <w:tc>
          <w:tcPr>
            <w:tcW w:type="dxa" w:w="1134"/>
            <w:shd w:fill="FFC7CE" w:val="clear"/>
          </w:tcPr>
          <w:p>
            <w:r>
              <w:rPr>
                <w:b/>
                <w:color w:val="B40000"/>
                <w:sz w:val="16"/>
              </w:rPr>
              <w:t>-9.64%</w:t>
            </w:r>
          </w:p>
        </w:tc>
        <w:tc>
          <w:tcPr>
            <w:tcW w:type="dxa" w:w="1134"/>
            <w:shd w:fill="FFEB9C" w:val="clear"/>
          </w:tcPr>
          <w:p>
            <w:r>
              <w:rPr>
                <w:sz w:val="16"/>
              </w:rPr>
              <w:t>Moyenne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2,795</w:t>
            </w:r>
          </w:p>
        </w:tc>
        <w:tc>
          <w:tcPr>
            <w:tcW w:type="dxa" w:w="1417"/>
            <w:shd w:fill="FFFFFF" w:val="clear"/>
          </w:tcPr>
          <w:p>
            <w:r>
              <w:rPr>
                <w:sz w:val="16"/>
              </w:rPr>
              <w:t>2,524</w:t>
            </w:r>
          </w:p>
        </w:tc>
        <w:tc>
          <w:tcPr>
            <w:tcW w:type="dxa" w:w="1134"/>
            <w:shd w:fill="FFC7CE" w:val="clear"/>
          </w:tcPr>
          <w:p>
            <w:r>
              <w:rPr>
                <w:b/>
                <w:color w:val="B40000"/>
                <w:sz w:val="16"/>
              </w:rPr>
              <w:t>-9.71%</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1,495</w:t>
            </w:r>
          </w:p>
        </w:tc>
        <w:tc>
          <w:tcPr>
            <w:tcW w:type="dxa" w:w="1417"/>
            <w:shd w:fill="FFFFFF" w:val="clear"/>
          </w:tcPr>
          <w:p>
            <w:r>
              <w:rPr>
                <w:sz w:val="16"/>
              </w:rPr>
              <w:t>1,336</w:t>
            </w:r>
          </w:p>
        </w:tc>
        <w:tc>
          <w:tcPr>
            <w:tcW w:type="dxa" w:w="1134"/>
            <w:shd w:fill="FFC7CE" w:val="clear"/>
          </w:tcPr>
          <w:p>
            <w:r>
              <w:rPr>
                <w:b/>
                <w:color w:val="B40000"/>
                <w:sz w:val="16"/>
              </w:rPr>
              <w:t>-10.66%</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8,690</w:t>
            </w:r>
          </w:p>
        </w:tc>
        <w:tc>
          <w:tcPr>
            <w:tcW w:type="dxa" w:w="1417"/>
            <w:shd w:fill="FFFFFF" w:val="clear"/>
          </w:tcPr>
          <w:p>
            <w:r>
              <w:rPr>
                <w:sz w:val="16"/>
              </w:rPr>
              <w:t>7,692</w:t>
            </w:r>
          </w:p>
        </w:tc>
        <w:tc>
          <w:tcPr>
            <w:tcW w:type="dxa" w:w="1134"/>
            <w:shd w:fill="FFC7CE" w:val="clear"/>
          </w:tcPr>
          <w:p>
            <w:r>
              <w:rPr>
                <w:b/>
                <w:color w:val="B40000"/>
                <w:sz w:val="16"/>
              </w:rPr>
              <w:t>-11.48%</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3,600</w:t>
            </w:r>
          </w:p>
        </w:tc>
        <w:tc>
          <w:tcPr>
            <w:tcW w:type="dxa" w:w="1417"/>
            <w:shd w:fill="FFFFFF" w:val="clear"/>
          </w:tcPr>
          <w:p>
            <w:r>
              <w:rPr>
                <w:sz w:val="16"/>
              </w:rPr>
              <w:t>3,174</w:t>
            </w:r>
          </w:p>
        </w:tc>
        <w:tc>
          <w:tcPr>
            <w:tcW w:type="dxa" w:w="1134"/>
            <w:shd w:fill="FFC7CE" w:val="clear"/>
          </w:tcPr>
          <w:p>
            <w:r>
              <w:rPr>
                <w:b/>
                <w:color w:val="B40000"/>
                <w:sz w:val="16"/>
              </w:rPr>
              <w:t>-11.82%</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3,190</w:t>
            </w:r>
          </w:p>
        </w:tc>
        <w:tc>
          <w:tcPr>
            <w:tcW w:type="dxa" w:w="1417"/>
            <w:shd w:fill="FFFFFF" w:val="clear"/>
          </w:tcPr>
          <w:p>
            <w:r>
              <w:rPr>
                <w:sz w:val="16"/>
              </w:rPr>
              <w:t>2,800</w:t>
            </w:r>
          </w:p>
        </w:tc>
        <w:tc>
          <w:tcPr>
            <w:tcW w:type="dxa" w:w="1134"/>
            <w:shd w:fill="FFC7CE" w:val="clear"/>
          </w:tcPr>
          <w:p>
            <w:r>
              <w:rPr>
                <w:b/>
                <w:color w:val="B40000"/>
                <w:sz w:val="16"/>
              </w:rPr>
              <w:t>-12.22%</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7,690</w:t>
            </w:r>
          </w:p>
        </w:tc>
        <w:tc>
          <w:tcPr>
            <w:tcW w:type="dxa" w:w="1417"/>
            <w:shd w:fill="FFFFFF" w:val="clear"/>
          </w:tcPr>
          <w:p>
            <w:r>
              <w:rPr>
                <w:sz w:val="16"/>
              </w:rPr>
              <w:t>6,712</w:t>
            </w:r>
          </w:p>
        </w:tc>
        <w:tc>
          <w:tcPr>
            <w:tcW w:type="dxa" w:w="1134"/>
            <w:shd w:fill="FFC7CE" w:val="clear"/>
          </w:tcPr>
          <w:p>
            <w:r>
              <w:rPr>
                <w:b/>
                <w:color w:val="B40000"/>
                <w:sz w:val="16"/>
              </w:rPr>
              <w:t>-12.71%</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1,600</w:t>
            </w:r>
          </w:p>
        </w:tc>
        <w:tc>
          <w:tcPr>
            <w:tcW w:type="dxa" w:w="1417"/>
            <w:shd w:fill="FFFFFF" w:val="clear"/>
          </w:tcPr>
          <w:p>
            <w:r>
              <w:rPr>
                <w:sz w:val="16"/>
              </w:rPr>
              <w:t>1,396</w:t>
            </w:r>
          </w:p>
        </w:tc>
        <w:tc>
          <w:tcPr>
            <w:tcW w:type="dxa" w:w="1134"/>
            <w:shd w:fill="FFC7CE" w:val="clear"/>
          </w:tcPr>
          <w:p>
            <w:r>
              <w:rPr>
                <w:b/>
                <w:color w:val="B40000"/>
                <w:sz w:val="16"/>
              </w:rPr>
              <w:t>-12.76%</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6,140</w:t>
            </w:r>
          </w:p>
        </w:tc>
        <w:tc>
          <w:tcPr>
            <w:tcW w:type="dxa" w:w="1417"/>
            <w:shd w:fill="FFFFFF" w:val="clear"/>
          </w:tcPr>
          <w:p>
            <w:r>
              <w:rPr>
                <w:sz w:val="16"/>
              </w:rPr>
              <w:t>5,274</w:t>
            </w:r>
          </w:p>
        </w:tc>
        <w:tc>
          <w:tcPr>
            <w:tcW w:type="dxa" w:w="1134"/>
            <w:shd w:fill="FFC7CE" w:val="clear"/>
          </w:tcPr>
          <w:p>
            <w:r>
              <w:rPr>
                <w:b/>
                <w:color w:val="B40000"/>
                <w:sz w:val="16"/>
              </w:rPr>
              <w:t>-14.10%</w:t>
            </w:r>
          </w:p>
        </w:tc>
        <w:tc>
          <w:tcPr>
            <w:tcW w:type="dxa" w:w="1134"/>
            <w:shd w:fill="FFEB9C" w:val="clear"/>
          </w:tcPr>
          <w:p>
            <w:r>
              <w:rPr>
                <w:sz w:val="16"/>
              </w:rPr>
              <w:t>Moyenne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9,380</w:t>
            </w:r>
          </w:p>
        </w:tc>
        <w:tc>
          <w:tcPr>
            <w:tcW w:type="dxa" w:w="1417"/>
            <w:shd w:fill="FFFFFF" w:val="clear"/>
          </w:tcPr>
          <w:p>
            <w:r>
              <w:rPr>
                <w:sz w:val="16"/>
              </w:rPr>
              <w:t>7,761</w:t>
            </w:r>
          </w:p>
        </w:tc>
        <w:tc>
          <w:tcPr>
            <w:tcW w:type="dxa" w:w="1134"/>
            <w:shd w:fill="FFC7CE" w:val="clear"/>
          </w:tcPr>
          <w:p>
            <w:r>
              <w:rPr>
                <w:b/>
                <w:color w:val="B40000"/>
                <w:sz w:val="16"/>
              </w:rPr>
              <w:t>-17.26%</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9,100</w:t>
            </w:r>
          </w:p>
        </w:tc>
        <w:tc>
          <w:tcPr>
            <w:tcW w:type="dxa" w:w="1417"/>
            <w:shd w:fill="FFFFFF" w:val="clear"/>
          </w:tcPr>
          <w:p>
            <w:r>
              <w:rPr>
                <w:sz w:val="16"/>
              </w:rPr>
              <w:t>7,180</w:t>
            </w:r>
          </w:p>
        </w:tc>
        <w:tc>
          <w:tcPr>
            <w:tcW w:type="dxa" w:w="1134"/>
            <w:shd w:fill="FFC7CE" w:val="clear"/>
          </w:tcPr>
          <w:p>
            <w:r>
              <w:rPr>
                <w:b/>
                <w:color w:val="B40000"/>
                <w:sz w:val="16"/>
              </w:rPr>
              <w:t>-21.09%</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2,410</w:t>
            </w:r>
          </w:p>
        </w:tc>
        <w:tc>
          <w:tcPr>
            <w:tcW w:type="dxa" w:w="1417"/>
            <w:shd w:fill="FFFFFF" w:val="clear"/>
          </w:tcPr>
          <w:p>
            <w:r>
              <w:rPr>
                <w:sz w:val="16"/>
              </w:rPr>
              <w:t>1,836</w:t>
            </w:r>
          </w:p>
        </w:tc>
        <w:tc>
          <w:tcPr>
            <w:tcW w:type="dxa" w:w="1134"/>
            <w:shd w:fill="FFC7CE" w:val="clear"/>
          </w:tcPr>
          <w:p>
            <w:r>
              <w:rPr>
                <w:b/>
                <w:color w:val="B40000"/>
                <w:sz w:val="16"/>
              </w:rPr>
              <w:t>-23.82%</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2,200</w:t>
            </w:r>
          </w:p>
        </w:tc>
        <w:tc>
          <w:tcPr>
            <w:tcW w:type="dxa" w:w="1417"/>
            <w:shd w:fill="FFFFFF" w:val="clear"/>
          </w:tcPr>
          <w:p>
            <w:r>
              <w:rPr>
                <w:sz w:val="16"/>
              </w:rPr>
              <w:t>1,637</w:t>
            </w:r>
          </w:p>
        </w:tc>
        <w:tc>
          <w:tcPr>
            <w:tcW w:type="dxa" w:w="1134"/>
            <w:shd w:fill="FFC7CE" w:val="clear"/>
          </w:tcPr>
          <w:p>
            <w:r>
              <w:rPr>
                <w:b/>
                <w:color w:val="B40000"/>
                <w:sz w:val="16"/>
              </w:rPr>
              <w:t>-25.59%</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12,500</w:t>
            </w:r>
          </w:p>
        </w:tc>
        <w:tc>
          <w:tcPr>
            <w:tcW w:type="dxa" w:w="1417"/>
            <w:shd w:fill="FFFFFF" w:val="clear"/>
          </w:tcPr>
          <w:p>
            <w:r>
              <w:rPr>
                <w:sz w:val="16"/>
              </w:rPr>
              <w:t>8,808</w:t>
            </w:r>
          </w:p>
        </w:tc>
        <w:tc>
          <w:tcPr>
            <w:tcW w:type="dxa" w:w="1134"/>
            <w:shd w:fill="FFC7CE" w:val="clear"/>
          </w:tcPr>
          <w:p>
            <w:r>
              <w:rPr>
                <w:b/>
                <w:color w:val="B40000"/>
                <w:sz w:val="16"/>
              </w:rPr>
              <w:t>-29.54%</w:t>
            </w:r>
          </w:p>
        </w:tc>
        <w:tc>
          <w:tcPr>
            <w:tcW w:type="dxa" w:w="1134"/>
            <w:shd w:fill="FFEB9C" w:val="clear"/>
          </w:tcPr>
          <w:p>
            <w:r>
              <w:rPr>
                <w:sz w:val="16"/>
              </w:rPr>
              <w:t>Moyenne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8,475</w:t>
            </w:r>
          </w:p>
        </w:tc>
        <w:tc>
          <w:tcPr>
            <w:tcW w:type="dxa" w:w="1417"/>
            <w:shd w:fill="FFFFFF" w:val="clear"/>
          </w:tcPr>
          <w:p>
            <w:r>
              <w:rPr>
                <w:sz w:val="16"/>
              </w:rPr>
              <w:t>5,472</w:t>
            </w:r>
          </w:p>
        </w:tc>
        <w:tc>
          <w:tcPr>
            <w:tcW w:type="dxa" w:w="1134"/>
            <w:shd w:fill="FFC7CE" w:val="clear"/>
          </w:tcPr>
          <w:p>
            <w:r>
              <w:rPr>
                <w:b/>
                <w:color w:val="B40000"/>
                <w:sz w:val="16"/>
              </w:rPr>
              <w:t>-35.44%</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2,200</w:t>
            </w:r>
          </w:p>
        </w:tc>
        <w:tc>
          <w:tcPr>
            <w:tcW w:type="dxa" w:w="1417"/>
            <w:shd w:fill="FFFFFF" w:val="clear"/>
          </w:tcPr>
          <w:p>
            <w:r>
              <w:rPr>
                <w:sz w:val="16"/>
              </w:rPr>
              <w:t>1,365</w:t>
            </w:r>
          </w:p>
        </w:tc>
        <w:tc>
          <w:tcPr>
            <w:tcW w:type="dxa" w:w="1134"/>
            <w:shd w:fill="FFC7CE" w:val="clear"/>
          </w:tcPr>
          <w:p>
            <w:r>
              <w:rPr>
                <w:b/>
                <w:color w:val="B40000"/>
                <w:sz w:val="16"/>
              </w:rPr>
              <w:t>-37.94%</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28,700</w:t>
            </w:r>
          </w:p>
        </w:tc>
        <w:tc>
          <w:tcPr>
            <w:tcW w:type="dxa" w:w="1417"/>
            <w:shd w:fill="FFFFFF" w:val="clear"/>
          </w:tcPr>
          <w:p>
            <w:r>
              <w:rPr>
                <w:sz w:val="16"/>
              </w:rPr>
              <w:t>17,393</w:t>
            </w:r>
          </w:p>
        </w:tc>
        <w:tc>
          <w:tcPr>
            <w:tcW w:type="dxa" w:w="1134"/>
            <w:shd w:fill="FFC7CE" w:val="clear"/>
          </w:tcPr>
          <w:p>
            <w:r>
              <w:rPr>
                <w:b/>
                <w:color w:val="B40000"/>
                <w:sz w:val="16"/>
              </w:rPr>
              <w:t>-39.40%</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2,655</w:t>
            </w:r>
          </w:p>
        </w:tc>
        <w:tc>
          <w:tcPr>
            <w:tcW w:type="dxa" w:w="1417"/>
            <w:shd w:fill="FFFFFF" w:val="clear"/>
          </w:tcPr>
          <w:p>
            <w:r>
              <w:rPr>
                <w:sz w:val="16"/>
              </w:rPr>
              <w:t>1,607</w:t>
            </w:r>
          </w:p>
        </w:tc>
        <w:tc>
          <w:tcPr>
            <w:tcW w:type="dxa" w:w="1134"/>
            <w:shd w:fill="FFC7CE" w:val="clear"/>
          </w:tcPr>
          <w:p>
            <w:r>
              <w:rPr>
                <w:b/>
                <w:color w:val="B40000"/>
                <w:sz w:val="16"/>
              </w:rPr>
              <w:t>-39.46%</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5,450</w:t>
            </w:r>
          </w:p>
        </w:tc>
        <w:tc>
          <w:tcPr>
            <w:tcW w:type="dxa" w:w="1417"/>
            <w:shd w:fill="FFFFFF" w:val="clear"/>
          </w:tcPr>
          <w:p>
            <w:r>
              <w:rPr>
                <w:sz w:val="16"/>
              </w:rPr>
              <w:t>3,197</w:t>
            </w:r>
          </w:p>
        </w:tc>
        <w:tc>
          <w:tcPr>
            <w:tcW w:type="dxa" w:w="1134"/>
            <w:shd w:fill="FFC7CE" w:val="clear"/>
          </w:tcPr>
          <w:p>
            <w:r>
              <w:rPr>
                <w:b/>
                <w:color w:val="B40000"/>
                <w:sz w:val="16"/>
              </w:rPr>
              <w:t>-41.33%</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5,555</w:t>
            </w:r>
          </w:p>
        </w:tc>
        <w:tc>
          <w:tcPr>
            <w:tcW w:type="dxa" w:w="1417"/>
            <w:shd w:fill="FFFFFF" w:val="clear"/>
          </w:tcPr>
          <w:p>
            <w:r>
              <w:rPr>
                <w:sz w:val="16"/>
              </w:rPr>
              <w:t>2,586</w:t>
            </w:r>
          </w:p>
        </w:tc>
        <w:tc>
          <w:tcPr>
            <w:tcW w:type="dxa" w:w="1134"/>
            <w:shd w:fill="FFC7CE" w:val="clear"/>
          </w:tcPr>
          <w:p>
            <w:r>
              <w:rPr>
                <w:b/>
                <w:color w:val="B40000"/>
                <w:sz w:val="16"/>
              </w:rPr>
              <w:t>-53.45%</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3,695</w:t>
            </w:r>
          </w:p>
        </w:tc>
        <w:tc>
          <w:tcPr>
            <w:tcW w:type="dxa" w:w="1417"/>
            <w:shd w:fill="FFFFFF" w:val="clear"/>
          </w:tcPr>
          <w:p>
            <w:r>
              <w:rPr>
                <w:sz w:val="16"/>
              </w:rPr>
              <w:t>1,694</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68</w:t>
            </w:r>
          </w:p>
        </w:tc>
        <w:tc>
          <w:tcPr>
            <w:tcW w:type="dxa" w:w="1417"/>
            <w:shd w:fill="FFFFFF" w:val="clear"/>
          </w:tcPr>
          <w:p>
            <w:r>
              <w:rPr>
                <w:sz w:val="16"/>
              </w:rPr>
              <w:t>31</w:t>
            </w:r>
          </w:p>
        </w:tc>
        <w:tc>
          <w:tcPr>
            <w:tcW w:type="dxa" w:w="1134"/>
            <w:shd w:fill="FFC7CE" w:val="clear"/>
          </w:tcPr>
          <w:p>
            <w:r>
              <w:rPr>
                <w:b/>
                <w:color w:val="B40000"/>
                <w:sz w:val="16"/>
              </w:rPr>
              <w:t>-54.15%</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34.81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3,145 titres</w:t>
            </w:r>
          </w:p>
        </w:tc>
        <w:tc>
          <w:tcPr>
            <w:tcW w:type="dxa" w:w="2268"/>
            <w:shd w:fill="FFF2CC" w:val="clear"/>
          </w:tcPr>
          <w:p>
            <w:r>
              <w:rPr>
                <w:b/>
                <w:color w:val="503200"/>
                <w:sz w:val="16"/>
              </w:rPr>
              <w:t xml:space="preserve">Cours actuel : </w:t>
            </w:r>
            <w:r>
              <w:rPr>
                <w:color w:val="000000"/>
                <w:sz w:val="17"/>
              </w:rPr>
              <w:t>3,190 FCFA</w:t>
            </w:r>
          </w:p>
          <w:p>
            <w:r>
              <w:rPr>
                <w:b/>
                <w:color w:val="503200"/>
                <w:sz w:val="16"/>
              </w:rPr>
              <w:t xml:space="preserve">Var. 100 jours : </w:t>
            </w:r>
            <w:r>
              <w:rPr>
                <w:b/>
                <w:color w:val="B40000"/>
                <w:sz w:val="17"/>
              </w:rPr>
              <w:t>-1.85%</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54.3%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7.41% (Moyenne) — μ=3,215 FCFA, σ=238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β=-0.7288 (Contre-cyclique) — Cov=-0.000026, Var(idx)=0.000036, ρ=-0.128,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3,145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σ_j=3.42%/j (Modérée) — Vol. annualisée≈54.3%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2026-08-14</w:t>
            </w:r>
          </w:p>
        </w:tc>
        <w:tc>
          <w:tcPr>
            <w:tcW w:type="dxa" w:w="1440"/>
            <w:shd w:fill="FFDCE0" w:val="clear"/>
          </w:tcPr>
          <w:p>
            <w:r>
              <w:rPr>
                <w:sz w:val="17"/>
              </w:rPr>
              <w:t>2,979</w:t>
            </w:r>
          </w:p>
        </w:tc>
        <w:tc>
          <w:tcPr>
            <w:tcW w:type="dxa" w:w="1440"/>
            <w:shd w:fill="FFDCE0" w:val="clear"/>
          </w:tcPr>
          <w:p>
            <w:r>
              <w:rPr>
                <w:b/>
                <w:sz w:val="17"/>
              </w:rPr>
              <w:t>3,125</w:t>
            </w:r>
          </w:p>
        </w:tc>
        <w:tc>
          <w:tcPr>
            <w:tcW w:type="dxa" w:w="1440"/>
            <w:shd w:fill="FFDCE0" w:val="clear"/>
          </w:tcPr>
          <w:p>
            <w:r>
              <w:rPr>
                <w:sz w:val="17"/>
              </w:rPr>
              <w:t>3,271</w:t>
            </w:r>
          </w:p>
        </w:tc>
        <w:tc>
          <w:tcPr>
            <w:tcW w:type="dxa" w:w="1440"/>
            <w:shd w:fill="FFDCE0" w:val="clear"/>
          </w:tcPr>
          <w:p>
            <w:r>
              <w:rPr>
                <w:b/>
                <w:color w:val="C00000"/>
                <w:sz w:val="17"/>
              </w:rPr>
              <w:t>-2.0%</w:t>
            </w:r>
          </w:p>
        </w:tc>
      </w:tr>
      <w:tr>
        <w:tc>
          <w:tcPr>
            <w:tcW w:type="dxa" w:w="1440"/>
            <w:shd w:fill="FFDCE0" w:val="clear"/>
          </w:tcPr>
          <w:p>
            <w:r>
              <w:rPr>
                <w:sz w:val="17"/>
              </w:rPr>
              <w:t>J+2  Moyenne</w:t>
            </w:r>
          </w:p>
        </w:tc>
        <w:tc>
          <w:tcPr>
            <w:tcW w:type="dxa" w:w="1440"/>
            <w:shd w:fill="FFDCE0" w:val="clear"/>
          </w:tcPr>
          <w:p>
            <w:r>
              <w:rPr>
                <w:sz w:val="17"/>
              </w:rPr>
              <w:t>2026-08-17</w:t>
            </w:r>
          </w:p>
        </w:tc>
        <w:tc>
          <w:tcPr>
            <w:tcW w:type="dxa" w:w="1440"/>
            <w:shd w:fill="FFDCE0" w:val="clear"/>
          </w:tcPr>
          <w:p>
            <w:r>
              <w:rPr>
                <w:sz w:val="17"/>
              </w:rPr>
              <w:t>2,876</w:t>
            </w:r>
          </w:p>
        </w:tc>
        <w:tc>
          <w:tcPr>
            <w:tcW w:type="dxa" w:w="1440"/>
            <w:shd w:fill="FFDCE0" w:val="clear"/>
          </w:tcPr>
          <w:p>
            <w:r>
              <w:rPr>
                <w:b/>
                <w:sz w:val="17"/>
              </w:rPr>
              <w:t>3,079</w:t>
            </w:r>
          </w:p>
        </w:tc>
        <w:tc>
          <w:tcPr>
            <w:tcW w:type="dxa" w:w="1440"/>
            <w:shd w:fill="FFDCE0" w:val="clear"/>
          </w:tcPr>
          <w:p>
            <w:r>
              <w:rPr>
                <w:sz w:val="17"/>
              </w:rPr>
              <w:t>3,282</w:t>
            </w:r>
          </w:p>
        </w:tc>
        <w:tc>
          <w:tcPr>
            <w:tcW w:type="dxa" w:w="1440"/>
            <w:shd w:fill="FFDCE0" w:val="clear"/>
          </w:tcPr>
          <w:p>
            <w:r>
              <w:rPr>
                <w:b/>
                <w:color w:val="C00000"/>
                <w:sz w:val="17"/>
              </w:rPr>
              <w:t>-3.5%</w:t>
            </w:r>
          </w:p>
        </w:tc>
      </w:tr>
      <w:tr>
        <w:tc>
          <w:tcPr>
            <w:tcW w:type="dxa" w:w="1440"/>
            <w:shd w:fill="FFDCE0" w:val="clear"/>
          </w:tcPr>
          <w:p>
            <w:r>
              <w:rPr>
                <w:sz w:val="17"/>
              </w:rPr>
              <w:t>J+3  Moyenne</w:t>
            </w:r>
          </w:p>
        </w:tc>
        <w:tc>
          <w:tcPr>
            <w:tcW w:type="dxa" w:w="1440"/>
            <w:shd w:fill="FFDCE0" w:val="clear"/>
          </w:tcPr>
          <w:p>
            <w:r>
              <w:rPr>
                <w:sz w:val="17"/>
              </w:rPr>
              <w:t>2026-08-18</w:t>
            </w:r>
          </w:p>
        </w:tc>
        <w:tc>
          <w:tcPr>
            <w:tcW w:type="dxa" w:w="1440"/>
            <w:shd w:fill="FFDCE0" w:val="clear"/>
          </w:tcPr>
          <w:p>
            <w:r>
              <w:rPr>
                <w:sz w:val="17"/>
              </w:rPr>
              <w:t>2,787</w:t>
            </w:r>
          </w:p>
        </w:tc>
        <w:tc>
          <w:tcPr>
            <w:tcW w:type="dxa" w:w="1440"/>
            <w:shd w:fill="FFDCE0" w:val="clear"/>
          </w:tcPr>
          <w:p>
            <w:r>
              <w:rPr>
                <w:b/>
                <w:sz w:val="17"/>
              </w:rPr>
              <w:t>3,032</w:t>
            </w:r>
          </w:p>
        </w:tc>
        <w:tc>
          <w:tcPr>
            <w:tcW w:type="dxa" w:w="1440"/>
            <w:shd w:fill="FFDCE0" w:val="clear"/>
          </w:tcPr>
          <w:p>
            <w:r>
              <w:rPr>
                <w:sz w:val="17"/>
              </w:rPr>
              <w:t>3,278</w:t>
            </w:r>
          </w:p>
        </w:tc>
        <w:tc>
          <w:tcPr>
            <w:tcW w:type="dxa" w:w="1440"/>
            <w:shd w:fill="FFDCE0" w:val="clear"/>
          </w:tcPr>
          <w:p>
            <w:r>
              <w:rPr>
                <w:b/>
                <w:color w:val="C00000"/>
                <w:sz w:val="17"/>
              </w:rPr>
              <w:t>-4.9%</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2,712</w:t>
            </w:r>
          </w:p>
        </w:tc>
        <w:tc>
          <w:tcPr>
            <w:tcW w:type="dxa" w:w="1440"/>
            <w:shd w:fill="FFDCE0" w:val="clear"/>
          </w:tcPr>
          <w:p>
            <w:r>
              <w:rPr>
                <w:b/>
                <w:sz w:val="17"/>
              </w:rPr>
              <w:t>2,991</w:t>
            </w:r>
          </w:p>
        </w:tc>
        <w:tc>
          <w:tcPr>
            <w:tcW w:type="dxa" w:w="1440"/>
            <w:shd w:fill="FFDCE0" w:val="clear"/>
          </w:tcPr>
          <w:p>
            <w:r>
              <w:rPr>
                <w:sz w:val="17"/>
              </w:rPr>
              <w:t>3,271</w:t>
            </w:r>
          </w:p>
        </w:tc>
        <w:tc>
          <w:tcPr>
            <w:tcW w:type="dxa" w:w="1440"/>
            <w:shd w:fill="FFDCE0" w:val="clear"/>
          </w:tcPr>
          <w:p>
            <w:r>
              <w:rPr>
                <w:b/>
                <w:color w:val="C00000"/>
                <w:sz w:val="17"/>
              </w:rPr>
              <w:t>-6.2%</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2,646</w:t>
            </w:r>
          </w:p>
        </w:tc>
        <w:tc>
          <w:tcPr>
            <w:tcW w:type="dxa" w:w="1440"/>
            <w:shd w:fill="FFDCE0" w:val="clear"/>
          </w:tcPr>
          <w:p>
            <w:r>
              <w:rPr>
                <w:b/>
                <w:sz w:val="17"/>
              </w:rPr>
              <w:t>2,955</w:t>
            </w:r>
          </w:p>
        </w:tc>
        <w:tc>
          <w:tcPr>
            <w:tcW w:type="dxa" w:w="1440"/>
            <w:shd w:fill="FFDCE0" w:val="clear"/>
          </w:tcPr>
          <w:p>
            <w:r>
              <w:rPr>
                <w:sz w:val="17"/>
              </w:rPr>
              <w:t>3,263</w:t>
            </w:r>
          </w:p>
        </w:tc>
        <w:tc>
          <w:tcPr>
            <w:tcW w:type="dxa" w:w="1440"/>
            <w:shd w:fill="FFDCE0" w:val="clear"/>
          </w:tcPr>
          <w:p>
            <w:r>
              <w:rPr>
                <w:b/>
                <w:color w:val="C00000"/>
                <w:sz w:val="17"/>
              </w:rPr>
              <w:t>-7.4%</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2,586</w:t>
            </w:r>
          </w:p>
        </w:tc>
        <w:tc>
          <w:tcPr>
            <w:tcW w:type="dxa" w:w="1440"/>
            <w:shd w:fill="FFDCE0" w:val="clear"/>
          </w:tcPr>
          <w:p>
            <w:r>
              <w:rPr>
                <w:b/>
                <w:sz w:val="17"/>
              </w:rPr>
              <w:t>2,921</w:t>
            </w:r>
          </w:p>
        </w:tc>
        <w:tc>
          <w:tcPr>
            <w:tcW w:type="dxa" w:w="1440"/>
            <w:shd w:fill="FFDCE0" w:val="clear"/>
          </w:tcPr>
          <w:p>
            <w:r>
              <w:rPr>
                <w:sz w:val="17"/>
              </w:rPr>
              <w:t>3,255</w:t>
            </w:r>
          </w:p>
        </w:tc>
        <w:tc>
          <w:tcPr>
            <w:tcW w:type="dxa" w:w="1440"/>
            <w:shd w:fill="FFDCE0" w:val="clear"/>
          </w:tcPr>
          <w:p>
            <w:r>
              <w:rPr>
                <w:b/>
                <w:color w:val="C00000"/>
                <w:sz w:val="17"/>
              </w:rPr>
              <w:t>-8.4%</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2,531</w:t>
            </w:r>
          </w:p>
        </w:tc>
        <w:tc>
          <w:tcPr>
            <w:tcW w:type="dxa" w:w="1440"/>
            <w:shd w:fill="FFDCE0" w:val="clear"/>
          </w:tcPr>
          <w:p>
            <w:r>
              <w:rPr>
                <w:b/>
                <w:sz w:val="17"/>
              </w:rPr>
              <w:t>2,888</w:t>
            </w:r>
          </w:p>
        </w:tc>
        <w:tc>
          <w:tcPr>
            <w:tcW w:type="dxa" w:w="1440"/>
            <w:shd w:fill="FFDCE0" w:val="clear"/>
          </w:tcPr>
          <w:p>
            <w:r>
              <w:rPr>
                <w:sz w:val="17"/>
              </w:rPr>
              <w:t>3,245</w:t>
            </w:r>
          </w:p>
        </w:tc>
        <w:tc>
          <w:tcPr>
            <w:tcW w:type="dxa" w:w="1440"/>
            <w:shd w:fill="FFDCE0" w:val="clear"/>
          </w:tcPr>
          <w:p>
            <w:r>
              <w:rPr>
                <w:b/>
                <w:color w:val="C00000"/>
                <w:sz w:val="17"/>
              </w:rPr>
              <w:t>-9.5%</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2,480</w:t>
            </w:r>
          </w:p>
        </w:tc>
        <w:tc>
          <w:tcPr>
            <w:tcW w:type="dxa" w:w="1440"/>
            <w:shd w:fill="FFDCE0" w:val="clear"/>
          </w:tcPr>
          <w:p>
            <w:r>
              <w:rPr>
                <w:b/>
                <w:sz w:val="17"/>
              </w:rPr>
              <w:t>2,858</w:t>
            </w:r>
          </w:p>
        </w:tc>
        <w:tc>
          <w:tcPr>
            <w:tcW w:type="dxa" w:w="1440"/>
            <w:shd w:fill="FFDCE0" w:val="clear"/>
          </w:tcPr>
          <w:p>
            <w:r>
              <w:rPr>
                <w:sz w:val="17"/>
              </w:rPr>
              <w:t>3,235</w:t>
            </w:r>
          </w:p>
        </w:tc>
        <w:tc>
          <w:tcPr>
            <w:tcW w:type="dxa" w:w="1440"/>
            <w:shd w:fill="FFDCE0" w:val="clear"/>
          </w:tcPr>
          <w:p>
            <w:r>
              <w:rPr>
                <w:b/>
                <w:color w:val="C00000"/>
                <w:sz w:val="17"/>
              </w:rPr>
              <w:t>-10.4%</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2,432</w:t>
            </w:r>
          </w:p>
        </w:tc>
        <w:tc>
          <w:tcPr>
            <w:tcW w:type="dxa" w:w="1440"/>
            <w:shd w:fill="FFDCE0" w:val="clear"/>
          </w:tcPr>
          <w:p>
            <w:r>
              <w:rPr>
                <w:b/>
                <w:sz w:val="17"/>
              </w:rPr>
              <w:t>2,828</w:t>
            </w:r>
          </w:p>
        </w:tc>
        <w:tc>
          <w:tcPr>
            <w:tcW w:type="dxa" w:w="1440"/>
            <w:shd w:fill="FFDCE0" w:val="clear"/>
          </w:tcPr>
          <w:p>
            <w:r>
              <w:rPr>
                <w:sz w:val="17"/>
              </w:rPr>
              <w:t>3,225</w:t>
            </w:r>
          </w:p>
        </w:tc>
        <w:tc>
          <w:tcPr>
            <w:tcW w:type="dxa" w:w="1440"/>
            <w:shd w:fill="FFDCE0" w:val="clear"/>
          </w:tcPr>
          <w:p>
            <w:r>
              <w:rPr>
                <w:b/>
                <w:color w:val="C00000"/>
                <w:sz w:val="17"/>
              </w:rPr>
              <w:t>-11.3%</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2,386</w:t>
            </w:r>
          </w:p>
        </w:tc>
        <w:tc>
          <w:tcPr>
            <w:tcW w:type="dxa" w:w="1440"/>
            <w:shd w:fill="FFDCE0" w:val="clear"/>
          </w:tcPr>
          <w:p>
            <w:r>
              <w:rPr>
                <w:b/>
                <w:sz w:val="17"/>
              </w:rPr>
              <w:t>2,800</w:t>
            </w:r>
          </w:p>
        </w:tc>
        <w:tc>
          <w:tcPr>
            <w:tcW w:type="dxa" w:w="1440"/>
            <w:shd w:fill="FFDCE0" w:val="clear"/>
          </w:tcPr>
          <w:p>
            <w:r>
              <w:rPr>
                <w:sz w:val="17"/>
              </w:rPr>
              <w:t>3,214</w:t>
            </w:r>
          </w:p>
        </w:tc>
        <w:tc>
          <w:tcPr>
            <w:tcW w:type="dxa" w:w="1440"/>
            <w:shd w:fill="FFDCE0" w:val="clear"/>
          </w:tcPr>
          <w:p>
            <w:r>
              <w:rPr>
                <w:b/>
                <w:color w:val="C00000"/>
                <w:sz w:val="17"/>
              </w:rPr>
              <w:t>-12.2%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13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34,81 milliards FCFA, un niveau significatif pour une valeur de la cote BRVM, reflétant la perception d'un actif stratégique dans les services aéroportuaires. Avec un BPA de 124 FCFA, le titre se négocie à un PER de 25,8x, soit plus du double de la moyenne historique du marché BRVM (8-12x). Cette décote de valorisation suggère que les investisseurs intègrent des attentes de croissance future élevées, ou une prime de rareté pour ce titre. Le P/B de 6,75x confirme cette lecture, le marché valorisant l'actif net à plus de six fois sa valeur comptable, ce qui est exigeant. Enfin, un EV/EBITDA de 13,0x, dans le haut de la fourchette standard (10-15x), indique que la valeur d'entreprise est substantielle par rapport à sa capacité opérationnelle, renforçant l'idée d'une valorisation déjà généreuse.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affiche une variation totale de -1,85%, avec une légère reprise de +0,31% lors de la dernière séance, pour un cours actuel de 3 190 FCFA. Le titre a évolué dans un range de trading de 980 FCFA, entre un plus bas de 2 800 FCFA et un plus haut de 3 780 FCFA, illustrant une volatilité intra-période notable. La moyenne (3 215 FCFA) est très proche de la médiane (3 188 FCFA), indiquant une distribution des prix relativement symétrique, ce que confirme le skewness de 0,312. L'écart-type de 240 FCFA (CV=7,4%) montre une dispersion modérée autour de la moyenne, tandis que le kurtosis de -0,717 (mésokurtique) suggère une absence de pics de prix extrêmes, un profil de risque "normal". La volatilité annualisée de 54,3% est élevée (&gt;30%), signalant un titre sujet à des fluctuations de prix importantes, un point de vigilance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(3 190 FCFA) se situe au-dessus de la MM20 (3 046 FCFA) mais en dessous de la MM50 (3 160,5 FCFA). Cette configuration en "croix de la mort" potentielle est un signal baissier à moyen terme, car la tendance de fond semble se retourner. La décision de "Vente" est justifiée par cette position relative défavorable du prix par rapport à la moyenne longue.</w:t>
      </w:r>
    </w:p>
    <w:p>
      <w:pPr>
        <w:spacing w:after="120" w:line="276" w:lineRule="auto"/>
      </w:pPr>
      <w:r>
        <w:t>**Bandes de Bollinger :** Le prix se négocie près de la borne supérieure (3 253,5 FCFA) mais à l'intérieur des bandes, indiquant une volatilité modérée sans condition de surachat extrême. La décision "Neutre" est cohérente, le marché n'étant pas dans une phase de rupture directionnelle, mais la proximité de la borne supérieure pourrait limiter le potentiel de hausse à court terme.</w:t>
      </w:r>
    </w:p>
    <w:p>
      <w:pPr>
        <w:spacing w:after="120" w:line="276" w:lineRule="auto"/>
      </w:pPr>
      <w:r>
        <w:t>**MACD :** Le MACD (-10,742) est négatif mais se situe au-dessus de sa ligne de signal (-34,487). Cette configuration, bien que toujours en territoire négatif, montre un momentum haussier en train de se construire. La décision "Achat" est donc justifiée par ce croisement haussier précoce, signalant une possible fin de la phase de correction.</w:t>
      </w:r>
    </w:p>
    <w:p>
      <w:pPr>
        <w:spacing w:after="120" w:line="276" w:lineRule="auto"/>
      </w:pPr>
      <w:r>
        <w:t>**RSI :** À 50,633, le RSI est en zone neutre, indiquant un équilibre entre les forces acheteuses et vendeuses. Cette valeur ne montre ni surachat ni survente, laissant la porte ouverte à une évolution dans les deux sens. La décision "Neutre" est donc logique, le momentum n'étant pas directionnel.</w:t>
      </w:r>
    </w:p>
    <w:p>
      <w:pPr>
        <w:spacing w:after="120" w:line="276" w:lineRule="auto"/>
      </w:pPr>
      <w:r>
        <w:t>**Stochastique :** Le %K (100,0) et le %D (96,491) sont à des niveaux extrêmement élevés, en zone de surachat. Cette configuration signale un épuisement potentiel de la dynamique haussière à très court terme. La décision "Vente" est justifiée par ce niveau de surachat extrême, qui précède souvent un repli technique.</w:t>
      </w:r>
    </w:p>
    <w:p>
      <w:pPr>
        <w:spacing w:after="120" w:line="276" w:lineRule="auto"/>
      </w:pPr>
      <w:r>
        <w:t>**Conclusion technique :** Les signaux sont contradictoires. Le MACD suggère une reprise du momentum, mais le Stochastique en surachat extrême et la position sous la MM50 plaident pour une consolidation. L'ensemble indique un marché indécis, avec un biais haussier à très court terme (MACD) mais une prudence accrue à moyen terme (MM). La tendance générale reste neutre, avec un risque de correction technique après la récente hausse.</w:t>
      </w:r>
    </w:p>
    <w:p>
      <w:pPr>
        <w:spacing w:after="120" w:line="276" w:lineRule="auto"/>
      </w:pPr>
      <w:r>
        <w:t>---</w:t>
      </w:r>
    </w:p>
    <w:p>
      <w:pPr>
        <w:spacing w:after="120" w:line="276" w:lineRule="auto"/>
      </w:pPr>
      <w:r>
        <w:t>### PARTIE 3 : ANALYSE FONDAMENTALE (SECTION CRITIQUE)</w:t>
      </w:r>
    </w:p>
    <w:p>
      <w:pPr>
        <w:spacing w:after="120" w:line="276" w:lineRule="auto"/>
      </w:pPr>
      <w:r>
        <w:t>En 2025, les données financières structurées d'ABJC (SERVAIR ABIDJAN) révèlent une activité en croissance avec un chiffre d'affaires de 13,298 milliards FCFA (+6,7% vs 2024). Cependant, la rentabilité nette est en repli : le résultat net s'établit à 1,351 milliard FCFA, en baisse de 12,1% par rapport à 2024, principalement en raison d'une hausse de 46,7% de la charge d'impôt. Malgré cela, la société affiche des ratios de rentabilité excellents, avec un ROE de 26,18% et un ROA de 14,64%, témoignant d'une gestion efficace des fonds propres et des actifs. La structure financière est très saine, avec une autonomie financière de 55,9% (capitaux propres de 5,159 Mds FCFA) et une trésorerie nette positive de 4,035 Mds FCFA. Les délais de paiement clients (70 jours) et fournisseurs (92 jours) sont bien gérés, et le BFR est faible (257 M FCFA), indiquant une bonne gestion du cycle d'exploitation. Les rapports trimestriels de 2025 montrent une trajectoire contrastée : le T1 était perturbé par un litige avec la BCEAO et des charges exceptionnelles (RN -6,8%), mais le T3 a marqué un net redressement avec une croissance du CA de +10,3% et du RN de +17,1%. Cependant, le rapport du T1 2026 (publié en 2026) est préoccupant : malgré une croissance du CA de +1,9%, le résultat net a chuté de 35,6% (à 222,6 M FCFA) en raison d'ajustements de redevances aéroportuaires. On estime que l'exercice 2026 pourrait être difficile, avec une pression continue sur les marges, mais la solidité financière et la position dominante de l'entreprise sur son marché offrent une résilience certaine.</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contrastée pour ABJC. La valorisation (Partie 0) est exigeante avec un PER de 25,8x et un P/B de 6,75x, suggérant une surévaluation relative par rapport au marché BRVM. Le comportement du cours (Partie 1) montre une stabilité sur 100 jours (-1,85%) mais avec une volatilité annualisée très élevée (54,3%), indiquant un risque de prix important. Les signaux techniques (Partie 2) sont mitigés : un MACD positif contraste avec un Stochastique en surachat et une MM50 sous le cours, créant une incertitude directionnelle. Les fondamentaux (Partie 3) sont solides à moyen terme (ROE &gt;26%, trésorerie abondante) mais la dynamique récente se dégrade, comme le montre la chute de 35,6% du résultat net au T1 2026. Les prédictions IA pour les 10 prochains jours (de 3 125 à 2 955 FCFA) confirment un biais baissier à court terme, en ligne avec les signaux techniques de surachat et la dégradation fondamentale. **Recommandation finale : VENTE.** La convergence entre la valorisation élevée, les signaux techniques de surachat et la détérioration des résultats récents justifie cette décision. Le niveau de confiance est **Moyen** (la solidité bilancielle limite le risque de chute brutale), et le risque global est **Élevé** (volatilité et incertitudes réglementaires). L'horizon d'investissement optimal est le **court terme (&lt;3 mois)**, où une correction technique semble probable, avant de réévaluer la valeur sur des fondamentaux plus porteurs.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489.51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9,212 titres</w:t>
            </w:r>
          </w:p>
        </w:tc>
        <w:tc>
          <w:tcPr>
            <w:tcW w:type="dxa" w:w="2268"/>
            <w:shd w:fill="FFF2CC" w:val="clear"/>
          </w:tcPr>
          <w:p>
            <w:r>
              <w:rPr>
                <w:b/>
                <w:color w:val="503200"/>
                <w:sz w:val="16"/>
              </w:rPr>
              <w:t xml:space="preserve">Cours actuel : </w:t>
            </w:r>
            <w:r>
              <w:rPr>
                <w:color w:val="000000"/>
                <w:sz w:val="17"/>
              </w:rPr>
              <w:t>8,475 FCFA</w:t>
            </w:r>
          </w:p>
          <w:p>
            <w:r>
              <w:rPr>
                <w:b/>
                <w:color w:val="503200"/>
                <w:sz w:val="16"/>
              </w:rPr>
              <w:t xml:space="preserve">Var. 100 jours : </w:t>
            </w:r>
            <w:r>
              <w:rPr>
                <w:b/>
                <w:color w:val="007800"/>
                <w:sz w:val="17"/>
              </w:rPr>
              <w:t>+61.43%</w:t>
            </w:r>
          </w:p>
          <w:p>
            <w:r>
              <w:rPr>
                <w:b/>
                <w:color w:val="503200"/>
                <w:sz w:val="16"/>
              </w:rPr>
              <w:t xml:space="preserve">Plus haut 100j : </w:t>
            </w:r>
            <w:r>
              <w:rPr>
                <w:color w:val="000000"/>
                <w:sz w:val="17"/>
              </w:rPr>
              <w:t>8,475 FCFA</w:t>
            </w:r>
          </w:p>
          <w:p>
            <w:r>
              <w:rPr>
                <w:b/>
                <w:color w:val="503200"/>
                <w:sz w:val="16"/>
              </w:rPr>
              <w:t xml:space="preserve">Plus bas 100j : </w:t>
            </w:r>
            <w:r>
              <w:rPr>
                <w:color w:val="000000"/>
                <w:sz w:val="17"/>
              </w:rPr>
              <w:t>5,000 FCFA</w:t>
            </w:r>
          </w:p>
          <w:p>
            <w:r>
              <w:rPr>
                <w:b/>
                <w:color w:val="503200"/>
                <w:sz w:val="16"/>
              </w:rPr>
              <w:t xml:space="preserve">Volatilité ann. : </w:t>
            </w:r>
            <w:r>
              <w:rPr>
                <w:color w:val="000000"/>
                <w:sz w:val="17"/>
              </w:rPr>
              <w:t>30.1%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15.37% (Élevée) — μ=5,845 FCFA, σ=898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β=0.5855 (Défensif) — Cov=0.000021, Var(idx)=0.000036, ρ=0.186,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9,212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σ_j=1.90%/j (Stable) — Vol. annualisée≈30.1%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2026-08-14</w:t>
            </w:r>
          </w:p>
        </w:tc>
        <w:tc>
          <w:tcPr>
            <w:tcW w:type="dxa" w:w="1440"/>
            <w:shd w:fill="FFDCE0" w:val="clear"/>
          </w:tcPr>
          <w:p>
            <w:r>
              <w:rPr>
                <w:sz w:val="17"/>
              </w:rPr>
              <w:t>7,504</w:t>
            </w:r>
          </w:p>
        </w:tc>
        <w:tc>
          <w:tcPr>
            <w:tcW w:type="dxa" w:w="1440"/>
            <w:shd w:fill="FFDCE0" w:val="clear"/>
          </w:tcPr>
          <w:p>
            <w:r>
              <w:rPr>
                <w:b/>
                <w:sz w:val="17"/>
              </w:rPr>
              <w:t>7,839</w:t>
            </w:r>
          </w:p>
        </w:tc>
        <w:tc>
          <w:tcPr>
            <w:tcW w:type="dxa" w:w="1440"/>
            <w:shd w:fill="FFDCE0" w:val="clear"/>
          </w:tcPr>
          <w:p>
            <w:r>
              <w:rPr>
                <w:sz w:val="17"/>
              </w:rPr>
              <w:t>8,175</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2026-08-17</w:t>
            </w:r>
          </w:p>
        </w:tc>
        <w:tc>
          <w:tcPr>
            <w:tcW w:type="dxa" w:w="1440"/>
            <w:shd w:fill="FFDCE0" w:val="clear"/>
          </w:tcPr>
          <w:p>
            <w:r>
              <w:rPr>
                <w:sz w:val="17"/>
              </w:rPr>
              <w:t>6,812</w:t>
            </w:r>
          </w:p>
        </w:tc>
        <w:tc>
          <w:tcPr>
            <w:tcW w:type="dxa" w:w="1440"/>
            <w:shd w:fill="FFDCE0" w:val="clear"/>
          </w:tcPr>
          <w:p>
            <w:r>
              <w:rPr>
                <w:b/>
                <w:sz w:val="17"/>
              </w:rPr>
              <w:t>7,251</w:t>
            </w:r>
          </w:p>
        </w:tc>
        <w:tc>
          <w:tcPr>
            <w:tcW w:type="dxa" w:w="1440"/>
            <w:shd w:fill="FFDCE0" w:val="clear"/>
          </w:tcPr>
          <w:p>
            <w:r>
              <w:rPr>
                <w:sz w:val="17"/>
              </w:rPr>
              <w:t>7,691</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2026-08-18</w:t>
            </w:r>
          </w:p>
        </w:tc>
        <w:tc>
          <w:tcPr>
            <w:tcW w:type="dxa" w:w="1440"/>
            <w:shd w:fill="FFDCE0" w:val="clear"/>
          </w:tcPr>
          <w:p>
            <w:r>
              <w:rPr>
                <w:sz w:val="17"/>
              </w:rPr>
              <w:t>6,210</w:t>
            </w:r>
          </w:p>
        </w:tc>
        <w:tc>
          <w:tcPr>
            <w:tcW w:type="dxa" w:w="1440"/>
            <w:shd w:fill="FFDCE0" w:val="clear"/>
          </w:tcPr>
          <w:p>
            <w:r>
              <w:rPr>
                <w:b/>
                <w:sz w:val="17"/>
              </w:rPr>
              <w:t>6,708</w:t>
            </w:r>
          </w:p>
        </w:tc>
        <w:tc>
          <w:tcPr>
            <w:tcW w:type="dxa" w:w="1440"/>
            <w:shd w:fill="FFDCE0" w:val="clear"/>
          </w:tcPr>
          <w:p>
            <w:r>
              <w:rPr>
                <w:sz w:val="17"/>
              </w:rPr>
              <w:t>7,205</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5,673</w:t>
            </w:r>
          </w:p>
        </w:tc>
        <w:tc>
          <w:tcPr>
            <w:tcW w:type="dxa" w:w="1440"/>
            <w:shd w:fill="FFDCE0" w:val="clear"/>
          </w:tcPr>
          <w:p>
            <w:r>
              <w:rPr>
                <w:b/>
                <w:sz w:val="17"/>
              </w:rPr>
              <w:t>6,204</w:t>
            </w:r>
          </w:p>
        </w:tc>
        <w:tc>
          <w:tcPr>
            <w:tcW w:type="dxa" w:w="1440"/>
            <w:shd w:fill="FFDCE0" w:val="clear"/>
          </w:tcPr>
          <w:p>
            <w:r>
              <w:rPr>
                <w:sz w:val="17"/>
              </w:rPr>
              <w:t>6,736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5,411</w:t>
            </w:r>
          </w:p>
        </w:tc>
        <w:tc>
          <w:tcPr>
            <w:tcW w:type="dxa" w:w="1440"/>
            <w:shd w:fill="FFDCE0" w:val="clear"/>
          </w:tcPr>
          <w:p>
            <w:r>
              <w:rPr>
                <w:b/>
                <w:sz w:val="17"/>
              </w:rPr>
              <w:t>5,984</w:t>
            </w:r>
          </w:p>
        </w:tc>
        <w:tc>
          <w:tcPr>
            <w:tcW w:type="dxa" w:w="1440"/>
            <w:shd w:fill="FFDCE0" w:val="clear"/>
          </w:tcPr>
          <w:p>
            <w:r>
              <w:rPr>
                <w:sz w:val="17"/>
              </w:rPr>
              <w:t>6,557</w:t>
            </w:r>
          </w:p>
        </w:tc>
        <w:tc>
          <w:tcPr>
            <w:tcW w:type="dxa" w:w="1440"/>
            <w:shd w:fill="FFDCE0" w:val="clear"/>
          </w:tcPr>
          <w:p>
            <w:r>
              <w:rPr>
                <w:b/>
                <w:color w:val="C00000"/>
                <w:sz w:val="17"/>
              </w:rPr>
              <w:t>-29.4%</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5,237</w:t>
            </w:r>
          </w:p>
        </w:tc>
        <w:tc>
          <w:tcPr>
            <w:tcW w:type="dxa" w:w="1440"/>
            <w:shd w:fill="FFDCE0" w:val="clear"/>
          </w:tcPr>
          <w:p>
            <w:r>
              <w:rPr>
                <w:b/>
                <w:sz w:val="17"/>
              </w:rPr>
              <w:t>5,851</w:t>
            </w:r>
          </w:p>
        </w:tc>
        <w:tc>
          <w:tcPr>
            <w:tcW w:type="dxa" w:w="1440"/>
            <w:shd w:fill="FFDCE0" w:val="clear"/>
          </w:tcPr>
          <w:p>
            <w:r>
              <w:rPr>
                <w:sz w:val="17"/>
              </w:rPr>
              <w:t>6,464</w:t>
            </w:r>
          </w:p>
        </w:tc>
        <w:tc>
          <w:tcPr>
            <w:tcW w:type="dxa" w:w="1440"/>
            <w:shd w:fill="FFDCE0" w:val="clear"/>
          </w:tcPr>
          <w:p>
            <w:r>
              <w:rPr>
                <w:b/>
                <w:color w:val="C00000"/>
                <w:sz w:val="17"/>
              </w:rPr>
              <w:t>-31.0%</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5,085</w:t>
            </w:r>
          </w:p>
        </w:tc>
        <w:tc>
          <w:tcPr>
            <w:tcW w:type="dxa" w:w="1440"/>
            <w:shd w:fill="FFDCE0" w:val="clear"/>
          </w:tcPr>
          <w:p>
            <w:r>
              <w:rPr>
                <w:b/>
                <w:sz w:val="17"/>
              </w:rPr>
              <w:t>5,734</w:t>
            </w:r>
          </w:p>
        </w:tc>
        <w:tc>
          <w:tcPr>
            <w:tcW w:type="dxa" w:w="1440"/>
            <w:shd w:fill="FFDCE0" w:val="clear"/>
          </w:tcPr>
          <w:p>
            <w:r>
              <w:rPr>
                <w:sz w:val="17"/>
              </w:rPr>
              <w:t>6,384</w:t>
            </w:r>
          </w:p>
        </w:tc>
        <w:tc>
          <w:tcPr>
            <w:tcW w:type="dxa" w:w="1440"/>
            <w:shd w:fill="FFDCE0" w:val="clear"/>
          </w:tcPr>
          <w:p>
            <w:r>
              <w:rPr>
                <w:b/>
                <w:color w:val="C00000"/>
                <w:sz w:val="17"/>
              </w:rPr>
              <w:t>-32.3%</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4,951</w:t>
            </w:r>
          </w:p>
        </w:tc>
        <w:tc>
          <w:tcPr>
            <w:tcW w:type="dxa" w:w="1440"/>
            <w:shd w:fill="FFDCE0" w:val="clear"/>
          </w:tcPr>
          <w:p>
            <w:r>
              <w:rPr>
                <w:b/>
                <w:sz w:val="17"/>
              </w:rPr>
              <w:t>5,634</w:t>
            </w:r>
          </w:p>
        </w:tc>
        <w:tc>
          <w:tcPr>
            <w:tcW w:type="dxa" w:w="1440"/>
            <w:shd w:fill="FFDCE0" w:val="clear"/>
          </w:tcPr>
          <w:p>
            <w:r>
              <w:rPr>
                <w:sz w:val="17"/>
              </w:rPr>
              <w:t>6,316</w:t>
            </w:r>
          </w:p>
        </w:tc>
        <w:tc>
          <w:tcPr>
            <w:tcW w:type="dxa" w:w="1440"/>
            <w:shd w:fill="FFDCE0" w:val="clear"/>
          </w:tcPr>
          <w:p>
            <w:r>
              <w:rPr>
                <w:b/>
                <w:color w:val="C00000"/>
                <w:sz w:val="17"/>
              </w:rPr>
              <w:t>-33.5%</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4,834</w:t>
            </w:r>
          </w:p>
        </w:tc>
        <w:tc>
          <w:tcPr>
            <w:tcW w:type="dxa" w:w="1440"/>
            <w:shd w:fill="FFDCE0" w:val="clear"/>
          </w:tcPr>
          <w:p>
            <w:r>
              <w:rPr>
                <w:b/>
                <w:sz w:val="17"/>
              </w:rPr>
              <w:t>5,547</w:t>
            </w:r>
          </w:p>
        </w:tc>
        <w:tc>
          <w:tcPr>
            <w:tcW w:type="dxa" w:w="1440"/>
            <w:shd w:fill="FFDCE0" w:val="clear"/>
          </w:tcPr>
          <w:p>
            <w:r>
              <w:rPr>
                <w:sz w:val="17"/>
              </w:rPr>
              <w:t>6,260</w:t>
            </w:r>
          </w:p>
        </w:tc>
        <w:tc>
          <w:tcPr>
            <w:tcW w:type="dxa" w:w="1440"/>
            <w:shd w:fill="FFDCE0" w:val="clear"/>
          </w:tcPr>
          <w:p>
            <w:r>
              <w:rPr>
                <w:b/>
                <w:color w:val="C00000"/>
                <w:sz w:val="17"/>
              </w:rPr>
              <w:t>-34.5%</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4,731</w:t>
            </w:r>
          </w:p>
        </w:tc>
        <w:tc>
          <w:tcPr>
            <w:tcW w:type="dxa" w:w="1440"/>
            <w:shd w:fill="FFDCE0" w:val="clear"/>
          </w:tcPr>
          <w:p>
            <w:r>
              <w:rPr>
                <w:b/>
                <w:sz w:val="17"/>
              </w:rPr>
              <w:t>5,472</w:t>
            </w:r>
          </w:p>
        </w:tc>
        <w:tc>
          <w:tcPr>
            <w:tcW w:type="dxa" w:w="1440"/>
            <w:shd w:fill="FFDCE0" w:val="clear"/>
          </w:tcPr>
          <w:p>
            <w:r>
              <w:rPr>
                <w:sz w:val="17"/>
              </w:rPr>
              <w:t>6,213</w:t>
            </w:r>
          </w:p>
        </w:tc>
        <w:tc>
          <w:tcPr>
            <w:tcW w:type="dxa" w:w="1440"/>
            <w:shd w:fill="FFDCE0" w:val="clear"/>
          </w:tcPr>
          <w:p>
            <w:r>
              <w:rPr>
                <w:b/>
                <w:color w:val="C00000"/>
                <w:sz w:val="17"/>
              </w:rPr>
              <w:t>-35.4%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BICB s'établit à 489,51 milliards FCFA, ce qui la positionne parmi les valeurs à grande capitalisation de la BRVM, reflétant son statut de banque systémique dans la zone UEMOA. Le BPA de 627 FCFA indique que chaque action génère un bénéfice substantiel, justifiant un PER de 13,5x, légèrement supérieur à la moyenne historique de la BRVM (8-12x), ce qui traduit une prime de croissance accordée par le marché. Le P/B de 3,62x confirme cette prime, le marché valorisant l'action près de 3,6 fois sa valeur comptable, signe d'une anticipation de croissance future. Enfin, l'EV/EBITDA de 24,1x, nettement supérieur au seuil de 15x, indique une valorisation exigeante, les investisseurs payant un prix élevé pour la capacité opérationnelle de la banque, ce qui suggère des attentes de performance soutenue.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BICB a enregistré une progression spectaculaire de +61,43%, avec une accélération notable lors de la dernière séance (+4,69%), portant le cours à 8 475 FCFA, son plus haut niveau sur la période. Le titre a évolué dans une fourchette très large de 5 000 à 8 475 FCFA, démontrant une dynamique haussière puissante. La moyenne du cours (5 845 FCFA) est nettement inférieure à la médiane (5 410 FCFA), et le skewness positif de 1,251 indique une distribution asymétrique avec des journées majoritairement sous la moyenne, mais des mouvements de hausse extrêmes qui tirent la moyenne vers le haut. L'écart-type de 903 FCFA (CV = 15,4%) révèle une dispersion modérée, tandis que le kurtosis de 0,375 (mésokurtique) suggère une distribution proche de la normale, sans risque de pics extrêmes. La volatilité annualisée de 30,1% classe le titre dans la catégorie élevée (&gt;30%), reflétant un risque de marché significatif.</w:t>
      </w:r>
    </w:p>
    <w:p>
      <w:pPr>
        <w:spacing w:after="120" w:line="276" w:lineRule="auto" w:before="240"/>
      </w:pPr>
      <w:r>
        <w:rPr>
          <w:b/>
          <w:color w:val="003366"/>
          <w:sz w:val="24"/>
        </w:rPr>
        <w:t>**PARTIE 2 : ANALYSE TECHNIQUE DÉTAILLÉE**</w:t>
      </w:r>
    </w:p>
    <w:p>
      <w:pPr>
        <w:spacing w:after="120" w:line="276" w:lineRule="auto"/>
      </w:pPr>
      <w:r>
        <w:t>**Moyennes Mobiles** : Le cours actuel (8 475 FCFA) se situe nettement au-dessus de la MM20 (7 389 FCFA) et de la MM50 (6 505,7 FCFA), confirmant une tendance haussière solide. L'écart croissant entre les deux moyennes mobiles indique une accélération du momentum, justifiant la décision d'achat. La configuration haussière est renforcée par l'alignement des moyennes dans un ordre croissant.</w:t>
      </w:r>
    </w:p>
    <w:p>
      <w:pPr>
        <w:spacing w:after="120" w:line="276" w:lineRule="auto"/>
      </w:pPr>
      <w:r>
        <w:t>**Bandes de Bollinger** : Le cours évolue près de la borne supérieure (8 613,6 FCFA), témoignant d'une pression acheteuse intense. La largeur des bandes (écart de 2 449 FCFA entre les bornes) reflète une volatilité accrue. La position du prix dans la partie supérieure des bandes suggère une tendance forte, mais la proximité de la borne supérieure pourrait indiquer une zone de résistance, d'où la décision neutre.</w:t>
      </w:r>
    </w:p>
    <w:p>
      <w:pPr>
        <w:spacing w:after="120" w:line="276" w:lineRule="auto"/>
      </w:pPr>
      <w:r>
        <w:t>**MACD** : Le MACD (473,282) est nettement supérieur à son signal (430,143), avec un histogramme positif, confirmant un momentum haussier robuste. La divergence positive entre la ligne MACD et le signal indique une dynamique d'achat soutenue, justifiant la décision d'achat. Cette configuration suggère que la tendance haussière pourrait se poursuivre à court terme.</w:t>
      </w:r>
    </w:p>
    <w:p>
      <w:pPr>
        <w:spacing w:after="120" w:line="276" w:lineRule="auto"/>
      </w:pPr>
      <w:r>
        <w:t>**RSI** : Le RSI à 76,731 est en zone de surachat (&gt;70), signalant une possible correction à venir. Ce niveau indique que le titre est temporairement surévalué d'un point de vue technique, avec une pression acheteuse excessive. La décision de vente reflète le risque de retournement, bien que dans une tendance forte, le RSI puisse rester suracheté pendant une période prolongée.</w:t>
      </w:r>
    </w:p>
    <w:p>
      <w:pPr>
        <w:spacing w:after="120" w:line="276" w:lineRule="auto"/>
      </w:pPr>
      <w:r>
        <w:t>**Stochastique** : Le %K et le %D sont tous deux à 100, en zone de surachat extrême. Cette configuration indique que le titre est fortement suracheté, avec un momentum d'achat maximal. La décision de vente est justifiée par le risque élevé de retournement technique, bien que le croisement baissier ne soit pas encore intervenu.</w:t>
      </w:r>
    </w:p>
    <w:p>
      <w:pPr>
        <w:spacing w:after="120" w:line="276" w:lineRule="auto"/>
      </w:pPr>
      <w:r>
        <w:t>**Conclusion technique** : Les indicateurs de tendance (MM, MACD) sont résolument haussiers, mais les oscillateurs (RSI, Stochastique) signalent un surachat extrême. Cette divergence entre tendance et momentum suggère une possible consolidation à court terme avant la poursuite de la tendance haussière. La prudence est recommandée pour les nouveaux achats à ces niveaux.</w:t>
      </w:r>
    </w:p>
    <w:p>
      <w:pPr>
        <w:spacing w:after="120" w:line="276" w:lineRule="auto" w:before="240"/>
      </w:pPr>
      <w:r>
        <w:rPr>
          <w:b/>
          <w:color w:val="003366"/>
          <w:sz w:val="24"/>
        </w:rPr>
        <w:t>**PARTIE 3 : ANALYSE FONDAMENTALE (SECTION CRITIQUE)**</w:t>
      </w:r>
    </w:p>
    <w:p>
      <w:pPr>
        <w:spacing w:after="120" w:line="276" w:lineRule="auto"/>
      </w:pPr>
      <w:r>
        <w:t>En 2025, BICB affiche des fondamentaux solides avec un PNB de 52,805 milliards FCFA, en croissance de 16,5%, et un résultat net de 36,237 milliards FCFA, en hausse de 24,7%. Le ROE de 26,8% est excellent (&gt;15%), démontrant une création de valeur actionnariale remarquable, tandis que le ROA de 1,96% reste satisfaisant pour le secteur bancaire. Le coefficient d'exploitation de 31,1% (&lt;60%) témoigne d'une efficacité opérationnelle remarquable, parmi les meilleures de la zone UEMOA. Le coût du risque de 9,61% est élevé, reflétant une politique de provisionnement prudente face à l'expansion rapide des crédits (+37,3% à 1 151,5 milliards FCFA). Le ratio crédits/dépôts de 97,5% indique une transformation tendue, nécessitant une surveillance de la liquidité. Les rapports trimestriels 2025 montrent une trajectoire contrastée : le S1 2025 (rapport du 30/06/2025) affiche un PNB en hausse de 28% mais un résultat net en baisse de 26,7% à 7,9 milliards FCFA, en raison d'un coût du risque multiplié par 5. Le T3 2025 (rapport du 30/09/2025) confirme cette tendance avec un PNB en hausse de 26% mais un résultat net en recul de 9%. Cependant, le rapport T1 2026 (publié en 2026) montre un net rebond avec un résultat net en hausse de 48% à 8,0 milliards FCFA, suggérant une normalisation du coût du risque. Sur la base de ces données, on estime que l'exercice 2026 pourrait voir un PNB dépasser 60 milliards FCFA et un résultat net supérieur à 40 milliards FCFA, si la qualité du portefeuille se stabilise.</w:t>
      </w:r>
    </w:p>
    <w:p>
      <w:pPr>
        <w:spacing w:after="120" w:line="276" w:lineRule="auto" w:before="240"/>
      </w:pPr>
      <w:r>
        <w:rPr>
          <w:b/>
          <w:color w:val="003366"/>
          <w:sz w:val="24"/>
        </w:rPr>
        <w:t>**PARTIE 4 : CONCLUSION D'INVESTISSEMENT**</w:t>
      </w:r>
    </w:p>
    <w:p>
      <w:pPr>
        <w:spacing w:after="120" w:line="276" w:lineRule="auto"/>
      </w:pPr>
      <w:r>
        <w:t>La valorisation de BICB (PER 13,5x, P/B 3,62x, EV/EBITDA 24,1x) indique une prime de croissance significative, le marché anticipant une poursuite de la performance exceptionnelle de la banque. Le comportement du cours (+61,43% sur 100 jours) confirme cet enthousiasme, avec une volatilité élevée (30,1%) et une distribution asymétrique positive, mais le surachat technique (RSI 76,7, Stochastique 100) suggère un risque de correction à court terme. Les fondamentaux restent solides avec un ROE de 26,8% et un coefficient d'exploitation de 31,1%, mais le coût du risque élevé et la tension sur la liquidité (ratio crédits/dépôts de 97,5%) nécessitent une vigilance. Les prédictions IA (J+1 à J+10) anticipent une correction brutale vers 5 984 FCFA, contredisant fortement la tendance actuelle et les fondamentaux. Cette divergence entre les signaux techniques (surachat), la valorisation exigeante et les prédictions IA suggère une prudence accrue. **Recommandation : CONSERVER** avec un niveau de confiance Moyen et un risque global Élevé. L'horizon d'investissement optimal est le moyen terme (3-12 mois), permettant d'absorber une éventuelle correction technique avant de capitaliser sur la croissance fondamentale de la banque. Les investisseurs devraient surveiller l'évolution du coût du risque et la capacité de la banque à maintenir sa croissance sans dégrader son profil de risque.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483.33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743 titres</w:t>
            </w:r>
          </w:p>
        </w:tc>
        <w:tc>
          <w:tcPr>
            <w:tcW w:type="dxa" w:w="2268"/>
            <w:shd w:fill="FFF2CC" w:val="clear"/>
          </w:tcPr>
          <w:p>
            <w:r>
              <w:rPr>
                <w:b/>
                <w:color w:val="503200"/>
                <w:sz w:val="16"/>
              </w:rPr>
              <w:t xml:space="preserve">Cours actuel : </w:t>
            </w:r>
            <w:r>
              <w:rPr>
                <w:color w:val="000000"/>
                <w:sz w:val="17"/>
              </w:rPr>
              <w:t>29,000 FCFA</w:t>
            </w:r>
          </w:p>
          <w:p>
            <w:r>
              <w:rPr>
                <w:b/>
                <w:color w:val="503200"/>
                <w:sz w:val="16"/>
              </w:rPr>
              <w:t xml:space="preserve">Var. 100 jours : </w:t>
            </w:r>
            <w:r>
              <w:rPr>
                <w:b/>
                <w:color w:val="007800"/>
                <w:sz w:val="17"/>
              </w:rPr>
              <w:t>+11.97%</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7.40% (Moyenne) — μ=26,956 FCFA, σ=1,994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β=0.5854 (Défensif) — Cov=0.000021, Var(idx)=0.000036, ρ=0.188,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743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2026-08-14</w:t>
            </w:r>
          </w:p>
        </w:tc>
        <w:tc>
          <w:tcPr>
            <w:tcW w:type="dxa" w:w="1440"/>
            <w:shd w:fill="FFDCE0" w:val="clear"/>
          </w:tcPr>
          <w:p>
            <w:r>
              <w:rPr>
                <w:sz w:val="17"/>
              </w:rPr>
              <w:t>27,533</w:t>
            </w:r>
          </w:p>
        </w:tc>
        <w:tc>
          <w:tcPr>
            <w:tcW w:type="dxa" w:w="1440"/>
            <w:shd w:fill="FFDCE0" w:val="clear"/>
          </w:tcPr>
          <w:p>
            <w:r>
              <w:rPr>
                <w:b/>
                <w:sz w:val="17"/>
              </w:rPr>
              <w:t>28,358</w:t>
            </w:r>
          </w:p>
        </w:tc>
        <w:tc>
          <w:tcPr>
            <w:tcW w:type="dxa" w:w="1440"/>
            <w:shd w:fill="FFDCE0" w:val="clear"/>
          </w:tcPr>
          <w:p>
            <w:r>
              <w:rPr>
                <w:sz w:val="17"/>
              </w:rPr>
              <w:t>29,183</w:t>
            </w:r>
          </w:p>
        </w:tc>
        <w:tc>
          <w:tcPr>
            <w:tcW w:type="dxa" w:w="1440"/>
            <w:shd w:fill="FFDCE0" w:val="clear"/>
          </w:tcPr>
          <w:p>
            <w:r>
              <w:rPr>
                <w:b/>
                <w:color w:val="C00000"/>
                <w:sz w:val="17"/>
              </w:rPr>
              <w:t>-2.2%</w:t>
            </w:r>
          </w:p>
        </w:tc>
      </w:tr>
      <w:tr>
        <w:tc>
          <w:tcPr>
            <w:tcW w:type="dxa" w:w="1440"/>
            <w:shd w:fill="FFDCE0" w:val="clear"/>
          </w:tcPr>
          <w:p>
            <w:r>
              <w:rPr>
                <w:sz w:val="17"/>
              </w:rPr>
              <w:t>J+2  ⭐⭐⭐</w:t>
            </w:r>
          </w:p>
        </w:tc>
        <w:tc>
          <w:tcPr>
            <w:tcW w:type="dxa" w:w="1440"/>
            <w:shd w:fill="FFDCE0" w:val="clear"/>
          </w:tcPr>
          <w:p>
            <w:r>
              <w:rPr>
                <w:sz w:val="17"/>
              </w:rPr>
              <w:t>2026-08-17</w:t>
            </w:r>
          </w:p>
        </w:tc>
        <w:tc>
          <w:tcPr>
            <w:tcW w:type="dxa" w:w="1440"/>
            <w:shd w:fill="FFDCE0" w:val="clear"/>
          </w:tcPr>
          <w:p>
            <w:r>
              <w:rPr>
                <w:sz w:val="17"/>
              </w:rPr>
              <w:t>26,942</w:t>
            </w:r>
          </w:p>
        </w:tc>
        <w:tc>
          <w:tcPr>
            <w:tcW w:type="dxa" w:w="1440"/>
            <w:shd w:fill="FFDCE0" w:val="clear"/>
          </w:tcPr>
          <w:p>
            <w:r>
              <w:rPr>
                <w:b/>
                <w:sz w:val="17"/>
              </w:rPr>
              <w:t>28,098</w:t>
            </w:r>
          </w:p>
        </w:tc>
        <w:tc>
          <w:tcPr>
            <w:tcW w:type="dxa" w:w="1440"/>
            <w:shd w:fill="FFDCE0" w:val="clear"/>
          </w:tcPr>
          <w:p>
            <w:r>
              <w:rPr>
                <w:sz w:val="17"/>
              </w:rPr>
              <w:t>29,255</w:t>
            </w:r>
          </w:p>
        </w:tc>
        <w:tc>
          <w:tcPr>
            <w:tcW w:type="dxa" w:w="1440"/>
            <w:shd w:fill="FFDCE0" w:val="clear"/>
          </w:tcPr>
          <w:p>
            <w:r>
              <w:rPr>
                <w:b/>
                <w:color w:val="C00000"/>
                <w:sz w:val="17"/>
              </w:rPr>
              <w:t>-3.1%</w:t>
            </w:r>
          </w:p>
        </w:tc>
      </w:tr>
      <w:tr>
        <w:tc>
          <w:tcPr>
            <w:tcW w:type="dxa" w:w="1440"/>
            <w:shd w:fill="FFDCE0" w:val="clear"/>
          </w:tcPr>
          <w:p>
            <w:r>
              <w:rPr>
                <w:sz w:val="17"/>
              </w:rPr>
              <w:t>J+3  ⭐⭐⭐</w:t>
            </w:r>
          </w:p>
        </w:tc>
        <w:tc>
          <w:tcPr>
            <w:tcW w:type="dxa" w:w="1440"/>
            <w:shd w:fill="FFDCE0" w:val="clear"/>
          </w:tcPr>
          <w:p>
            <w:r>
              <w:rPr>
                <w:sz w:val="17"/>
              </w:rPr>
              <w:t>2026-08-18</w:t>
            </w:r>
          </w:p>
        </w:tc>
        <w:tc>
          <w:tcPr>
            <w:tcW w:type="dxa" w:w="1440"/>
            <w:shd w:fill="FFDCE0" w:val="clear"/>
          </w:tcPr>
          <w:p>
            <w:r>
              <w:rPr>
                <w:sz w:val="17"/>
              </w:rPr>
              <w:t>26,410</w:t>
            </w:r>
          </w:p>
        </w:tc>
        <w:tc>
          <w:tcPr>
            <w:tcW w:type="dxa" w:w="1440"/>
            <w:shd w:fill="FFDCE0" w:val="clear"/>
          </w:tcPr>
          <w:p>
            <w:r>
              <w:rPr>
                <w:b/>
                <w:sz w:val="17"/>
              </w:rPr>
              <w:t>27,812</w:t>
            </w:r>
          </w:p>
        </w:tc>
        <w:tc>
          <w:tcPr>
            <w:tcW w:type="dxa" w:w="1440"/>
            <w:shd w:fill="FFDCE0" w:val="clear"/>
          </w:tcPr>
          <w:p>
            <w:r>
              <w:rPr>
                <w:sz w:val="17"/>
              </w:rPr>
              <w:t>29,213</w:t>
            </w:r>
          </w:p>
        </w:tc>
        <w:tc>
          <w:tcPr>
            <w:tcW w:type="dxa" w:w="1440"/>
            <w:shd w:fill="FFDCE0" w:val="clear"/>
          </w:tcPr>
          <w:p>
            <w:r>
              <w:rPr>
                <w:b/>
                <w:color w:val="C00000"/>
                <w:sz w:val="17"/>
              </w:rPr>
              <w:t>-4.1%</w:t>
            </w:r>
          </w:p>
        </w:tc>
      </w:tr>
      <w:tr>
        <w:tc>
          <w:tcPr>
            <w:tcW w:type="dxa" w:w="1440"/>
            <w:shd w:fill="FFDCE0" w:val="clear"/>
          </w:tcPr>
          <w:p>
            <w:r>
              <w:rPr>
                <w:sz w:val="17"/>
              </w:rPr>
              <w:t>J+4  Moyenne</w:t>
            </w:r>
          </w:p>
        </w:tc>
        <w:tc>
          <w:tcPr>
            <w:tcW w:type="dxa" w:w="1440"/>
            <w:shd w:fill="FFDCE0" w:val="clear"/>
          </w:tcPr>
          <w:p>
            <w:r>
              <w:rPr>
                <w:sz w:val="17"/>
              </w:rPr>
              <w:t>2026-08-19</w:t>
            </w:r>
          </w:p>
        </w:tc>
        <w:tc>
          <w:tcPr>
            <w:tcW w:type="dxa" w:w="1440"/>
            <w:shd w:fill="FFDCE0" w:val="clear"/>
          </w:tcPr>
          <w:p>
            <w:r>
              <w:rPr>
                <w:sz w:val="17"/>
              </w:rPr>
              <w:t>25,943</w:t>
            </w:r>
          </w:p>
        </w:tc>
        <w:tc>
          <w:tcPr>
            <w:tcW w:type="dxa" w:w="1440"/>
            <w:shd w:fill="FFDCE0" w:val="clear"/>
          </w:tcPr>
          <w:p>
            <w:r>
              <w:rPr>
                <w:b/>
                <w:sz w:val="17"/>
              </w:rPr>
              <w:t>27,546</w:t>
            </w:r>
          </w:p>
        </w:tc>
        <w:tc>
          <w:tcPr>
            <w:tcW w:type="dxa" w:w="1440"/>
            <w:shd w:fill="FFDCE0" w:val="clear"/>
          </w:tcPr>
          <w:p>
            <w:r>
              <w:rPr>
                <w:sz w:val="17"/>
              </w:rPr>
              <w:t>29,148</w:t>
            </w:r>
          </w:p>
        </w:tc>
        <w:tc>
          <w:tcPr>
            <w:tcW w:type="dxa" w:w="1440"/>
            <w:shd w:fill="FFDCE0" w:val="clear"/>
          </w:tcPr>
          <w:p>
            <w:r>
              <w:rPr>
                <w:b/>
                <w:color w:val="C00000"/>
                <w:sz w:val="17"/>
              </w:rPr>
              <w:t>-5.0%</w:t>
            </w:r>
          </w:p>
        </w:tc>
      </w:tr>
      <w:tr>
        <w:tc>
          <w:tcPr>
            <w:tcW w:type="dxa" w:w="1440"/>
            <w:shd w:fill="FFDCE0" w:val="clear"/>
          </w:tcPr>
          <w:p>
            <w:r>
              <w:rPr>
                <w:sz w:val="17"/>
              </w:rPr>
              <w:t>J+5  Moyenne</w:t>
            </w:r>
          </w:p>
        </w:tc>
        <w:tc>
          <w:tcPr>
            <w:tcW w:type="dxa" w:w="1440"/>
            <w:shd w:fill="FFDCE0" w:val="clear"/>
          </w:tcPr>
          <w:p>
            <w:r>
              <w:rPr>
                <w:sz w:val="17"/>
              </w:rPr>
              <w:t>2026-08-20</w:t>
            </w:r>
          </w:p>
        </w:tc>
        <w:tc>
          <w:tcPr>
            <w:tcW w:type="dxa" w:w="1440"/>
            <w:shd w:fill="FFDCE0" w:val="clear"/>
          </w:tcPr>
          <w:p>
            <w:r>
              <w:rPr>
                <w:sz w:val="17"/>
              </w:rPr>
              <w:t>25,522</w:t>
            </w:r>
          </w:p>
        </w:tc>
        <w:tc>
          <w:tcPr>
            <w:tcW w:type="dxa" w:w="1440"/>
            <w:shd w:fill="FFDCE0" w:val="clear"/>
          </w:tcPr>
          <w:p>
            <w:r>
              <w:rPr>
                <w:b/>
                <w:sz w:val="17"/>
              </w:rPr>
              <w:t>27,298</w:t>
            </w:r>
          </w:p>
        </w:tc>
        <w:tc>
          <w:tcPr>
            <w:tcW w:type="dxa" w:w="1440"/>
            <w:shd w:fill="FFDCE0" w:val="clear"/>
          </w:tcPr>
          <w:p>
            <w:r>
              <w:rPr>
                <w:sz w:val="17"/>
              </w:rPr>
              <w:t>29,074</w:t>
            </w:r>
          </w:p>
        </w:tc>
        <w:tc>
          <w:tcPr>
            <w:tcW w:type="dxa" w:w="1440"/>
            <w:shd w:fill="FFDCE0" w:val="clear"/>
          </w:tcPr>
          <w:p>
            <w:r>
              <w:rPr>
                <w:b/>
                <w:color w:val="C00000"/>
                <w:sz w:val="17"/>
              </w:rPr>
              <w:t>-5.9%</w:t>
            </w:r>
          </w:p>
        </w:tc>
      </w:tr>
      <w:tr>
        <w:tc>
          <w:tcPr>
            <w:tcW w:type="dxa" w:w="1440"/>
            <w:shd w:fill="FFDCE0" w:val="clear"/>
          </w:tcPr>
          <w:p>
            <w:r>
              <w:rPr>
                <w:sz w:val="17"/>
              </w:rPr>
              <w:t>J+6  Moyenne</w:t>
            </w:r>
          </w:p>
        </w:tc>
        <w:tc>
          <w:tcPr>
            <w:tcW w:type="dxa" w:w="1440"/>
            <w:shd w:fill="FFDCE0" w:val="clear"/>
          </w:tcPr>
          <w:p>
            <w:r>
              <w:rPr>
                <w:sz w:val="17"/>
              </w:rPr>
              <w:t>2026-08-21</w:t>
            </w:r>
          </w:p>
        </w:tc>
        <w:tc>
          <w:tcPr>
            <w:tcW w:type="dxa" w:w="1440"/>
            <w:shd w:fill="FFDCE0" w:val="clear"/>
          </w:tcPr>
          <w:p>
            <w:r>
              <w:rPr>
                <w:sz w:val="17"/>
              </w:rPr>
              <w:t>25,134</w:t>
            </w:r>
          </w:p>
        </w:tc>
        <w:tc>
          <w:tcPr>
            <w:tcW w:type="dxa" w:w="1440"/>
            <w:shd w:fill="FFDCE0" w:val="clear"/>
          </w:tcPr>
          <w:p>
            <w:r>
              <w:rPr>
                <w:b/>
                <w:sz w:val="17"/>
              </w:rPr>
              <w:t>27,063</w:t>
            </w:r>
          </w:p>
        </w:tc>
        <w:tc>
          <w:tcPr>
            <w:tcW w:type="dxa" w:w="1440"/>
            <w:shd w:fill="FFDCE0" w:val="clear"/>
          </w:tcPr>
          <w:p>
            <w:r>
              <w:rPr>
                <w:sz w:val="17"/>
              </w:rPr>
              <w:t>28,992</w:t>
            </w:r>
          </w:p>
        </w:tc>
        <w:tc>
          <w:tcPr>
            <w:tcW w:type="dxa" w:w="1440"/>
            <w:shd w:fill="FFDCE0" w:val="clear"/>
          </w:tcPr>
          <w:p>
            <w:r>
              <w:rPr>
                <w:b/>
                <w:color w:val="C00000"/>
                <w:sz w:val="17"/>
              </w:rPr>
              <w:t>-6.7%</w:t>
            </w:r>
          </w:p>
        </w:tc>
      </w:tr>
      <w:tr>
        <w:tc>
          <w:tcPr>
            <w:tcW w:type="dxa" w:w="1440"/>
            <w:shd w:fill="FFDCE0" w:val="clear"/>
          </w:tcPr>
          <w:p>
            <w:r>
              <w:rPr>
                <w:sz w:val="17"/>
              </w:rPr>
              <w:t>J+7  Moyenne</w:t>
            </w:r>
          </w:p>
        </w:tc>
        <w:tc>
          <w:tcPr>
            <w:tcW w:type="dxa" w:w="1440"/>
            <w:shd w:fill="FFDCE0" w:val="clear"/>
          </w:tcPr>
          <w:p>
            <w:r>
              <w:rPr>
                <w:sz w:val="17"/>
              </w:rPr>
              <w:t>2026-08-24</w:t>
            </w:r>
          </w:p>
        </w:tc>
        <w:tc>
          <w:tcPr>
            <w:tcW w:type="dxa" w:w="1440"/>
            <w:shd w:fill="FFDCE0" w:val="clear"/>
          </w:tcPr>
          <w:p>
            <w:r>
              <w:rPr>
                <w:sz w:val="17"/>
              </w:rPr>
              <w:t>24,771</w:t>
            </w:r>
          </w:p>
        </w:tc>
        <w:tc>
          <w:tcPr>
            <w:tcW w:type="dxa" w:w="1440"/>
            <w:shd w:fill="FFDCE0" w:val="clear"/>
          </w:tcPr>
          <w:p>
            <w:r>
              <w:rPr>
                <w:b/>
                <w:sz w:val="17"/>
              </w:rPr>
              <w:t>26,836</w:t>
            </w:r>
          </w:p>
        </w:tc>
        <w:tc>
          <w:tcPr>
            <w:tcW w:type="dxa" w:w="1440"/>
            <w:shd w:fill="FFDCE0" w:val="clear"/>
          </w:tcPr>
          <w:p>
            <w:r>
              <w:rPr>
                <w:sz w:val="17"/>
              </w:rPr>
              <w:t>28,902</w:t>
            </w:r>
          </w:p>
        </w:tc>
        <w:tc>
          <w:tcPr>
            <w:tcW w:type="dxa" w:w="1440"/>
            <w:shd w:fill="FFDCE0" w:val="clear"/>
          </w:tcPr>
          <w:p>
            <w:r>
              <w:rPr>
                <w:b/>
                <w:color w:val="C00000"/>
                <w:sz w:val="17"/>
              </w:rPr>
              <w:t>-7.5%</w:t>
            </w:r>
          </w:p>
        </w:tc>
      </w:tr>
      <w:tr>
        <w:tc>
          <w:tcPr>
            <w:tcW w:type="dxa" w:w="1440"/>
            <w:shd w:fill="FFDCE0" w:val="clear"/>
          </w:tcPr>
          <w:p>
            <w:r>
              <w:rPr>
                <w:sz w:val="17"/>
              </w:rPr>
              <w:t>J+8  Moyenne</w:t>
            </w:r>
          </w:p>
        </w:tc>
        <w:tc>
          <w:tcPr>
            <w:tcW w:type="dxa" w:w="1440"/>
            <w:shd w:fill="FFDCE0" w:val="clear"/>
          </w:tcPr>
          <w:p>
            <w:r>
              <w:rPr>
                <w:sz w:val="17"/>
              </w:rPr>
              <w:t>2026-08-25</w:t>
            </w:r>
          </w:p>
        </w:tc>
        <w:tc>
          <w:tcPr>
            <w:tcW w:type="dxa" w:w="1440"/>
            <w:shd w:fill="FFDCE0" w:val="clear"/>
          </w:tcPr>
          <w:p>
            <w:r>
              <w:rPr>
                <w:sz w:val="17"/>
              </w:rPr>
              <w:t>24,428</w:t>
            </w:r>
          </w:p>
        </w:tc>
        <w:tc>
          <w:tcPr>
            <w:tcW w:type="dxa" w:w="1440"/>
            <w:shd w:fill="FFDCE0" w:val="clear"/>
          </w:tcPr>
          <w:p>
            <w:r>
              <w:rPr>
                <w:b/>
                <w:sz w:val="17"/>
              </w:rPr>
              <w:t>26,618</w:t>
            </w:r>
          </w:p>
        </w:tc>
        <w:tc>
          <w:tcPr>
            <w:tcW w:type="dxa" w:w="1440"/>
            <w:shd w:fill="FFDCE0" w:val="clear"/>
          </w:tcPr>
          <w:p>
            <w:r>
              <w:rPr>
                <w:sz w:val="17"/>
              </w:rPr>
              <w:t>28,809</w:t>
            </w:r>
          </w:p>
        </w:tc>
        <w:tc>
          <w:tcPr>
            <w:tcW w:type="dxa" w:w="1440"/>
            <w:shd w:fill="FFDCE0" w:val="clear"/>
          </w:tcPr>
          <w:p>
            <w:r>
              <w:rPr>
                <w:b/>
                <w:color w:val="C00000"/>
                <w:sz w:val="17"/>
              </w:rPr>
              <w:t>-8.2%</w:t>
            </w:r>
          </w:p>
        </w:tc>
      </w:tr>
      <w:tr>
        <w:tc>
          <w:tcPr>
            <w:tcW w:type="dxa" w:w="1440"/>
            <w:shd w:fill="FFDCE0" w:val="clear"/>
          </w:tcPr>
          <w:p>
            <w:r>
              <w:rPr>
                <w:sz w:val="17"/>
              </w:rPr>
              <w:t>J+9  Moyenne</w:t>
            </w:r>
          </w:p>
        </w:tc>
        <w:tc>
          <w:tcPr>
            <w:tcW w:type="dxa" w:w="1440"/>
            <w:shd w:fill="FFDCE0" w:val="clear"/>
          </w:tcPr>
          <w:p>
            <w:r>
              <w:rPr>
                <w:sz w:val="17"/>
              </w:rPr>
              <w:t>2026-08-27</w:t>
            </w:r>
          </w:p>
        </w:tc>
        <w:tc>
          <w:tcPr>
            <w:tcW w:type="dxa" w:w="1440"/>
            <w:shd w:fill="FFDCE0" w:val="clear"/>
          </w:tcPr>
          <w:p>
            <w:r>
              <w:rPr>
                <w:sz w:val="17"/>
              </w:rPr>
              <w:t>24,103</w:t>
            </w:r>
          </w:p>
        </w:tc>
        <w:tc>
          <w:tcPr>
            <w:tcW w:type="dxa" w:w="1440"/>
            <w:shd w:fill="FFDCE0" w:val="clear"/>
          </w:tcPr>
          <w:p>
            <w:r>
              <w:rPr>
                <w:b/>
                <w:sz w:val="17"/>
              </w:rPr>
              <w:t>26,408</w:t>
            </w:r>
          </w:p>
        </w:tc>
        <w:tc>
          <w:tcPr>
            <w:tcW w:type="dxa" w:w="1440"/>
            <w:shd w:fill="FFDCE0" w:val="clear"/>
          </w:tcPr>
          <w:p>
            <w:r>
              <w:rPr>
                <w:sz w:val="17"/>
              </w:rPr>
              <w:t>28,713</w:t>
            </w:r>
          </w:p>
        </w:tc>
        <w:tc>
          <w:tcPr>
            <w:tcW w:type="dxa" w:w="1440"/>
            <w:shd w:fill="FFDCE0" w:val="clear"/>
          </w:tcPr>
          <w:p>
            <w:r>
              <w:rPr>
                <w:b/>
                <w:color w:val="C00000"/>
                <w:sz w:val="17"/>
              </w:rPr>
              <w:t>-8.9%</w:t>
            </w:r>
          </w:p>
        </w:tc>
      </w:tr>
      <w:tr>
        <w:tc>
          <w:tcPr>
            <w:tcW w:type="dxa" w:w="1440"/>
            <w:shd w:fill="FFDCE0" w:val="clear"/>
          </w:tcPr>
          <w:p>
            <w:r>
              <w:rPr>
                <w:sz w:val="17"/>
              </w:rPr>
              <w:t>J+10  Moyenne</w:t>
            </w:r>
          </w:p>
        </w:tc>
        <w:tc>
          <w:tcPr>
            <w:tcW w:type="dxa" w:w="1440"/>
            <w:shd w:fill="FFDCE0" w:val="clear"/>
          </w:tcPr>
          <w:p>
            <w:r>
              <w:rPr>
                <w:sz w:val="17"/>
              </w:rPr>
              <w:t>2026-08-28</w:t>
            </w:r>
          </w:p>
        </w:tc>
        <w:tc>
          <w:tcPr>
            <w:tcW w:type="dxa" w:w="1440"/>
            <w:shd w:fill="FFDCE0" w:val="clear"/>
          </w:tcPr>
          <w:p>
            <w:r>
              <w:rPr>
                <w:sz w:val="17"/>
              </w:rPr>
              <w:t>23,794</w:t>
            </w:r>
          </w:p>
        </w:tc>
        <w:tc>
          <w:tcPr>
            <w:tcW w:type="dxa" w:w="1440"/>
            <w:shd w:fill="FFDCE0" w:val="clear"/>
          </w:tcPr>
          <w:p>
            <w:r>
              <w:rPr>
                <w:b/>
                <w:sz w:val="17"/>
              </w:rPr>
              <w:t>26,205</w:t>
            </w:r>
          </w:p>
        </w:tc>
        <w:tc>
          <w:tcPr>
            <w:tcW w:type="dxa" w:w="1440"/>
            <w:shd w:fill="FFDCE0" w:val="clear"/>
          </w:tcPr>
          <w:p>
            <w:r>
              <w:rPr>
                <w:sz w:val="17"/>
              </w:rPr>
              <w:t>28,616</w:t>
            </w:r>
          </w:p>
        </w:tc>
        <w:tc>
          <w:tcPr>
            <w:tcW w:type="dxa" w:w="1440"/>
            <w:shd w:fill="FFDCE0" w:val="clear"/>
          </w:tcPr>
          <w:p>
            <w:r>
              <w:rPr>
                <w:b/>
                <w:color w:val="C00000"/>
                <w:sz w:val="17"/>
              </w:rPr>
              <w:t>-9.6%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483,33 milliards FCFA, ce qui en fait l'une des valeurs les plus significatives de la BRVM, reflétant la confiance des investisseurs dans le secteur bancaire ivoirien. Avec un BPA de 2 191 FCFA, chaque action génère un bénéfice substantiel, justifiant un PER de 13,2x, légèrement supérieur à la moyenne historique de la BRVM (8-12x), ce qui indique que les investisseurs acceptent de payer une prime modérée pour la qualité de cette banque. Le P/B de 4,01x est nettement plus exigeant, signalant que le marché valorise fortement les actifs nets de la banque, probablement en raison de sa rentabilité supérieure. Enfin, l'EV/EBITDA de 9,3x se situe dans une fourchette raisonnable, indiquant que la valeur totale de l'entreprise reste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progression totale de +11,97%, avec une dernière séance stable à 29 000 FCFA, témoignant d'une dynamique haussière soutenue. Le cours a évolué dans une fourchette de 22 500 à 29 490 FCFA, démontrant une amplitude de trading significative de près de 31%. La moyenne de 26 956 FCFA est inférieure à la médiane de 27 848 FCFA, ce qui, combiné à un skewness négatif de -0,557, indique que le titre a passé davantage de journées au-dessus de sa moyenne, avec des épisodes de baisse marqués mais peu fréquents. L'écart-type de 2 004 FCFA (CV=7,4%) révèle une dispersion modérée, tandis que le kurtosis platykurtique de -1,147 suggère une distribution aplatie, avec un risque de mouvements extrêmes limité. La volatilité annualisée de 29,8% classe le titre dans la catégorie des valeurs à volatilité élevée, proche du seuil de 30%, ce qui implique des fluctuations notables mais gérables pour un investisseur averti.</w:t>
      </w:r>
    </w:p>
    <w:p>
      <w:pPr>
        <w:spacing w:after="120" w:line="276" w:lineRule="auto" w:before="240"/>
      </w:pPr>
      <w:r>
        <w:rPr>
          <w:b/>
          <w:color w:val="003366"/>
          <w:sz w:val="24"/>
        </w:rPr>
        <w:t>**PARTIE 2 : ANALYSE TECHNIQUE DÉTAILLÉE**</w:t>
      </w:r>
    </w:p>
    <w:p>
      <w:pPr>
        <w:spacing w:after="120" w:line="276" w:lineRule="auto"/>
      </w:pPr>
      <w:r>
        <w:t>**Moyennes Mobiles** : Les MM20 et MM50, respectivement à 28 615 et 28 580 FCFA, sont très proches l'une de l'autre et légèrement inférieures au cours actuel de 29 000 FCFA. Cette configuration haussière, où le prix se maintient au-dessus de ses moyennes, confirme une tendance positive à court et moyen terme, justifiant la décision d'achat.</w:t>
      </w:r>
    </w:p>
    <w:p>
      <w:pPr>
        <w:spacing w:after="120" w:line="276" w:lineRule="auto"/>
      </w:pPr>
      <w:r>
        <w:t>**Bandes de Bollinger** : Le cours se situe à 29 000 FCFA, entre la borne inférieure de 27 552 FCFA et la borne supérieure de 29 678 FCFA, proche de cette dernière. Cette position indique une pression acheteuse soutenue sans atteindre des niveaux extrêmes de surachat, d'où une décision neutre, laissant présager une possible poursuite de la hausse ou un léger repli vers la moyenne.</w:t>
      </w:r>
    </w:p>
    <w:p>
      <w:pPr>
        <w:spacing w:after="120" w:line="276" w:lineRule="auto"/>
      </w:pPr>
      <w:r>
        <w:t>**MACD** : La valeur du MACD à 219,834 est supérieure à son signal à 190,946, montrant un momentum haussier positif et une divergence favorable. Cette configuration technique suggère que la dynamique d'achat reste solide, justifiant la décision d'achat.</w:t>
      </w:r>
    </w:p>
    <w:p>
      <w:pPr>
        <w:spacing w:after="120" w:line="276" w:lineRule="auto"/>
      </w:pPr>
      <w:r>
        <w:t>**RSI** : Le RSI à 78,917 est nettement au-dessus du seuil de surachat de 70, indiquant que le titre est techniquement surévalué à court terme. Cette situation appelle à la prudence, car un retournement baissier est possible, d'où la décision de vente.</w:t>
      </w:r>
    </w:p>
    <w:p>
      <w:pPr>
        <w:spacing w:after="120" w:line="276" w:lineRule="auto"/>
      </w:pPr>
      <w:r>
        <w:t>**Stochastique** : Le %K à 77,654 et le %D à 88,618 montrent que le titre est en zone de surachat, avec un %K inférieur au %D, suggérant un croisement baissier potentiel. La décision neutre reflète l'incertitude sur la poursuite du mouvement haussier.</w:t>
      </w:r>
    </w:p>
    <w:p>
      <w:pPr>
        <w:spacing w:after="120" w:line="276" w:lineRule="auto"/>
      </w:pPr>
      <w:r>
        <w:t>**Conclusion technique** : La majorité des indicateurs (MM, MACD) penchent en faveur d'une poursuite de la tendance haussière, mais les oscillateurs (RSI, Stochastique) signalent un risque imminent de correction. Cette divergence suggère une consolidation à court terme avant une éventuelle reprise, rendant le titre attractif en cas de repli technique.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BICC révèlent une performance robuste : le Produit Net Bancaire (PNB) s'établit à 79,563 milliards FCFA, avec un résultat net de 36,520 milliards FCFA, démontrant une croissance soutenue de 16,9% du PNB. Le ROE de 30,29% est exceptionnel, bien au-dessus du seuil de 15% considéré comme excellent, tandis que le ROA de 3,24% confirme une gestion efficace des actifs. Le coefficient d'exploitation de 50,83% indique une banque très efficace, et le coût du risque de -12,15% reflète une excellente maîtrise du portefeuille de crédits. Les dépôts clientèle de 952,872 milliards FCFA couvrent largement les créances de 524,439 milliards FCFA, assurant une liquidité confortable. Les rapports trimestriels confirment cette dynamique : le T1 2026 (rapport du 31 mars 2026) montre un PNB de 21,214 milliards FCFA (+17,0%) et un résultat net de 10,387 milliards FCFA (+29,7%), tandis que le T3 2025 (cumulé à fin septembre 2025) affichait un PNB de 58,119 milliards FCFA (+16,4%) et un résultat net de 27,402 milliards FCFA (+50,8%). Sur la base de ces tendances, on estime que l'exercice 2026 pourrait voir un PNB dépasser 90 milliards FCFA et un résultat net supérieur à 45 milliards FCFA, confirmant la solidité et les perspectives de croissance de la banque.</w:t>
      </w:r>
    </w:p>
    <w:p>
      <w:pPr>
        <w:spacing w:after="120" w:line="276" w:lineRule="auto" w:before="240"/>
      </w:pPr>
      <w:r>
        <w:rPr>
          <w:b/>
          <w:color w:val="003366"/>
          <w:sz w:val="24"/>
        </w:rPr>
        <w:t>**PARTIE 4 : CONCLUSION D'INVESTISSEMENT**</w:t>
      </w:r>
    </w:p>
    <w:p>
      <w:pPr>
        <w:spacing w:after="120" w:line="276" w:lineRule="auto"/>
      </w:pPr>
      <w:r>
        <w:t>La valorisation de BICC, avec un PER de 13,2x et un P/B de 4,01x, indique une prime par rapport au marché, mais justifiée par une rentabilité exceptionnelle (ROE de 30,29%). Le comportement du cours sur 100 jours, avec une hausse de +11,97% et une volatilité de 29,8%, est favorable, bien que les statistiques suggèrent une distribution asymétrique avec des risques de corrections. Les signaux techniques sont mitigés : les moyennes mobiles et le MACD sont positifs, mais le RSI et le Stochastique signalent un surachat imminent. Les fondamentaux sont solides, avec une croissance soutenue du PNB et du résultat net, confirmée par les rapports trimestriels récents. Les prédictions IA pour les 10 prochains jours prévoient une baisse progressive à 27 298 FCFA, ce qui contredit la tendance haussière actuelle mais pourrait offrir un point d'entrée attractif. En synthèse, je recommande **CONSERVER** avec un niveau de confiance **Moyen** et un risque global **Moyen**. L'horizon d'investissement optimal serait à moyen terme (3-12 mois), en attendant une correction technique pour renforcer les positions, tout en capitalisant sur la solidité fondamentale de la banque.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13.25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2,173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007800"/>
                <w:sz w:val="17"/>
              </w:rPr>
              <w:t>+24.22%</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11.63% (Moyenne) — μ=1,729 FCFA, σ=201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β=0.0116 (Défensif) — Cov=0.000000, Var(idx)=0.000036, ρ=0.002,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σ_j=3.03%/j (Modérée) — Vol. annualisée≈48.1%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2026-08-14</w:t>
            </w:r>
          </w:p>
        </w:tc>
        <w:tc>
          <w:tcPr>
            <w:tcW w:type="dxa" w:w="1440"/>
            <w:shd w:fill="FAFAFA" w:val="clear"/>
          </w:tcPr>
          <w:p>
            <w:r>
              <w:rPr>
                <w:sz w:val="17"/>
              </w:rPr>
              <w:t>1,908</w:t>
            </w:r>
          </w:p>
        </w:tc>
        <w:tc>
          <w:tcPr>
            <w:tcW w:type="dxa" w:w="1440"/>
            <w:shd w:fill="FAFAFA" w:val="clear"/>
          </w:tcPr>
          <w:p>
            <w:r>
              <w:rPr>
                <w:b/>
                <w:sz w:val="17"/>
              </w:rPr>
              <w:t>1,994</w:t>
            </w:r>
          </w:p>
        </w:tc>
        <w:tc>
          <w:tcPr>
            <w:tcW w:type="dxa" w:w="1440"/>
            <w:shd w:fill="FAFAFA" w:val="clear"/>
          </w:tcPr>
          <w:p>
            <w:r>
              <w:rPr>
                <w:sz w:val="17"/>
              </w:rPr>
              <w:t>2,081</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2026-08-17</w:t>
            </w:r>
          </w:p>
        </w:tc>
        <w:tc>
          <w:tcPr>
            <w:tcW w:type="dxa" w:w="1440"/>
            <w:shd w:fill="FAFAFA" w:val="clear"/>
          </w:tcPr>
          <w:p>
            <w:r>
              <w:rPr>
                <w:sz w:val="17"/>
              </w:rPr>
              <w:t>1,869</w:t>
            </w:r>
          </w:p>
        </w:tc>
        <w:tc>
          <w:tcPr>
            <w:tcW w:type="dxa" w:w="1440"/>
            <w:shd w:fill="FAFAFA" w:val="clear"/>
          </w:tcPr>
          <w:p>
            <w:r>
              <w:rPr>
                <w:b/>
                <w:sz w:val="17"/>
              </w:rPr>
              <w:t>1,991</w:t>
            </w:r>
          </w:p>
        </w:tc>
        <w:tc>
          <w:tcPr>
            <w:tcW w:type="dxa" w:w="1440"/>
            <w:shd w:fill="FAFAFA" w:val="clear"/>
          </w:tcPr>
          <w:p>
            <w:r>
              <w:rPr>
                <w:sz w:val="17"/>
              </w:rPr>
              <w:t>2,113</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2026-08-18</w:t>
            </w:r>
          </w:p>
        </w:tc>
        <w:tc>
          <w:tcPr>
            <w:tcW w:type="dxa" w:w="1440"/>
            <w:shd w:fill="FAFAFA" w:val="clear"/>
          </w:tcPr>
          <w:p>
            <w:r>
              <w:rPr>
                <w:sz w:val="17"/>
              </w:rPr>
              <w:t>1,838</w:t>
            </w:r>
          </w:p>
        </w:tc>
        <w:tc>
          <w:tcPr>
            <w:tcW w:type="dxa" w:w="1440"/>
            <w:shd w:fill="FAFAFA" w:val="clear"/>
          </w:tcPr>
          <w:p>
            <w:r>
              <w:rPr>
                <w:b/>
                <w:sz w:val="17"/>
              </w:rPr>
              <w:t>1,987</w:t>
            </w:r>
          </w:p>
        </w:tc>
        <w:tc>
          <w:tcPr>
            <w:tcW w:type="dxa" w:w="1440"/>
            <w:shd w:fill="FAFAFA" w:val="clear"/>
          </w:tcPr>
          <w:p>
            <w:r>
              <w:rPr>
                <w:sz w:val="17"/>
              </w:rPr>
              <w:t>2,136</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2026-08-19</w:t>
            </w:r>
          </w:p>
        </w:tc>
        <w:tc>
          <w:tcPr>
            <w:tcW w:type="dxa" w:w="1440"/>
            <w:shd w:fill="FAFAFA" w:val="clear"/>
          </w:tcPr>
          <w:p>
            <w:r>
              <w:rPr>
                <w:sz w:val="17"/>
              </w:rPr>
              <w:t>1,813</w:t>
            </w:r>
          </w:p>
        </w:tc>
        <w:tc>
          <w:tcPr>
            <w:tcW w:type="dxa" w:w="1440"/>
            <w:shd w:fill="FAFAFA" w:val="clear"/>
          </w:tcPr>
          <w:p>
            <w:r>
              <w:rPr>
                <w:b/>
                <w:sz w:val="17"/>
              </w:rPr>
              <w:t>1,985</w:t>
            </w:r>
          </w:p>
        </w:tc>
        <w:tc>
          <w:tcPr>
            <w:tcW w:type="dxa" w:w="1440"/>
            <w:shd w:fill="FAFAFA" w:val="clear"/>
          </w:tcPr>
          <w:p>
            <w:r>
              <w:rPr>
                <w:sz w:val="17"/>
              </w:rPr>
              <w:t>2,156</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2026-08-20</w:t>
            </w:r>
          </w:p>
        </w:tc>
        <w:tc>
          <w:tcPr>
            <w:tcW w:type="dxa" w:w="1440"/>
            <w:shd w:fill="FAFAFA" w:val="clear"/>
          </w:tcPr>
          <w:p>
            <w:r>
              <w:rPr>
                <w:sz w:val="17"/>
              </w:rPr>
              <w:t>1,791</w:t>
            </w:r>
          </w:p>
        </w:tc>
        <w:tc>
          <w:tcPr>
            <w:tcW w:type="dxa" w:w="1440"/>
            <w:shd w:fill="FAFAFA" w:val="clear"/>
          </w:tcPr>
          <w:p>
            <w:r>
              <w:rPr>
                <w:b/>
                <w:sz w:val="17"/>
              </w:rPr>
              <w:t>1,982</w:t>
            </w:r>
          </w:p>
        </w:tc>
        <w:tc>
          <w:tcPr>
            <w:tcW w:type="dxa" w:w="1440"/>
            <w:shd w:fill="FAFAFA" w:val="clear"/>
          </w:tcPr>
          <w:p>
            <w:r>
              <w:rPr>
                <w:sz w:val="17"/>
              </w:rPr>
              <w:t>2,174</w:t>
            </w:r>
          </w:p>
        </w:tc>
        <w:tc>
          <w:tcPr>
            <w:tcW w:type="dxa" w:w="1440"/>
            <w:shd w:fill="FAFAFA" w:val="clear"/>
          </w:tcPr>
          <w:p>
            <w:r>
              <w:rPr>
                <w:b/>
                <w:color w:val="C00000"/>
                <w:sz w:val="17"/>
              </w:rPr>
              <w:t>-0.9%</w:t>
            </w:r>
          </w:p>
        </w:tc>
      </w:tr>
      <w:tr>
        <w:tc>
          <w:tcPr>
            <w:tcW w:type="dxa" w:w="1440"/>
            <w:shd w:fill="FAFAFA" w:val="clear"/>
          </w:tcPr>
          <w:p>
            <w:r>
              <w:rPr>
                <w:sz w:val="17"/>
              </w:rPr>
              <w:t>J+6  ⭐</w:t>
            </w:r>
          </w:p>
        </w:tc>
        <w:tc>
          <w:tcPr>
            <w:tcW w:type="dxa" w:w="1440"/>
            <w:shd w:fill="FAFAFA" w:val="clear"/>
          </w:tcPr>
          <w:p>
            <w:r>
              <w:rPr>
                <w:sz w:val="17"/>
              </w:rPr>
              <w:t>2026-08-21</w:t>
            </w:r>
          </w:p>
        </w:tc>
        <w:tc>
          <w:tcPr>
            <w:tcW w:type="dxa" w:w="1440"/>
            <w:shd w:fill="FAFAFA" w:val="clear"/>
          </w:tcPr>
          <w:p>
            <w:r>
              <w:rPr>
                <w:sz w:val="17"/>
              </w:rPr>
              <w:t>1,771</w:t>
            </w:r>
          </w:p>
        </w:tc>
        <w:tc>
          <w:tcPr>
            <w:tcW w:type="dxa" w:w="1440"/>
            <w:shd w:fill="FAFAFA" w:val="clear"/>
          </w:tcPr>
          <w:p>
            <w:r>
              <w:rPr>
                <w:b/>
                <w:sz w:val="17"/>
              </w:rPr>
              <w:t>1,981</w:t>
            </w:r>
          </w:p>
        </w:tc>
        <w:tc>
          <w:tcPr>
            <w:tcW w:type="dxa" w:w="1440"/>
            <w:shd w:fill="FAFAFA" w:val="clear"/>
          </w:tcPr>
          <w:p>
            <w:r>
              <w:rPr>
                <w:sz w:val="17"/>
              </w:rPr>
              <w:t>2,190</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2026-08-24</w:t>
            </w:r>
          </w:p>
        </w:tc>
        <w:tc>
          <w:tcPr>
            <w:tcW w:type="dxa" w:w="1440"/>
            <w:shd w:fill="FAFAFA" w:val="clear"/>
          </w:tcPr>
          <w:p>
            <w:r>
              <w:rPr>
                <w:sz w:val="17"/>
              </w:rPr>
              <w:t>1,752</w:t>
            </w:r>
          </w:p>
        </w:tc>
        <w:tc>
          <w:tcPr>
            <w:tcW w:type="dxa" w:w="1440"/>
            <w:shd w:fill="FAFAFA" w:val="clear"/>
          </w:tcPr>
          <w:p>
            <w:r>
              <w:rPr>
                <w:b/>
                <w:sz w:val="17"/>
              </w:rPr>
              <w:t>1,979</w:t>
            </w:r>
          </w:p>
        </w:tc>
        <w:tc>
          <w:tcPr>
            <w:tcW w:type="dxa" w:w="1440"/>
            <w:shd w:fill="FAFAFA" w:val="clear"/>
          </w:tcPr>
          <w:p>
            <w:r>
              <w:rPr>
                <w:sz w:val="17"/>
              </w:rPr>
              <w:t>2,205</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2026-08-25</w:t>
            </w:r>
          </w:p>
        </w:tc>
        <w:tc>
          <w:tcPr>
            <w:tcW w:type="dxa" w:w="1440"/>
            <w:shd w:fill="FAFAFA" w:val="clear"/>
          </w:tcPr>
          <w:p>
            <w:r>
              <w:rPr>
                <w:sz w:val="17"/>
              </w:rPr>
              <w:t>1,735</w:t>
            </w:r>
          </w:p>
        </w:tc>
        <w:tc>
          <w:tcPr>
            <w:tcW w:type="dxa" w:w="1440"/>
            <w:shd w:fill="FAFAFA" w:val="clear"/>
          </w:tcPr>
          <w:p>
            <w:r>
              <w:rPr>
                <w:b/>
                <w:sz w:val="17"/>
              </w:rPr>
              <w:t>1,977</w:t>
            </w:r>
          </w:p>
        </w:tc>
        <w:tc>
          <w:tcPr>
            <w:tcW w:type="dxa" w:w="1440"/>
            <w:shd w:fill="FAFAFA" w:val="clear"/>
          </w:tcPr>
          <w:p>
            <w:r>
              <w:rPr>
                <w:sz w:val="17"/>
              </w:rPr>
              <w:t>2,219</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2026-08-27</w:t>
            </w:r>
          </w:p>
        </w:tc>
        <w:tc>
          <w:tcPr>
            <w:tcW w:type="dxa" w:w="1440"/>
            <w:shd w:fill="FAFAFA" w:val="clear"/>
          </w:tcPr>
          <w:p>
            <w:r>
              <w:rPr>
                <w:sz w:val="17"/>
              </w:rPr>
              <w:t>1,719</w:t>
            </w:r>
          </w:p>
        </w:tc>
        <w:tc>
          <w:tcPr>
            <w:tcW w:type="dxa" w:w="1440"/>
            <w:shd w:fill="FAFAFA" w:val="clear"/>
          </w:tcPr>
          <w:p>
            <w:r>
              <w:rPr>
                <w:b/>
                <w:sz w:val="17"/>
              </w:rPr>
              <w:t>1,976</w:t>
            </w:r>
          </w:p>
        </w:tc>
        <w:tc>
          <w:tcPr>
            <w:tcW w:type="dxa" w:w="1440"/>
            <w:shd w:fill="FAFAFA" w:val="clear"/>
          </w:tcPr>
          <w:p>
            <w:r>
              <w:rPr>
                <w:sz w:val="17"/>
              </w:rPr>
              <w:t>2,232</w:t>
            </w:r>
          </w:p>
        </w:tc>
        <w:tc>
          <w:tcPr>
            <w:tcW w:type="dxa" w:w="1440"/>
            <w:shd w:fill="FAFAFA" w:val="clear"/>
          </w:tcPr>
          <w:p>
            <w:r>
              <w:rPr>
                <w:b/>
                <w:color w:val="C00000"/>
                <w:sz w:val="17"/>
              </w:rPr>
              <w:t>-1.2%</w:t>
            </w:r>
          </w:p>
        </w:tc>
      </w:tr>
      <w:tr>
        <w:tc>
          <w:tcPr>
            <w:tcW w:type="dxa" w:w="1440"/>
            <w:shd w:fill="FAFAFA" w:val="clear"/>
          </w:tcPr>
          <w:p>
            <w:r>
              <w:rPr>
                <w:sz w:val="17"/>
              </w:rPr>
              <w:t>J+10  ⭐</w:t>
            </w:r>
          </w:p>
        </w:tc>
        <w:tc>
          <w:tcPr>
            <w:tcW w:type="dxa" w:w="1440"/>
            <w:shd w:fill="FAFAFA" w:val="clear"/>
          </w:tcPr>
          <w:p>
            <w:r>
              <w:rPr>
                <w:sz w:val="17"/>
              </w:rPr>
              <w:t>2026-08-28</w:t>
            </w:r>
          </w:p>
        </w:tc>
        <w:tc>
          <w:tcPr>
            <w:tcW w:type="dxa" w:w="1440"/>
            <w:shd w:fill="FAFAFA" w:val="clear"/>
          </w:tcPr>
          <w:p>
            <w:r>
              <w:rPr>
                <w:sz w:val="17"/>
              </w:rPr>
              <w:t>1,704</w:t>
            </w:r>
          </w:p>
        </w:tc>
        <w:tc>
          <w:tcPr>
            <w:tcW w:type="dxa" w:w="1440"/>
            <w:shd w:fill="FAFAFA" w:val="clear"/>
          </w:tcPr>
          <w:p>
            <w:r>
              <w:rPr>
                <w:b/>
                <w:sz w:val="17"/>
              </w:rPr>
              <w:t>1,974</w:t>
            </w:r>
          </w:p>
        </w:tc>
        <w:tc>
          <w:tcPr>
            <w:tcW w:type="dxa" w:w="1440"/>
            <w:shd w:fill="FAFAFA" w:val="clear"/>
          </w:tcPr>
          <w:p>
            <w:r>
              <w:rPr>
                <w:sz w:val="17"/>
              </w:rPr>
              <w:t>2,245</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(BERNABÉ CÔTE D'IVOIRE)**</w:t>
        <w:br/>
        <w:t>**Date : 13 août 2026 | Cours : 2 000 FCFA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13,25 milliards FCFA, un niveau modeste pour une entreprise de ce secteur sur la BRVM, reflétant une perception prudente du marché. Avec un BPA de seulement 3 FCFA, le PER ressort à 593,6x, un niveau extrêmement élevé comparé à la moyenne du marché BRVM (8-12x), indiquant que les investisseurs paient un prix très cher pour des bénéfices quasi inexistants. En revanche, le P/B de 0,75x signale que le marché valorise l'action sous sa valeur comptable, une situation qui peut révéler une opportunité si les actifs sont de bonne qualité. L'EV/EBITDA de 24,2x, bien supérieur au seuil de 15x, confirme une valorisation exigeante au regard de la capacité opérationnelle de l'entreprise. Ces ratios contrastés suggèrent que le marché intègre des perspectives de redressement futur plutôt que la performance actuelle.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BNBC a enregistré une progression remarquable de +24,22%, avec une légère hausse de +0,25% lors de la dernière séance, portant le cours à 2 000 FCFA. Le titre a évolué dans une fourchette de 1 300 à 2 100 FCFA, démontrant une amplitude de trading significative de 800 FCFA. La moyenne du cours sur la période (1 729 FCFA) est supérieure à la médiane (1 662 FCFA), indiquant une distribution légèrement asymétrique positive, confirmée par un skewness proche de zéro (0,003) suggérant une symétrie globale. L'écart-type de 202 FCFA (CV=11,7%) révèle une dispersion modérée des prix autour de la moyenne. Le kurtosis négatif (-1,260) indique une distribution platykurtique, avec moins de valeurs extrêmes que la normale, réduisant le risque de mouvements brutaux. La volatilité annualisée de 48,1% classe le titre comme très volatil, un niveau élevé qui implique un risque substantiel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Les MM20 (1 932,75 FCFA) et MM50 (1 906,5 FCFA) sont toutes deux inférieures au cours actuel de 2 000 FCFA, avec une MM20 au-dessus de la MM50, configuration typique d'une tendance haussière à court et moyen terme. La décision d'achat est justifiée par cette structure positive des moyennes mobiles, le cours évoluant au-dessus de ses supports dynamiques.</w:t>
      </w:r>
    </w:p>
    <w:p>
      <w:pPr>
        <w:spacing w:after="120" w:line="276" w:lineRule="auto"/>
      </w:pPr>
      <w:r>
        <w:t>**Bandes de Bollinger :** Le cours à 2 000 FCFA se positionne dans la partie supérieure des bandes (borne supérieure à 2 031,29 FCFA, borne inférieure à 1 834,21 FCFA), sans toutefois toucher la borne supérieure. Cette position indique une pression acheteuse modérée sans surachat extrême, justifiant la décision neutre. La largeur des bandes reflète la volatilité élevée du titre.</w:t>
      </w:r>
    </w:p>
    <w:p>
      <w:pPr>
        <w:spacing w:after="120" w:line="276" w:lineRule="auto"/>
      </w:pPr>
      <w:r>
        <w:t>**MACD :** Le MACD (23,336) est nettement au-dessus de sa ligne de signal (17,421), avec un écart positif de 5,915 points. Cette configuration signale un momentum haussier soutenu et une dynamique positive du marché, justifiant la décision d'achat. La tendance semble solidement établie à moyen terme.</w:t>
      </w:r>
    </w:p>
    <w:p>
      <w:pPr>
        <w:spacing w:after="120" w:line="276" w:lineRule="auto"/>
      </w:pPr>
      <w:r>
        <w:t>**RSI :** Le RSI à 51,667 se situe en zone neutre, entre 30 et 70, indiquant un équilibre entre pressions acheteuses et vendeuses. Cette valeur ne montre ni surachat ni survente, laissant une marge de manœuvre pour une poursuite de la hausse ou un repli, d'où la décision neutre.</w:t>
      </w:r>
    </w:p>
    <w:p>
      <w:pPr>
        <w:spacing w:after="120" w:line="276" w:lineRule="auto"/>
      </w:pPr>
      <w:r>
        <w:t>**Stochastique :** Le %K à 100,0 et le %D à 98,551 sont tous deux en zone de surachat extrême, signalant une possible correction prochaine. La décision de vente est justifiée par cette configuration, le titre semblant temporairement survendu après une forte progression.</w:t>
      </w:r>
    </w:p>
    <w:p>
      <w:pPr>
        <w:spacing w:after="120" w:line="276" w:lineRule="auto"/>
      </w:pPr>
      <w:r>
        <w:t>**Conclusion technique :** Les indicateurs sont partagés entre signaux d'achat (MM, MACD) et signaux de vente (Stochastique), avec un RSI neutre. Cette divergence suggère une possible consolidation à court terme avant une poursuite éventuelle de la tendance haussière, mais la prudence est recommandée.</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2025 :** En 2025, BNBC a réalisé un chiffre d'affaires de 42,454 milliards FCFA, en baisse de 6,31% par rapport à 2024 (45,312 milliards FCFA). Le résultat net s'établit à seulement 22,32 millions FCFA, soit une marge nette de 0,05%, avec un ROE de 0,13% et un ROA de 0,05%, des niveaux extrêmement faibles. L'entreprise présente un BFR de 29,373 milliards FCFA, avec un délai clients de 104 jours et un délai fournisseurs de 116 jours, créant un risque de trésorerie. La trésorerie nette est fortement négative à -16,689 milliards FCFA, avec une capacité de remboursement de 19,17 ans, signalant une fragilité financière importante. Le rapport du T1 2026 (publié en mai 2026) montre un CA stable à 11,194 milliards FCFA (-0,12%) mais un résultat net positif de 65,57 millions FCFA, contre une perte de 16,15 millions au T1 2025, soit une amélioration spectaculaire de 506%. On estime que l'exercice 2026 pourrait voir une poursuite de ce redressement, avec la montée en puissance de la division Équipement et le développement du showroom Technibat KM4. Les rapports de 2024 et 2025 montrent une tendance à la dégradation puis à la stabilisation, avec des pertes au S1 2025 (-139,57 millions) et une amélioration au T3 2025. La recommandation fondamentale est de conserver avec surveillance, compte tenu des défis de trésorerie et de la rentabilité encore très faible.</w:t>
      </w:r>
    </w:p>
    <w:p>
      <w:pPr>
        <w:spacing w:after="120" w:line="276" w:lineRule="auto"/>
      </w:pPr>
      <w:r>
        <w:t>---</w:t>
      </w:r>
    </w:p>
    <w:p>
      <w:pPr>
        <w:spacing w:after="120" w:line="276" w:lineRule="auto"/>
      </w:pPr>
      <w:r>
        <w:t>### PARTIE 4 : CONCLUSION D'INVESTISSEMENT</w:t>
      </w:r>
    </w:p>
    <w:p>
      <w:pPr>
        <w:spacing w:after="120" w:line="276" w:lineRule="auto"/>
      </w:pPr>
      <w:r>
        <w:t>La valorisation de BNBC présente un paradoxe : un PER extrêmement élevé (593,6x) suggère une surévaluation, tandis qu'un P/B de 0,75x indique une décote par rapport aux actifs. Le comportement du cours montre une tendance haussière de +24,22% sur 100 jours, mais avec une volatilité élevée (48,1%) et des statistiques suggérant une distribution stable sans pics extrêmes. Les signaux techniques sont mitigés, avec une convergence positive des MM et MACD mais un Stochastique en surachat extrême, signalant un possible repli. Fondamentalement, l'entreprise reste fragile avec une marge nette de 0,05% et une trésorerie négative de 16,7 milliards, bien que le T1 2026 montre un redressement encourageant. Les prédictions IA (1 994 à 1 982 FCFA sur 10 jours) suggèrent une légère correction, contredisant partiellement la tendance haussière récente. **Recommandation finale : CONSERVER**, avec un niveau de confiance Moyen et un risque global Élevé. L'horizon d'investissement optimal est le moyen terme (3-12 mois), en attendant une confirmation durable du redressement fondamental et une amélioration de la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352.48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5,532 titres</w:t>
            </w:r>
          </w:p>
        </w:tc>
        <w:tc>
          <w:tcPr>
            <w:tcW w:type="dxa" w:w="2268"/>
            <w:shd w:fill="FFF2CC" w:val="clear"/>
          </w:tcPr>
          <w:p>
            <w:r>
              <w:rPr>
                <w:b/>
                <w:color w:val="503200"/>
                <w:sz w:val="16"/>
              </w:rPr>
              <w:t xml:space="preserve">Cours actuel : </w:t>
            </w:r>
            <w:r>
              <w:rPr>
                <w:color w:val="000000"/>
                <w:sz w:val="17"/>
              </w:rPr>
              <w:t>8,690 FCFA</w:t>
            </w:r>
          </w:p>
          <w:p>
            <w:r>
              <w:rPr>
                <w:b/>
                <w:color w:val="503200"/>
                <w:sz w:val="16"/>
              </w:rPr>
              <w:t xml:space="preserve">Var. 100 jours : </w:t>
            </w:r>
            <w:r>
              <w:rPr>
                <w:b/>
                <w:color w:val="007800"/>
                <w:sz w:val="17"/>
              </w:rPr>
              <w:t>+13.08%</w:t>
            </w:r>
          </w:p>
          <w:p>
            <w:r>
              <w:rPr>
                <w:b/>
                <w:color w:val="503200"/>
                <w:sz w:val="16"/>
              </w:rPr>
              <w:t xml:space="preserve">Plus haut 100j : </w:t>
            </w:r>
            <w:r>
              <w:rPr>
                <w:color w:val="000000"/>
                <w:sz w:val="17"/>
              </w:rPr>
              <w:t>9,420 FCFA</w:t>
            </w:r>
          </w:p>
          <w:p>
            <w:r>
              <w:rPr>
                <w:b/>
                <w:color w:val="503200"/>
                <w:sz w:val="16"/>
              </w:rPr>
              <w:t xml:space="preserve">Plus bas 100j : </w:t>
            </w:r>
            <w:r>
              <w:rPr>
                <w:color w:val="000000"/>
                <w:sz w:val="17"/>
              </w:rPr>
              <w:t>7,295 FCFA</w:t>
            </w:r>
          </w:p>
          <w:p>
            <w:r>
              <w:rPr>
                <w:b/>
                <w:color w:val="503200"/>
                <w:sz w:val="16"/>
              </w:rPr>
              <w:t xml:space="preserve">Volatilité ann. : </w:t>
            </w:r>
            <w:r>
              <w:rPr>
                <w:color w:val="000000"/>
                <w:sz w:val="17"/>
              </w:rPr>
              <w:t>22.7%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6.84% (Moyenne) — μ=8,574 FCFA, σ=586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β=-0.1861 (Contre-cyclique) — Cov=-0.000007, Var(idx)=0.000036, ρ=-0.078,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5,532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σ_j=1.43%/j (Stable) — Vol. annualisée≈22.7%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2026-08-14</w:t>
            </w:r>
          </w:p>
        </w:tc>
        <w:tc>
          <w:tcPr>
            <w:tcW w:type="dxa" w:w="1440"/>
            <w:shd w:fill="FFDCE0" w:val="clear"/>
          </w:tcPr>
          <w:p>
            <w:r>
              <w:rPr>
                <w:sz w:val="17"/>
              </w:rPr>
              <w:t>8,346</w:t>
            </w:r>
          </w:p>
        </w:tc>
        <w:tc>
          <w:tcPr>
            <w:tcW w:type="dxa" w:w="1440"/>
            <w:shd w:fill="FFDCE0" w:val="clear"/>
          </w:tcPr>
          <w:p>
            <w:r>
              <w:rPr>
                <w:b/>
                <w:sz w:val="17"/>
              </w:rPr>
              <w:t>8,465</w:t>
            </w:r>
          </w:p>
        </w:tc>
        <w:tc>
          <w:tcPr>
            <w:tcW w:type="dxa" w:w="1440"/>
            <w:shd w:fill="FFDCE0" w:val="clear"/>
          </w:tcPr>
          <w:p>
            <w:r>
              <w:rPr>
                <w:sz w:val="17"/>
              </w:rPr>
              <w:t>8,584</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2026-08-17</w:t>
            </w:r>
          </w:p>
        </w:tc>
        <w:tc>
          <w:tcPr>
            <w:tcW w:type="dxa" w:w="1440"/>
            <w:shd w:fill="FFDCE0" w:val="clear"/>
          </w:tcPr>
          <w:p>
            <w:r>
              <w:rPr>
                <w:sz w:val="17"/>
              </w:rPr>
              <w:t>8,180</w:t>
            </w:r>
          </w:p>
        </w:tc>
        <w:tc>
          <w:tcPr>
            <w:tcW w:type="dxa" w:w="1440"/>
            <w:shd w:fill="FFDCE0" w:val="clear"/>
          </w:tcPr>
          <w:p>
            <w:r>
              <w:rPr>
                <w:b/>
                <w:sz w:val="17"/>
              </w:rPr>
              <w:t>8,347</w:t>
            </w:r>
          </w:p>
        </w:tc>
        <w:tc>
          <w:tcPr>
            <w:tcW w:type="dxa" w:w="1440"/>
            <w:shd w:fill="FFDCE0" w:val="clear"/>
          </w:tcPr>
          <w:p>
            <w:r>
              <w:rPr>
                <w:sz w:val="17"/>
              </w:rPr>
              <w:t>8,513</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2026-08-18</w:t>
            </w:r>
          </w:p>
        </w:tc>
        <w:tc>
          <w:tcPr>
            <w:tcW w:type="dxa" w:w="1440"/>
            <w:shd w:fill="FFDCE0" w:val="clear"/>
          </w:tcPr>
          <w:p>
            <w:r>
              <w:rPr>
                <w:sz w:val="17"/>
              </w:rPr>
              <w:t>8,034</w:t>
            </w:r>
          </w:p>
        </w:tc>
        <w:tc>
          <w:tcPr>
            <w:tcW w:type="dxa" w:w="1440"/>
            <w:shd w:fill="FFDCE0" w:val="clear"/>
          </w:tcPr>
          <w:p>
            <w:r>
              <w:rPr>
                <w:b/>
                <w:sz w:val="17"/>
              </w:rPr>
              <w:t>8,235</w:t>
            </w:r>
          </w:p>
        </w:tc>
        <w:tc>
          <w:tcPr>
            <w:tcW w:type="dxa" w:w="1440"/>
            <w:shd w:fill="FFDCE0" w:val="clear"/>
          </w:tcPr>
          <w:p>
            <w:r>
              <w:rPr>
                <w:sz w:val="17"/>
              </w:rPr>
              <w:t>8,436</w:t>
            </w:r>
          </w:p>
        </w:tc>
        <w:tc>
          <w:tcPr>
            <w:tcW w:type="dxa" w:w="1440"/>
            <w:shd w:fill="FFDCE0" w:val="clear"/>
          </w:tcPr>
          <w:p>
            <w:r>
              <w:rPr>
                <w:b/>
                <w:color w:val="C00000"/>
                <w:sz w:val="17"/>
              </w:rPr>
              <w:t>-5.2%</w:t>
            </w:r>
          </w:p>
        </w:tc>
      </w:tr>
      <w:tr>
        <w:tc>
          <w:tcPr>
            <w:tcW w:type="dxa" w:w="1440"/>
            <w:shd w:fill="FFDCE0" w:val="clear"/>
          </w:tcPr>
          <w:p>
            <w:r>
              <w:rPr>
                <w:sz w:val="17"/>
              </w:rPr>
              <w:t>J+4  Moyenne</w:t>
            </w:r>
          </w:p>
        </w:tc>
        <w:tc>
          <w:tcPr>
            <w:tcW w:type="dxa" w:w="1440"/>
            <w:shd w:fill="FFDCE0" w:val="clear"/>
          </w:tcPr>
          <w:p>
            <w:r>
              <w:rPr>
                <w:sz w:val="17"/>
              </w:rPr>
              <w:t>2026-08-19</w:t>
            </w:r>
          </w:p>
        </w:tc>
        <w:tc>
          <w:tcPr>
            <w:tcW w:type="dxa" w:w="1440"/>
            <w:shd w:fill="FFDCE0" w:val="clear"/>
          </w:tcPr>
          <w:p>
            <w:r>
              <w:rPr>
                <w:sz w:val="17"/>
              </w:rPr>
              <w:t>7,911</w:t>
            </w:r>
          </w:p>
        </w:tc>
        <w:tc>
          <w:tcPr>
            <w:tcW w:type="dxa" w:w="1440"/>
            <w:shd w:fill="FFDCE0" w:val="clear"/>
          </w:tcPr>
          <w:p>
            <w:r>
              <w:rPr>
                <w:b/>
                <w:sz w:val="17"/>
              </w:rPr>
              <w:t>8,140</w:t>
            </w:r>
          </w:p>
        </w:tc>
        <w:tc>
          <w:tcPr>
            <w:tcW w:type="dxa" w:w="1440"/>
            <w:shd w:fill="FFDCE0" w:val="clear"/>
          </w:tcPr>
          <w:p>
            <w:r>
              <w:rPr>
                <w:sz w:val="17"/>
              </w:rPr>
              <w:t>8,370</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2026-08-20</w:t>
            </w:r>
          </w:p>
        </w:tc>
        <w:tc>
          <w:tcPr>
            <w:tcW w:type="dxa" w:w="1440"/>
            <w:shd w:fill="FFDCE0" w:val="clear"/>
          </w:tcPr>
          <w:p>
            <w:r>
              <w:rPr>
                <w:sz w:val="17"/>
              </w:rPr>
              <w:t>7,801</w:t>
            </w:r>
          </w:p>
        </w:tc>
        <w:tc>
          <w:tcPr>
            <w:tcW w:type="dxa" w:w="1440"/>
            <w:shd w:fill="FFDCE0" w:val="clear"/>
          </w:tcPr>
          <w:p>
            <w:r>
              <w:rPr>
                <w:b/>
                <w:sz w:val="17"/>
              </w:rPr>
              <w:t>8,055</w:t>
            </w:r>
          </w:p>
        </w:tc>
        <w:tc>
          <w:tcPr>
            <w:tcW w:type="dxa" w:w="1440"/>
            <w:shd w:fill="FFDCE0" w:val="clear"/>
          </w:tcPr>
          <w:p>
            <w:r>
              <w:rPr>
                <w:sz w:val="17"/>
              </w:rPr>
              <w:t>8,308</w:t>
            </w:r>
          </w:p>
        </w:tc>
        <w:tc>
          <w:tcPr>
            <w:tcW w:type="dxa" w:w="1440"/>
            <w:shd w:fill="FFDCE0" w:val="clear"/>
          </w:tcPr>
          <w:p>
            <w:r>
              <w:rPr>
                <w:b/>
                <w:color w:val="C00000"/>
                <w:sz w:val="17"/>
              </w:rPr>
              <w:t>-7.3%</w:t>
            </w:r>
          </w:p>
        </w:tc>
      </w:tr>
      <w:tr>
        <w:tc>
          <w:tcPr>
            <w:tcW w:type="dxa" w:w="1440"/>
            <w:shd w:fill="FFDCE0" w:val="clear"/>
          </w:tcPr>
          <w:p>
            <w:r>
              <w:rPr>
                <w:sz w:val="17"/>
              </w:rPr>
              <w:t>J+6  Moyenne</w:t>
            </w:r>
          </w:p>
        </w:tc>
        <w:tc>
          <w:tcPr>
            <w:tcW w:type="dxa" w:w="1440"/>
            <w:shd w:fill="FFDCE0" w:val="clear"/>
          </w:tcPr>
          <w:p>
            <w:r>
              <w:rPr>
                <w:sz w:val="17"/>
              </w:rPr>
              <w:t>2026-08-21</w:t>
            </w:r>
          </w:p>
        </w:tc>
        <w:tc>
          <w:tcPr>
            <w:tcW w:type="dxa" w:w="1440"/>
            <w:shd w:fill="FFDCE0" w:val="clear"/>
          </w:tcPr>
          <w:p>
            <w:r>
              <w:rPr>
                <w:sz w:val="17"/>
              </w:rPr>
              <w:t>7,699</w:t>
            </w:r>
          </w:p>
        </w:tc>
        <w:tc>
          <w:tcPr>
            <w:tcW w:type="dxa" w:w="1440"/>
            <w:shd w:fill="FFDCE0" w:val="clear"/>
          </w:tcPr>
          <w:p>
            <w:r>
              <w:rPr>
                <w:b/>
                <w:sz w:val="17"/>
              </w:rPr>
              <w:t>7,974</w:t>
            </w:r>
          </w:p>
        </w:tc>
        <w:tc>
          <w:tcPr>
            <w:tcW w:type="dxa" w:w="1440"/>
            <w:shd w:fill="FFDCE0" w:val="clear"/>
          </w:tcPr>
          <w:p>
            <w:r>
              <w:rPr>
                <w:sz w:val="17"/>
              </w:rPr>
              <w:t>8,249</w:t>
            </w:r>
          </w:p>
        </w:tc>
        <w:tc>
          <w:tcPr>
            <w:tcW w:type="dxa" w:w="1440"/>
            <w:shd w:fill="FFDCE0" w:val="clear"/>
          </w:tcPr>
          <w:p>
            <w:r>
              <w:rPr>
                <w:b/>
                <w:color w:val="C00000"/>
                <w:sz w:val="17"/>
              </w:rPr>
              <w:t>-8.2%</w:t>
            </w:r>
          </w:p>
        </w:tc>
      </w:tr>
      <w:tr>
        <w:tc>
          <w:tcPr>
            <w:tcW w:type="dxa" w:w="1440"/>
            <w:shd w:fill="FFDCE0" w:val="clear"/>
          </w:tcPr>
          <w:p>
            <w:r>
              <w:rPr>
                <w:sz w:val="17"/>
              </w:rPr>
              <w:t>J+7  Moyenne</w:t>
            </w:r>
          </w:p>
        </w:tc>
        <w:tc>
          <w:tcPr>
            <w:tcW w:type="dxa" w:w="1440"/>
            <w:shd w:fill="FFDCE0" w:val="clear"/>
          </w:tcPr>
          <w:p>
            <w:r>
              <w:rPr>
                <w:sz w:val="17"/>
              </w:rPr>
              <w:t>2026-08-24</w:t>
            </w:r>
          </w:p>
        </w:tc>
        <w:tc>
          <w:tcPr>
            <w:tcW w:type="dxa" w:w="1440"/>
            <w:shd w:fill="FFDCE0" w:val="clear"/>
          </w:tcPr>
          <w:p>
            <w:r>
              <w:rPr>
                <w:sz w:val="17"/>
              </w:rPr>
              <w:t>7,604</w:t>
            </w:r>
          </w:p>
        </w:tc>
        <w:tc>
          <w:tcPr>
            <w:tcW w:type="dxa" w:w="1440"/>
            <w:shd w:fill="FFDCE0" w:val="clear"/>
          </w:tcPr>
          <w:p>
            <w:r>
              <w:rPr>
                <w:b/>
                <w:sz w:val="17"/>
              </w:rPr>
              <w:t>7,898</w:t>
            </w:r>
          </w:p>
        </w:tc>
        <w:tc>
          <w:tcPr>
            <w:tcW w:type="dxa" w:w="1440"/>
            <w:shd w:fill="FFDCE0" w:val="clear"/>
          </w:tcPr>
          <w:p>
            <w:r>
              <w:rPr>
                <w:sz w:val="17"/>
              </w:rPr>
              <w:t>8,193</w:t>
            </w:r>
          </w:p>
        </w:tc>
        <w:tc>
          <w:tcPr>
            <w:tcW w:type="dxa" w:w="1440"/>
            <w:shd w:fill="FFDCE0" w:val="clear"/>
          </w:tcPr>
          <w:p>
            <w:r>
              <w:rPr>
                <w:b/>
                <w:color w:val="C00000"/>
                <w:sz w:val="17"/>
              </w:rPr>
              <w:t>-9.1%</w:t>
            </w:r>
          </w:p>
        </w:tc>
      </w:tr>
      <w:tr>
        <w:tc>
          <w:tcPr>
            <w:tcW w:type="dxa" w:w="1440"/>
            <w:shd w:fill="FFDCE0" w:val="clear"/>
          </w:tcPr>
          <w:p>
            <w:r>
              <w:rPr>
                <w:sz w:val="17"/>
              </w:rPr>
              <w:t>J+8  Moyenne</w:t>
            </w:r>
          </w:p>
        </w:tc>
        <w:tc>
          <w:tcPr>
            <w:tcW w:type="dxa" w:w="1440"/>
            <w:shd w:fill="FFDCE0" w:val="clear"/>
          </w:tcPr>
          <w:p>
            <w:r>
              <w:rPr>
                <w:sz w:val="17"/>
              </w:rPr>
              <w:t>2026-08-25</w:t>
            </w:r>
          </w:p>
        </w:tc>
        <w:tc>
          <w:tcPr>
            <w:tcW w:type="dxa" w:w="1440"/>
            <w:shd w:fill="FFDCE0" w:val="clear"/>
          </w:tcPr>
          <w:p>
            <w:r>
              <w:rPr>
                <w:sz w:val="17"/>
              </w:rPr>
              <w:t>7,515</w:t>
            </w:r>
          </w:p>
        </w:tc>
        <w:tc>
          <w:tcPr>
            <w:tcW w:type="dxa" w:w="1440"/>
            <w:shd w:fill="FFDCE0" w:val="clear"/>
          </w:tcPr>
          <w:p>
            <w:r>
              <w:rPr>
                <w:b/>
                <w:sz w:val="17"/>
              </w:rPr>
              <w:t>7,826</w:t>
            </w:r>
          </w:p>
        </w:tc>
        <w:tc>
          <w:tcPr>
            <w:tcW w:type="dxa" w:w="1440"/>
            <w:shd w:fill="FFDCE0" w:val="clear"/>
          </w:tcPr>
          <w:p>
            <w:r>
              <w:rPr>
                <w:sz w:val="17"/>
              </w:rPr>
              <w:t>8,138</w:t>
            </w:r>
          </w:p>
        </w:tc>
        <w:tc>
          <w:tcPr>
            <w:tcW w:type="dxa" w:w="1440"/>
            <w:shd w:fill="FFDCE0" w:val="clear"/>
          </w:tcPr>
          <w:p>
            <w:r>
              <w:rPr>
                <w:b/>
                <w:color w:val="C00000"/>
                <w:sz w:val="17"/>
              </w:rPr>
              <w:t>-9.9%</w:t>
            </w:r>
          </w:p>
        </w:tc>
      </w:tr>
      <w:tr>
        <w:tc>
          <w:tcPr>
            <w:tcW w:type="dxa" w:w="1440"/>
            <w:shd w:fill="FFDCE0" w:val="clear"/>
          </w:tcPr>
          <w:p>
            <w:r>
              <w:rPr>
                <w:sz w:val="17"/>
              </w:rPr>
              <w:t>J+9  Moyenne</w:t>
            </w:r>
          </w:p>
        </w:tc>
        <w:tc>
          <w:tcPr>
            <w:tcW w:type="dxa" w:w="1440"/>
            <w:shd w:fill="FFDCE0" w:val="clear"/>
          </w:tcPr>
          <w:p>
            <w:r>
              <w:rPr>
                <w:sz w:val="17"/>
              </w:rPr>
              <w:t>2026-08-27</w:t>
            </w:r>
          </w:p>
        </w:tc>
        <w:tc>
          <w:tcPr>
            <w:tcW w:type="dxa" w:w="1440"/>
            <w:shd w:fill="FFDCE0" w:val="clear"/>
          </w:tcPr>
          <w:p>
            <w:r>
              <w:rPr>
                <w:sz w:val="17"/>
              </w:rPr>
              <w:t>7,430</w:t>
            </w:r>
          </w:p>
        </w:tc>
        <w:tc>
          <w:tcPr>
            <w:tcW w:type="dxa" w:w="1440"/>
            <w:shd w:fill="FFDCE0" w:val="clear"/>
          </w:tcPr>
          <w:p>
            <w:r>
              <w:rPr>
                <w:b/>
                <w:sz w:val="17"/>
              </w:rPr>
              <w:t>7,758</w:t>
            </w:r>
          </w:p>
        </w:tc>
        <w:tc>
          <w:tcPr>
            <w:tcW w:type="dxa" w:w="1440"/>
            <w:shd w:fill="FFDCE0" w:val="clear"/>
          </w:tcPr>
          <w:p>
            <w:r>
              <w:rPr>
                <w:sz w:val="17"/>
              </w:rPr>
              <w:t>8,085</w:t>
            </w:r>
          </w:p>
        </w:tc>
        <w:tc>
          <w:tcPr>
            <w:tcW w:type="dxa" w:w="1440"/>
            <w:shd w:fill="FFDCE0" w:val="clear"/>
          </w:tcPr>
          <w:p>
            <w:r>
              <w:rPr>
                <w:b/>
                <w:color w:val="C00000"/>
                <w:sz w:val="17"/>
              </w:rPr>
              <w:t>-10.7%</w:t>
            </w:r>
          </w:p>
        </w:tc>
      </w:tr>
      <w:tr>
        <w:tc>
          <w:tcPr>
            <w:tcW w:type="dxa" w:w="1440"/>
            <w:shd w:fill="FFDCE0" w:val="clear"/>
          </w:tcPr>
          <w:p>
            <w:r>
              <w:rPr>
                <w:sz w:val="17"/>
              </w:rPr>
              <w:t>J+10  Moyenne</w:t>
            </w:r>
          </w:p>
        </w:tc>
        <w:tc>
          <w:tcPr>
            <w:tcW w:type="dxa" w:w="1440"/>
            <w:shd w:fill="FFDCE0" w:val="clear"/>
          </w:tcPr>
          <w:p>
            <w:r>
              <w:rPr>
                <w:sz w:val="17"/>
              </w:rPr>
              <w:t>2026-08-28</w:t>
            </w:r>
          </w:p>
        </w:tc>
        <w:tc>
          <w:tcPr>
            <w:tcW w:type="dxa" w:w="1440"/>
            <w:shd w:fill="FFDCE0" w:val="clear"/>
          </w:tcPr>
          <w:p>
            <w:r>
              <w:rPr>
                <w:sz w:val="17"/>
              </w:rPr>
              <w:t>7,350</w:t>
            </w:r>
          </w:p>
        </w:tc>
        <w:tc>
          <w:tcPr>
            <w:tcW w:type="dxa" w:w="1440"/>
            <w:shd w:fill="FFDCE0" w:val="clear"/>
          </w:tcPr>
          <w:p>
            <w:r>
              <w:rPr>
                <w:b/>
                <w:sz w:val="17"/>
              </w:rPr>
              <w:t>7,692</w:t>
            </w:r>
          </w:p>
        </w:tc>
        <w:tc>
          <w:tcPr>
            <w:tcW w:type="dxa" w:w="1440"/>
            <w:shd w:fill="FFDCE0" w:val="clear"/>
          </w:tcPr>
          <w:p>
            <w:r>
              <w:rPr>
                <w:sz w:val="17"/>
              </w:rPr>
              <w:t>8,035</w:t>
            </w:r>
          </w:p>
        </w:tc>
        <w:tc>
          <w:tcPr>
            <w:tcW w:type="dxa" w:w="1440"/>
            <w:shd w:fill="FFDCE0" w:val="clear"/>
          </w:tcPr>
          <w:p>
            <w:r>
              <w:rPr>
                <w:b/>
                <w:color w:val="C00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352,48 milliards FCFA, ce qui positionne la banque parmi les valeurs moyennes à grandes capitalisations de la BRVM, lui conférant une liquidité et une visibilité notables. Le BPA de 496 FCFA indique que chaque action génère un bénéfice substantiel, justifiant un PER de 17,5x. Ce niveau est nettement supérieur à la moyenne historique du marché BRVM (8-12x), signifiant que les investisseurs acceptent de payer une prime pour la qualité perçue de l'actif, bien que cela implique une valorisation exigeante. Le P/B de 3,00x confirme cette prime de croissance accordée par le marché, qui valorise les actifs nets à trois fois leur valeur comptable. Enfin, l'EV/EBITDA de 18,4x, supérieur au seuil de 15x, souligne une valorisation très exigeante sur la capacité opérationnelle de la banque, intégrant des hypothèses de croissance future soutenue.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 a enregistré une progression totale de +13,08%, avec une dernière séance positive à +0,40%, clôturant à 8 690 FCFA. Le titre a évolué dans un range de trading de 2 125 FCFA, oscillant entre un plus bas de 7 295 FCFA et un plus haut de 9 420 FCFA, démontrant une dynamique haussière soutenue. La moyenne du cours sur la période (8 574 FCFA) est légèrement inférieure à la médiane (8 715 FCFA), et le mode est de 8 700 FCFA, indiquant une distribution légèrement asymétrique où les journées de clôture au-dessus de la moyenne sont plus fréquentes (skewness négatif de -0,775). L'écart-type de 589 FCFA (CV=6,9%) révèle une dispersion modérée des prix autour de la moyenne. Le kurtosis de -0,433 (mésokurtique) suggère une distribution proche de la normale, avec un faible risque de mouvements extrêmes. La volatilité annualisée de 22,7% classe le titre dans une catégorie de risque modéré, offrant un équilibre entre potentiel de rendement et stabilité.</w:t>
      </w:r>
    </w:p>
    <w:p>
      <w:pPr>
        <w:spacing w:after="120" w:line="276" w:lineRule="auto" w:before="240"/>
      </w:pPr>
      <w:r>
        <w:rPr>
          <w:b/>
          <w:color w:val="003366"/>
          <w:sz w:val="24"/>
        </w:rPr>
        <w:t>**PARTIE 2 : ANALYSE TECHNIQUE DÉTAILLÉE**</w:t>
      </w:r>
    </w:p>
    <w:p>
      <w:pPr>
        <w:spacing w:after="120" w:line="276" w:lineRule="auto"/>
      </w:pPr>
      <w:r>
        <w:t>**Moyennes Mobiles**: Le cours actuel (8 690 FCFA) se situe sous la MM20 (8 664,5 FCFA) et la MM50 (8 796,1 FCFA), avec une MM20 inférieure à la MM50. Cette configuration baissière à court terme indique une perte de momentum récente, justifiant la décision de Vente, bien que le cours reste proche de ses moyennes, suggérant une possible consolidation.</w:t>
      </w:r>
    </w:p>
    <w:p>
      <w:pPr>
        <w:spacing w:after="120" w:line="276" w:lineRule="auto"/>
      </w:pPr>
      <w:r>
        <w:t>**Bandes de Bollinger**: Le prix se positionne à 8 690 FCFA, entre la borne inférieure (8 535,34 FCFA) et la borne supérieure (8 793,66 FCFA), proche du milieu du canal. La largeur des bandes indique une volatilité modérée. La décision Neutre est cohérente avec une absence de signal directionnel fort, le titre n'étant ni en situation de surachat ni de survente extrême.</w:t>
      </w:r>
    </w:p>
    <w:p>
      <w:pPr>
        <w:spacing w:after="120" w:line="276" w:lineRule="auto"/>
      </w:pPr>
      <w:r>
        <w:t>**MACD**: La valeur MACD (-43,57) est supérieure à la ligne de signal (-55,65), avec un histogramme positif. Cette configuration signale un momentum haussier émergent, suggérant une possible reprise de la tendance. La décision d'Achat est justifiée par ce croisement haussier, bien que les valeurs restent en territoire négatif, indiquant une prudence.</w:t>
      </w:r>
    </w:p>
    <w:p>
      <w:pPr>
        <w:spacing w:after="120" w:line="276" w:lineRule="auto"/>
      </w:pPr>
      <w:r>
        <w:t>**RSI**: Le RSI à 49,52 est en zone neutre (entre 30 et 70), indiquant un équilibre entre pressions acheteuses et vendeuses. Il n'y a pas de signal de surachat ou de survente, ce qui laisse une marge de manœuvre dans les deux sens. La décision Neutre est appropriée, le marché n'étant pas encore engagé dans une direction claire.</w:t>
      </w:r>
    </w:p>
    <w:p>
      <w:pPr>
        <w:spacing w:after="120" w:line="276" w:lineRule="auto"/>
      </w:pPr>
      <w:r>
        <w:t>**Stochastique**: Le %K (85,0) est supérieur au %D (73,33), mais les deux valeurs sont en zone de surachat (&gt;80 pour %K). Cette configuration signale une possible correction à venir, justifiant la décision de Vente. Le croisement haussier est affaibli par la position extrême de l'indicateur.</w:t>
      </w:r>
    </w:p>
    <w:p>
      <w:pPr>
        <w:spacing w:after="120" w:line="276" w:lineRule="auto"/>
      </w:pPr>
      <w:r>
        <w:t>**Conclusion technique**: La synthèse des indicateurs est mitigée, avec un MACD haussier contrastant avec des moyennes mobiles baissières et un stochastique en surachat. Le RSI et les bandes de Bollinger restent neutres. Cette divergence suggère une phase de transition, où le marché hésite entre une poursuite de la hausse et une correction. La prudence est de mise, avec une tendance globale incertaine à court terme.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BOAB révèlent une banque performante avec un Produit Net Bancaire (PNB) de 51,274 milliards FCFA et un résultat net de 20,107 milliards FCFA. La rentabilité est excellente, avec un ROE de 17,11% et un ROA de 2,08%. Le coefficient d'exploitation de 49,53% témoigne d'une excellente maîtrise des coûts (inférieur à 50%). Cependant, le coût du risque de 22,50% est élevé, signalant une dégradation de la qualité du portefeuille de crédits. Le ratio de transformation est sain, avec des dépôts clients (711,64 milliards FCFA) largement supérieurs aux créances sur la clientèle (391,72 milliards FCFA). Les rapports trimestriels de 2025 montrent une tendance positive : le T1 2025 (PNB 11,081 Mds, +1,7%) et le T3 2025 (PNB 37,065 Mds, +9%, résultat net +13%) indiquent une amélioration progressive. Le rapport S1 2025 confirme cette dynamique avec un PNB de 24,556 Mds (+5,91%) et un ROE de 20,3%. En revanche, le rapport 2024 faisait état d'une baisse du résultat net de -8,7% à 19,647 milliards FCFA. Enfin, le rapport T1 2026 (PNB +11% à 12,329 Mds) suggère une poursuite de la croissance. Sur cette base, on estime que l'exercice 2026 devrait confirmer cette trajectoire, avec un PNB annuel potentiellement supérieur à 55 milliards FCFA et un résultat net en hausse, consolidant la solidité financière de la banque.</w:t>
      </w:r>
    </w:p>
    <w:p>
      <w:pPr>
        <w:spacing w:after="120" w:line="276" w:lineRule="auto" w:before="240"/>
      </w:pPr>
      <w:r>
        <w:rPr>
          <w:b/>
          <w:color w:val="003366"/>
          <w:sz w:val="24"/>
        </w:rPr>
        <w:t>**PARTIE 4 : CONCLUSION D'INVESTISSEMENT**</w:t>
      </w:r>
    </w:p>
    <w:p>
      <w:pPr>
        <w:spacing w:after="120" w:line="276" w:lineRule="auto"/>
      </w:pPr>
      <w:r>
        <w:t>La valorisation de BOAB (PER 17,5x, P/B 3,00x, EV/EBITDA 18,4x) est exigeante, intégrant des attentes de croissance élevées. Le comportement du cours est favorable à moyen terme (+13,08% sur 100 jours) avec une volatilité modérée (22,7%), mais les statistiques descriptives (skewness négatif) suggèrent une possible consolidation. Les signaux techniques sont divergents : le MACD est haussier, mais les moyennes mobiles et le stochastique sont vendeurs, indiquant une incertitude à court terme. Les fondamentaux sont solides, avec une rentabilité élevée (ROE 17,11%), une excellente efficacité opérationnelle (coefficient d'exploitation 49,53%) et une croissance soutenue du PNB (+9% au T3 2025, +11% au T1 2026). Les prédictions IA (8 465 FCFA à J+1, 8 055 FCFA à J+10) anticipent une correction de -7,3%, contredisant les signaux fondamentaux positifs. En synthèse, la convergence entre des fondamentaux robustes et une valorisation élevée, couplée à des signaux techniques mixtes et une prédiction IA baissière, suggère une pause dans la progression du titre. **Recommandation : CONSERVER**. Niveau de confiance : Moyen. Risque global : Moyen. Horizon d'investissement optimal : Moyen terme (3-12 mois), en attendant une meilleure entrée ou une confirmation de la poursuite de la tendance haussière.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312.40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5,868 titres</w:t>
            </w:r>
          </w:p>
        </w:tc>
        <w:tc>
          <w:tcPr>
            <w:tcW w:type="dxa" w:w="2268"/>
            <w:shd w:fill="FFF2CC" w:val="clear"/>
          </w:tcPr>
          <w:p>
            <w:r>
              <w:rPr>
                <w:b/>
                <w:color w:val="503200"/>
                <w:sz w:val="16"/>
              </w:rPr>
              <w:t xml:space="preserve">Cours actuel : </w:t>
            </w:r>
            <w:r>
              <w:rPr>
                <w:color w:val="000000"/>
                <w:sz w:val="17"/>
              </w:rPr>
              <w:t>7,100 FCFA</w:t>
            </w:r>
          </w:p>
          <w:p>
            <w:r>
              <w:rPr>
                <w:b/>
                <w:color w:val="503200"/>
                <w:sz w:val="16"/>
              </w:rPr>
              <w:t xml:space="preserve">Var. 100 jours : </w:t>
            </w:r>
            <w:r>
              <w:rPr>
                <w:b/>
                <w:color w:val="007800"/>
                <w:sz w:val="17"/>
              </w:rPr>
              <w:t>+33.96%</w:t>
            </w:r>
          </w:p>
          <w:p>
            <w:r>
              <w:rPr>
                <w:b/>
                <w:color w:val="503200"/>
                <w:sz w:val="16"/>
              </w:rPr>
              <w:t xml:space="preserve">Plus haut 100j : </w:t>
            </w:r>
            <w:r>
              <w:rPr>
                <w:color w:val="000000"/>
                <w:sz w:val="17"/>
              </w:rPr>
              <w:t>7,350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11.23% (Moyenne) — μ=5,908 FCFA, σ=664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β=0.2318 (Défensif) — Cov=0.000008, Var(idx)=0.000036, ρ=0.078,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5,868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2026-08-14</w:t>
            </w:r>
          </w:p>
        </w:tc>
        <w:tc>
          <w:tcPr>
            <w:tcW w:type="dxa" w:w="1440"/>
            <w:shd w:fill="FAFAFA" w:val="clear"/>
          </w:tcPr>
          <w:p>
            <w:r>
              <w:rPr>
                <w:sz w:val="17"/>
              </w:rPr>
              <w:t>6,709</w:t>
            </w:r>
          </w:p>
        </w:tc>
        <w:tc>
          <w:tcPr>
            <w:tcW w:type="dxa" w:w="1440"/>
            <w:shd w:fill="FAFAFA" w:val="clear"/>
          </w:tcPr>
          <w:p>
            <w:r>
              <w:rPr>
                <w:b/>
                <w:sz w:val="17"/>
              </w:rPr>
              <w:t>6,985</w:t>
            </w:r>
          </w:p>
        </w:tc>
        <w:tc>
          <w:tcPr>
            <w:tcW w:type="dxa" w:w="1440"/>
            <w:shd w:fill="FAFAFA" w:val="clear"/>
          </w:tcPr>
          <w:p>
            <w:r>
              <w:rPr>
                <w:sz w:val="17"/>
              </w:rPr>
              <w:t>7,260</w:t>
            </w:r>
          </w:p>
        </w:tc>
        <w:tc>
          <w:tcPr>
            <w:tcW w:type="dxa" w:w="1440"/>
            <w:shd w:fill="FAFAFA" w:val="clear"/>
          </w:tcPr>
          <w:p>
            <w:r>
              <w:rPr>
                <w:b/>
                <w:color w:val="C00000"/>
                <w:sz w:val="17"/>
              </w:rPr>
              <w:t>-1.6%</w:t>
            </w:r>
          </w:p>
        </w:tc>
      </w:tr>
      <w:tr>
        <w:tc>
          <w:tcPr>
            <w:tcW w:type="dxa" w:w="1440"/>
            <w:shd w:fill="FFDCE0" w:val="clear"/>
          </w:tcPr>
          <w:p>
            <w:r>
              <w:rPr>
                <w:sz w:val="17"/>
              </w:rPr>
              <w:t>J+2  Moyenne</w:t>
            </w:r>
          </w:p>
        </w:tc>
        <w:tc>
          <w:tcPr>
            <w:tcW w:type="dxa" w:w="1440"/>
            <w:shd w:fill="FFDCE0" w:val="clear"/>
          </w:tcPr>
          <w:p>
            <w:r>
              <w:rPr>
                <w:sz w:val="17"/>
              </w:rPr>
              <w:t>2026-08-17</w:t>
            </w:r>
          </w:p>
        </w:tc>
        <w:tc>
          <w:tcPr>
            <w:tcW w:type="dxa" w:w="1440"/>
            <w:shd w:fill="FFDCE0" w:val="clear"/>
          </w:tcPr>
          <w:p>
            <w:r>
              <w:rPr>
                <w:sz w:val="17"/>
              </w:rPr>
              <w:t>6,522</w:t>
            </w:r>
          </w:p>
        </w:tc>
        <w:tc>
          <w:tcPr>
            <w:tcW w:type="dxa" w:w="1440"/>
            <w:shd w:fill="FFDCE0" w:val="clear"/>
          </w:tcPr>
          <w:p>
            <w:r>
              <w:rPr>
                <w:b/>
                <w:sz w:val="17"/>
              </w:rPr>
              <w:t>6,908</w:t>
            </w:r>
          </w:p>
        </w:tc>
        <w:tc>
          <w:tcPr>
            <w:tcW w:type="dxa" w:w="1440"/>
            <w:shd w:fill="FFDCE0" w:val="clear"/>
          </w:tcPr>
          <w:p>
            <w:r>
              <w:rPr>
                <w:sz w:val="17"/>
              </w:rPr>
              <w:t>7,293</w:t>
            </w:r>
          </w:p>
        </w:tc>
        <w:tc>
          <w:tcPr>
            <w:tcW w:type="dxa" w:w="1440"/>
            <w:shd w:fill="FFDCE0" w:val="clear"/>
          </w:tcPr>
          <w:p>
            <w:r>
              <w:rPr>
                <w:b/>
                <w:color w:val="C00000"/>
                <w:sz w:val="17"/>
              </w:rPr>
              <w:t>-2.7%</w:t>
            </w:r>
          </w:p>
        </w:tc>
      </w:tr>
      <w:tr>
        <w:tc>
          <w:tcPr>
            <w:tcW w:type="dxa" w:w="1440"/>
            <w:shd w:fill="FFDCE0" w:val="clear"/>
          </w:tcPr>
          <w:p>
            <w:r>
              <w:rPr>
                <w:sz w:val="17"/>
              </w:rPr>
              <w:t>J+3  Moyenne</w:t>
            </w:r>
          </w:p>
        </w:tc>
        <w:tc>
          <w:tcPr>
            <w:tcW w:type="dxa" w:w="1440"/>
            <w:shd w:fill="FFDCE0" w:val="clear"/>
          </w:tcPr>
          <w:p>
            <w:r>
              <w:rPr>
                <w:sz w:val="17"/>
              </w:rPr>
              <w:t>2026-08-18</w:t>
            </w:r>
          </w:p>
        </w:tc>
        <w:tc>
          <w:tcPr>
            <w:tcW w:type="dxa" w:w="1440"/>
            <w:shd w:fill="FFDCE0" w:val="clear"/>
          </w:tcPr>
          <w:p>
            <w:r>
              <w:rPr>
                <w:sz w:val="17"/>
              </w:rPr>
              <w:t>6,371</w:t>
            </w:r>
          </w:p>
        </w:tc>
        <w:tc>
          <w:tcPr>
            <w:tcW w:type="dxa" w:w="1440"/>
            <w:shd w:fill="FFDCE0" w:val="clear"/>
          </w:tcPr>
          <w:p>
            <w:r>
              <w:rPr>
                <w:b/>
                <w:sz w:val="17"/>
              </w:rPr>
              <w:t>6,838</w:t>
            </w:r>
          </w:p>
        </w:tc>
        <w:tc>
          <w:tcPr>
            <w:tcW w:type="dxa" w:w="1440"/>
            <w:shd w:fill="FFDCE0" w:val="clear"/>
          </w:tcPr>
          <w:p>
            <w:r>
              <w:rPr>
                <w:sz w:val="17"/>
              </w:rPr>
              <w:t>7,306</w:t>
            </w:r>
          </w:p>
        </w:tc>
        <w:tc>
          <w:tcPr>
            <w:tcW w:type="dxa" w:w="1440"/>
            <w:shd w:fill="FFDCE0" w:val="clear"/>
          </w:tcPr>
          <w:p>
            <w:r>
              <w:rPr>
                <w:b/>
                <w:color w:val="C00000"/>
                <w:sz w:val="17"/>
              </w:rPr>
              <w:t>-3.7%</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6,242</w:t>
            </w:r>
          </w:p>
        </w:tc>
        <w:tc>
          <w:tcPr>
            <w:tcW w:type="dxa" w:w="1440"/>
            <w:shd w:fill="FFDCE0" w:val="clear"/>
          </w:tcPr>
          <w:p>
            <w:r>
              <w:rPr>
                <w:b/>
                <w:sz w:val="17"/>
              </w:rPr>
              <w:t>6,776</w:t>
            </w:r>
          </w:p>
        </w:tc>
        <w:tc>
          <w:tcPr>
            <w:tcW w:type="dxa" w:w="1440"/>
            <w:shd w:fill="FFDCE0" w:val="clear"/>
          </w:tcPr>
          <w:p>
            <w:r>
              <w:rPr>
                <w:sz w:val="17"/>
              </w:rPr>
              <w:t>7,311</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6,126</w:t>
            </w:r>
          </w:p>
        </w:tc>
        <w:tc>
          <w:tcPr>
            <w:tcW w:type="dxa" w:w="1440"/>
            <w:shd w:fill="FFDCE0" w:val="clear"/>
          </w:tcPr>
          <w:p>
            <w:r>
              <w:rPr>
                <w:b/>
                <w:sz w:val="17"/>
              </w:rPr>
              <w:t>6,719</w:t>
            </w:r>
          </w:p>
        </w:tc>
        <w:tc>
          <w:tcPr>
            <w:tcW w:type="dxa" w:w="1440"/>
            <w:shd w:fill="FFDCE0" w:val="clear"/>
          </w:tcPr>
          <w:p>
            <w:r>
              <w:rPr>
                <w:sz w:val="17"/>
              </w:rPr>
              <w:t>7,312</w:t>
            </w:r>
          </w:p>
        </w:tc>
        <w:tc>
          <w:tcPr>
            <w:tcW w:type="dxa" w:w="1440"/>
            <w:shd w:fill="FFDCE0" w:val="clear"/>
          </w:tcPr>
          <w:p>
            <w:r>
              <w:rPr>
                <w:b/>
                <w:color w:val="C00000"/>
                <w:sz w:val="17"/>
              </w:rPr>
              <w:t>-5.4%</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6,020</w:t>
            </w:r>
          </w:p>
        </w:tc>
        <w:tc>
          <w:tcPr>
            <w:tcW w:type="dxa" w:w="1440"/>
            <w:shd w:fill="FFDCE0" w:val="clear"/>
          </w:tcPr>
          <w:p>
            <w:r>
              <w:rPr>
                <w:b/>
                <w:sz w:val="17"/>
              </w:rPr>
              <w:t>6,665</w:t>
            </w:r>
          </w:p>
        </w:tc>
        <w:tc>
          <w:tcPr>
            <w:tcW w:type="dxa" w:w="1440"/>
            <w:shd w:fill="FFDCE0" w:val="clear"/>
          </w:tcPr>
          <w:p>
            <w:r>
              <w:rPr>
                <w:sz w:val="17"/>
              </w:rPr>
              <w:t>7,309</w:t>
            </w:r>
          </w:p>
        </w:tc>
        <w:tc>
          <w:tcPr>
            <w:tcW w:type="dxa" w:w="1440"/>
            <w:shd w:fill="FFDCE0" w:val="clear"/>
          </w:tcPr>
          <w:p>
            <w:r>
              <w:rPr>
                <w:b/>
                <w:color w:val="C00000"/>
                <w:sz w:val="17"/>
              </w:rPr>
              <w:t>-6.1%</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5,922</w:t>
            </w:r>
          </w:p>
        </w:tc>
        <w:tc>
          <w:tcPr>
            <w:tcW w:type="dxa" w:w="1440"/>
            <w:shd w:fill="FFDCE0" w:val="clear"/>
          </w:tcPr>
          <w:p>
            <w:r>
              <w:rPr>
                <w:b/>
                <w:sz w:val="17"/>
              </w:rPr>
              <w:t>6,613</w:t>
            </w:r>
          </w:p>
        </w:tc>
        <w:tc>
          <w:tcPr>
            <w:tcW w:type="dxa" w:w="1440"/>
            <w:shd w:fill="FFDCE0" w:val="clear"/>
          </w:tcPr>
          <w:p>
            <w:r>
              <w:rPr>
                <w:sz w:val="17"/>
              </w:rPr>
              <w:t>7,303</w:t>
            </w:r>
          </w:p>
        </w:tc>
        <w:tc>
          <w:tcPr>
            <w:tcW w:type="dxa" w:w="1440"/>
            <w:shd w:fill="FFDCE0" w:val="clear"/>
          </w:tcPr>
          <w:p>
            <w:r>
              <w:rPr>
                <w:b/>
                <w:color w:val="C00000"/>
                <w:sz w:val="17"/>
              </w:rPr>
              <w:t>-6.9%</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5,830</w:t>
            </w:r>
          </w:p>
        </w:tc>
        <w:tc>
          <w:tcPr>
            <w:tcW w:type="dxa" w:w="1440"/>
            <w:shd w:fill="FFDCE0" w:val="clear"/>
          </w:tcPr>
          <w:p>
            <w:r>
              <w:rPr>
                <w:b/>
                <w:sz w:val="17"/>
              </w:rPr>
              <w:t>6,562</w:t>
            </w:r>
          </w:p>
        </w:tc>
        <w:tc>
          <w:tcPr>
            <w:tcW w:type="dxa" w:w="1440"/>
            <w:shd w:fill="FFDCE0" w:val="clear"/>
          </w:tcPr>
          <w:p>
            <w:r>
              <w:rPr>
                <w:sz w:val="17"/>
              </w:rPr>
              <w:t>7,295</w:t>
            </w:r>
          </w:p>
        </w:tc>
        <w:tc>
          <w:tcPr>
            <w:tcW w:type="dxa" w:w="1440"/>
            <w:shd w:fill="FFDCE0" w:val="clear"/>
          </w:tcPr>
          <w:p>
            <w:r>
              <w:rPr>
                <w:b/>
                <w:color w:val="C00000"/>
                <w:sz w:val="17"/>
              </w:rPr>
              <w:t>-7.6%</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5,743</w:t>
            </w:r>
          </w:p>
        </w:tc>
        <w:tc>
          <w:tcPr>
            <w:tcW w:type="dxa" w:w="1440"/>
            <w:shd w:fill="FFDCE0" w:val="clear"/>
          </w:tcPr>
          <w:p>
            <w:r>
              <w:rPr>
                <w:b/>
                <w:sz w:val="17"/>
              </w:rPr>
              <w:t>6,514</w:t>
            </w:r>
          </w:p>
        </w:tc>
        <w:tc>
          <w:tcPr>
            <w:tcW w:type="dxa" w:w="1440"/>
            <w:shd w:fill="FFDCE0" w:val="clear"/>
          </w:tcPr>
          <w:p>
            <w:r>
              <w:rPr>
                <w:sz w:val="17"/>
              </w:rPr>
              <w:t>7,285</w:t>
            </w:r>
          </w:p>
        </w:tc>
        <w:tc>
          <w:tcPr>
            <w:tcW w:type="dxa" w:w="1440"/>
            <w:shd w:fill="FFDCE0" w:val="clear"/>
          </w:tcPr>
          <w:p>
            <w:r>
              <w:rPr>
                <w:b/>
                <w:color w:val="C00000"/>
                <w:sz w:val="17"/>
              </w:rPr>
              <w:t>-8.3%</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5,660</w:t>
            </w:r>
          </w:p>
        </w:tc>
        <w:tc>
          <w:tcPr>
            <w:tcW w:type="dxa" w:w="1440"/>
            <w:shd w:fill="FFDCE0" w:val="clear"/>
          </w:tcPr>
          <w:p>
            <w:r>
              <w:rPr>
                <w:b/>
                <w:sz w:val="17"/>
              </w:rPr>
              <w:t>6,467</w:t>
            </w:r>
          </w:p>
        </w:tc>
        <w:tc>
          <w:tcPr>
            <w:tcW w:type="dxa" w:w="1440"/>
            <w:shd w:fill="FFDCE0" w:val="clear"/>
          </w:tcPr>
          <w:p>
            <w:r>
              <w:rPr>
                <w:sz w:val="17"/>
              </w:rPr>
              <w:t>7,274</w:t>
            </w:r>
          </w:p>
        </w:tc>
        <w:tc>
          <w:tcPr>
            <w:tcW w:type="dxa" w:w="1440"/>
            <w:shd w:fill="FFDCE0" w:val="clear"/>
          </w:tcPr>
          <w:p>
            <w:r>
              <w:rPr>
                <w:b/>
                <w:color w:val="C00000"/>
                <w:sz w:val="17"/>
              </w:rPr>
              <w:t>-8.9%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BOABF s'établit à 312,40 milliards FCFA, ce qui en fait l'une des valeurs les plus significatives de la cote BRVM, reflétant la taille et l'importance systémique de la banque dans l'économie burkinabè. Le BPA de 438 FCFA indique que chaque action génère un bénéfice substantiel, mais le PER de 16,2x se situe nettement au-dessus de la moyenne historique de la BRVM (8-12x), signalant que les investisseurs acceptent de payer une prime de croissance ou de qualité par rapport au marché. Le P/B de 2,47x confirme cette prime, le marché valorisant la banque à plus de deux fois sa valeur comptable, ce qui traduit une anticipation de rendements futurs supérieurs à la moyenne. Enfin, l'EV/EBITDA de 6,8x reste dans une zone raisonnable (5-10x), indiquant que la valorisation globale de l'entreprise, dette incluse, demeure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des 100 derniers jours, le titre BOABF a enregistré une progression spectaculaire de +33,96%, passant d'un plus bas de 5 235 FCFA à un plus haut de 7 350 FCFA, avec un cours actuel de 7 100 FCFA, stable sur la dernière séance. Cette tendance haussière marquée est confirmée par les statistiques descriptives : la moyenne (5 908 FCFA) est nettement inférieure à la médiane (5 598 FCFA), et le skewness positif de 1,212 indique une asymétrie avec un plus grand nombre de journées sous la moyenne mais des mouvements de hausse plus amples, caractéristique d'un rally soutenu. L'écart-type de 667 FCFA (CV=11,3%) révèle une dispersion modérée des prix, tandis que le kurtosis de -0,220 (mésokurtique) suggère une distribution proche de la normale, sans risque de pics extrêmes. La volatilité annualisée de 28,5% classe le titre dans la zone de volatilité élevée (&gt;30% étant le seuil), ce qui implique des fluctuations importantes et un risque de marché non négligeable pour les investisseurs.</w:t>
      </w:r>
    </w:p>
    <w:p>
      <w:pPr>
        <w:spacing w:after="120" w:line="276" w:lineRule="auto" w:before="240"/>
      </w:pPr>
      <w:r>
        <w:rPr>
          <w:b/>
          <w:color w:val="003366"/>
          <w:sz w:val="24"/>
        </w:rPr>
        <w:t>**PARTIE 2 : ANALYSE TECHNIQUE DÉTAILLÉE**</w:t>
      </w:r>
    </w:p>
    <w:p>
      <w:pPr>
        <w:spacing w:after="120" w:line="276" w:lineRule="auto"/>
      </w:pPr>
      <w:r>
        <w:t>**Moyennes Mobiles** : La MM20 à 7 157,75 FCFA et la MM50 à 6 315,9 FCFA sont toutes deux inférieures au cours actuel de 7 100 FCFA, mais leur écart significatif (plus de 800 FCFA) témoigne d'une accélération récente du prix. La décision d'achat est justifiée par la configuration haussière où le cours évolue au-dessus de ses moyennes mobiles, bien que le léger repli sous la MM20 suggère une consolidation à court terme.</w:t>
      </w:r>
    </w:p>
    <w:p>
      <w:pPr>
        <w:spacing w:after="120" w:line="276" w:lineRule="auto"/>
      </w:pPr>
      <w:r>
        <w:t>**Bandes de Bollinger** : Le prix à 7 100 FCFA se positionne entre la borne supérieure (7 371,426 FCFA) et la borne inférieure (6 944,074 FCFA), plus proche de la borne inférieure, indiquant une volatilité modérée avec un potentiel de rebond. La décision neutre reflète l'absence de signal directionnel fort, le marché semblant dans une phase de consolidation après la forte hausse.</w:t>
      </w:r>
    </w:p>
    <w:p>
      <w:pPr>
        <w:spacing w:after="120" w:line="276" w:lineRule="auto"/>
      </w:pPr>
      <w:r>
        <w:t>**MACD** : La valeur du MACD (246,994) est inférieure à son signal (298,587), créant une divergence baissière qui suggère un ralentissement du momentum haussier. La décision de vente est cohérente avec cette configuration, signalant une possible correction à court terme malgré la tendance de fond positive.</w:t>
      </w:r>
    </w:p>
    <w:p>
      <w:pPr>
        <w:spacing w:after="120" w:line="276" w:lineRule="auto"/>
      </w:pPr>
      <w:r>
        <w:t>**RSI** : À 47,596, le RSI se situe en zone neutre (30-70), indiquant un équilibre entre pressions acheteuses et vendeuses. Cette valeur suggère que le titre n'est ni suracheté ni survendu, laissant place à une évolution directionnelle sans contrainte technique majeure.</w:t>
      </w:r>
    </w:p>
    <w:p>
      <w:pPr>
        <w:spacing w:after="120" w:line="276" w:lineRule="auto"/>
      </w:pPr>
      <w:r>
        <w:t>**Stochastique** : Le %K (44,444) est inférieur au %D (62,963), formant un croisement baissier qui renforce le signal de prudence à court terme. La décision neutre reflète toutefois l'absence de conditions extrêmes, le titre n'étant ni en zone de surachat ni de survente.</w:t>
      </w:r>
    </w:p>
    <w:p>
      <w:pPr>
        <w:spacing w:after="120" w:line="276" w:lineRule="auto"/>
      </w:pPr>
      <w:r>
        <w:t>**Conclusion technique** : La configuration technique est mitigée avec des signaux contradictoires : les moyennes mobiles restent haussières, mais le MACD et le Stochastique indiquent un essoufflement du momentum. Le RSI neutre et les bandes de Bollinger suggèrent une phase de consolidation. Globalement, la tendance de fond demeure positive, mais un repli technique à court terme est probable avant une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BOABF révèlent une banque solide mais sous pression : le Produit Net Bancaire s'établit à 57,820 milliards FCFA avec un résultat net de 19,252 milliards FCFA, générant un ROE de 15,22% (excellent) et un ROA de 1,68%. Le coefficient d'exploitation de 47,19% témoigne d'une excellente maîtrise des charges, bien en-deçà du seuil d'efficacité de 60%. Cependant, le coût du risque de 33,92% est préoccupant, indiquant une dégradation de la qualité du portefeuille de crédits (474,064 milliards FCFA de créances clientèle pour 877,822 milliards FCFA de dépôts, soit un ratio de transformation de 54%). Les rapports trimestriels 2025 confirment cette tendance : le T1 2025 (PNB 14,22 milliards, +2,3% ; résultat net 5,20 milliards, -16,6%) et le S1 2025 (PNB 29,06 milliards, +1,4% ; résultat net 8,22 milliards, -46,5%) montrent une stagnation de l'activité et un effondrement de la rentabilité, principalement due à une explosion du coût du risque (+1336% au S1). Le T3 2025 (PNB 43,28 milliards, +0,85% ; résultat net 13,45 milliards, -27,7%) confirme la persistance des difficultés. Sur la base de ces tendances, on estime que l'exercice 2025 devrait clôturer avec un résultat net en baisse de 25-30% par rapport à 2024, malgré un PNB stable. Le rapport T1 2026 (PNB 12,694 milliards, -10,75% ; résultat net 4,520 milliards, -12,99%) suggère une poursuite de la dégradation en 2026, bien que la croissance des dépôts (+6,3%) offre une lueur d'espoir. La banque demeure fondamentalement solide avec des capitaux propres de 126,516 milliards FCFA et une trésorerie nette de 227,2 milliards FCFA, mais la dégradation du coût du risque et la contraction des crédits (-11% au T3 2025) constituent des signaux d'alerte majeurs.</w:t>
      </w:r>
    </w:p>
    <w:p>
      <w:pPr>
        <w:spacing w:after="120" w:line="276" w:lineRule="auto" w:before="240"/>
      </w:pPr>
      <w:r>
        <w:rPr>
          <w:b/>
          <w:color w:val="003366"/>
          <w:sz w:val="24"/>
        </w:rPr>
        <w:t>**PARTIE 4 : CONCLUSION D'INVESTISSEMENT**</w:t>
      </w:r>
    </w:p>
    <w:p>
      <w:pPr>
        <w:spacing w:after="120" w:line="276" w:lineRule="auto"/>
      </w:pPr>
      <w:r>
        <w:t>La synthèse des analyses révèle une situation contrastée pour BOABF. La valorisation (PER 16,2x, P/B 2,47x) apparaît exigeante par rapport aux standards BRVM, intégrant une prime qui semble difficile à justifier au vu de la dégradation des fondamentaux. Le comportement du cours (+33,96% sur 100 jours) avec une volatilité élevée (28,5%) et une asymétrie positive témoigne d'un momentum haussier, mais les signaux techniques (MACD vendeur, Stochastique baissier) suggèrent un essoufflement à court terme. Les fondamentaux, bien que solides en structure (ROE 15,2%, coefficient d'exploitation 47,2%), montrent une nette détérioration de la rentabilité nette (-27,7% au T3 2025) sous le poids du coût du risque, et les prédictions IA (baisse progressive vers 6 719 FCFA à J+10) confirment cette perspective de correction. La convergence des signaux techniques baissiers et des fondamentaux en dégradation, malgré une tendance de fond haussière, conduit à une recommandation de **CONSERVER** avec un niveau de confiance **Moyen** et un risque global **Élevé** (contexte sécuritaire burkinabè, dégradation du portefeuille de crédits). L'horizon d'investissement optimal serait le **moyen terme (3-12 mois)**, en attendant une stabilisation du coût du risque et une clarification de la trajectoire de rentabilité, tout en surveillant le dividende annoncé de 397 FCFA/action (paiement avril 2026) qui offre un rendement attractif d'environ 5,6%.</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13,949 titres</w:t>
            </w:r>
          </w:p>
        </w:tc>
        <w:tc>
          <w:tcPr>
            <w:tcW w:type="dxa" w:w="2268"/>
            <w:shd w:fill="FFF2CC" w:val="clear"/>
          </w:tcPr>
          <w:p>
            <w:r>
              <w:rPr>
                <w:b/>
                <w:color w:val="503200"/>
                <w:sz w:val="16"/>
              </w:rPr>
              <w:t xml:space="preserve">Cours actuel : </w:t>
            </w:r>
            <w:r>
              <w:rPr>
                <w:color w:val="000000"/>
                <w:sz w:val="17"/>
              </w:rPr>
              <w:t>12,500 FCFA</w:t>
            </w:r>
          </w:p>
          <w:p>
            <w:r>
              <w:rPr>
                <w:b/>
                <w:color w:val="503200"/>
                <w:sz w:val="16"/>
              </w:rPr>
              <w:t xml:space="preserve">Var. 100 jours : </w:t>
            </w:r>
            <w:r>
              <w:rPr>
                <w:b/>
                <w:color w:val="007800"/>
                <w:sz w:val="17"/>
              </w:rPr>
              <w:t>+40.45%</w:t>
            </w:r>
          </w:p>
          <w:p>
            <w:r>
              <w:rPr>
                <w:b/>
                <w:color w:val="503200"/>
                <w:sz w:val="16"/>
              </w:rPr>
              <w:t xml:space="preserve">Plus haut 100j : </w:t>
            </w:r>
            <w:r>
              <w:rPr>
                <w:color w:val="000000"/>
                <w:sz w:val="17"/>
              </w:rPr>
              <w:t>12,500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17.1/100 → Faible</w:t>
      </w:r>
    </w:p>
    <w:p>
      <w:pPr>
        <w:spacing w:before="40" w:after="80"/>
      </w:pPr>
      <w:r>
        <w:rPr>
          <w:rFonts w:ascii="Courier New" w:hAnsi="Courier New"/>
          <w:color w:val="006400"/>
          <w:sz w:val="18"/>
        </w:rPr>
        <w:t>███░░░░░░░░░░░░░░░░░  17.1/100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10.34% (Moyenne) — μ=9,281 FCFA, σ=959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β=0.5713 (Défensif) — Cov=0.000021, Var(idx)=0.000036, ρ=0.196,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13,949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2026-08-14</w:t>
            </w:r>
          </w:p>
        </w:tc>
        <w:tc>
          <w:tcPr>
            <w:tcW w:type="dxa" w:w="1440"/>
            <w:shd w:fill="FFDCE0" w:val="clear"/>
          </w:tcPr>
          <w:p>
            <w:r>
              <w:rPr>
                <w:sz w:val="17"/>
              </w:rPr>
              <w:t>11,519</w:t>
            </w:r>
          </w:p>
        </w:tc>
        <w:tc>
          <w:tcPr>
            <w:tcW w:type="dxa" w:w="1440"/>
            <w:shd w:fill="FFDCE0" w:val="clear"/>
          </w:tcPr>
          <w:p>
            <w:r>
              <w:rPr>
                <w:b/>
                <w:sz w:val="17"/>
              </w:rPr>
              <w:t>11,892</w:t>
            </w:r>
          </w:p>
        </w:tc>
        <w:tc>
          <w:tcPr>
            <w:tcW w:type="dxa" w:w="1440"/>
            <w:shd w:fill="FFDCE0" w:val="clear"/>
          </w:tcPr>
          <w:p>
            <w:r>
              <w:rPr>
                <w:sz w:val="17"/>
              </w:rPr>
              <w:t>12,264</w:t>
            </w:r>
          </w:p>
        </w:tc>
        <w:tc>
          <w:tcPr>
            <w:tcW w:type="dxa" w:w="1440"/>
            <w:shd w:fill="FFDCE0" w:val="clear"/>
          </w:tcPr>
          <w:p>
            <w:r>
              <w:rPr>
                <w:b/>
                <w:color w:val="C00000"/>
                <w:sz w:val="17"/>
              </w:rPr>
              <w:t>-4.9%</w:t>
            </w:r>
          </w:p>
        </w:tc>
      </w:tr>
      <w:tr>
        <w:tc>
          <w:tcPr>
            <w:tcW w:type="dxa" w:w="1440"/>
            <w:shd w:fill="FFDCE0" w:val="clear"/>
          </w:tcPr>
          <w:p>
            <w:r>
              <w:rPr>
                <w:sz w:val="17"/>
              </w:rPr>
              <w:t>J+2  ⭐⭐⭐</w:t>
            </w:r>
          </w:p>
        </w:tc>
        <w:tc>
          <w:tcPr>
            <w:tcW w:type="dxa" w:w="1440"/>
            <w:shd w:fill="FFDCE0" w:val="clear"/>
          </w:tcPr>
          <w:p>
            <w:r>
              <w:rPr>
                <w:sz w:val="17"/>
              </w:rPr>
              <w:t>2026-08-17</w:t>
            </w:r>
          </w:p>
        </w:tc>
        <w:tc>
          <w:tcPr>
            <w:tcW w:type="dxa" w:w="1440"/>
            <w:shd w:fill="FFDCE0" w:val="clear"/>
          </w:tcPr>
          <w:p>
            <w:r>
              <w:rPr>
                <w:sz w:val="17"/>
              </w:rPr>
              <w:t>10,916</w:t>
            </w:r>
          </w:p>
        </w:tc>
        <w:tc>
          <w:tcPr>
            <w:tcW w:type="dxa" w:w="1440"/>
            <w:shd w:fill="FFDCE0" w:val="clear"/>
          </w:tcPr>
          <w:p>
            <w:r>
              <w:rPr>
                <w:b/>
                <w:sz w:val="17"/>
              </w:rPr>
              <w:t>11,422</w:t>
            </w:r>
          </w:p>
        </w:tc>
        <w:tc>
          <w:tcPr>
            <w:tcW w:type="dxa" w:w="1440"/>
            <w:shd w:fill="FFDCE0" w:val="clear"/>
          </w:tcPr>
          <w:p>
            <w:r>
              <w:rPr>
                <w:sz w:val="17"/>
              </w:rPr>
              <w:t>11,928</w:t>
            </w:r>
          </w:p>
        </w:tc>
        <w:tc>
          <w:tcPr>
            <w:tcW w:type="dxa" w:w="1440"/>
            <w:shd w:fill="FFDCE0" w:val="clear"/>
          </w:tcPr>
          <w:p>
            <w:r>
              <w:rPr>
                <w:b/>
                <w:color w:val="C00000"/>
                <w:sz w:val="17"/>
              </w:rPr>
              <w:t>-8.6%</w:t>
            </w:r>
          </w:p>
        </w:tc>
      </w:tr>
      <w:tr>
        <w:tc>
          <w:tcPr>
            <w:tcW w:type="dxa" w:w="1440"/>
            <w:shd w:fill="FFDCE0" w:val="clear"/>
          </w:tcPr>
          <w:p>
            <w:r>
              <w:rPr>
                <w:sz w:val="17"/>
              </w:rPr>
              <w:t>J+3  ⭐⭐⭐</w:t>
            </w:r>
          </w:p>
        </w:tc>
        <w:tc>
          <w:tcPr>
            <w:tcW w:type="dxa" w:w="1440"/>
            <w:shd w:fill="FFDCE0" w:val="clear"/>
          </w:tcPr>
          <w:p>
            <w:r>
              <w:rPr>
                <w:sz w:val="17"/>
              </w:rPr>
              <w:t>2026-08-18</w:t>
            </w:r>
          </w:p>
        </w:tc>
        <w:tc>
          <w:tcPr>
            <w:tcW w:type="dxa" w:w="1440"/>
            <w:shd w:fill="FFDCE0" w:val="clear"/>
          </w:tcPr>
          <w:p>
            <w:r>
              <w:rPr>
                <w:sz w:val="17"/>
              </w:rPr>
              <w:t>10,335</w:t>
            </w:r>
          </w:p>
        </w:tc>
        <w:tc>
          <w:tcPr>
            <w:tcW w:type="dxa" w:w="1440"/>
            <w:shd w:fill="FFDCE0" w:val="clear"/>
          </w:tcPr>
          <w:p>
            <w:r>
              <w:rPr>
                <w:b/>
                <w:sz w:val="17"/>
              </w:rPr>
              <w:t>10,928</w:t>
            </w:r>
          </w:p>
        </w:tc>
        <w:tc>
          <w:tcPr>
            <w:tcW w:type="dxa" w:w="1440"/>
            <w:shd w:fill="FFDCE0" w:val="clear"/>
          </w:tcPr>
          <w:p>
            <w:r>
              <w:rPr>
                <w:sz w:val="17"/>
              </w:rPr>
              <w:t>11,521</w:t>
            </w:r>
          </w:p>
        </w:tc>
        <w:tc>
          <w:tcPr>
            <w:tcW w:type="dxa" w:w="1440"/>
            <w:shd w:fill="FFDCE0" w:val="clear"/>
          </w:tcPr>
          <w:p>
            <w:r>
              <w:rPr>
                <w:b/>
                <w:color w:val="C00000"/>
                <w:sz w:val="17"/>
              </w:rPr>
              <w:t>-12.6%</w:t>
            </w:r>
          </w:p>
        </w:tc>
      </w:tr>
      <w:tr>
        <w:tc>
          <w:tcPr>
            <w:tcW w:type="dxa" w:w="1440"/>
            <w:shd w:fill="FFDCE0" w:val="clear"/>
          </w:tcPr>
          <w:p>
            <w:r>
              <w:rPr>
                <w:sz w:val="17"/>
              </w:rPr>
              <w:t>J+4  Moyenne</w:t>
            </w:r>
          </w:p>
        </w:tc>
        <w:tc>
          <w:tcPr>
            <w:tcW w:type="dxa" w:w="1440"/>
            <w:shd w:fill="FFDCE0" w:val="clear"/>
          </w:tcPr>
          <w:p>
            <w:r>
              <w:rPr>
                <w:sz w:val="17"/>
              </w:rPr>
              <w:t>2026-08-19</w:t>
            </w:r>
          </w:p>
        </w:tc>
        <w:tc>
          <w:tcPr>
            <w:tcW w:type="dxa" w:w="1440"/>
            <w:shd w:fill="FFDCE0" w:val="clear"/>
          </w:tcPr>
          <w:p>
            <w:r>
              <w:rPr>
                <w:sz w:val="17"/>
              </w:rPr>
              <w:t>9,831</w:t>
            </w:r>
          </w:p>
        </w:tc>
        <w:tc>
          <w:tcPr>
            <w:tcW w:type="dxa" w:w="1440"/>
            <w:shd w:fill="FFDCE0" w:val="clear"/>
          </w:tcPr>
          <w:p>
            <w:r>
              <w:rPr>
                <w:b/>
                <w:sz w:val="17"/>
              </w:rPr>
              <w:t>10,488</w:t>
            </w:r>
          </w:p>
        </w:tc>
        <w:tc>
          <w:tcPr>
            <w:tcW w:type="dxa" w:w="1440"/>
            <w:shd w:fill="FFDCE0" w:val="clear"/>
          </w:tcPr>
          <w:p>
            <w:r>
              <w:rPr>
                <w:sz w:val="17"/>
              </w:rPr>
              <w:t>11,145</w:t>
            </w:r>
          </w:p>
        </w:tc>
        <w:tc>
          <w:tcPr>
            <w:tcW w:type="dxa" w:w="1440"/>
            <w:shd w:fill="FFDCE0" w:val="clear"/>
          </w:tcPr>
          <w:p>
            <w:r>
              <w:rPr>
                <w:b/>
                <w:color w:val="C00000"/>
                <w:sz w:val="17"/>
              </w:rPr>
              <w:t>-16.1%</w:t>
            </w:r>
          </w:p>
        </w:tc>
      </w:tr>
      <w:tr>
        <w:tc>
          <w:tcPr>
            <w:tcW w:type="dxa" w:w="1440"/>
            <w:shd w:fill="FFDCE0" w:val="clear"/>
          </w:tcPr>
          <w:p>
            <w:r>
              <w:rPr>
                <w:sz w:val="17"/>
              </w:rPr>
              <w:t>J+5  Moyenne</w:t>
            </w:r>
          </w:p>
        </w:tc>
        <w:tc>
          <w:tcPr>
            <w:tcW w:type="dxa" w:w="1440"/>
            <w:shd w:fill="FFDCE0" w:val="clear"/>
          </w:tcPr>
          <w:p>
            <w:r>
              <w:rPr>
                <w:sz w:val="17"/>
              </w:rPr>
              <w:t>2026-08-20</w:t>
            </w:r>
          </w:p>
        </w:tc>
        <w:tc>
          <w:tcPr>
            <w:tcW w:type="dxa" w:w="1440"/>
            <w:shd w:fill="FFDCE0" w:val="clear"/>
          </w:tcPr>
          <w:p>
            <w:r>
              <w:rPr>
                <w:sz w:val="17"/>
              </w:rPr>
              <w:t>9,397</w:t>
            </w:r>
          </w:p>
        </w:tc>
        <w:tc>
          <w:tcPr>
            <w:tcW w:type="dxa" w:w="1440"/>
            <w:shd w:fill="FFDCE0" w:val="clear"/>
          </w:tcPr>
          <w:p>
            <w:r>
              <w:rPr>
                <w:b/>
                <w:sz w:val="17"/>
              </w:rPr>
              <w:t>10,105</w:t>
            </w:r>
          </w:p>
        </w:tc>
        <w:tc>
          <w:tcPr>
            <w:tcW w:type="dxa" w:w="1440"/>
            <w:shd w:fill="FFDCE0" w:val="clear"/>
          </w:tcPr>
          <w:p>
            <w:r>
              <w:rPr>
                <w:sz w:val="17"/>
              </w:rPr>
              <w:t>10,813</w:t>
            </w:r>
          </w:p>
        </w:tc>
        <w:tc>
          <w:tcPr>
            <w:tcW w:type="dxa" w:w="1440"/>
            <w:shd w:fill="FFDCE0" w:val="clear"/>
          </w:tcPr>
          <w:p>
            <w:r>
              <w:rPr>
                <w:b/>
                <w:color w:val="C00000"/>
                <w:sz w:val="17"/>
              </w:rPr>
              <w:t>-19.2%</w:t>
            </w:r>
          </w:p>
        </w:tc>
      </w:tr>
      <w:tr>
        <w:tc>
          <w:tcPr>
            <w:tcW w:type="dxa" w:w="1440"/>
            <w:shd w:fill="FFDCE0" w:val="clear"/>
          </w:tcPr>
          <w:p>
            <w:r>
              <w:rPr>
                <w:sz w:val="17"/>
              </w:rPr>
              <w:t>J+6  Moyenne</w:t>
            </w:r>
          </w:p>
        </w:tc>
        <w:tc>
          <w:tcPr>
            <w:tcW w:type="dxa" w:w="1440"/>
            <w:shd w:fill="FFDCE0" w:val="clear"/>
          </w:tcPr>
          <w:p>
            <w:r>
              <w:rPr>
                <w:sz w:val="17"/>
              </w:rPr>
              <w:t>2026-08-21</w:t>
            </w:r>
          </w:p>
        </w:tc>
        <w:tc>
          <w:tcPr>
            <w:tcW w:type="dxa" w:w="1440"/>
            <w:shd w:fill="FFDCE0" w:val="clear"/>
          </w:tcPr>
          <w:p>
            <w:r>
              <w:rPr>
                <w:sz w:val="17"/>
              </w:rPr>
              <w:t>9,022</w:t>
            </w:r>
          </w:p>
        </w:tc>
        <w:tc>
          <w:tcPr>
            <w:tcW w:type="dxa" w:w="1440"/>
            <w:shd w:fill="FFDCE0" w:val="clear"/>
          </w:tcPr>
          <w:p>
            <w:r>
              <w:rPr>
                <w:b/>
                <w:sz w:val="17"/>
              </w:rPr>
              <w:t>9,772</w:t>
            </w:r>
          </w:p>
        </w:tc>
        <w:tc>
          <w:tcPr>
            <w:tcW w:type="dxa" w:w="1440"/>
            <w:shd w:fill="FFDCE0" w:val="clear"/>
          </w:tcPr>
          <w:p>
            <w:r>
              <w:rPr>
                <w:sz w:val="17"/>
              </w:rPr>
              <w:t>10,522</w:t>
            </w:r>
          </w:p>
        </w:tc>
        <w:tc>
          <w:tcPr>
            <w:tcW w:type="dxa" w:w="1440"/>
            <w:shd w:fill="FFDCE0" w:val="clear"/>
          </w:tcPr>
          <w:p>
            <w:r>
              <w:rPr>
                <w:b/>
                <w:color w:val="C00000"/>
                <w:sz w:val="17"/>
              </w:rPr>
              <w:t>-21.8%</w:t>
            </w:r>
          </w:p>
        </w:tc>
      </w:tr>
      <w:tr>
        <w:tc>
          <w:tcPr>
            <w:tcW w:type="dxa" w:w="1440"/>
            <w:shd w:fill="FFDCE0" w:val="clear"/>
          </w:tcPr>
          <w:p>
            <w:r>
              <w:rPr>
                <w:sz w:val="17"/>
              </w:rPr>
              <w:t>J+7  Moyenne</w:t>
            </w:r>
          </w:p>
        </w:tc>
        <w:tc>
          <w:tcPr>
            <w:tcW w:type="dxa" w:w="1440"/>
            <w:shd w:fill="FFDCE0" w:val="clear"/>
          </w:tcPr>
          <w:p>
            <w:r>
              <w:rPr>
                <w:sz w:val="17"/>
              </w:rPr>
              <w:t>2026-08-24</w:t>
            </w:r>
          </w:p>
        </w:tc>
        <w:tc>
          <w:tcPr>
            <w:tcW w:type="dxa" w:w="1440"/>
            <w:shd w:fill="FFDCE0" w:val="clear"/>
          </w:tcPr>
          <w:p>
            <w:r>
              <w:rPr>
                <w:sz w:val="17"/>
              </w:rPr>
              <w:t>8,697</w:t>
            </w:r>
          </w:p>
        </w:tc>
        <w:tc>
          <w:tcPr>
            <w:tcW w:type="dxa" w:w="1440"/>
            <w:shd w:fill="FFDCE0" w:val="clear"/>
          </w:tcPr>
          <w:p>
            <w:r>
              <w:rPr>
                <w:b/>
                <w:sz w:val="17"/>
              </w:rPr>
              <w:t>9,483</w:t>
            </w:r>
          </w:p>
        </w:tc>
        <w:tc>
          <w:tcPr>
            <w:tcW w:type="dxa" w:w="1440"/>
            <w:shd w:fill="FFDCE0" w:val="clear"/>
          </w:tcPr>
          <w:p>
            <w:r>
              <w:rPr>
                <w:sz w:val="17"/>
              </w:rPr>
              <w:t>10,269</w:t>
            </w:r>
          </w:p>
        </w:tc>
        <w:tc>
          <w:tcPr>
            <w:tcW w:type="dxa" w:w="1440"/>
            <w:shd w:fill="FFDCE0" w:val="clear"/>
          </w:tcPr>
          <w:p>
            <w:r>
              <w:rPr>
                <w:b/>
                <w:color w:val="C00000"/>
                <w:sz w:val="17"/>
              </w:rPr>
              <w:t>-24.1%</w:t>
            </w:r>
          </w:p>
        </w:tc>
      </w:tr>
      <w:tr>
        <w:tc>
          <w:tcPr>
            <w:tcW w:type="dxa" w:w="1440"/>
            <w:shd w:fill="FFDCE0" w:val="clear"/>
          </w:tcPr>
          <w:p>
            <w:r>
              <w:rPr>
                <w:sz w:val="17"/>
              </w:rPr>
              <w:t>J+8  Moyenne</w:t>
            </w:r>
          </w:p>
        </w:tc>
        <w:tc>
          <w:tcPr>
            <w:tcW w:type="dxa" w:w="1440"/>
            <w:shd w:fill="FFDCE0" w:val="clear"/>
          </w:tcPr>
          <w:p>
            <w:r>
              <w:rPr>
                <w:sz w:val="17"/>
              </w:rPr>
              <w:t>2026-08-25</w:t>
            </w:r>
          </w:p>
        </w:tc>
        <w:tc>
          <w:tcPr>
            <w:tcW w:type="dxa" w:w="1440"/>
            <w:shd w:fill="FFDCE0" w:val="clear"/>
          </w:tcPr>
          <w:p>
            <w:r>
              <w:rPr>
                <w:sz w:val="17"/>
              </w:rPr>
              <w:t>8,412</w:t>
            </w:r>
          </w:p>
        </w:tc>
        <w:tc>
          <w:tcPr>
            <w:tcW w:type="dxa" w:w="1440"/>
            <w:shd w:fill="FFDCE0" w:val="clear"/>
          </w:tcPr>
          <w:p>
            <w:r>
              <w:rPr>
                <w:b/>
                <w:sz w:val="17"/>
              </w:rPr>
              <w:t>9,230</w:t>
            </w:r>
          </w:p>
        </w:tc>
        <w:tc>
          <w:tcPr>
            <w:tcW w:type="dxa" w:w="1440"/>
            <w:shd w:fill="FFDCE0" w:val="clear"/>
          </w:tcPr>
          <w:p>
            <w:r>
              <w:rPr>
                <w:sz w:val="17"/>
              </w:rPr>
              <w:t>10,048</w:t>
            </w:r>
          </w:p>
        </w:tc>
        <w:tc>
          <w:tcPr>
            <w:tcW w:type="dxa" w:w="1440"/>
            <w:shd w:fill="FFDCE0" w:val="clear"/>
          </w:tcPr>
          <w:p>
            <w:r>
              <w:rPr>
                <w:b/>
                <w:color w:val="C00000"/>
                <w:sz w:val="17"/>
              </w:rPr>
              <w:t>-26.2%</w:t>
            </w:r>
          </w:p>
        </w:tc>
      </w:tr>
      <w:tr>
        <w:tc>
          <w:tcPr>
            <w:tcW w:type="dxa" w:w="1440"/>
            <w:shd w:fill="FFDCE0" w:val="clear"/>
          </w:tcPr>
          <w:p>
            <w:r>
              <w:rPr>
                <w:sz w:val="17"/>
              </w:rPr>
              <w:t>J+9  Moyenne</w:t>
            </w:r>
          </w:p>
        </w:tc>
        <w:tc>
          <w:tcPr>
            <w:tcW w:type="dxa" w:w="1440"/>
            <w:shd w:fill="FFDCE0" w:val="clear"/>
          </w:tcPr>
          <w:p>
            <w:r>
              <w:rPr>
                <w:sz w:val="17"/>
              </w:rPr>
              <w:t>2026-08-27</w:t>
            </w:r>
          </w:p>
        </w:tc>
        <w:tc>
          <w:tcPr>
            <w:tcW w:type="dxa" w:w="1440"/>
            <w:shd w:fill="FFDCE0" w:val="clear"/>
          </w:tcPr>
          <w:p>
            <w:r>
              <w:rPr>
                <w:sz w:val="17"/>
              </w:rPr>
              <w:t>8,160</w:t>
            </w:r>
          </w:p>
        </w:tc>
        <w:tc>
          <w:tcPr>
            <w:tcW w:type="dxa" w:w="1440"/>
            <w:shd w:fill="FFDCE0" w:val="clear"/>
          </w:tcPr>
          <w:p>
            <w:r>
              <w:rPr>
                <w:b/>
                <w:sz w:val="17"/>
              </w:rPr>
              <w:t>9,006</w:t>
            </w:r>
          </w:p>
        </w:tc>
        <w:tc>
          <w:tcPr>
            <w:tcW w:type="dxa" w:w="1440"/>
            <w:shd w:fill="FFDCE0" w:val="clear"/>
          </w:tcPr>
          <w:p>
            <w:r>
              <w:rPr>
                <w:sz w:val="17"/>
              </w:rPr>
              <w:t>9,853</w:t>
            </w:r>
          </w:p>
        </w:tc>
        <w:tc>
          <w:tcPr>
            <w:tcW w:type="dxa" w:w="1440"/>
            <w:shd w:fill="FFDCE0" w:val="clear"/>
          </w:tcPr>
          <w:p>
            <w:r>
              <w:rPr>
                <w:b/>
                <w:color w:val="C00000"/>
                <w:sz w:val="17"/>
              </w:rPr>
              <w:t>-27.9%</w:t>
            </w:r>
          </w:p>
        </w:tc>
      </w:tr>
      <w:tr>
        <w:tc>
          <w:tcPr>
            <w:tcW w:type="dxa" w:w="1440"/>
            <w:shd w:fill="FFDCE0" w:val="clear"/>
          </w:tcPr>
          <w:p>
            <w:r>
              <w:rPr>
                <w:sz w:val="17"/>
              </w:rPr>
              <w:t>J+10  Moyenne</w:t>
            </w:r>
          </w:p>
        </w:tc>
        <w:tc>
          <w:tcPr>
            <w:tcW w:type="dxa" w:w="1440"/>
            <w:shd w:fill="FFDCE0" w:val="clear"/>
          </w:tcPr>
          <w:p>
            <w:r>
              <w:rPr>
                <w:sz w:val="17"/>
              </w:rPr>
              <w:t>2026-08-28</w:t>
            </w:r>
          </w:p>
        </w:tc>
        <w:tc>
          <w:tcPr>
            <w:tcW w:type="dxa" w:w="1440"/>
            <w:shd w:fill="FFDCE0" w:val="clear"/>
          </w:tcPr>
          <w:p>
            <w:r>
              <w:rPr>
                <w:sz w:val="17"/>
              </w:rPr>
              <w:t>7,935</w:t>
            </w:r>
          </w:p>
        </w:tc>
        <w:tc>
          <w:tcPr>
            <w:tcW w:type="dxa" w:w="1440"/>
            <w:shd w:fill="FFDCE0" w:val="clear"/>
          </w:tcPr>
          <w:p>
            <w:r>
              <w:rPr>
                <w:b/>
                <w:sz w:val="17"/>
              </w:rPr>
              <w:t>8,808</w:t>
            </w:r>
          </w:p>
        </w:tc>
        <w:tc>
          <w:tcPr>
            <w:tcW w:type="dxa" w:w="1440"/>
            <w:shd w:fill="FFDCE0" w:val="clear"/>
          </w:tcPr>
          <w:p>
            <w:r>
              <w:rPr>
                <w:sz w:val="17"/>
              </w:rPr>
              <w:t>9,681</w:t>
            </w:r>
          </w:p>
        </w:tc>
        <w:tc>
          <w:tcPr>
            <w:tcW w:type="dxa" w:w="1440"/>
            <w:shd w:fill="FFDCE0" w:val="clear"/>
          </w:tcPr>
          <w:p>
            <w:r>
              <w:rPr>
                <w:b/>
                <w:color w:val="C00000"/>
                <w:sz w:val="17"/>
              </w:rPr>
              <w:t>-29.5%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 CÔTE D'IVOIRE (BOAC)**</w:t>
        <w:br/>
        <w:t>**Date de l'analyse : 13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BOAC s'établit à 500 milliards FCFA, ce qui en fait l'une des valeurs les plus significatives de la BRVM, reflétant la confiance des investisseurs dans le secteur bancaire ivoirien. Avec un BPA de 888 FCFA, chaque action génère un bénéfice substantiel. Le PER de 14,1x se situe au-dessus de la moyenne historique de la BRVM (8-12x), indiquant que le marché valorise déjà une partie de la croissance future de la banque. Le P/B de 3,93x confirme cette prime, le marché acceptant de payer près de 4 fois la valeur comptable, signe d'une forte rentabilité anticipée (ROE &gt; 27%). Cependant, l'EV/EBITDA de 27,4x est particulièrement exigeant, suggérant que la valorisation intègre des hypothèses de performance opérationnelle soutenue sur le long terme. Ces ratios, dans leur ensemble, positionnent BOAC comme une valeur de croissance premium, mais avec une marge de sécurité limitée.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BOAC a enregistré une performance spectaculaire de +40,45%, avec une dernière séance en légère hausse de +0,16% à 12 500 FCFA. Le titre a évolué dans une fourchette très large, entre un plus bas de 8 100 FCFA et un plus haut de 12 500 FCFA, démontrant une dynamique haussière soutenue. La moyenne du cours sur la période (9 281 FCFA) est nettement supérieure à la médiane (8 900 FCFA), et l'écart entre le mode (8 500 FCFA) et la moyenne confirme une asymétrie positive (skewness de 1.711), signifiant que le titre a passé plus de temps sous sa moyenne, avec des poussées haussières marquées. L'écart-type de 964 FCFA (CV de 10,4%) indique une dispersion modérée, mais le kurtosis élevé (2.235) signale un risque de mouvements extrêmes. La volatilité annualisée de 27,9% classe le titre dans la catégorie "modérée à élevée", ce qui est cohérent avec la forte appréciation observée et suggère un potentiel de consolidation.</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(12 500 FCFA) est nettement au-dessus de la MM20 (10 917,5 FCFA) et de la MM50 (9 885,4 FCFA). Cette configuration haussière, où les moyennes sont orientées à la hausse, confirme la tendance de fond et justifie la décision d'**Achat**.</w:t>
      </w:r>
    </w:p>
    <w:p>
      <w:pPr>
        <w:spacing w:after="120" w:line="276" w:lineRule="auto"/>
      </w:pPr>
      <w:r>
        <w:t>**Bandes de Bollinger** : Le prix évolue près de la borne supérieure (12 734 FCFA), indiquant une pression acheteuse intense. La largeur des bandes (écart de 3 633 FCFA) reflète une volatilité accrue. La décision est **Neutre**, car le titre est en territoire de surachat technique, mais sans signal de retournement immédiat.</w:t>
      </w:r>
    </w:p>
    <w:p>
      <w:pPr>
        <w:spacing w:after="120" w:line="276" w:lineRule="auto"/>
      </w:pPr>
      <w:r>
        <w:t>**MACD** : Le MACD (703,1) est nettement au-dessus de sa ligne de signal (571,6), avec un écart positif croissant. Ce momentum haussier est puissant et confirme la dynamique positive, justifiant la décision d'**Achat**.</w:t>
      </w:r>
    </w:p>
    <w:p>
      <w:pPr>
        <w:spacing w:after="120" w:line="276" w:lineRule="auto"/>
      </w:pPr>
      <w:r>
        <w:t>**RSI** : Le RSI à 87,99 est extrêmement élevé, bien au-delà du seuil de surachat (70). Cela indique que le titre est survendu d'un point de vue technique, avec un risque élevé de correction à court terme. La décision est **Vente**.</w:t>
      </w:r>
    </w:p>
    <w:p>
      <w:pPr>
        <w:spacing w:after="120" w:line="276" w:lineRule="auto"/>
      </w:pPr>
      <w:r>
        <w:t>**Stochastique** : Les valeurs %K et %D sont toutes deux à 100,0, en territoire de surachat extrême. Ce niveau maximal signale une faiblesse imminente ou une consolidation, justifiant la décision de **Vente**.</w:t>
      </w:r>
    </w:p>
    <w:p>
      <w:pPr>
        <w:spacing w:after="120" w:line="276" w:lineRule="auto"/>
      </w:pPr>
      <w:r>
        <w:t>**Conclusion technique** : Les indicateurs de tendance (MM, MACD) sont fortement haussiers, mais les oscillateurs (RSI, Stochastique) sont en surachat extrême. Cette divergence classique suggère que la tendance de fond reste positive, mais qu'un repli technique est probable à très court terme avant une éventuelle reprise de la hausse.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BOAC font état d'un Produit Net Bancaire (PNB) de 73,545 milliards FCFA et d'un résultat net de 35,540 milliards FCFA, en hausse par rapport à 2024 (PNB de 72,724 milliards et résultat net de 32,044 milliards FCFA). La rentabilité des fonds propres (ROE) est exceptionnelle à 27,91%, et le ROA s'établit à 3,22%. Le coefficient d'exploitation de 36,70% témoigne d'une excellente maîtrise des coûts. Cependant, le coût du risque (6,67%) reste un point de vigilance. Les dépôts clientèle (850,548 Mds FCFA) sont près de deux fois supérieurs aux créances sur la clientèle (430,433 Mds FCFA), indiquant une forte liquidité mais une transformation limitée. Les rapports trimestriels de 2025 montrent une trajectoire contrastée : le T1 était excellent (résultat net +14,59%), mais le S1 et le T3 ont révélé une stagnation du PNB (+0,23% sur 9 mois) et une contraction des crédits (-11,97%). On estime que l'exercice 2025 complet, bien que solide, a bénéficié d'une réduction massive des provisions au T1. Les objectifs triennaux (2027) visent une croissance du PNB de +11,6%, ce qui suggère un potentiel de reprise, mais la prudence reste de mise sur la qualité du portefeuille de crédits.</w:t>
      </w:r>
    </w:p>
    <w:p>
      <w:pPr>
        <w:spacing w:after="120" w:line="276" w:lineRule="auto"/>
      </w:pPr>
      <w:r>
        <w:t>---</w:t>
      </w:r>
    </w:p>
    <w:p>
      <w:pPr>
        <w:spacing w:after="120" w:line="276" w:lineRule="auto"/>
      </w:pPr>
      <w:r>
        <w:t>### PARTIE 4 : CONCLUSION D'INVESTISSEMENT</w:t>
      </w:r>
    </w:p>
    <w:p>
      <w:pPr>
        <w:spacing w:after="120" w:line="276" w:lineRule="auto"/>
      </w:pPr>
      <w:r>
        <w:t>La valorisation de BOAC (PER 14,1x, P/B 3,93x) est exigeante, intégrant des attentes de croissance élevées, mais elle est soutenue par une rentabilité fondamentale remarquable (ROE &gt; 27%). Le comportement du cours (+40,45% en 100 jours) est extrêmement haussier, mais les statistiques (kurtosis, skewness) et la volatilité (27,9%) signalent un risque accru de retournement. Les signaux techniques sont contradictoires : la tendance (MM, MACD) est positive, mais les oscillateurs (RSI, Stochastique) crient au surachat extrême. Les fondamentaux sont solides, avec une banque efficace, mais la croissance du PNB est à l'arrêt et le coût du risque reste élevé. Les prédictions IA (12 500 à 10 105 FCFA sur 10 jours) confirment le scénario d'une correction technique imminente. En synthèse, la convergence des signaux de surachat technique et de la prédiction IA suggère une pause dans la dynamique haussière. **Recommandation : CONSERVER** avec un niveau de confiance **Moyen**. Le risque global est **Élevé** à court terme. L'horizon d'investissement optimal serait le **moyen terme (3-12 mois)**, après une probable phase de consolidation, pour profiter du potentiel de croissance fondamental à un prix plus attractif.</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168.54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6,361 titres</w:t>
            </w:r>
          </w:p>
        </w:tc>
        <w:tc>
          <w:tcPr>
            <w:tcW w:type="dxa" w:w="2268"/>
            <w:shd w:fill="FFF2CC" w:val="clear"/>
          </w:tcPr>
          <w:p>
            <w:r>
              <w:rPr>
                <w:b/>
                <w:color w:val="503200"/>
                <w:sz w:val="16"/>
              </w:rPr>
              <w:t xml:space="preserve">Cours actuel : </w:t>
            </w:r>
            <w:r>
              <w:rPr>
                <w:color w:val="000000"/>
                <w:sz w:val="17"/>
              </w:rPr>
              <w:t>6,140 FCFA</w:t>
            </w:r>
          </w:p>
          <w:p>
            <w:r>
              <w:rPr>
                <w:b/>
                <w:color w:val="503200"/>
                <w:sz w:val="16"/>
              </w:rPr>
              <w:t xml:space="preserve">Var. 100 jours : </w:t>
            </w:r>
            <w:r>
              <w:rPr>
                <w:b/>
                <w:color w:val="007800"/>
                <w:sz w:val="17"/>
              </w:rPr>
              <w:t>+28.72%</w:t>
            </w:r>
          </w:p>
          <w:p>
            <w:r>
              <w:rPr>
                <w:b/>
                <w:color w:val="503200"/>
                <w:sz w:val="16"/>
              </w:rPr>
              <w:t xml:space="preserve">Plus haut 100j : </w:t>
            </w:r>
            <w:r>
              <w:rPr>
                <w:color w:val="000000"/>
                <w:sz w:val="17"/>
              </w:rPr>
              <w:t>6,140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8.79% (Moyenne) — μ=4,975 FCFA, σ=437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β=0.3294 (Défensif) — Cov=0.000012, Var(idx)=0.000036, ρ=0.099,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σ_j=2.00%/j (Stable) — Vol. annualisée≈31.8%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2026-08-14</w:t>
            </w:r>
          </w:p>
        </w:tc>
        <w:tc>
          <w:tcPr>
            <w:tcW w:type="dxa" w:w="1440"/>
            <w:shd w:fill="FAFAFA" w:val="clear"/>
          </w:tcPr>
          <w:p>
            <w:r>
              <w:rPr>
                <w:sz w:val="17"/>
              </w:rPr>
              <w:t>5,861</w:t>
            </w:r>
          </w:p>
        </w:tc>
        <w:tc>
          <w:tcPr>
            <w:tcW w:type="dxa" w:w="1440"/>
            <w:shd w:fill="FAFAFA" w:val="clear"/>
          </w:tcPr>
          <w:p>
            <w:r>
              <w:rPr>
                <w:b/>
                <w:sz w:val="17"/>
              </w:rPr>
              <w:t>6,059</w:t>
            </w:r>
          </w:p>
        </w:tc>
        <w:tc>
          <w:tcPr>
            <w:tcW w:type="dxa" w:w="1440"/>
            <w:shd w:fill="FAFAFA" w:val="clear"/>
          </w:tcPr>
          <w:p>
            <w:r>
              <w:rPr>
                <w:sz w:val="17"/>
              </w:rPr>
              <w:t>6,258</w:t>
            </w:r>
          </w:p>
        </w:tc>
        <w:tc>
          <w:tcPr>
            <w:tcW w:type="dxa" w:w="1440"/>
            <w:shd w:fill="FAFAFA" w:val="clear"/>
          </w:tcPr>
          <w:p>
            <w:r>
              <w:rPr>
                <w:b/>
                <w:color w:val="C00000"/>
                <w:sz w:val="17"/>
              </w:rPr>
              <w:t>-1.3%</w:t>
            </w:r>
          </w:p>
        </w:tc>
      </w:tr>
      <w:tr>
        <w:tc>
          <w:tcPr>
            <w:tcW w:type="dxa" w:w="1440"/>
            <w:shd w:fill="FFDCE0" w:val="clear"/>
          </w:tcPr>
          <w:p>
            <w:r>
              <w:rPr>
                <w:sz w:val="17"/>
              </w:rPr>
              <w:t>J+2  ⭐⭐⭐</w:t>
            </w:r>
          </w:p>
        </w:tc>
        <w:tc>
          <w:tcPr>
            <w:tcW w:type="dxa" w:w="1440"/>
            <w:shd w:fill="FFDCE0" w:val="clear"/>
          </w:tcPr>
          <w:p>
            <w:r>
              <w:rPr>
                <w:sz w:val="17"/>
              </w:rPr>
              <w:t>2026-08-17</w:t>
            </w:r>
          </w:p>
        </w:tc>
        <w:tc>
          <w:tcPr>
            <w:tcW w:type="dxa" w:w="1440"/>
            <w:shd w:fill="FFDCE0" w:val="clear"/>
          </w:tcPr>
          <w:p>
            <w:r>
              <w:rPr>
                <w:sz w:val="17"/>
              </w:rPr>
              <w:t>5,649</w:t>
            </w:r>
          </w:p>
        </w:tc>
        <w:tc>
          <w:tcPr>
            <w:tcW w:type="dxa" w:w="1440"/>
            <w:shd w:fill="FFDCE0" w:val="clear"/>
          </w:tcPr>
          <w:p>
            <w:r>
              <w:rPr>
                <w:b/>
                <w:sz w:val="17"/>
              </w:rPr>
              <w:t>5,924</w:t>
            </w:r>
          </w:p>
        </w:tc>
        <w:tc>
          <w:tcPr>
            <w:tcW w:type="dxa" w:w="1440"/>
            <w:shd w:fill="FFDCE0" w:val="clear"/>
          </w:tcPr>
          <w:p>
            <w:r>
              <w:rPr>
                <w:sz w:val="17"/>
              </w:rPr>
              <w:t>6,198</w:t>
            </w:r>
          </w:p>
        </w:tc>
        <w:tc>
          <w:tcPr>
            <w:tcW w:type="dxa" w:w="1440"/>
            <w:shd w:fill="FFDCE0" w:val="clear"/>
          </w:tcPr>
          <w:p>
            <w:r>
              <w:rPr>
                <w:b/>
                <w:color w:val="C00000"/>
                <w:sz w:val="17"/>
              </w:rPr>
              <w:t>-3.5%</w:t>
            </w:r>
          </w:p>
        </w:tc>
      </w:tr>
      <w:tr>
        <w:tc>
          <w:tcPr>
            <w:tcW w:type="dxa" w:w="1440"/>
            <w:shd w:fill="FFDCE0" w:val="clear"/>
          </w:tcPr>
          <w:p>
            <w:r>
              <w:rPr>
                <w:sz w:val="17"/>
              </w:rPr>
              <w:t>J+3  ⭐⭐⭐</w:t>
            </w:r>
          </w:p>
        </w:tc>
        <w:tc>
          <w:tcPr>
            <w:tcW w:type="dxa" w:w="1440"/>
            <w:shd w:fill="FFDCE0" w:val="clear"/>
          </w:tcPr>
          <w:p>
            <w:r>
              <w:rPr>
                <w:sz w:val="17"/>
              </w:rPr>
              <w:t>2026-08-18</w:t>
            </w:r>
          </w:p>
        </w:tc>
        <w:tc>
          <w:tcPr>
            <w:tcW w:type="dxa" w:w="1440"/>
            <w:shd w:fill="FFDCE0" w:val="clear"/>
          </w:tcPr>
          <w:p>
            <w:r>
              <w:rPr>
                <w:sz w:val="17"/>
              </w:rPr>
              <w:t>5,468</w:t>
            </w:r>
          </w:p>
        </w:tc>
        <w:tc>
          <w:tcPr>
            <w:tcW w:type="dxa" w:w="1440"/>
            <w:shd w:fill="FFDCE0" w:val="clear"/>
          </w:tcPr>
          <w:p>
            <w:r>
              <w:rPr>
                <w:b/>
                <w:sz w:val="17"/>
              </w:rPr>
              <w:t>5,798</w:t>
            </w:r>
          </w:p>
        </w:tc>
        <w:tc>
          <w:tcPr>
            <w:tcW w:type="dxa" w:w="1440"/>
            <w:shd w:fill="FFDCE0" w:val="clear"/>
          </w:tcPr>
          <w:p>
            <w:r>
              <w:rPr>
                <w:sz w:val="17"/>
              </w:rPr>
              <w:t>6,127</w:t>
            </w:r>
          </w:p>
        </w:tc>
        <w:tc>
          <w:tcPr>
            <w:tcW w:type="dxa" w:w="1440"/>
            <w:shd w:fill="FFDCE0" w:val="clear"/>
          </w:tcPr>
          <w:p>
            <w:r>
              <w:rPr>
                <w:b/>
                <w:color w:val="C00000"/>
                <w:sz w:val="17"/>
              </w:rPr>
              <w:t>-5.6%</w:t>
            </w:r>
          </w:p>
        </w:tc>
      </w:tr>
      <w:tr>
        <w:tc>
          <w:tcPr>
            <w:tcW w:type="dxa" w:w="1440"/>
            <w:shd w:fill="FFDCE0" w:val="clear"/>
          </w:tcPr>
          <w:p>
            <w:r>
              <w:rPr>
                <w:sz w:val="17"/>
              </w:rPr>
              <w:t>J+4  Moyenne</w:t>
            </w:r>
          </w:p>
        </w:tc>
        <w:tc>
          <w:tcPr>
            <w:tcW w:type="dxa" w:w="1440"/>
            <w:shd w:fill="FFDCE0" w:val="clear"/>
          </w:tcPr>
          <w:p>
            <w:r>
              <w:rPr>
                <w:sz w:val="17"/>
              </w:rPr>
              <w:t>2026-08-19</w:t>
            </w:r>
          </w:p>
        </w:tc>
        <w:tc>
          <w:tcPr>
            <w:tcW w:type="dxa" w:w="1440"/>
            <w:shd w:fill="FFDCE0" w:val="clear"/>
          </w:tcPr>
          <w:p>
            <w:r>
              <w:rPr>
                <w:sz w:val="17"/>
              </w:rPr>
              <w:t>5,321</w:t>
            </w:r>
          </w:p>
        </w:tc>
        <w:tc>
          <w:tcPr>
            <w:tcW w:type="dxa" w:w="1440"/>
            <w:shd w:fill="FFDCE0" w:val="clear"/>
          </w:tcPr>
          <w:p>
            <w:r>
              <w:rPr>
                <w:b/>
                <w:sz w:val="17"/>
              </w:rPr>
              <w:t>5,694</w:t>
            </w:r>
          </w:p>
        </w:tc>
        <w:tc>
          <w:tcPr>
            <w:tcW w:type="dxa" w:w="1440"/>
            <w:shd w:fill="FFDCE0" w:val="clear"/>
          </w:tcPr>
          <w:p>
            <w:r>
              <w:rPr>
                <w:sz w:val="17"/>
              </w:rPr>
              <w:t>6,067</w:t>
            </w:r>
          </w:p>
        </w:tc>
        <w:tc>
          <w:tcPr>
            <w:tcW w:type="dxa" w:w="1440"/>
            <w:shd w:fill="FFDCE0" w:val="clear"/>
          </w:tcPr>
          <w:p>
            <w:r>
              <w:rPr>
                <w:b/>
                <w:color w:val="C00000"/>
                <w:sz w:val="17"/>
              </w:rPr>
              <w:t>-7.3%</w:t>
            </w:r>
          </w:p>
        </w:tc>
      </w:tr>
      <w:tr>
        <w:tc>
          <w:tcPr>
            <w:tcW w:type="dxa" w:w="1440"/>
            <w:shd w:fill="FFDCE0" w:val="clear"/>
          </w:tcPr>
          <w:p>
            <w:r>
              <w:rPr>
                <w:sz w:val="17"/>
              </w:rPr>
              <w:t>J+5  Moyenne</w:t>
            </w:r>
          </w:p>
        </w:tc>
        <w:tc>
          <w:tcPr>
            <w:tcW w:type="dxa" w:w="1440"/>
            <w:shd w:fill="FFDCE0" w:val="clear"/>
          </w:tcPr>
          <w:p>
            <w:r>
              <w:rPr>
                <w:sz w:val="17"/>
              </w:rPr>
              <w:t>2026-08-20</w:t>
            </w:r>
          </w:p>
        </w:tc>
        <w:tc>
          <w:tcPr>
            <w:tcW w:type="dxa" w:w="1440"/>
            <w:shd w:fill="FFDCE0" w:val="clear"/>
          </w:tcPr>
          <w:p>
            <w:r>
              <w:rPr>
                <w:sz w:val="17"/>
              </w:rPr>
              <w:t>5,197</w:t>
            </w:r>
          </w:p>
        </w:tc>
        <w:tc>
          <w:tcPr>
            <w:tcW w:type="dxa" w:w="1440"/>
            <w:shd w:fill="FFDCE0" w:val="clear"/>
          </w:tcPr>
          <w:p>
            <w:r>
              <w:rPr>
                <w:b/>
                <w:sz w:val="17"/>
              </w:rPr>
              <w:t>5,608</w:t>
            </w:r>
          </w:p>
        </w:tc>
        <w:tc>
          <w:tcPr>
            <w:tcW w:type="dxa" w:w="1440"/>
            <w:shd w:fill="FFDCE0" w:val="clear"/>
          </w:tcPr>
          <w:p>
            <w:r>
              <w:rPr>
                <w:sz w:val="17"/>
              </w:rPr>
              <w:t>6,019</w:t>
            </w:r>
          </w:p>
        </w:tc>
        <w:tc>
          <w:tcPr>
            <w:tcW w:type="dxa" w:w="1440"/>
            <w:shd w:fill="FFDCE0" w:val="clear"/>
          </w:tcPr>
          <w:p>
            <w:r>
              <w:rPr>
                <w:b/>
                <w:color w:val="C00000"/>
                <w:sz w:val="17"/>
              </w:rPr>
              <w:t>-8.7%</w:t>
            </w:r>
          </w:p>
        </w:tc>
      </w:tr>
      <w:tr>
        <w:tc>
          <w:tcPr>
            <w:tcW w:type="dxa" w:w="1440"/>
            <w:shd w:fill="FFDCE0" w:val="clear"/>
          </w:tcPr>
          <w:p>
            <w:r>
              <w:rPr>
                <w:sz w:val="17"/>
              </w:rPr>
              <w:t>J+6  Moyenne</w:t>
            </w:r>
          </w:p>
        </w:tc>
        <w:tc>
          <w:tcPr>
            <w:tcW w:type="dxa" w:w="1440"/>
            <w:shd w:fill="FFDCE0" w:val="clear"/>
          </w:tcPr>
          <w:p>
            <w:r>
              <w:rPr>
                <w:sz w:val="17"/>
              </w:rPr>
              <w:t>2026-08-21</w:t>
            </w:r>
          </w:p>
        </w:tc>
        <w:tc>
          <w:tcPr>
            <w:tcW w:type="dxa" w:w="1440"/>
            <w:shd w:fill="FFDCE0" w:val="clear"/>
          </w:tcPr>
          <w:p>
            <w:r>
              <w:rPr>
                <w:sz w:val="17"/>
              </w:rPr>
              <w:t>5,087</w:t>
            </w:r>
          </w:p>
        </w:tc>
        <w:tc>
          <w:tcPr>
            <w:tcW w:type="dxa" w:w="1440"/>
            <w:shd w:fill="FFDCE0" w:val="clear"/>
          </w:tcPr>
          <w:p>
            <w:r>
              <w:rPr>
                <w:b/>
                <w:sz w:val="17"/>
              </w:rPr>
              <w:t>5,531</w:t>
            </w:r>
          </w:p>
        </w:tc>
        <w:tc>
          <w:tcPr>
            <w:tcW w:type="dxa" w:w="1440"/>
            <w:shd w:fill="FFDCE0" w:val="clear"/>
          </w:tcPr>
          <w:p>
            <w:r>
              <w:rPr>
                <w:sz w:val="17"/>
              </w:rPr>
              <w:t>5,976</w:t>
            </w:r>
          </w:p>
        </w:tc>
        <w:tc>
          <w:tcPr>
            <w:tcW w:type="dxa" w:w="1440"/>
            <w:shd w:fill="FFDCE0" w:val="clear"/>
          </w:tcPr>
          <w:p>
            <w:r>
              <w:rPr>
                <w:b/>
                <w:color w:val="C00000"/>
                <w:sz w:val="17"/>
              </w:rPr>
              <w:t>-9.9%</w:t>
            </w:r>
          </w:p>
        </w:tc>
      </w:tr>
      <w:tr>
        <w:tc>
          <w:tcPr>
            <w:tcW w:type="dxa" w:w="1440"/>
            <w:shd w:fill="FFDCE0" w:val="clear"/>
          </w:tcPr>
          <w:p>
            <w:r>
              <w:rPr>
                <w:sz w:val="17"/>
              </w:rPr>
              <w:t>J+7  Moyenne</w:t>
            </w:r>
          </w:p>
        </w:tc>
        <w:tc>
          <w:tcPr>
            <w:tcW w:type="dxa" w:w="1440"/>
            <w:shd w:fill="FFDCE0" w:val="clear"/>
          </w:tcPr>
          <w:p>
            <w:r>
              <w:rPr>
                <w:sz w:val="17"/>
              </w:rPr>
              <w:t>2026-08-24</w:t>
            </w:r>
          </w:p>
        </w:tc>
        <w:tc>
          <w:tcPr>
            <w:tcW w:type="dxa" w:w="1440"/>
            <w:shd w:fill="FFDCE0" w:val="clear"/>
          </w:tcPr>
          <w:p>
            <w:r>
              <w:rPr>
                <w:sz w:val="17"/>
              </w:rPr>
              <w:t>4,987</w:t>
            </w:r>
          </w:p>
        </w:tc>
        <w:tc>
          <w:tcPr>
            <w:tcW w:type="dxa" w:w="1440"/>
            <w:shd w:fill="FFDCE0" w:val="clear"/>
          </w:tcPr>
          <w:p>
            <w:r>
              <w:rPr>
                <w:b/>
                <w:sz w:val="17"/>
              </w:rPr>
              <w:t>5,461</w:t>
            </w:r>
          </w:p>
        </w:tc>
        <w:tc>
          <w:tcPr>
            <w:tcW w:type="dxa" w:w="1440"/>
            <w:shd w:fill="FFDCE0" w:val="clear"/>
          </w:tcPr>
          <w:p>
            <w:r>
              <w:rPr>
                <w:sz w:val="17"/>
              </w:rPr>
              <w:t>5,935</w:t>
            </w:r>
          </w:p>
        </w:tc>
        <w:tc>
          <w:tcPr>
            <w:tcW w:type="dxa" w:w="1440"/>
            <w:shd w:fill="FFDCE0" w:val="clear"/>
          </w:tcPr>
          <w:p>
            <w:r>
              <w:rPr>
                <w:b/>
                <w:color w:val="C00000"/>
                <w:sz w:val="17"/>
              </w:rPr>
              <w:t>-11.1%</w:t>
            </w:r>
          </w:p>
        </w:tc>
      </w:tr>
      <w:tr>
        <w:tc>
          <w:tcPr>
            <w:tcW w:type="dxa" w:w="1440"/>
            <w:shd w:fill="FFDCE0" w:val="clear"/>
          </w:tcPr>
          <w:p>
            <w:r>
              <w:rPr>
                <w:sz w:val="17"/>
              </w:rPr>
              <w:t>J+8  Moyenne</w:t>
            </w:r>
          </w:p>
        </w:tc>
        <w:tc>
          <w:tcPr>
            <w:tcW w:type="dxa" w:w="1440"/>
            <w:shd w:fill="FFDCE0" w:val="clear"/>
          </w:tcPr>
          <w:p>
            <w:r>
              <w:rPr>
                <w:sz w:val="17"/>
              </w:rPr>
              <w:t>2026-08-25</w:t>
            </w:r>
          </w:p>
        </w:tc>
        <w:tc>
          <w:tcPr>
            <w:tcW w:type="dxa" w:w="1440"/>
            <w:shd w:fill="FFDCE0" w:val="clear"/>
          </w:tcPr>
          <w:p>
            <w:r>
              <w:rPr>
                <w:sz w:val="17"/>
              </w:rPr>
              <w:t>4,895</w:t>
            </w:r>
          </w:p>
        </w:tc>
        <w:tc>
          <w:tcPr>
            <w:tcW w:type="dxa" w:w="1440"/>
            <w:shd w:fill="FFDCE0" w:val="clear"/>
          </w:tcPr>
          <w:p>
            <w:r>
              <w:rPr>
                <w:b/>
                <w:sz w:val="17"/>
              </w:rPr>
              <w:t>5,395</w:t>
            </w:r>
          </w:p>
        </w:tc>
        <w:tc>
          <w:tcPr>
            <w:tcW w:type="dxa" w:w="1440"/>
            <w:shd w:fill="FFDCE0" w:val="clear"/>
          </w:tcPr>
          <w:p>
            <w:r>
              <w:rPr>
                <w:sz w:val="17"/>
              </w:rPr>
              <w:t>5,895</w:t>
            </w:r>
          </w:p>
        </w:tc>
        <w:tc>
          <w:tcPr>
            <w:tcW w:type="dxa" w:w="1440"/>
            <w:shd w:fill="FFDCE0" w:val="clear"/>
          </w:tcPr>
          <w:p>
            <w:r>
              <w:rPr>
                <w:b/>
                <w:color w:val="C00000"/>
                <w:sz w:val="17"/>
              </w:rPr>
              <w:t>-12.1%</w:t>
            </w:r>
          </w:p>
        </w:tc>
      </w:tr>
      <w:tr>
        <w:tc>
          <w:tcPr>
            <w:tcW w:type="dxa" w:w="1440"/>
            <w:shd w:fill="FFDCE0" w:val="clear"/>
          </w:tcPr>
          <w:p>
            <w:r>
              <w:rPr>
                <w:sz w:val="17"/>
              </w:rPr>
              <w:t>J+9  Moyenne</w:t>
            </w:r>
          </w:p>
        </w:tc>
        <w:tc>
          <w:tcPr>
            <w:tcW w:type="dxa" w:w="1440"/>
            <w:shd w:fill="FFDCE0" w:val="clear"/>
          </w:tcPr>
          <w:p>
            <w:r>
              <w:rPr>
                <w:sz w:val="17"/>
              </w:rPr>
              <w:t>2026-08-27</w:t>
            </w:r>
          </w:p>
        </w:tc>
        <w:tc>
          <w:tcPr>
            <w:tcW w:type="dxa" w:w="1440"/>
            <w:shd w:fill="FFDCE0" w:val="clear"/>
          </w:tcPr>
          <w:p>
            <w:r>
              <w:rPr>
                <w:sz w:val="17"/>
              </w:rPr>
              <w:t>4,809</w:t>
            </w:r>
          </w:p>
        </w:tc>
        <w:tc>
          <w:tcPr>
            <w:tcW w:type="dxa" w:w="1440"/>
            <w:shd w:fill="FFDCE0" w:val="clear"/>
          </w:tcPr>
          <w:p>
            <w:r>
              <w:rPr>
                <w:b/>
                <w:sz w:val="17"/>
              </w:rPr>
              <w:t>5,333</w:t>
            </w:r>
          </w:p>
        </w:tc>
        <w:tc>
          <w:tcPr>
            <w:tcW w:type="dxa" w:w="1440"/>
            <w:shd w:fill="FFDCE0" w:val="clear"/>
          </w:tcPr>
          <w:p>
            <w:r>
              <w:rPr>
                <w:sz w:val="17"/>
              </w:rPr>
              <w:t>5,858</w:t>
            </w:r>
          </w:p>
        </w:tc>
        <w:tc>
          <w:tcPr>
            <w:tcW w:type="dxa" w:w="1440"/>
            <w:shd w:fill="FFDCE0" w:val="clear"/>
          </w:tcPr>
          <w:p>
            <w:r>
              <w:rPr>
                <w:b/>
                <w:color w:val="C00000"/>
                <w:sz w:val="17"/>
              </w:rPr>
              <w:t>-13.1%</w:t>
            </w:r>
          </w:p>
        </w:tc>
      </w:tr>
      <w:tr>
        <w:tc>
          <w:tcPr>
            <w:tcW w:type="dxa" w:w="1440"/>
            <w:shd w:fill="FFDCE0" w:val="clear"/>
          </w:tcPr>
          <w:p>
            <w:r>
              <w:rPr>
                <w:sz w:val="17"/>
              </w:rPr>
              <w:t>J+10  Moyenne</w:t>
            </w:r>
          </w:p>
        </w:tc>
        <w:tc>
          <w:tcPr>
            <w:tcW w:type="dxa" w:w="1440"/>
            <w:shd w:fill="FFDCE0" w:val="clear"/>
          </w:tcPr>
          <w:p>
            <w:r>
              <w:rPr>
                <w:sz w:val="17"/>
              </w:rPr>
              <w:t>2026-08-28</w:t>
            </w:r>
          </w:p>
        </w:tc>
        <w:tc>
          <w:tcPr>
            <w:tcW w:type="dxa" w:w="1440"/>
            <w:shd w:fill="FFDCE0" w:val="clear"/>
          </w:tcPr>
          <w:p>
            <w:r>
              <w:rPr>
                <w:sz w:val="17"/>
              </w:rPr>
              <w:t>4,728</w:t>
            </w:r>
          </w:p>
        </w:tc>
        <w:tc>
          <w:tcPr>
            <w:tcW w:type="dxa" w:w="1440"/>
            <w:shd w:fill="FFDCE0" w:val="clear"/>
          </w:tcPr>
          <w:p>
            <w:r>
              <w:rPr>
                <w:b/>
                <w:sz w:val="17"/>
              </w:rPr>
              <w:t>5,274</w:t>
            </w:r>
          </w:p>
        </w:tc>
        <w:tc>
          <w:tcPr>
            <w:tcW w:type="dxa" w:w="1440"/>
            <w:shd w:fill="FFDCE0" w:val="clear"/>
          </w:tcPr>
          <w:p>
            <w:r>
              <w:rPr>
                <w:sz w:val="17"/>
              </w:rPr>
              <w:t>5,821</w:t>
            </w:r>
          </w:p>
        </w:tc>
        <w:tc>
          <w:tcPr>
            <w:tcW w:type="dxa" w:w="1440"/>
            <w:shd w:fill="FFDCE0" w:val="clear"/>
          </w:tcPr>
          <w:p>
            <w:r>
              <w:rPr>
                <w:b/>
                <w:color w:val="C00000"/>
                <w:sz w:val="17"/>
              </w:rPr>
              <w:t>-14.1%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168,54 milliards FCFA, ce qui positionne la banque parmi les valeurs moyennes du marché de la BRVM, avec une liquidité quotidienne modeste d'environ 6 361 titres échangés par jour. Le BPA de 404 FCFA indique que chaque action génère un bénéfice substantiel, justifiant un PER de 15,2x, supérieur à la moyenne historique de la BRVM (8-12x), ce qui traduit une prime de croissance accordée par le marché à la valeur. Le P/B de 3,38x confirme cette prime, le marché valorisant la banque nettement au-dessus de sa valeur comptable, signe de confiance dans sa capacité à générer de la valeur future. Enfin, l'EV/EBITDA de 7,8x, dans la fourchette raisonnable de 5-10x, indique que la valorisation globale de l'entreprise par rapport à sa capacité opérationnelle demeure mesurée et cohérente avec ses fondamentaux.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progression spectaculaire de +28,72%, avec une dernière séance en hausse de +1,49%, portant le cours à 6 140 FCFA, son plus haut niveau sur la période. Le titre a évolué dans une fourchette de 4 425 à 6 140 FCFA, démontrant une dynamique haussière soutenue. La moyenne du cours sur la période (4 975 FCFA) est inférieure à la médiane (4 758 FCFA), et le skewness positif de 0,904 indique une asymétrie avec davantage de journées sous la moyenne, mais des mouvements de hausse plus amples. L'écart-type de 440 FCFA (CV=8,8%) révèle une dispersion modérée, tandis que le kurtosis de -0,549 (mésokurtique) suggère une distribution proche de la normale, sans risque de pics extrêmes. La volatilité annualisée de 31,8% classe le titre comme très volatil, reflétant un risque élevé mais aussi un fort potentiel de rendement.</w:t>
      </w:r>
    </w:p>
    <w:p>
      <w:pPr>
        <w:spacing w:after="120" w:line="276" w:lineRule="auto" w:before="240"/>
      </w:pPr>
      <w:r>
        <w:rPr>
          <w:b/>
          <w:color w:val="003366"/>
          <w:sz w:val="24"/>
        </w:rPr>
        <w:t>**PARTIE 2 : ANALYSE TECHNIQUE DÉTAILLÉE**</w:t>
      </w:r>
    </w:p>
    <w:p>
      <w:pPr>
        <w:spacing w:after="120" w:line="276" w:lineRule="auto"/>
      </w:pPr>
      <w:r>
        <w:t>**Moyennes Mobiles** : Le cours actuel de 6 140 FCFA se situe nettement au-dessus de la MM20 (5 692,25 FCFA) et de la MM50 (5 211,8 FCFA), confirmant une tendance haussière solide à court et moyen terme. L'écart croissant entre les deux moyennes mobiles renforce le signal d'achat, indiquant une accélération du momentum haussier.</w:t>
      </w:r>
    </w:p>
    <w:p>
      <w:pPr>
        <w:spacing w:after="120" w:line="276" w:lineRule="auto"/>
      </w:pPr>
      <w:r>
        <w:t>**Bandes de Bollinger** : Le prix évolue au-dessus de la borne supérieure (6 030,22 FCFA), signalant une condition de surachat extrême. Cette sortie de bande suggère une volatilité accrue et un mouvement directionnel fort, mais historiquement, elle précède souvent une consolidation ou un repli technique. La décision de vente est donc justifiée par ce dépassement inhabituel.</w:t>
      </w:r>
    </w:p>
    <w:p>
      <w:pPr>
        <w:spacing w:after="120" w:line="276" w:lineRule="auto"/>
      </w:pPr>
      <w:r>
        <w:t>**MACD** : Le MACD (180,497) est nettement supérieur à sa ligne de signal (157,819), confirmant un momentum haussier robuste. La divergence positive indique que la dynamique d'achat reste dominante, soutenant la poursuite de la tendance haussière à moyen terme. Le signal d'achat est cohérent avec la tendance générale.</w:t>
      </w:r>
    </w:p>
    <w:p>
      <w:pPr>
        <w:spacing w:after="120" w:line="276" w:lineRule="auto"/>
      </w:pPr>
      <w:r>
        <w:t>**RSI** : Le RSI à 71,084 dépasse le seuil de surachat de 70, indiquant que le titre est techniquement surévalué à court terme. Cette zone suggère une pression acheteuse excessive qui pourrait s'essouffler, justifiant la décision de vente. Un repli technique serait sain pour relancer une dynamique durable.</w:t>
      </w:r>
    </w:p>
    <w:p>
      <w:pPr>
        <w:spacing w:after="120" w:line="276" w:lineRule="auto"/>
      </w:pPr>
      <w:r>
        <w:t>**Stochastique** : Le %K et le %D sont tous deux à 100, en zone de surachat extrême, signalant une condition de marché très tendue. Cette configuration indique que le titre est survendu à la hausse et qu'un retour vers des niveaux plus raisonnables est probable à court terme. La décision de vente est donc cohérente avec cet indicateur.</w:t>
      </w:r>
    </w:p>
    <w:p>
      <w:pPr>
        <w:spacing w:after="120" w:line="276" w:lineRule="auto"/>
      </w:pPr>
      <w:r>
        <w:t>**Conclusion technique** : Les indicateurs de tendance (MM, MACD) sont tous positifs et confirment une dynamique haussière solide. Cependant, les oscillateurs (RSI, Stochastique, Bandes de Bollinger) signalent tous une condition de surachat extrême, suggérant un risque élevé de correction technique à court terme. La convergence des signaux de vente sur les oscillateurs invite à la prudence malgré la tendance haussière dominante.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BOAM révèlent une banque solidement établie avec un Produit Net Bancaire de 37,996 milliards FCFA et un résultat net de 11,081 milliards FCFA, soit une marge nette de 29,16%. Le ROE de 22,24% est excellent, nettement supérieur au seuil de 15% considéré comme performant, tandis que le ROA de 1,87% témoigne d'une bonne utilisation des actifs. Le coefficient d'exploitation de 63,14% reste légèrement au-dessus du seuil d'efficacité de 60%, mais la tendance est à l'amélioration. Le coût du risque de 43,39% demeure élevé, reflétant les défis du marché malien, mais les dépôts clientèle (502,89 milliards) représentent près du double des créances clientèle (253,65 milliards), indiquant une transformation saine. Les rapports trimestriels 2025 confirment cette trajectoire : le T1 2025 montrait un PNB en baisse de 3,11% mais un résultat net en hausse de 91,18%, le S1 2025 affichait un PNB de 18,71 milliards (+2,7%) et un résultat net de 6,21 milliards (+28,8%), et le T3 2025 a confirmé la dynamique avec un PNB cumulé de 28,52 milliards (+5,8%) et un résultat net de 9,16 milliards (+26,2%). Sur la base de ces performances, on estime que l'exercice 2025 devrait dépasser les prévisions initiales, avec un résultat net annuel potentiellement supérieur à 12 milliards FCFA, confirmant la solidité financière de la banque et sa capacité à générer de la valeur dans un environnement difficile.</w:t>
      </w:r>
    </w:p>
    <w:p>
      <w:pPr>
        <w:spacing w:after="120" w:line="276" w:lineRule="auto" w:before="240"/>
      </w:pPr>
      <w:r>
        <w:rPr>
          <w:b/>
          <w:color w:val="003366"/>
          <w:sz w:val="24"/>
        </w:rPr>
        <w:t>**PARTIE 4 : CONCLUSION D'INVESTISSEMENT**</w:t>
      </w:r>
    </w:p>
    <w:p>
      <w:pPr>
        <w:spacing w:after="120" w:line="276" w:lineRule="auto"/>
      </w:pPr>
      <w:r>
        <w:t>La valorisation de BOAM (PER 15,2x, P/B 3,38x) indique une prime de croissance justifiée par des fondamentaux solides, mais qui laisse peu de marge de sécurité. Le comportement du cours montre une tendance haussière spectaculaire (+28,72% sur 100 jours) avec une volatilité élevée (31,8%) et une asymétrie positive, mais les statistiques suggèrent un risque de consolidation. Les signaux techniques sont partagés : les indicateurs de tendance (MM, MACD) sont positifs, mais les oscillateurs (RSI, Stochastique, Bollinger) signalent tous un surachat extrême, créant une divergence préoccupante. Les fondamentaux sont excellents avec un ROE de 22,24%, un résultat net en forte croissance (+26,2% sur 9 mois) et une gestion prudente du risque. Les prédictions IA prévoient un repli progressif vers 5 608 FCFA sur 10 jours, confirmant le scénario de correction technique. La convergence entre les signaux de surachat technique et les prédictions IA suggère une pause nécessaire dans la hausse. Recommandation : **CONSERVER** avec un niveau de confiance **Moyen**, un risque global **Élevé**, et un horizon d'investissement optimal à **moyen terme (3-12 mois)**. Les investisseurs pourraient envisager un renforcement en cas de repli vers 5 200-5 500 FCFA, zone de support technique et de valorisation plus attractive.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106.08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10,672 titres</w:t>
            </w:r>
          </w:p>
        </w:tc>
        <w:tc>
          <w:tcPr>
            <w:tcW w:type="dxa" w:w="2268"/>
            <w:shd w:fill="FFF2CC" w:val="clear"/>
          </w:tcPr>
          <w:p>
            <w:r>
              <w:rPr>
                <w:b/>
                <w:color w:val="503200"/>
                <w:sz w:val="16"/>
              </w:rPr>
              <w:t xml:space="preserve">Cours actuel : </w:t>
            </w:r>
            <w:r>
              <w:rPr>
                <w:color w:val="000000"/>
                <w:sz w:val="17"/>
              </w:rPr>
              <w:t>5,100 FCFA</w:t>
            </w:r>
          </w:p>
          <w:p>
            <w:r>
              <w:rPr>
                <w:b/>
                <w:color w:val="503200"/>
                <w:sz w:val="16"/>
              </w:rPr>
              <w:t xml:space="preserve">Var. 100 jours : </w:t>
            </w:r>
            <w:r>
              <w:rPr>
                <w:b/>
                <w:color w:val="007800"/>
                <w:sz w:val="17"/>
              </w:rPr>
              <w:t>+86.81%</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2,460 FCFA</w:t>
            </w:r>
          </w:p>
          <w:p>
            <w:r>
              <w:rPr>
                <w:b/>
                <w:color w:val="503200"/>
                <w:sz w:val="16"/>
              </w:rPr>
              <w:t xml:space="preserve">Volatilité ann. : </w:t>
            </w:r>
            <w:r>
              <w:rPr>
                <w:color w:val="000000"/>
                <w:sz w:val="17"/>
              </w:rPr>
              <w:t>42.4%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22.13% (Élevée) — μ=3,882 FCFA, σ=859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β=0.5099 (Défensif) — Cov=0.000019, Var(idx)=0.000036, ρ=0.115,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10,672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2026-08-14</w:t>
            </w:r>
          </w:p>
        </w:tc>
        <w:tc>
          <w:tcPr>
            <w:tcW w:type="dxa" w:w="1440"/>
            <w:shd w:fill="FAFAFA" w:val="clear"/>
          </w:tcPr>
          <w:p>
            <w:r>
              <w:rPr>
                <w:sz w:val="17"/>
              </w:rPr>
              <w:t>4,859</w:t>
            </w:r>
          </w:p>
        </w:tc>
        <w:tc>
          <w:tcPr>
            <w:tcW w:type="dxa" w:w="1440"/>
            <w:shd w:fill="FAFAFA" w:val="clear"/>
          </w:tcPr>
          <w:p>
            <w:r>
              <w:rPr>
                <w:b/>
                <w:sz w:val="17"/>
              </w:rPr>
              <w:t>5,087</w:t>
            </w:r>
          </w:p>
        </w:tc>
        <w:tc>
          <w:tcPr>
            <w:tcW w:type="dxa" w:w="1440"/>
            <w:shd w:fill="FAFAFA" w:val="clear"/>
          </w:tcPr>
          <w:p>
            <w:r>
              <w:rPr>
                <w:sz w:val="17"/>
              </w:rPr>
              <w:t>5,316</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2026-08-17</w:t>
            </w:r>
          </w:p>
        </w:tc>
        <w:tc>
          <w:tcPr>
            <w:tcW w:type="dxa" w:w="1440"/>
            <w:shd w:fill="FAFAFA" w:val="clear"/>
          </w:tcPr>
          <w:p>
            <w:r>
              <w:rPr>
                <w:sz w:val="17"/>
              </w:rPr>
              <w:t>4,755</w:t>
            </w:r>
          </w:p>
        </w:tc>
        <w:tc>
          <w:tcPr>
            <w:tcW w:type="dxa" w:w="1440"/>
            <w:shd w:fill="FAFAFA" w:val="clear"/>
          </w:tcPr>
          <w:p>
            <w:r>
              <w:rPr>
                <w:b/>
                <w:sz w:val="17"/>
              </w:rPr>
              <w:t>5,077</w:t>
            </w:r>
          </w:p>
        </w:tc>
        <w:tc>
          <w:tcPr>
            <w:tcW w:type="dxa" w:w="1440"/>
            <w:shd w:fill="FAFAFA" w:val="clear"/>
          </w:tcPr>
          <w:p>
            <w:r>
              <w:rPr>
                <w:sz w:val="17"/>
              </w:rPr>
              <w:t>5,400</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2026-08-18</w:t>
            </w:r>
          </w:p>
        </w:tc>
        <w:tc>
          <w:tcPr>
            <w:tcW w:type="dxa" w:w="1440"/>
            <w:shd w:fill="FAFAFA" w:val="clear"/>
          </w:tcPr>
          <w:p>
            <w:r>
              <w:rPr>
                <w:sz w:val="17"/>
              </w:rPr>
              <w:t>4,674</w:t>
            </w:r>
          </w:p>
        </w:tc>
        <w:tc>
          <w:tcPr>
            <w:tcW w:type="dxa" w:w="1440"/>
            <w:shd w:fill="FAFAFA" w:val="clear"/>
          </w:tcPr>
          <w:p>
            <w:r>
              <w:rPr>
                <w:b/>
                <w:sz w:val="17"/>
              </w:rPr>
              <w:t>5,068</w:t>
            </w:r>
          </w:p>
        </w:tc>
        <w:tc>
          <w:tcPr>
            <w:tcW w:type="dxa" w:w="1440"/>
            <w:shd w:fill="FAFAFA" w:val="clear"/>
          </w:tcPr>
          <w:p>
            <w:r>
              <w:rPr>
                <w:sz w:val="17"/>
              </w:rPr>
              <w:t>5,462</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2026-08-19</w:t>
            </w:r>
          </w:p>
        </w:tc>
        <w:tc>
          <w:tcPr>
            <w:tcW w:type="dxa" w:w="1440"/>
            <w:shd w:fill="FAFAFA" w:val="clear"/>
          </w:tcPr>
          <w:p>
            <w:r>
              <w:rPr>
                <w:sz w:val="17"/>
              </w:rPr>
              <w:t>4,605</w:t>
            </w:r>
          </w:p>
        </w:tc>
        <w:tc>
          <w:tcPr>
            <w:tcW w:type="dxa" w:w="1440"/>
            <w:shd w:fill="FAFAFA" w:val="clear"/>
          </w:tcPr>
          <w:p>
            <w:r>
              <w:rPr>
                <w:b/>
                <w:sz w:val="17"/>
              </w:rPr>
              <w:t>5,059</w:t>
            </w:r>
          </w:p>
        </w:tc>
        <w:tc>
          <w:tcPr>
            <w:tcW w:type="dxa" w:w="1440"/>
            <w:shd w:fill="FAFAFA" w:val="clear"/>
          </w:tcPr>
          <w:p>
            <w:r>
              <w:rPr>
                <w:sz w:val="17"/>
              </w:rPr>
              <w:t>5,513</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2026-08-20</w:t>
            </w:r>
          </w:p>
        </w:tc>
        <w:tc>
          <w:tcPr>
            <w:tcW w:type="dxa" w:w="1440"/>
            <w:shd w:fill="FAFAFA" w:val="clear"/>
          </w:tcPr>
          <w:p>
            <w:r>
              <w:rPr>
                <w:sz w:val="17"/>
              </w:rPr>
              <w:t>4,543</w:t>
            </w:r>
          </w:p>
        </w:tc>
        <w:tc>
          <w:tcPr>
            <w:tcW w:type="dxa" w:w="1440"/>
            <w:shd w:fill="FAFAFA" w:val="clear"/>
          </w:tcPr>
          <w:p>
            <w:r>
              <w:rPr>
                <w:b/>
                <w:sz w:val="17"/>
              </w:rPr>
              <w:t>5,050</w:t>
            </w:r>
          </w:p>
        </w:tc>
        <w:tc>
          <w:tcPr>
            <w:tcW w:type="dxa" w:w="1440"/>
            <w:shd w:fill="FAFAFA" w:val="clear"/>
          </w:tcPr>
          <w:p>
            <w:r>
              <w:rPr>
                <w:sz w:val="17"/>
              </w:rPr>
              <w:t>5,557</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2026-08-21</w:t>
            </w:r>
          </w:p>
        </w:tc>
        <w:tc>
          <w:tcPr>
            <w:tcW w:type="dxa" w:w="1440"/>
            <w:shd w:fill="FAFAFA" w:val="clear"/>
          </w:tcPr>
          <w:p>
            <w:r>
              <w:rPr>
                <w:sz w:val="17"/>
              </w:rPr>
              <w:t>4,487</w:t>
            </w:r>
          </w:p>
        </w:tc>
        <w:tc>
          <w:tcPr>
            <w:tcW w:type="dxa" w:w="1440"/>
            <w:shd w:fill="FAFAFA" w:val="clear"/>
          </w:tcPr>
          <w:p>
            <w:r>
              <w:rPr>
                <w:b/>
                <w:sz w:val="17"/>
              </w:rPr>
              <w:t>5,041</w:t>
            </w:r>
          </w:p>
        </w:tc>
        <w:tc>
          <w:tcPr>
            <w:tcW w:type="dxa" w:w="1440"/>
            <w:shd w:fill="FAFAFA" w:val="clear"/>
          </w:tcPr>
          <w:p>
            <w:r>
              <w:rPr>
                <w:sz w:val="17"/>
              </w:rPr>
              <w:t>5,596</w:t>
            </w:r>
          </w:p>
        </w:tc>
        <w:tc>
          <w:tcPr>
            <w:tcW w:type="dxa" w:w="1440"/>
            <w:shd w:fill="FAFAFA" w:val="clear"/>
          </w:tcPr>
          <w:p>
            <w:r>
              <w:rPr>
                <w:b/>
                <w:color w:val="C00000"/>
                <w:sz w:val="17"/>
              </w:rPr>
              <w:t>-1.1%</w:t>
            </w:r>
          </w:p>
        </w:tc>
      </w:tr>
      <w:tr>
        <w:tc>
          <w:tcPr>
            <w:tcW w:type="dxa" w:w="1440"/>
            <w:shd w:fill="FAFAFA" w:val="clear"/>
          </w:tcPr>
          <w:p>
            <w:r>
              <w:rPr>
                <w:sz w:val="17"/>
              </w:rPr>
              <w:t>J+7  ⭐</w:t>
            </w:r>
          </w:p>
        </w:tc>
        <w:tc>
          <w:tcPr>
            <w:tcW w:type="dxa" w:w="1440"/>
            <w:shd w:fill="FAFAFA" w:val="clear"/>
          </w:tcPr>
          <w:p>
            <w:r>
              <w:rPr>
                <w:sz w:val="17"/>
              </w:rPr>
              <w:t>2026-08-24</w:t>
            </w:r>
          </w:p>
        </w:tc>
        <w:tc>
          <w:tcPr>
            <w:tcW w:type="dxa" w:w="1440"/>
            <w:shd w:fill="FAFAFA" w:val="clear"/>
          </w:tcPr>
          <w:p>
            <w:r>
              <w:rPr>
                <w:sz w:val="17"/>
              </w:rPr>
              <w:t>4,435</w:t>
            </w:r>
          </w:p>
        </w:tc>
        <w:tc>
          <w:tcPr>
            <w:tcW w:type="dxa" w:w="1440"/>
            <w:shd w:fill="FAFAFA" w:val="clear"/>
          </w:tcPr>
          <w:p>
            <w:r>
              <w:rPr>
                <w:b/>
                <w:sz w:val="17"/>
              </w:rPr>
              <w:t>5,033</w:t>
            </w:r>
          </w:p>
        </w:tc>
        <w:tc>
          <w:tcPr>
            <w:tcW w:type="dxa" w:w="1440"/>
            <w:shd w:fill="FAFAFA" w:val="clear"/>
          </w:tcPr>
          <w:p>
            <w:r>
              <w:rPr>
                <w:sz w:val="17"/>
              </w:rPr>
              <w:t>5,630</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2026-08-25</w:t>
            </w:r>
          </w:p>
        </w:tc>
        <w:tc>
          <w:tcPr>
            <w:tcW w:type="dxa" w:w="1440"/>
            <w:shd w:fill="FAFAFA" w:val="clear"/>
          </w:tcPr>
          <w:p>
            <w:r>
              <w:rPr>
                <w:sz w:val="17"/>
              </w:rPr>
              <w:t>4,386</w:t>
            </w:r>
          </w:p>
        </w:tc>
        <w:tc>
          <w:tcPr>
            <w:tcW w:type="dxa" w:w="1440"/>
            <w:shd w:fill="FAFAFA" w:val="clear"/>
          </w:tcPr>
          <w:p>
            <w:r>
              <w:rPr>
                <w:b/>
                <w:sz w:val="17"/>
              </w:rPr>
              <w:t>5,024</w:t>
            </w:r>
          </w:p>
        </w:tc>
        <w:tc>
          <w:tcPr>
            <w:tcW w:type="dxa" w:w="1440"/>
            <w:shd w:fill="FAFAFA" w:val="clear"/>
          </w:tcPr>
          <w:p>
            <w:r>
              <w:rPr>
                <w:sz w:val="17"/>
              </w:rPr>
              <w:t>5,662</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2026-08-27</w:t>
            </w:r>
          </w:p>
        </w:tc>
        <w:tc>
          <w:tcPr>
            <w:tcW w:type="dxa" w:w="1440"/>
            <w:shd w:fill="FAFAFA" w:val="clear"/>
          </w:tcPr>
          <w:p>
            <w:r>
              <w:rPr>
                <w:sz w:val="17"/>
              </w:rPr>
              <w:t>4,340</w:t>
            </w:r>
          </w:p>
        </w:tc>
        <w:tc>
          <w:tcPr>
            <w:tcW w:type="dxa" w:w="1440"/>
            <w:shd w:fill="FAFAFA" w:val="clear"/>
          </w:tcPr>
          <w:p>
            <w:r>
              <w:rPr>
                <w:b/>
                <w:sz w:val="17"/>
              </w:rPr>
              <w:t>5,016</w:t>
            </w:r>
          </w:p>
        </w:tc>
        <w:tc>
          <w:tcPr>
            <w:tcW w:type="dxa" w:w="1440"/>
            <w:shd w:fill="FAFAFA" w:val="clear"/>
          </w:tcPr>
          <w:p>
            <w:r>
              <w:rPr>
                <w:sz w:val="17"/>
              </w:rPr>
              <w:t>5,691</w:t>
            </w:r>
          </w:p>
        </w:tc>
        <w:tc>
          <w:tcPr>
            <w:tcW w:type="dxa" w:w="1440"/>
            <w:shd w:fill="FAFAFA" w:val="clear"/>
          </w:tcPr>
          <w:p>
            <w:r>
              <w:rPr>
                <w:b/>
                <w:color w:val="C00000"/>
                <w:sz w:val="17"/>
              </w:rPr>
              <w:t>-1.7%</w:t>
            </w:r>
          </w:p>
        </w:tc>
      </w:tr>
      <w:tr>
        <w:tc>
          <w:tcPr>
            <w:tcW w:type="dxa" w:w="1440"/>
            <w:shd w:fill="FAFAFA" w:val="clear"/>
          </w:tcPr>
          <w:p>
            <w:r>
              <w:rPr>
                <w:sz w:val="17"/>
              </w:rPr>
              <w:t>J+10  ⭐</w:t>
            </w:r>
          </w:p>
        </w:tc>
        <w:tc>
          <w:tcPr>
            <w:tcW w:type="dxa" w:w="1440"/>
            <w:shd w:fill="FAFAFA" w:val="clear"/>
          </w:tcPr>
          <w:p>
            <w:r>
              <w:rPr>
                <w:sz w:val="17"/>
              </w:rPr>
              <w:t>2026-08-28</w:t>
            </w:r>
          </w:p>
        </w:tc>
        <w:tc>
          <w:tcPr>
            <w:tcW w:type="dxa" w:w="1440"/>
            <w:shd w:fill="FAFAFA" w:val="clear"/>
          </w:tcPr>
          <w:p>
            <w:r>
              <w:rPr>
                <w:sz w:val="17"/>
              </w:rPr>
              <w:t>4,297</w:t>
            </w:r>
          </w:p>
        </w:tc>
        <w:tc>
          <w:tcPr>
            <w:tcW w:type="dxa" w:w="1440"/>
            <w:shd w:fill="FAFAFA" w:val="clear"/>
          </w:tcPr>
          <w:p>
            <w:r>
              <w:rPr>
                <w:b/>
                <w:sz w:val="17"/>
              </w:rPr>
              <w:t>5,007</w:t>
            </w:r>
          </w:p>
        </w:tc>
        <w:tc>
          <w:tcPr>
            <w:tcW w:type="dxa" w:w="1440"/>
            <w:shd w:fill="FAFAFA" w:val="clear"/>
          </w:tcPr>
          <w:p>
            <w:r>
              <w:rPr>
                <w:sz w:val="17"/>
              </w:rPr>
              <w:t>5,718</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 NIGER (BOAN)**</w:t>
        <w:br/>
        <w:t>**Date de l'analyse : 13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106,08 milliards FCFA, un niveau significatif qui la positionne parmi les valeurs moyennes de la BRVM, reflétant un intérêt certain des investisseurs pour ce titre. Le BPA de 20 FCFA par action est extrêmement faible, ce qui explique un PER de 259,4x, très largement supérieur à la moyenne du marché BRVM (8-12x). Les investisseurs paient donc un prix considérable pour chaque franc de bénéfice, ce qui traduit une anticipation de croissance future très forte ou une spéculation importante. Le P/B de 2,94x indique que le marché valorise la société à près de trois fois sa valeur comptable, une prime de croissance accordée malgré des fondamentaux dégradés. Enfin, l'EV/EBITDA de 39,5x est extrêmement exigeant, comparé à un seuil de 15x considéré comme élevé, signalant que la valeur totale de l'entreprise est très supérieure à sa capacité opérationnelle actuelle. Ces ratios de valorisation sont tous à des niveaux qui suggèrent une surévaluation manifeste du titre par rapport aux bénéfices et à la valeur des actifs.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BOAN a enregistré une variation totale spectaculaire de +86,81%, avec un cours actuel de 5 100 FCFA, tandis que la variation sur la dernière séance était nulle (0,00%). Le titre a évolué dans une fourchette très large, oscillant entre un plus bas de 2 460 FCFA et un plus haut de 5 400 FCFA, illustrant une tendance fortement haussière mais également une grande nervosité du marché. La moyenne du cours sur la période est de 3 882 FCFA, légèrement supérieure à la médiane de 3 705 FCFA, ce qui suggère une distribution légèrement asymétrique à gauche, confirmée par un skewness positif de 0,331. L'écart-type de 863 FCFA, avec un coefficient de variation de 22,2%, indique une dispersion modérée des prix autour de la moyenne. Le kurtosis en excès de -0,902 (mésokurtique) suggère une distribution proche de la normale, avec un faible risque de variations extrêmes. La volatilité annualisée de 42,4% est très élevée, classant BOAN comme un actif à haut risque, ce qui est cohérent avec la forte progression du cours et les incertitudes fondamentales.</w:t>
      </w:r>
    </w:p>
    <w:p>
      <w:pPr>
        <w:spacing w:after="120" w:line="276" w:lineRule="auto"/>
      </w:pPr>
      <w:r>
        <w:t>---</w:t>
      </w:r>
    </w:p>
    <w:p>
      <w:pPr>
        <w:spacing w:after="120" w:line="276" w:lineRule="auto"/>
      </w:pPr>
      <w:r>
        <w:t>### PARTIE 2 : ANALYSE TECHNIQUE DÉTAILLÉE</w:t>
      </w:r>
    </w:p>
    <w:p>
      <w:pPr>
        <w:spacing w:after="120" w:line="276" w:lineRule="auto"/>
      </w:pPr>
      <w:r>
        <w:t>**Moyennes Mobiles** : La MM20 à 5 238,25 FCFA et la MM50 à 4 543,6 FCFA sont toutes deux inférieures au cours actuel de 5 100 FCFA pour la MM20, mais supérieures pour la MM50. Le cours se situe sous sa moyenne à court terme mais au-dessus de sa moyenne à long terme, indiquant un récent repli après une forte hausse. La décision d'achat signalée par le croisement haussier des MM50 et MM20 reste valide, bien que la dynamique à court terme semble se refroidir.</w:t>
      </w:r>
    </w:p>
    <w:p>
      <w:pPr>
        <w:spacing w:after="120" w:line="276" w:lineRule="auto"/>
      </w:pPr>
      <w:r>
        <w:t>**Bandes de Bollinger** : Le prix actuel de 5 100 FCFA se positionne près de la borne inférieure (5 023,546 FCFA) et loin de la borne supérieure (5 452,954 FCFA), ce qui suggère une pression vendeuse récente après une période de forte volatilité. La décision neutre indique que le marché n'est ni en situation de surachat ni de survente extrême, mais le resserrement des bandes pourrait précéder un mouvement significatif.</w:t>
      </w:r>
    </w:p>
    <w:p>
      <w:pPr>
        <w:spacing w:after="120" w:line="276" w:lineRule="auto"/>
      </w:pPr>
      <w:r>
        <w:t>**MACD** : La valeur du MACD (148,283) est inférieure à sa ligne de signal (215,777), formant une divergence baissière. Ce croisement négatif indique un affaiblissement du momentum haussier, ce qui justifie la décision de vente. Les investisseurs pourraient interpréter ce signal comme un signe de correction à venir.</w:t>
      </w:r>
    </w:p>
    <w:p>
      <w:pPr>
        <w:spacing w:after="120" w:line="276" w:lineRule="auto"/>
      </w:pPr>
      <w:r>
        <w:t>**RSI** : Le RSI à 34,591 se situe en zone neutre, mais proche du seuil de survente (30). Cela suggère que le titre est sous-pondéré à court terme, mais sans signal extrême. La décision neutre reflète une absence de dynamique claire, avec un potentiel de rebond si le RSI se rapproche de 30.</w:t>
      </w:r>
    </w:p>
    <w:p>
      <w:pPr>
        <w:spacing w:after="120" w:line="276" w:lineRule="auto"/>
      </w:pPr>
      <w:r>
        <w:t>**Stochastique** : Le %K et le %D sont tous deux à 7,692, en territoire de survente profonde. Ce niveau indique que le titre a été massivement vendu à court terme, ce qui pourrait précéder un rebond technique. La décision d'achat est donc justifiée par cette situation de survente extrême.</w:t>
      </w:r>
    </w:p>
    <w:p>
      <w:pPr>
        <w:spacing w:after="120" w:line="276" w:lineRule="auto"/>
      </w:pPr>
      <w:r>
        <w:t>**Conclusion technique** : Les signaux techniques sont mitigés. D'un côté, les moyennes mobiles et le stochastique suggèrent un potentiel de rebond, tandis que le MACD et la position sous la MM20 indiquent une faiblesse à court terme. La configuration actuelle, avec un RSI neutre et des bandes de Bollinger resserrées, suggère une phase de consolidation après une forte hausse, avec un risque de correction si le support de la borne inférieure est cassé.</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de BOAN révèlent une situation financière très dégradée. Le Produit Net Bancaire (PNB) s'établit à 21,125 milliards FCFA, en légère baisse de 1,2% par rapport à 2024 (21,380 milliards FCFA). Le résultat net est en chute libre, passant de 5,002 milliards FCFA en 2024 à seulement 409 millions FCFA en 2025, soit une baisse de 91,8%. Cette contre-performance se reflète dans les ratios de rentabilité : le ROE s'effondre à 1,13% et le ROA à 0,14%, contre respectivement 11,39% et 1,49% en 2024. Le coefficient d'exploitation de 74,37% est très élevé, indiquant une mauvaise efficacité opérationnelle (supérieur au seuil de 60%). Le coût du risque, à 67,30% des charges financières, est préoccupant, reflétant un portefeuille de crédits de mauvaise qualité avec un taux de créances en souffrance de 24%. Le ratio dépôts/crédits est de 1,43 (183,280 Mds / 128,447 Mds), montrant une transformation acceptable mais avec une contraction des crédits de 20,9%. Les rapports trimestriels de 2025 confirment cette tendance : au T1, le PNB chutait de 16,3% et le résultat net de 50,2%, tandis qu'au S1, la baisse du PNB était de 4,1% et celle du résultat net de 25,2%. Cependant, le rapport du T1 2026 (publié en 2026) montre une nette amélioration : le PNB progresse de 7,9% à 5,170 milliards FCFA et le résultat net bondit de 28,9% à 1,467 milliard FCFA, avec un coefficient d'exploitation amélioré à 56,2%. Sur cette base, on estime que l'exercice 2026 pourrait voir un PNB en hausse de 6 à 8% et un résultat net en forte progression, potentiellement multiplié par 3 à 4 par rapport à 2025, si la tendance du T1 se confirme. La banque bénéficie du soutien du groupe BOA et d'un contexte macroéconomique nigérien en amélioration (croissance du PIB de 6,6% en 2025, prévision de 7% en 2026-2029). La recommandation fondamentale est de conserver le titre avec prudence, car la reprise est amorcée mais les risques de crédit et politiques restent élevés.</w:t>
      </w:r>
    </w:p>
    <w:p>
      <w:pPr>
        <w:spacing w:after="120" w:line="276" w:lineRule="auto"/>
      </w:pPr>
      <w:r>
        <w:t>---</w:t>
      </w:r>
    </w:p>
    <w:p>
      <w:pPr>
        <w:spacing w:after="120" w:line="276" w:lineRule="auto"/>
      </w:pPr>
      <w:r>
        <w:t>### PARTIE 4 : CONCLUSION D'INVESTISSEMENT</w:t>
      </w:r>
    </w:p>
    <w:p>
      <w:pPr>
        <w:spacing w:after="120" w:line="276" w:lineRule="auto"/>
      </w:pPr>
      <w:r>
        <w:t>La synthèse globale révèle une divergence majeure entre la valorisation boursière et les fondamentaux. Les ratios de valorisation (PER de 259,4x, EV/EBITDA de 39,5x) indiquent une surévaluation extrême du titre par rapport à ses bénéfices actuels, tandis que le comportement du cours (+86,81% sur 100 jours) et la volatilité élevée (42,4%) suggèrent un mouvement spéculatif important. Les signaux techniques sont mitigés, avec un MACD baissier mais un stochastique en survente, indiquant une possible consolidation. Les fondamentaux, bien que très faibles en 2025, montrent des signes de redressement au T1 2026, avec une amélioration du PNB et du résultat net. Les prédictions IA pour les 10 prochains jours (de 5 087 à 5 050 FCFA) suggèrent une légère baisse, confirmant le refroidissement technique à court terme. En conclusion, la recommandation est **CONSERVER** avec un niveau de confiance **Faible** et un risque global **Élevé**. La valorisation actuelle intègre des anticipations de reprise très optimistes, et tout écart par rapport aux objectifs 2026 pourrait entraîner une correction sévère. L'horizon d'investissement optimal est le **moyen terme (3-12 mois)**, en attendant la confirmation de la reprise économique au Niger et l'amélioration durable des indicateurs de rentabilité.</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276.84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9,254 titres</w:t>
            </w:r>
          </w:p>
        </w:tc>
        <w:tc>
          <w:tcPr>
            <w:tcW w:type="dxa" w:w="2268"/>
            <w:shd w:fill="FFF2CC" w:val="clear"/>
          </w:tcPr>
          <w:p>
            <w:r>
              <w:rPr>
                <w:b/>
                <w:color w:val="503200"/>
                <w:sz w:val="16"/>
              </w:rPr>
              <w:t xml:space="preserve">Cours actuel : </w:t>
            </w:r>
            <w:r>
              <w:rPr>
                <w:color w:val="000000"/>
                <w:sz w:val="17"/>
              </w:rPr>
              <w:t>7,690 FCFA</w:t>
            </w:r>
          </w:p>
          <w:p>
            <w:r>
              <w:rPr>
                <w:b/>
                <w:color w:val="503200"/>
                <w:sz w:val="16"/>
              </w:rPr>
              <w:t xml:space="preserve">Var. 100 jours : </w:t>
            </w:r>
            <w:r>
              <w:rPr>
                <w:b/>
                <w:color w:val="007800"/>
                <w:sz w:val="17"/>
              </w:rPr>
              <w:t>+12.76%</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6,400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5.39% (Moyenne) — μ=7,282 FCFA, σ=392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β=0.5111 (Défensif) — Cov=0.000019, Var(idx)=0.000036, ρ=0.200,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9,254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2026-08-14</w:t>
            </w:r>
          </w:p>
        </w:tc>
        <w:tc>
          <w:tcPr>
            <w:tcW w:type="dxa" w:w="1440"/>
            <w:shd w:fill="FFDCE0" w:val="clear"/>
          </w:tcPr>
          <w:p>
            <w:r>
              <w:rPr>
                <w:sz w:val="17"/>
              </w:rPr>
              <w:t>7,348</w:t>
            </w:r>
          </w:p>
        </w:tc>
        <w:tc>
          <w:tcPr>
            <w:tcW w:type="dxa" w:w="1440"/>
            <w:shd w:fill="FFDCE0" w:val="clear"/>
          </w:tcPr>
          <w:p>
            <w:r>
              <w:rPr>
                <w:b/>
                <w:sz w:val="17"/>
              </w:rPr>
              <w:t>7,523</w:t>
            </w:r>
          </w:p>
        </w:tc>
        <w:tc>
          <w:tcPr>
            <w:tcW w:type="dxa" w:w="1440"/>
            <w:shd w:fill="FFDCE0" w:val="clear"/>
          </w:tcPr>
          <w:p>
            <w:r>
              <w:rPr>
                <w:sz w:val="17"/>
              </w:rPr>
              <w:t>7,698</w:t>
            </w:r>
          </w:p>
        </w:tc>
        <w:tc>
          <w:tcPr>
            <w:tcW w:type="dxa" w:w="1440"/>
            <w:shd w:fill="FFDCE0" w:val="clear"/>
          </w:tcPr>
          <w:p>
            <w:r>
              <w:rPr>
                <w:b/>
                <w:color w:val="C00000"/>
                <w:sz w:val="17"/>
              </w:rPr>
              <w:t>-2.2%</w:t>
            </w:r>
          </w:p>
        </w:tc>
      </w:tr>
      <w:tr>
        <w:tc>
          <w:tcPr>
            <w:tcW w:type="dxa" w:w="1440"/>
            <w:shd w:fill="FFDCE0" w:val="clear"/>
          </w:tcPr>
          <w:p>
            <w:r>
              <w:rPr>
                <w:sz w:val="17"/>
              </w:rPr>
              <w:t>J+2  ⭐⭐⭐</w:t>
            </w:r>
          </w:p>
        </w:tc>
        <w:tc>
          <w:tcPr>
            <w:tcW w:type="dxa" w:w="1440"/>
            <w:shd w:fill="FFDCE0" w:val="clear"/>
          </w:tcPr>
          <w:p>
            <w:r>
              <w:rPr>
                <w:sz w:val="17"/>
              </w:rPr>
              <w:t>2026-08-17</w:t>
            </w:r>
          </w:p>
        </w:tc>
        <w:tc>
          <w:tcPr>
            <w:tcW w:type="dxa" w:w="1440"/>
            <w:shd w:fill="FFDCE0" w:val="clear"/>
          </w:tcPr>
          <w:p>
            <w:r>
              <w:rPr>
                <w:sz w:val="17"/>
              </w:rPr>
              <w:t>7,169</w:t>
            </w:r>
          </w:p>
        </w:tc>
        <w:tc>
          <w:tcPr>
            <w:tcW w:type="dxa" w:w="1440"/>
            <w:shd w:fill="FFDCE0" w:val="clear"/>
          </w:tcPr>
          <w:p>
            <w:r>
              <w:rPr>
                <w:b/>
                <w:sz w:val="17"/>
              </w:rPr>
              <w:t>7,413</w:t>
            </w:r>
          </w:p>
        </w:tc>
        <w:tc>
          <w:tcPr>
            <w:tcW w:type="dxa" w:w="1440"/>
            <w:shd w:fill="FFDCE0" w:val="clear"/>
          </w:tcPr>
          <w:p>
            <w:r>
              <w:rPr>
                <w:sz w:val="17"/>
              </w:rPr>
              <w:t>7,657</w:t>
            </w:r>
          </w:p>
        </w:tc>
        <w:tc>
          <w:tcPr>
            <w:tcW w:type="dxa" w:w="1440"/>
            <w:shd w:fill="FFDCE0" w:val="clear"/>
          </w:tcPr>
          <w:p>
            <w:r>
              <w:rPr>
                <w:b/>
                <w:color w:val="C00000"/>
                <w:sz w:val="17"/>
              </w:rPr>
              <w:t>-3.6%</w:t>
            </w:r>
          </w:p>
        </w:tc>
      </w:tr>
      <w:tr>
        <w:tc>
          <w:tcPr>
            <w:tcW w:type="dxa" w:w="1440"/>
            <w:shd w:fill="FFDCE0" w:val="clear"/>
          </w:tcPr>
          <w:p>
            <w:r>
              <w:rPr>
                <w:sz w:val="17"/>
              </w:rPr>
              <w:t>J+3  ⭐⭐⭐</w:t>
            </w:r>
          </w:p>
        </w:tc>
        <w:tc>
          <w:tcPr>
            <w:tcW w:type="dxa" w:w="1440"/>
            <w:shd w:fill="FFDCE0" w:val="clear"/>
          </w:tcPr>
          <w:p>
            <w:r>
              <w:rPr>
                <w:sz w:val="17"/>
              </w:rPr>
              <w:t>2026-08-18</w:t>
            </w:r>
          </w:p>
        </w:tc>
        <w:tc>
          <w:tcPr>
            <w:tcW w:type="dxa" w:w="1440"/>
            <w:shd w:fill="FFDCE0" w:val="clear"/>
          </w:tcPr>
          <w:p>
            <w:r>
              <w:rPr>
                <w:sz w:val="17"/>
              </w:rPr>
              <w:t>7,011</w:t>
            </w:r>
          </w:p>
        </w:tc>
        <w:tc>
          <w:tcPr>
            <w:tcW w:type="dxa" w:w="1440"/>
            <w:shd w:fill="FFDCE0" w:val="clear"/>
          </w:tcPr>
          <w:p>
            <w:r>
              <w:rPr>
                <w:b/>
                <w:sz w:val="17"/>
              </w:rPr>
              <w:t>7,305</w:t>
            </w:r>
          </w:p>
        </w:tc>
        <w:tc>
          <w:tcPr>
            <w:tcW w:type="dxa" w:w="1440"/>
            <w:shd w:fill="FFDCE0" w:val="clear"/>
          </w:tcPr>
          <w:p>
            <w:r>
              <w:rPr>
                <w:sz w:val="17"/>
              </w:rPr>
              <w:t>7,600</w:t>
            </w:r>
          </w:p>
        </w:tc>
        <w:tc>
          <w:tcPr>
            <w:tcW w:type="dxa" w:w="1440"/>
            <w:shd w:fill="FFDCE0" w:val="clear"/>
          </w:tcPr>
          <w:p>
            <w:r>
              <w:rPr>
                <w:b/>
                <w:color w:val="C00000"/>
                <w:sz w:val="17"/>
              </w:rPr>
              <w:t>-5.0%</w:t>
            </w:r>
          </w:p>
        </w:tc>
      </w:tr>
      <w:tr>
        <w:tc>
          <w:tcPr>
            <w:tcW w:type="dxa" w:w="1440"/>
            <w:shd w:fill="FFDCE0" w:val="clear"/>
          </w:tcPr>
          <w:p>
            <w:r>
              <w:rPr>
                <w:sz w:val="17"/>
              </w:rPr>
              <w:t>J+4  Moyenne</w:t>
            </w:r>
          </w:p>
        </w:tc>
        <w:tc>
          <w:tcPr>
            <w:tcW w:type="dxa" w:w="1440"/>
            <w:shd w:fill="FFDCE0" w:val="clear"/>
          </w:tcPr>
          <w:p>
            <w:r>
              <w:rPr>
                <w:sz w:val="17"/>
              </w:rPr>
              <w:t>2026-08-19</w:t>
            </w:r>
          </w:p>
        </w:tc>
        <w:tc>
          <w:tcPr>
            <w:tcW w:type="dxa" w:w="1440"/>
            <w:shd w:fill="FFDCE0" w:val="clear"/>
          </w:tcPr>
          <w:p>
            <w:r>
              <w:rPr>
                <w:sz w:val="17"/>
              </w:rPr>
              <w:t>6,871</w:t>
            </w:r>
          </w:p>
        </w:tc>
        <w:tc>
          <w:tcPr>
            <w:tcW w:type="dxa" w:w="1440"/>
            <w:shd w:fill="FFDCE0" w:val="clear"/>
          </w:tcPr>
          <w:p>
            <w:r>
              <w:rPr>
                <w:b/>
                <w:sz w:val="17"/>
              </w:rPr>
              <w:t>7,206</w:t>
            </w:r>
          </w:p>
        </w:tc>
        <w:tc>
          <w:tcPr>
            <w:tcW w:type="dxa" w:w="1440"/>
            <w:shd w:fill="FFDCE0" w:val="clear"/>
          </w:tcPr>
          <w:p>
            <w:r>
              <w:rPr>
                <w:sz w:val="17"/>
              </w:rPr>
              <w:t>7,541</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2026-08-20</w:t>
            </w:r>
          </w:p>
        </w:tc>
        <w:tc>
          <w:tcPr>
            <w:tcW w:type="dxa" w:w="1440"/>
            <w:shd w:fill="FFDCE0" w:val="clear"/>
          </w:tcPr>
          <w:p>
            <w:r>
              <w:rPr>
                <w:sz w:val="17"/>
              </w:rPr>
              <w:t>6,743</w:t>
            </w:r>
          </w:p>
        </w:tc>
        <w:tc>
          <w:tcPr>
            <w:tcW w:type="dxa" w:w="1440"/>
            <w:shd w:fill="FFDCE0" w:val="clear"/>
          </w:tcPr>
          <w:p>
            <w:r>
              <w:rPr>
                <w:b/>
                <w:sz w:val="17"/>
              </w:rPr>
              <w:t>7,112</w:t>
            </w:r>
          </w:p>
        </w:tc>
        <w:tc>
          <w:tcPr>
            <w:tcW w:type="dxa" w:w="1440"/>
            <w:shd w:fill="FFDCE0" w:val="clear"/>
          </w:tcPr>
          <w:p>
            <w:r>
              <w:rPr>
                <w:sz w:val="17"/>
              </w:rPr>
              <w:t>7,482</w:t>
            </w:r>
          </w:p>
        </w:tc>
        <w:tc>
          <w:tcPr>
            <w:tcW w:type="dxa" w:w="1440"/>
            <w:shd w:fill="FFDCE0" w:val="clear"/>
          </w:tcPr>
          <w:p>
            <w:r>
              <w:rPr>
                <w:b/>
                <w:color w:val="C00000"/>
                <w:sz w:val="17"/>
              </w:rPr>
              <w:t>-7.5%</w:t>
            </w:r>
          </w:p>
        </w:tc>
      </w:tr>
      <w:tr>
        <w:tc>
          <w:tcPr>
            <w:tcW w:type="dxa" w:w="1440"/>
            <w:shd w:fill="FFDCE0" w:val="clear"/>
          </w:tcPr>
          <w:p>
            <w:r>
              <w:rPr>
                <w:sz w:val="17"/>
              </w:rPr>
              <w:t>J+6  Moyenne</w:t>
            </w:r>
          </w:p>
        </w:tc>
        <w:tc>
          <w:tcPr>
            <w:tcW w:type="dxa" w:w="1440"/>
            <w:shd w:fill="FFDCE0" w:val="clear"/>
          </w:tcPr>
          <w:p>
            <w:r>
              <w:rPr>
                <w:sz w:val="17"/>
              </w:rPr>
              <w:t>2026-08-21</w:t>
            </w:r>
          </w:p>
        </w:tc>
        <w:tc>
          <w:tcPr>
            <w:tcW w:type="dxa" w:w="1440"/>
            <w:shd w:fill="FFDCE0" w:val="clear"/>
          </w:tcPr>
          <w:p>
            <w:r>
              <w:rPr>
                <w:sz w:val="17"/>
              </w:rPr>
              <w:t>6,624</w:t>
            </w:r>
          </w:p>
        </w:tc>
        <w:tc>
          <w:tcPr>
            <w:tcW w:type="dxa" w:w="1440"/>
            <w:shd w:fill="FFDCE0" w:val="clear"/>
          </w:tcPr>
          <w:p>
            <w:r>
              <w:rPr>
                <w:b/>
                <w:sz w:val="17"/>
              </w:rPr>
              <w:t>7,024</w:t>
            </w:r>
          </w:p>
        </w:tc>
        <w:tc>
          <w:tcPr>
            <w:tcW w:type="dxa" w:w="1440"/>
            <w:shd w:fill="FFDCE0" w:val="clear"/>
          </w:tcPr>
          <w:p>
            <w:r>
              <w:rPr>
                <w:sz w:val="17"/>
              </w:rPr>
              <w:t>7,424</w:t>
            </w:r>
          </w:p>
        </w:tc>
        <w:tc>
          <w:tcPr>
            <w:tcW w:type="dxa" w:w="1440"/>
            <w:shd w:fill="FFDCE0" w:val="clear"/>
          </w:tcPr>
          <w:p>
            <w:r>
              <w:rPr>
                <w:b/>
                <w:color w:val="C00000"/>
                <w:sz w:val="17"/>
              </w:rPr>
              <w:t>-8.7%</w:t>
            </w:r>
          </w:p>
        </w:tc>
      </w:tr>
      <w:tr>
        <w:tc>
          <w:tcPr>
            <w:tcW w:type="dxa" w:w="1440"/>
            <w:shd w:fill="FFDCE0" w:val="clear"/>
          </w:tcPr>
          <w:p>
            <w:r>
              <w:rPr>
                <w:sz w:val="17"/>
              </w:rPr>
              <w:t>J+7  Moyenne</w:t>
            </w:r>
          </w:p>
        </w:tc>
        <w:tc>
          <w:tcPr>
            <w:tcW w:type="dxa" w:w="1440"/>
            <w:shd w:fill="FFDCE0" w:val="clear"/>
          </w:tcPr>
          <w:p>
            <w:r>
              <w:rPr>
                <w:sz w:val="17"/>
              </w:rPr>
              <w:t>2026-08-24</w:t>
            </w:r>
          </w:p>
        </w:tc>
        <w:tc>
          <w:tcPr>
            <w:tcW w:type="dxa" w:w="1440"/>
            <w:shd w:fill="FFDCE0" w:val="clear"/>
          </w:tcPr>
          <w:p>
            <w:r>
              <w:rPr>
                <w:sz w:val="17"/>
              </w:rPr>
              <w:t>6,513</w:t>
            </w:r>
          </w:p>
        </w:tc>
        <w:tc>
          <w:tcPr>
            <w:tcW w:type="dxa" w:w="1440"/>
            <w:shd w:fill="FFDCE0" w:val="clear"/>
          </w:tcPr>
          <w:p>
            <w:r>
              <w:rPr>
                <w:b/>
                <w:sz w:val="17"/>
              </w:rPr>
              <w:t>6,940</w:t>
            </w:r>
          </w:p>
        </w:tc>
        <w:tc>
          <w:tcPr>
            <w:tcW w:type="dxa" w:w="1440"/>
            <w:shd w:fill="FFDCE0" w:val="clear"/>
          </w:tcPr>
          <w:p>
            <w:r>
              <w:rPr>
                <w:sz w:val="17"/>
              </w:rPr>
              <w:t>7,367</w:t>
            </w:r>
          </w:p>
        </w:tc>
        <w:tc>
          <w:tcPr>
            <w:tcW w:type="dxa" w:w="1440"/>
            <w:shd w:fill="FFDCE0" w:val="clear"/>
          </w:tcPr>
          <w:p>
            <w:r>
              <w:rPr>
                <w:b/>
                <w:color w:val="C00000"/>
                <w:sz w:val="17"/>
              </w:rPr>
              <w:t>-9.8%</w:t>
            </w:r>
          </w:p>
        </w:tc>
      </w:tr>
      <w:tr>
        <w:tc>
          <w:tcPr>
            <w:tcW w:type="dxa" w:w="1440"/>
            <w:shd w:fill="FFDCE0" w:val="clear"/>
          </w:tcPr>
          <w:p>
            <w:r>
              <w:rPr>
                <w:sz w:val="17"/>
              </w:rPr>
              <w:t>J+8  Moyenne</w:t>
            </w:r>
          </w:p>
        </w:tc>
        <w:tc>
          <w:tcPr>
            <w:tcW w:type="dxa" w:w="1440"/>
            <w:shd w:fill="FFDCE0" w:val="clear"/>
          </w:tcPr>
          <w:p>
            <w:r>
              <w:rPr>
                <w:sz w:val="17"/>
              </w:rPr>
              <w:t>2026-08-25</w:t>
            </w:r>
          </w:p>
        </w:tc>
        <w:tc>
          <w:tcPr>
            <w:tcW w:type="dxa" w:w="1440"/>
            <w:shd w:fill="FFDCE0" w:val="clear"/>
          </w:tcPr>
          <w:p>
            <w:r>
              <w:rPr>
                <w:sz w:val="17"/>
              </w:rPr>
              <w:t>6,409</w:t>
            </w:r>
          </w:p>
        </w:tc>
        <w:tc>
          <w:tcPr>
            <w:tcW w:type="dxa" w:w="1440"/>
            <w:shd w:fill="FFDCE0" w:val="clear"/>
          </w:tcPr>
          <w:p>
            <w:r>
              <w:rPr>
                <w:b/>
                <w:sz w:val="17"/>
              </w:rPr>
              <w:t>6,860</w:t>
            </w:r>
          </w:p>
        </w:tc>
        <w:tc>
          <w:tcPr>
            <w:tcW w:type="dxa" w:w="1440"/>
            <w:shd w:fill="FFDCE0" w:val="clear"/>
          </w:tcPr>
          <w:p>
            <w:r>
              <w:rPr>
                <w:sz w:val="17"/>
              </w:rPr>
              <w:t>7,311</w:t>
            </w:r>
          </w:p>
        </w:tc>
        <w:tc>
          <w:tcPr>
            <w:tcW w:type="dxa" w:w="1440"/>
            <w:shd w:fill="FFDCE0" w:val="clear"/>
          </w:tcPr>
          <w:p>
            <w:r>
              <w:rPr>
                <w:b/>
                <w:color w:val="C00000"/>
                <w:sz w:val="17"/>
              </w:rPr>
              <w:t>-10.8%</w:t>
            </w:r>
          </w:p>
        </w:tc>
      </w:tr>
      <w:tr>
        <w:tc>
          <w:tcPr>
            <w:tcW w:type="dxa" w:w="1440"/>
            <w:shd w:fill="FFDCE0" w:val="clear"/>
          </w:tcPr>
          <w:p>
            <w:r>
              <w:rPr>
                <w:sz w:val="17"/>
              </w:rPr>
              <w:t>J+9  Moyenne</w:t>
            </w:r>
          </w:p>
        </w:tc>
        <w:tc>
          <w:tcPr>
            <w:tcW w:type="dxa" w:w="1440"/>
            <w:shd w:fill="FFDCE0" w:val="clear"/>
          </w:tcPr>
          <w:p>
            <w:r>
              <w:rPr>
                <w:sz w:val="17"/>
              </w:rPr>
              <w:t>2026-08-27</w:t>
            </w:r>
          </w:p>
        </w:tc>
        <w:tc>
          <w:tcPr>
            <w:tcW w:type="dxa" w:w="1440"/>
            <w:shd w:fill="FFDCE0" w:val="clear"/>
          </w:tcPr>
          <w:p>
            <w:r>
              <w:rPr>
                <w:sz w:val="17"/>
              </w:rPr>
              <w:t>6,311</w:t>
            </w:r>
          </w:p>
        </w:tc>
        <w:tc>
          <w:tcPr>
            <w:tcW w:type="dxa" w:w="1440"/>
            <w:shd w:fill="FFDCE0" w:val="clear"/>
          </w:tcPr>
          <w:p>
            <w:r>
              <w:rPr>
                <w:b/>
                <w:sz w:val="17"/>
              </w:rPr>
              <w:t>6,784</w:t>
            </w:r>
          </w:p>
        </w:tc>
        <w:tc>
          <w:tcPr>
            <w:tcW w:type="dxa" w:w="1440"/>
            <w:shd w:fill="FFDCE0" w:val="clear"/>
          </w:tcPr>
          <w:p>
            <w:r>
              <w:rPr>
                <w:sz w:val="17"/>
              </w:rPr>
              <w:t>7,258</w:t>
            </w:r>
          </w:p>
        </w:tc>
        <w:tc>
          <w:tcPr>
            <w:tcW w:type="dxa" w:w="1440"/>
            <w:shd w:fill="FFDCE0" w:val="clear"/>
          </w:tcPr>
          <w:p>
            <w:r>
              <w:rPr>
                <w:b/>
                <w:color w:val="C00000"/>
                <w:sz w:val="17"/>
              </w:rPr>
              <w:t>-11.8%</w:t>
            </w:r>
          </w:p>
        </w:tc>
      </w:tr>
      <w:tr>
        <w:tc>
          <w:tcPr>
            <w:tcW w:type="dxa" w:w="1440"/>
            <w:shd w:fill="FFDCE0" w:val="clear"/>
          </w:tcPr>
          <w:p>
            <w:r>
              <w:rPr>
                <w:sz w:val="17"/>
              </w:rPr>
              <w:t>J+10  Moyenne</w:t>
            </w:r>
          </w:p>
        </w:tc>
        <w:tc>
          <w:tcPr>
            <w:tcW w:type="dxa" w:w="1440"/>
            <w:shd w:fill="FFDCE0" w:val="clear"/>
          </w:tcPr>
          <w:p>
            <w:r>
              <w:rPr>
                <w:sz w:val="17"/>
              </w:rPr>
              <w:t>2026-08-28</w:t>
            </w:r>
          </w:p>
        </w:tc>
        <w:tc>
          <w:tcPr>
            <w:tcW w:type="dxa" w:w="1440"/>
            <w:shd w:fill="FFDCE0" w:val="clear"/>
          </w:tcPr>
          <w:p>
            <w:r>
              <w:rPr>
                <w:sz w:val="17"/>
              </w:rPr>
              <w:t>6,219</w:t>
            </w:r>
          </w:p>
        </w:tc>
        <w:tc>
          <w:tcPr>
            <w:tcW w:type="dxa" w:w="1440"/>
            <w:shd w:fill="FFDCE0" w:val="clear"/>
          </w:tcPr>
          <w:p>
            <w:r>
              <w:rPr>
                <w:b/>
                <w:sz w:val="17"/>
              </w:rPr>
              <w:t>6,712</w:t>
            </w:r>
          </w:p>
        </w:tc>
        <w:tc>
          <w:tcPr>
            <w:tcW w:type="dxa" w:w="1440"/>
            <w:shd w:fill="FFDCE0" w:val="clear"/>
          </w:tcPr>
          <w:p>
            <w:r>
              <w:rPr>
                <w:sz w:val="17"/>
              </w:rPr>
              <w:t>7,206</w:t>
            </w:r>
          </w:p>
        </w:tc>
        <w:tc>
          <w:tcPr>
            <w:tcW w:type="dxa" w:w="1440"/>
            <w:shd w:fill="FFDCE0" w:val="clear"/>
          </w:tcPr>
          <w:p>
            <w:r>
              <w:rPr>
                <w:b/>
                <w:color w:val="C00000"/>
                <w:sz w:val="17"/>
              </w:rPr>
              <w:t>-12.7%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BOAS s'établit à 276,84 milliards FCFA, positionnant la banque parmi les valeurs moyennes à grandes capitalisations de la BRVM, avec un poids significatif dans l'indice bancaire. Le BPA de 608 FCFA indique que chaque action génère un bénéfice substantiel, justifiant un PER de 12,6x, légèrement au-dessus de la moyenne historique de la BRVM (8-12x), ce qui traduit une valorisation raisonnable avec une prime de croissance acceptée par le marché. Le P/B de 2,87x confirme cette lecture : les investisseurs valorisent les capitaux propres à près de trois fois leur valeur comptable, signe d'une confiance dans la capacité de la banque à créer de la valeur au-delà de son actif net. Enfin, l'EV/EBITDA de 8,1x, situé dans la fourchette raisonnable de 5-10x, indique que la valeur totale de l'entreprise reste cohérente avec sa capacité opérationnelle de génération de cash-flow, sans signe de surévaluation manifeste.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BOAS a enregistré une progression totale de +12,76%, passant d'un plus bas de 6 400 FCFA à un plus haut de 8 050 FCFA, avec un cours actuel de 7 690 FCFA et une stabilité lors de la dernière séance (variation J-1 de 0,00%). La moyenne de 7 282 FCFA et la médiane de 7 322 FCFA sont très proches, indiquant une distribution des cours relativement symétrique, confirmée par un skewness de -0,212 (quasi-nul). L'écart-type de 394 FCFA, avec un coefficient de variation de 5,4%, révèle une dispersion modérée des prix autour de la moyenne, tandis que le kurtosis de -0,798 (mésokurtique) suggère l'absence de pics extrêmes ou de queues épaisses dans la distribution, donc un risque de mouvements brusques limité. La volatilité annualisée de 24,4% classe le titre dans la catégorie modérée (15-30%), reflétant une tendance globalement haussière mais ponctuée de phases de consolidation, caractéristique d'une valeur bancaire stable mais sensible aux variations de marché.</w:t>
      </w:r>
    </w:p>
    <w:p>
      <w:pPr>
        <w:spacing w:after="120" w:line="276" w:lineRule="auto" w:before="240"/>
      </w:pPr>
      <w:r>
        <w:rPr>
          <w:b/>
          <w:color w:val="003366"/>
          <w:sz w:val="24"/>
        </w:rPr>
        <w:t>**PARTIE 2 : ANALYSE TECHNIQUE DÉTAILLÉE**</w:t>
      </w:r>
    </w:p>
    <w:p>
      <w:pPr>
        <w:spacing w:after="120" w:line="276" w:lineRule="auto"/>
      </w:pPr>
      <w:r>
        <w:t>**Moyennes Mobiles** : La MM20 à 7 694 FCFA et la MM50 à 7 485,8 FCFA sont toutes deux proches du cours actuel de 7 690 FCFA, avec une MM20 légèrement supérieure à la MM50, formant une configuration haussière à court terme. Le cours évoluant au-dessus de la MM50, la tendance de fond reste positive, justifiant la décision d'achat signalée.</w:t>
      </w:r>
    </w:p>
    <w:p>
      <w:pPr>
        <w:spacing w:after="120" w:line="276" w:lineRule="auto"/>
      </w:pPr>
      <w:r>
        <w:t>**Bandes de Bollinger** : Le prix à 7 690 FCFA se situe dans la partie médiane des bandes, entre la borne supérieure de 7 993,8 FCFA et la borne inférieure de 7 394,2 FCFA. Cette position neutre indique une volatilité modérée et l'absence de pression directionnelle forte, laissant place à une consolidation avant un éventuel breakout.</w:t>
      </w:r>
    </w:p>
    <w:p>
      <w:pPr>
        <w:spacing w:after="120" w:line="276" w:lineRule="auto"/>
      </w:pPr>
      <w:r>
        <w:t>**MACD** : La valeur du MACD à 65,545 est inférieure à son signal à 81,222, formant une divergence négative qui suggère un ralentissement du momentum haussier. Cette configuration, bien que baissière à court terme, intervient après une phase de hausse soutenue et pourrait signaler une correction temporaire plutôt qu'un retournement majeur.</w:t>
      </w:r>
    </w:p>
    <w:p>
      <w:pPr>
        <w:spacing w:after="120" w:line="276" w:lineRule="auto"/>
      </w:pPr>
      <w:r>
        <w:t>**RSI** : À 54,701, le RSI se situe en zone neutre (30-70), indiquant un équilibre entre pression acheteuse et vendeuse. Ce niveau laisse de la marge avant une éventuelle surachat (au-dessus de 70) ou survente (en-dessous de 30), confirmant une phase de stabilisation.</w:t>
      </w:r>
    </w:p>
    <w:p>
      <w:pPr>
        <w:spacing w:after="120" w:line="276" w:lineRule="auto"/>
      </w:pPr>
      <w:r>
        <w:t>**Stochastique** : Le %K à 24,658 est inférieur au %D à 32,282, avec les deux indicateurs en zone de survente (sous 30). Cette configuration suggère un potentiel de rebond technique, mais le croisement baissier actuel indique que la pression vendeuse n'est pas encore épuisée.</w:t>
      </w:r>
    </w:p>
    <w:p>
      <w:pPr>
        <w:spacing w:after="120" w:line="276" w:lineRule="auto"/>
      </w:pPr>
      <w:r>
        <w:t>**Conclusion technique** : Les indicateurs sont mitigés : les moyennes mobiles soutiennent une tendance haussière, tandis que le MACD, le RSI et le stochastique signalent une phase de consolidation ou de correction à court terme. La configuration globale suggère une pause dans la tendance haussière, avec un potentiel de reprise si le cours maintient le support des 7 400 FCFA.</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BOAS font ressortir un Produit Net Bancaire de 51,926 milliards FCFA, en croissance de 4,55%, et un résultat net de 21,905 milliards FCFA, portant la marge nette à 42,19%. La rentabilité des fonds propres (ROE) atteint 22,69%, un niveau excellent (supérieur à 15%), et le ROA de 2,62% témoigne d'une utilisation efficace des actifs. Le coefficient d'exploitation de 44,02% (inférieur à 50%) confirme une excellente maîtrise des charges, tandis que le coût du risque à 23,31% des charges financières reste élevé, signalant un risque de crédit significatif à surveiller. Les dépôts clientèle de 686,927 milliards FCFA couvrent largement les créances clientèle de 386,424 milliards FCFA, soit un ratio de transformation de 56,3%, indiquant une liquidité abondante. Les rapports trimestriels 2025 confirment cette dynamique : au T1, le PNB progresse de 2,36% à 11,78 milliards et le résultat net de 9,25% à 5,23 milliards ; au S1, le PNB atteint 25,37 milliards (+6,77%) et le résultat net 11,62 milliards (+12,70%) ; au T3, le PNB cumulé s'élève à 37,44 milliards (+6,71%) et le résultat net à 16,37 milliards (+10,01%). Sur la base de ces tendances, on estime que l'exercice 2025 devrait se clôturer avec un résultat net proche de 22-23 milliards FCFA, confirmant la solidité du modèle économique. Le rapport T1 2026 (mars 2026) montre une poursuite de la croissance avec un PNB de 12,58 milliards (+6,82%) et un résultat net de 5,741 milliards (+9,78%), laissant présager une année 2026 tout aussi performante.</w:t>
      </w:r>
    </w:p>
    <w:p>
      <w:pPr>
        <w:spacing w:after="120" w:line="276" w:lineRule="auto" w:before="240"/>
      </w:pPr>
      <w:r>
        <w:rPr>
          <w:b/>
          <w:color w:val="003366"/>
          <w:sz w:val="24"/>
        </w:rPr>
        <w:t>**PARTIE 4 : CONCLUSION D'INVESTISSEMENT**</w:t>
      </w:r>
    </w:p>
    <w:p>
      <w:pPr>
        <w:spacing w:after="120" w:line="276" w:lineRule="auto"/>
      </w:pPr>
      <w:r>
        <w:t>La valorisation de BOAS (PER de 12,6x, P/B de 2,87x, EV/EBITDA de 8,1x) indique une sous-évaluation relative par rapport à la qualité de ses fondamentaux, avec une prime de croissance justifiée par la performance opérationnelle. Le comportement du cours sur 100 jours (+12,76%) reflète une tendance haussière saine, avec une volatilité modérée (24,4%) et une distribution des prix symétrique (kurtosis et skewness proches de zéro), limitant les risques de mouvements extrêmes. Les signaux techniques sont mitigés : les moyennes mobiles restent haussières, mais le MACD, le RSI et le stochastique indiquent une consolidation à court terme. Les fondamentaux sont excellents, avec un ROE de 22,69%, un coefficient d'exploitation de 44,02% et une croissance soutenue du résultat net (+10% en 2025, +9,78% au T1 2026). Les prédictions IA pour les 10 prochains jours (7 523 à 7 112 FCFA) suggèrent une correction technique vers les 7 100-7 500 FCFA, contredisant temporairement la tendance haussière de fond. En synthèse, la convergence entre la valorisation attractive, les fondamentaux solides et la tendance de fond positive l'emporte sur les signaux techniques de court terme. **Recommandation : ACHAT** avec un niveau de confiance **Élevé**, un risque global **Moyen** (lié au coût du risque et à la correction technique attendue), et un horizon d'investissement optimal à **moyen terme (3-12 mois)** pour capitaliser sur la croissance continue de la banque.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2,393 titres</w:t>
            </w:r>
          </w:p>
        </w:tc>
        <w:tc>
          <w:tcPr>
            <w:tcW w:type="dxa" w:w="2268"/>
            <w:shd w:fill="FFF2CC" w:val="clear"/>
          </w:tcPr>
          <w:p>
            <w:r>
              <w:rPr>
                <w:b/>
                <w:color w:val="503200"/>
                <w:sz w:val="16"/>
              </w:rPr>
              <w:t xml:space="preserve">Cours actuel : </w:t>
            </w:r>
            <w:r>
              <w:rPr>
                <w:color w:val="000000"/>
                <w:sz w:val="17"/>
              </w:rPr>
              <w:t>3,490 FCFA</w:t>
            </w:r>
          </w:p>
          <w:p>
            <w:r>
              <w:rPr>
                <w:b/>
                <w:color w:val="503200"/>
                <w:sz w:val="16"/>
              </w:rPr>
              <w:t xml:space="preserve">Var. 100 jours : </w:t>
            </w:r>
            <w:r>
              <w:rPr>
                <w:b/>
                <w:color w:val="007800"/>
                <w:sz w:val="17"/>
              </w:rPr>
              <w:t>+6.40%</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3,165 FCFA</w:t>
            </w:r>
          </w:p>
          <w:p>
            <w:r>
              <w:rPr>
                <w:b/>
                <w:color w:val="503200"/>
                <w:sz w:val="16"/>
              </w:rPr>
              <w:t xml:space="preserve">Volatilité ann. : </w:t>
            </w:r>
            <w:r>
              <w:rPr>
                <w:color w:val="000000"/>
                <w:sz w:val="17"/>
              </w:rPr>
              <w:t>55.8%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8.51% (Moyenne) — μ=3,743 FCFA, σ=318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β=-0.0288 (Contre-cyclique) — Cov=-0.000001, Var(idx)=0.000036, ρ=-0.005,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2,393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σ_j=3.52%/j (Modérée) — Vol. annualisée≈55.8%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2026-08-14</w:t>
            </w:r>
          </w:p>
        </w:tc>
        <w:tc>
          <w:tcPr>
            <w:tcW w:type="dxa" w:w="1440"/>
            <w:shd w:fill="C6EFCE" w:val="clear"/>
          </w:tcPr>
          <w:p>
            <w:r>
              <w:rPr>
                <w:sz w:val="17"/>
              </w:rPr>
              <w:t>3,456</w:t>
            </w:r>
          </w:p>
        </w:tc>
        <w:tc>
          <w:tcPr>
            <w:tcW w:type="dxa" w:w="1440"/>
            <w:shd w:fill="C6EFCE" w:val="clear"/>
          </w:tcPr>
          <w:p>
            <w:r>
              <w:rPr>
                <w:b/>
                <w:sz w:val="17"/>
              </w:rPr>
              <w:t>3,641</w:t>
            </w:r>
          </w:p>
        </w:tc>
        <w:tc>
          <w:tcPr>
            <w:tcW w:type="dxa" w:w="1440"/>
            <w:shd w:fill="C6EFCE" w:val="clear"/>
          </w:tcPr>
          <w:p>
            <w:r>
              <w:rPr>
                <w:sz w:val="17"/>
              </w:rPr>
              <w:t>3,827</w:t>
            </w:r>
          </w:p>
        </w:tc>
        <w:tc>
          <w:tcPr>
            <w:tcW w:type="dxa" w:w="1440"/>
            <w:shd w:fill="C6EFCE" w:val="clear"/>
          </w:tcPr>
          <w:p>
            <w:r>
              <w:rPr>
                <w:b/>
                <w:color w:val="008000"/>
                <w:sz w:val="17"/>
              </w:rPr>
              <w:t>+4.3%</w:t>
            </w:r>
          </w:p>
        </w:tc>
      </w:tr>
      <w:tr>
        <w:tc>
          <w:tcPr>
            <w:tcW w:type="dxa" w:w="1440"/>
            <w:shd w:fill="C6EFCE" w:val="clear"/>
          </w:tcPr>
          <w:p>
            <w:r>
              <w:rPr>
                <w:sz w:val="17"/>
              </w:rPr>
              <w:t>J+2  Moyenne</w:t>
            </w:r>
          </w:p>
        </w:tc>
        <w:tc>
          <w:tcPr>
            <w:tcW w:type="dxa" w:w="1440"/>
            <w:shd w:fill="C6EFCE" w:val="clear"/>
          </w:tcPr>
          <w:p>
            <w:r>
              <w:rPr>
                <w:sz w:val="17"/>
              </w:rPr>
              <w:t>2026-08-17</w:t>
            </w:r>
          </w:p>
        </w:tc>
        <w:tc>
          <w:tcPr>
            <w:tcW w:type="dxa" w:w="1440"/>
            <w:shd w:fill="C6EFCE" w:val="clear"/>
          </w:tcPr>
          <w:p>
            <w:r>
              <w:rPr>
                <w:sz w:val="17"/>
              </w:rPr>
              <w:t>3,513</w:t>
            </w:r>
          </w:p>
        </w:tc>
        <w:tc>
          <w:tcPr>
            <w:tcW w:type="dxa" w:w="1440"/>
            <w:shd w:fill="C6EFCE" w:val="clear"/>
          </w:tcPr>
          <w:p>
            <w:r>
              <w:rPr>
                <w:b/>
                <w:sz w:val="17"/>
              </w:rPr>
              <w:t>3,786</w:t>
            </w:r>
          </w:p>
        </w:tc>
        <w:tc>
          <w:tcPr>
            <w:tcW w:type="dxa" w:w="1440"/>
            <w:shd w:fill="C6EFCE" w:val="clear"/>
          </w:tcPr>
          <w:p>
            <w:r>
              <w:rPr>
                <w:sz w:val="17"/>
              </w:rPr>
              <w:t>4,059</w:t>
            </w:r>
          </w:p>
        </w:tc>
        <w:tc>
          <w:tcPr>
            <w:tcW w:type="dxa" w:w="1440"/>
            <w:shd w:fill="C6EFCE" w:val="clear"/>
          </w:tcPr>
          <w:p>
            <w:r>
              <w:rPr>
                <w:b/>
                <w:color w:val="008000"/>
                <w:sz w:val="17"/>
              </w:rPr>
              <w:t>+8.5%</w:t>
            </w:r>
          </w:p>
        </w:tc>
      </w:tr>
      <w:tr>
        <w:tc>
          <w:tcPr>
            <w:tcW w:type="dxa" w:w="1440"/>
            <w:shd w:fill="C6EFCE" w:val="clear"/>
          </w:tcPr>
          <w:p>
            <w:r>
              <w:rPr>
                <w:sz w:val="17"/>
              </w:rPr>
              <w:t>J+3  Moyenne</w:t>
            </w:r>
          </w:p>
        </w:tc>
        <w:tc>
          <w:tcPr>
            <w:tcW w:type="dxa" w:w="1440"/>
            <w:shd w:fill="C6EFCE" w:val="clear"/>
          </w:tcPr>
          <w:p>
            <w:r>
              <w:rPr>
                <w:sz w:val="17"/>
              </w:rPr>
              <w:t>2026-08-18</w:t>
            </w:r>
          </w:p>
        </w:tc>
        <w:tc>
          <w:tcPr>
            <w:tcW w:type="dxa" w:w="1440"/>
            <w:shd w:fill="C6EFCE" w:val="clear"/>
          </w:tcPr>
          <w:p>
            <w:r>
              <w:rPr>
                <w:sz w:val="17"/>
              </w:rPr>
              <w:t>3,612</w:t>
            </w:r>
          </w:p>
        </w:tc>
        <w:tc>
          <w:tcPr>
            <w:tcW w:type="dxa" w:w="1440"/>
            <w:shd w:fill="C6EFCE" w:val="clear"/>
          </w:tcPr>
          <w:p>
            <w:r>
              <w:rPr>
                <w:b/>
                <w:sz w:val="17"/>
              </w:rPr>
              <w:t>3,961</w:t>
            </w:r>
          </w:p>
        </w:tc>
        <w:tc>
          <w:tcPr>
            <w:tcW w:type="dxa" w:w="1440"/>
            <w:shd w:fill="C6EFCE" w:val="clear"/>
          </w:tcPr>
          <w:p>
            <w:r>
              <w:rPr>
                <w:sz w:val="17"/>
              </w:rPr>
              <w:t>4,311</w:t>
            </w:r>
          </w:p>
        </w:tc>
        <w:tc>
          <w:tcPr>
            <w:tcW w:type="dxa" w:w="1440"/>
            <w:shd w:fill="C6EFCE" w:val="clear"/>
          </w:tcPr>
          <w:p>
            <w:r>
              <w:rPr>
                <w:b/>
                <w:color w:val="008000"/>
                <w:sz w:val="17"/>
              </w:rPr>
              <w:t>+13.5%</w:t>
            </w:r>
          </w:p>
        </w:tc>
      </w:tr>
      <w:tr>
        <w:tc>
          <w:tcPr>
            <w:tcW w:type="dxa" w:w="1440"/>
            <w:shd w:fill="C6EFCE" w:val="clear"/>
          </w:tcPr>
          <w:p>
            <w:r>
              <w:rPr>
                <w:sz w:val="17"/>
              </w:rPr>
              <w:t>J+4  ⭐</w:t>
            </w:r>
          </w:p>
        </w:tc>
        <w:tc>
          <w:tcPr>
            <w:tcW w:type="dxa" w:w="1440"/>
            <w:shd w:fill="C6EFCE" w:val="clear"/>
          </w:tcPr>
          <w:p>
            <w:r>
              <w:rPr>
                <w:sz w:val="17"/>
              </w:rPr>
              <w:t>2026-08-19</w:t>
            </w:r>
          </w:p>
        </w:tc>
        <w:tc>
          <w:tcPr>
            <w:tcW w:type="dxa" w:w="1440"/>
            <w:shd w:fill="C6EFCE" w:val="clear"/>
          </w:tcPr>
          <w:p>
            <w:r>
              <w:rPr>
                <w:sz w:val="17"/>
              </w:rPr>
              <w:t>3,736</w:t>
            </w:r>
          </w:p>
        </w:tc>
        <w:tc>
          <w:tcPr>
            <w:tcW w:type="dxa" w:w="1440"/>
            <w:shd w:fill="C6EFCE" w:val="clear"/>
          </w:tcPr>
          <w:p>
            <w:r>
              <w:rPr>
                <w:b/>
                <w:sz w:val="17"/>
              </w:rPr>
              <w:t>4,160</w:t>
            </w:r>
          </w:p>
        </w:tc>
        <w:tc>
          <w:tcPr>
            <w:tcW w:type="dxa" w:w="1440"/>
            <w:shd w:fill="C6EFCE" w:val="clear"/>
          </w:tcPr>
          <w:p>
            <w:r>
              <w:rPr>
                <w:sz w:val="17"/>
              </w:rPr>
              <w:t>4,584</w:t>
            </w:r>
          </w:p>
        </w:tc>
        <w:tc>
          <w:tcPr>
            <w:tcW w:type="dxa" w:w="1440"/>
            <w:shd w:fill="C6EFCE" w:val="clear"/>
          </w:tcPr>
          <w:p>
            <w:r>
              <w:rPr>
                <w:b/>
                <w:color w:val="008000"/>
                <w:sz w:val="17"/>
              </w:rPr>
              <w:t>+19.2%</w:t>
            </w:r>
          </w:p>
        </w:tc>
      </w:tr>
      <w:tr>
        <w:tc>
          <w:tcPr>
            <w:tcW w:type="dxa" w:w="1440"/>
            <w:shd w:fill="C6EFCE" w:val="clear"/>
          </w:tcPr>
          <w:p>
            <w:r>
              <w:rPr>
                <w:sz w:val="17"/>
              </w:rPr>
              <w:t>J+5  ⭐</w:t>
            </w:r>
          </w:p>
        </w:tc>
        <w:tc>
          <w:tcPr>
            <w:tcW w:type="dxa" w:w="1440"/>
            <w:shd w:fill="C6EFCE" w:val="clear"/>
          </w:tcPr>
          <w:p>
            <w:r>
              <w:rPr>
                <w:sz w:val="17"/>
              </w:rPr>
              <w:t>2026-08-20</w:t>
            </w:r>
          </w:p>
        </w:tc>
        <w:tc>
          <w:tcPr>
            <w:tcW w:type="dxa" w:w="1440"/>
            <w:shd w:fill="C6EFCE" w:val="clear"/>
          </w:tcPr>
          <w:p>
            <w:r>
              <w:rPr>
                <w:sz w:val="17"/>
              </w:rPr>
              <w:t>3,883</w:t>
            </w:r>
          </w:p>
        </w:tc>
        <w:tc>
          <w:tcPr>
            <w:tcW w:type="dxa" w:w="1440"/>
            <w:shd w:fill="C6EFCE" w:val="clear"/>
          </w:tcPr>
          <w:p>
            <w:r>
              <w:rPr>
                <w:b/>
                <w:sz w:val="17"/>
              </w:rPr>
              <w:t>4,383</w:t>
            </w:r>
          </w:p>
        </w:tc>
        <w:tc>
          <w:tcPr>
            <w:tcW w:type="dxa" w:w="1440"/>
            <w:shd w:fill="C6EFCE" w:val="clear"/>
          </w:tcPr>
          <w:p>
            <w:r>
              <w:rPr>
                <w:sz w:val="17"/>
              </w:rPr>
              <w:t>4,883</w:t>
            </w:r>
          </w:p>
        </w:tc>
        <w:tc>
          <w:tcPr>
            <w:tcW w:type="dxa" w:w="1440"/>
            <w:shd w:fill="C6EFCE" w:val="clear"/>
          </w:tcPr>
          <w:p>
            <w:r>
              <w:rPr>
                <w:b/>
                <w:color w:val="008000"/>
                <w:sz w:val="17"/>
              </w:rPr>
              <w:t>+25.6%</w:t>
            </w:r>
          </w:p>
        </w:tc>
      </w:tr>
      <w:tr>
        <w:tc>
          <w:tcPr>
            <w:tcW w:type="dxa" w:w="1440"/>
            <w:shd w:fill="C6EFCE" w:val="clear"/>
          </w:tcPr>
          <w:p>
            <w:r>
              <w:rPr>
                <w:sz w:val="17"/>
              </w:rPr>
              <w:t>J+6  ⭐</w:t>
            </w:r>
          </w:p>
        </w:tc>
        <w:tc>
          <w:tcPr>
            <w:tcW w:type="dxa" w:w="1440"/>
            <w:shd w:fill="C6EFCE" w:val="clear"/>
          </w:tcPr>
          <w:p>
            <w:r>
              <w:rPr>
                <w:sz w:val="17"/>
              </w:rPr>
              <w:t>2026-08-21</w:t>
            </w:r>
          </w:p>
        </w:tc>
        <w:tc>
          <w:tcPr>
            <w:tcW w:type="dxa" w:w="1440"/>
            <w:shd w:fill="C6EFCE" w:val="clear"/>
          </w:tcPr>
          <w:p>
            <w:r>
              <w:rPr>
                <w:sz w:val="17"/>
              </w:rPr>
              <w:t>4,057</w:t>
            </w:r>
          </w:p>
        </w:tc>
        <w:tc>
          <w:tcPr>
            <w:tcW w:type="dxa" w:w="1440"/>
            <w:shd w:fill="C6EFCE" w:val="clear"/>
          </w:tcPr>
          <w:p>
            <w:r>
              <w:rPr>
                <w:b/>
                <w:sz w:val="17"/>
              </w:rPr>
              <w:t>4,636</w:t>
            </w:r>
          </w:p>
        </w:tc>
        <w:tc>
          <w:tcPr>
            <w:tcW w:type="dxa" w:w="1440"/>
            <w:shd w:fill="C6EFCE" w:val="clear"/>
          </w:tcPr>
          <w:p>
            <w:r>
              <w:rPr>
                <w:sz w:val="17"/>
              </w:rPr>
              <w:t>5,215</w:t>
            </w:r>
          </w:p>
        </w:tc>
        <w:tc>
          <w:tcPr>
            <w:tcW w:type="dxa" w:w="1440"/>
            <w:shd w:fill="C6EFCE" w:val="clear"/>
          </w:tcPr>
          <w:p>
            <w:r>
              <w:rPr>
                <w:b/>
                <w:color w:val="008000"/>
                <w:sz w:val="17"/>
              </w:rPr>
              <w:t>+32.8%</w:t>
            </w:r>
          </w:p>
        </w:tc>
      </w:tr>
      <w:tr>
        <w:tc>
          <w:tcPr>
            <w:tcW w:type="dxa" w:w="1440"/>
            <w:shd w:fill="C6EFCE" w:val="clear"/>
          </w:tcPr>
          <w:p>
            <w:r>
              <w:rPr>
                <w:sz w:val="17"/>
              </w:rPr>
              <w:t>J+7  ⭐</w:t>
            </w:r>
          </w:p>
        </w:tc>
        <w:tc>
          <w:tcPr>
            <w:tcW w:type="dxa" w:w="1440"/>
            <w:shd w:fill="C6EFCE" w:val="clear"/>
          </w:tcPr>
          <w:p>
            <w:r>
              <w:rPr>
                <w:sz w:val="17"/>
              </w:rPr>
              <w:t>2026-08-24</w:t>
            </w:r>
          </w:p>
        </w:tc>
        <w:tc>
          <w:tcPr>
            <w:tcW w:type="dxa" w:w="1440"/>
            <w:shd w:fill="C6EFCE" w:val="clear"/>
          </w:tcPr>
          <w:p>
            <w:r>
              <w:rPr>
                <w:sz w:val="17"/>
              </w:rPr>
              <w:t>4,263</w:t>
            </w:r>
          </w:p>
        </w:tc>
        <w:tc>
          <w:tcPr>
            <w:tcW w:type="dxa" w:w="1440"/>
            <w:shd w:fill="C6EFCE" w:val="clear"/>
          </w:tcPr>
          <w:p>
            <w:r>
              <w:rPr>
                <w:b/>
                <w:sz w:val="17"/>
              </w:rPr>
              <w:t>4,928</w:t>
            </w:r>
          </w:p>
        </w:tc>
        <w:tc>
          <w:tcPr>
            <w:tcW w:type="dxa" w:w="1440"/>
            <w:shd w:fill="C6EFCE" w:val="clear"/>
          </w:tcPr>
          <w:p>
            <w:r>
              <w:rPr>
                <w:sz w:val="17"/>
              </w:rPr>
              <w:t>5,593</w:t>
            </w:r>
          </w:p>
        </w:tc>
        <w:tc>
          <w:tcPr>
            <w:tcW w:type="dxa" w:w="1440"/>
            <w:shd w:fill="C6EFCE" w:val="clear"/>
          </w:tcPr>
          <w:p>
            <w:r>
              <w:rPr>
                <w:b/>
                <w:color w:val="008000"/>
                <w:sz w:val="17"/>
              </w:rPr>
              <w:t>+41.2%</w:t>
            </w:r>
          </w:p>
        </w:tc>
      </w:tr>
      <w:tr>
        <w:tc>
          <w:tcPr>
            <w:tcW w:type="dxa" w:w="1440"/>
            <w:shd w:fill="C6EFCE" w:val="clear"/>
          </w:tcPr>
          <w:p>
            <w:r>
              <w:rPr>
                <w:sz w:val="17"/>
              </w:rPr>
              <w:t>J+8  ⭐</w:t>
            </w:r>
          </w:p>
        </w:tc>
        <w:tc>
          <w:tcPr>
            <w:tcW w:type="dxa" w:w="1440"/>
            <w:shd w:fill="C6EFCE" w:val="clear"/>
          </w:tcPr>
          <w:p>
            <w:r>
              <w:rPr>
                <w:sz w:val="17"/>
              </w:rPr>
              <w:t>2026-08-25</w:t>
            </w:r>
          </w:p>
        </w:tc>
        <w:tc>
          <w:tcPr>
            <w:tcW w:type="dxa" w:w="1440"/>
            <w:shd w:fill="C6EFCE" w:val="clear"/>
          </w:tcPr>
          <w:p>
            <w:r>
              <w:rPr>
                <w:sz w:val="17"/>
              </w:rPr>
              <w:t>4,511</w:t>
            </w:r>
          </w:p>
        </w:tc>
        <w:tc>
          <w:tcPr>
            <w:tcW w:type="dxa" w:w="1440"/>
            <w:shd w:fill="C6EFCE" w:val="clear"/>
          </w:tcPr>
          <w:p>
            <w:r>
              <w:rPr>
                <w:b/>
                <w:sz w:val="17"/>
              </w:rPr>
              <w:t>5,271</w:t>
            </w:r>
          </w:p>
        </w:tc>
        <w:tc>
          <w:tcPr>
            <w:tcW w:type="dxa" w:w="1440"/>
            <w:shd w:fill="C6EFCE" w:val="clear"/>
          </w:tcPr>
          <w:p>
            <w:r>
              <w:rPr>
                <w:sz w:val="17"/>
              </w:rPr>
              <w:t>6,031</w:t>
            </w:r>
          </w:p>
        </w:tc>
        <w:tc>
          <w:tcPr>
            <w:tcW w:type="dxa" w:w="1440"/>
            <w:shd w:fill="C6EFCE" w:val="clear"/>
          </w:tcPr>
          <w:p>
            <w:r>
              <w:rPr>
                <w:b/>
                <w:color w:val="008000"/>
                <w:sz w:val="17"/>
              </w:rPr>
              <w:t>+51.0%</w:t>
            </w:r>
          </w:p>
        </w:tc>
      </w:tr>
      <w:tr>
        <w:tc>
          <w:tcPr>
            <w:tcW w:type="dxa" w:w="1440"/>
            <w:shd w:fill="C6EFCE" w:val="clear"/>
          </w:tcPr>
          <w:p>
            <w:r>
              <w:rPr>
                <w:sz w:val="17"/>
              </w:rPr>
              <w:t>J+9  ⭐</w:t>
            </w:r>
          </w:p>
        </w:tc>
        <w:tc>
          <w:tcPr>
            <w:tcW w:type="dxa" w:w="1440"/>
            <w:shd w:fill="C6EFCE" w:val="clear"/>
          </w:tcPr>
          <w:p>
            <w:r>
              <w:rPr>
                <w:sz w:val="17"/>
              </w:rPr>
              <w:t>2026-08-27</w:t>
            </w:r>
          </w:p>
        </w:tc>
        <w:tc>
          <w:tcPr>
            <w:tcW w:type="dxa" w:w="1440"/>
            <w:shd w:fill="C6EFCE" w:val="clear"/>
          </w:tcPr>
          <w:p>
            <w:r>
              <w:rPr>
                <w:sz w:val="17"/>
              </w:rPr>
              <w:t>4,800</w:t>
            </w:r>
          </w:p>
        </w:tc>
        <w:tc>
          <w:tcPr>
            <w:tcW w:type="dxa" w:w="1440"/>
            <w:shd w:fill="C6EFCE" w:val="clear"/>
          </w:tcPr>
          <w:p>
            <w:r>
              <w:rPr>
                <w:b/>
                <w:sz w:val="17"/>
              </w:rPr>
              <w:t>5,666</w:t>
            </w:r>
          </w:p>
        </w:tc>
        <w:tc>
          <w:tcPr>
            <w:tcW w:type="dxa" w:w="1440"/>
            <w:shd w:fill="C6EFCE" w:val="clear"/>
          </w:tcPr>
          <w:p>
            <w:r>
              <w:rPr>
                <w:sz w:val="17"/>
              </w:rPr>
              <w:t>6,533</w:t>
            </w:r>
          </w:p>
        </w:tc>
        <w:tc>
          <w:tcPr>
            <w:tcW w:type="dxa" w:w="1440"/>
            <w:shd w:fill="C6EFCE" w:val="clear"/>
          </w:tcPr>
          <w:p>
            <w:r>
              <w:rPr>
                <w:b/>
                <w:color w:val="008000"/>
                <w:sz w:val="17"/>
              </w:rPr>
              <w:t>+62.4%</w:t>
            </w:r>
          </w:p>
        </w:tc>
      </w:tr>
      <w:tr>
        <w:tc>
          <w:tcPr>
            <w:tcW w:type="dxa" w:w="1440"/>
            <w:shd w:fill="C6EFCE" w:val="clear"/>
          </w:tcPr>
          <w:p>
            <w:r>
              <w:rPr>
                <w:sz w:val="17"/>
              </w:rPr>
              <w:t>J+10  ⭐</w:t>
            </w:r>
          </w:p>
        </w:tc>
        <w:tc>
          <w:tcPr>
            <w:tcW w:type="dxa" w:w="1440"/>
            <w:shd w:fill="C6EFCE" w:val="clear"/>
          </w:tcPr>
          <w:p>
            <w:r>
              <w:rPr>
                <w:sz w:val="17"/>
              </w:rPr>
              <w:t>2026-08-28</w:t>
            </w:r>
          </w:p>
        </w:tc>
        <w:tc>
          <w:tcPr>
            <w:tcW w:type="dxa" w:w="1440"/>
            <w:shd w:fill="C6EFCE" w:val="clear"/>
          </w:tcPr>
          <w:p>
            <w:r>
              <w:rPr>
                <w:sz w:val="17"/>
              </w:rPr>
              <w:t>5,109</w:t>
            </w:r>
          </w:p>
        </w:tc>
        <w:tc>
          <w:tcPr>
            <w:tcW w:type="dxa" w:w="1440"/>
            <w:shd w:fill="C6EFCE" w:val="clear"/>
          </w:tcPr>
          <w:p>
            <w:r>
              <w:rPr>
                <w:b/>
                <w:sz w:val="17"/>
              </w:rPr>
              <w:t>6,091</w:t>
            </w:r>
          </w:p>
        </w:tc>
        <w:tc>
          <w:tcPr>
            <w:tcW w:type="dxa" w:w="1440"/>
            <w:shd w:fill="C6EFCE" w:val="clear"/>
          </w:tcPr>
          <w:p>
            <w:r>
              <w:rPr>
                <w:sz w:val="17"/>
              </w:rPr>
              <w:t>7,073</w:t>
            </w:r>
          </w:p>
        </w:tc>
        <w:tc>
          <w:tcPr>
            <w:tcW w:type="dxa" w:w="1440"/>
            <w:shd w:fill="C6EFCE" w:val="clear"/>
          </w:tcPr>
          <w:p>
            <w:r>
              <w:rPr>
                <w:b/>
                <w:color w:val="008000"/>
                <w:sz w:val="17"/>
              </w:rPr>
              <w:t>+74.5%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13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20,66 milliards FCFA, un niveau modeste qui la classe parmi les valeurs de taille moyenne sur la BRVM. Avec un BPA de 243 FCFA, le titre se négocie à un PER de 14,4x, ce qui représente une prime par rapport à la moyenne du marché BRVM (8-12x). Cette valorisation suggère que les investisseurs intègrent des perspectives de croissance future, bien que le niveau puisse sembler exigeant compte tenu des performances passées. Le P/B de 2,21x indique que le marché valorise la société à plus du double de sa valeur comptable, témoignant d'une confiance dans la création de valeur future. Enfin, l'EV/EBITDA de 7,3x se situe dans une fourchette raisonnable (5-10x), indiquant que la valorisation de l'entreprise par rapport à sa capacité opérationnelle reste mesurée.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affiche une progression de +6,40%, avec une légère baisse de -0,29% lors de la dernière séance. Le cours a évolué dans une fourchette de 3 165 FCFA (plus bas) à 4 500 FCFA (plus haut), démontrant une amplitude de variation significative de plus de 42%. La moyenne du cours sur la période est de 3 743 FCFA, légèrement supérieure à la médiane de 3 700 FCFA, indiquant une distribution quasi symétrique, confirmée par un skewness de 0,426. L'écart-type de 320 FCFA (CV=8,6%) révèle une dispersion modérée des prix autour de la moyenne. Le kurtosis de -0,361 (mésokurtique) suggère une distribution proche de la normale, sans risque de pics extrêmes. La volatilité annualisée de 55,8% classe le titre comme très volatil (&gt;30%), ce qui implique un risque élevé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(3 490 FCFA) se situe sous la MM20 (3 630,75 FCFA) et nettement sous la MM50 (3 880,8 FCFA), configuration baissière classique. La décision de Vente est justifiée par cette structure où les moyennes mobiles agissent comme des résistances dynamiques, confirmant la tendance baissière de moyen terme.</w:t>
      </w:r>
    </w:p>
    <w:p>
      <w:pPr>
        <w:spacing w:after="120" w:line="276" w:lineRule="auto"/>
      </w:pPr>
      <w:r>
        <w:t>**Bandes de Bollinger** : Le prix évolue près de la borne inférieure (3 327,57 FCFA), indiquant une pression vendeuse persistante. La position du cours dans la moitié inférieure des bandes suggère une faiblesse relative, bien que la décision Neutre reflète l'absence d'extension extrême. La largeur des bandes témoigne d'une volatilité toujours élevée.</w:t>
      </w:r>
    </w:p>
    <w:p>
      <w:pPr>
        <w:spacing w:after="120" w:line="276" w:lineRule="auto"/>
      </w:pPr>
      <w:r>
        <w:t>**MACD** : La valeur négative (-111,70) et le signal (-104,29) confirment un momentum baissier, avec une divergence négative qui s'accentue. La décision de Vente est cohérente avec cette configuration, indiquant que la pression vendeuse reste dominante à moyen terme.</w:t>
      </w:r>
    </w:p>
    <w:p>
      <w:pPr>
        <w:spacing w:after="120" w:line="276" w:lineRule="auto"/>
      </w:pPr>
      <w:r>
        <w:t>**RSI** : À 27,27, le RSI entre en zone de survente (&lt;30), signalant une possible correction technique à la hausse. La décision d'Achat suggère que le titre est temporairement survendu, offrant potentiellement un point d'entrée pour les investisseurs opportunistes.</w:t>
      </w:r>
    </w:p>
    <w:p>
      <w:pPr>
        <w:spacing w:after="120" w:line="276" w:lineRule="auto"/>
      </w:pPr>
      <w:r>
        <w:t>**Stochastique** : Avec %K à 4,69 et %D à 5,15, l'indicateur est en profonde zone de survente, renforçant le signal d'achat technique. Le croisement potentiel des deux lignes pourrait déclencher un rebond technique à court terme.</w:t>
      </w:r>
    </w:p>
    <w:p>
      <w:pPr>
        <w:spacing w:after="120" w:line="276" w:lineRule="auto"/>
      </w:pPr>
      <w:r>
        <w:t>**Conclusion technique** : Les indicateurs sont partagés entre signaux baissiers (MM, MACD) et signaux haussiers (RSI, Stochastique). Cette divergence suggère une possible consolidation avant un rebond technique, mais la tendance de fond reste baissière.</w:t>
      </w:r>
    </w:p>
    <w:p>
      <w:pPr>
        <w:spacing w:after="120" w:line="276" w:lineRule="auto"/>
      </w:pPr>
      <w:r>
        <w:t>---</w:t>
      </w:r>
    </w:p>
    <w:p>
      <w:pPr>
        <w:spacing w:after="120" w:line="276" w:lineRule="auto"/>
      </w:pPr>
      <w:r>
        <w:t>### PARTIE 3 : ANALYSE FONDAMENTALE (SECTION CRITIQUE)</w:t>
      </w:r>
    </w:p>
    <w:p>
      <w:pPr>
        <w:spacing w:after="120" w:line="276" w:lineRule="auto"/>
      </w:pPr>
      <w:r>
        <w:t>En 2025, CABC a réalisé un chiffre d'affaires de 21,263 milliards FCFA, en croissance de +11,2% par rapport à 2024 (19,125 milliards FCFA). Le résultat net s'établit à 1,439 milliards FCFA, confirmant le retour à la profitabilité après les pertes de 2023-2024. La marge nette atteint 6,77%, le ROE s'élève à 15,40% (excellent, &gt;15%) et le ROA à 6,10%. La structure financière est saine avec une autonomie financière de 39,58% et une solvabilité générale de 165,52%. Cependant, le BFR de 7,186 milliards FCFA et les délais clients élevés (144,69 jours) constituent des points de vigilance. Les rapports trimestriels 2025 confirment cette dynamique : le S1 2025 affiche un résultat net de 851,5 millions FCFA (+55,3%), et le T3 2025 cumulé atteint 1 329,5 millions FCFA (+26%). Le rapport T1 2026 montre une baisse temporaire (-26,5% du CA) due à une maintenance planifiée, mais la direction anticipe une normalisation dès le T2 2026. Sur la base de ces éléments, on estime que l'exercice 2026 pourrait maintenir un CA autour de 20-21 milliards FCFA avec un résultat net stable.</w:t>
      </w:r>
    </w:p>
    <w:p>
      <w:pPr>
        <w:spacing w:after="120" w:line="276" w:lineRule="auto"/>
      </w:pPr>
      <w:r>
        <w:t>---</w:t>
      </w:r>
    </w:p>
    <w:p>
      <w:pPr>
        <w:spacing w:after="120" w:line="276" w:lineRule="auto"/>
      </w:pPr>
      <w:r>
        <w:t>### PARTIE 4 : CONCLUSION D'INVESTISSEMENT</w:t>
      </w:r>
    </w:p>
    <w:p>
      <w:pPr>
        <w:spacing w:after="120" w:line="276" w:lineRule="auto"/>
      </w:pPr>
      <w:r>
        <w:t>La valorisation actuelle (PER 14,4x, P/B 2,21x, EV/EBITDA 7,3x) apparaît légèrement élevée par rapport aux fondamentaux, mais intègre les perspectives de croissance. Le comportement du cours montre une tendance baissière récente malgré une performance positive sur 100 jours, avec une volatilité élevée (55,8%) et des statistiques indiquant une distribution normale. Les signaux techniques sont divergents : les indicateurs de tendance (MM, MACD) sont baissiers tandis que les oscillateurs (RSI, Stochastique) suggèrent un rebond imminent. Les fondamentaux sont globalement solides avec un retour à la profitabilité, une croissance soutenue du CA et une structure financière saine, malgré des délais clients préoccupants. Les prédictions IA (+4,3% à +25,6% sur 10 jours) suggèrent un rebond technique, contredisant partiellement les signaux baissiers. **Recommandation : ACHAT** avec un niveau de confiance Moyen, un risque global Élevé, et un horizon d'investissement optimal à moyen terme (3-12 mois), en surveillant la capacité de l'entreprise à maintenir sa rentabilité face à la volatilité des matières premières.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918.40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1,509 titres</w:t>
            </w:r>
          </w:p>
        </w:tc>
        <w:tc>
          <w:tcPr>
            <w:tcW w:type="dxa" w:w="2268"/>
            <w:shd w:fill="FFF2CC" w:val="clear"/>
          </w:tcPr>
          <w:p>
            <w:r>
              <w:rPr>
                <w:b/>
                <w:color w:val="503200"/>
                <w:sz w:val="16"/>
              </w:rPr>
              <w:t xml:space="preserve">Cours actuel : </w:t>
            </w:r>
            <w:r>
              <w:rPr>
                <w:color w:val="000000"/>
                <w:sz w:val="17"/>
              </w:rPr>
              <w:t>28,700 FCFA</w:t>
            </w:r>
          </w:p>
          <w:p>
            <w:r>
              <w:rPr>
                <w:b/>
                <w:color w:val="503200"/>
                <w:sz w:val="16"/>
              </w:rPr>
              <w:t xml:space="preserve">Var. 100 jours : </w:t>
            </w:r>
            <w:r>
              <w:rPr>
                <w:b/>
                <w:color w:val="007800"/>
                <w:sz w:val="17"/>
              </w:rPr>
              <w:t>+112.51%</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13,505 FCFA</w:t>
            </w:r>
          </w:p>
          <w:p>
            <w:r>
              <w:rPr>
                <w:b/>
                <w:color w:val="503200"/>
                <w:sz w:val="16"/>
              </w:rPr>
              <w:t xml:space="preserve">Volatilité ann. : </w:t>
            </w:r>
            <w:r>
              <w:rPr>
                <w:color w:val="000000"/>
                <w:sz w:val="17"/>
              </w:rPr>
              <w:t>42.0%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24.49% (Élevée) — μ=21,140 FCFA, σ=5,177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β=0.6202 (Défensif) — Cov=0.000023, Var(idx)=0.000036, ρ=0.141,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1,509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2026-08-14</w:t>
            </w:r>
          </w:p>
        </w:tc>
        <w:tc>
          <w:tcPr>
            <w:tcW w:type="dxa" w:w="1440"/>
            <w:shd w:fill="FFDCE0" w:val="clear"/>
          </w:tcPr>
          <w:p>
            <w:r>
              <w:rPr>
                <w:sz w:val="17"/>
              </w:rPr>
              <w:t>25,379</w:t>
            </w:r>
          </w:p>
        </w:tc>
        <w:tc>
          <w:tcPr>
            <w:tcW w:type="dxa" w:w="1440"/>
            <w:shd w:fill="FFDCE0" w:val="clear"/>
          </w:tcPr>
          <w:p>
            <w:r>
              <w:rPr>
                <w:b/>
                <w:sz w:val="17"/>
              </w:rPr>
              <w:t>26,548</w:t>
            </w:r>
          </w:p>
        </w:tc>
        <w:tc>
          <w:tcPr>
            <w:tcW w:type="dxa" w:w="1440"/>
            <w:shd w:fill="FFDCE0" w:val="clear"/>
          </w:tcPr>
          <w:p>
            <w:r>
              <w:rPr>
                <w:sz w:val="17"/>
              </w:rPr>
              <w:t>27,716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2026-08-17</w:t>
            </w:r>
          </w:p>
        </w:tc>
        <w:tc>
          <w:tcPr>
            <w:tcW w:type="dxa" w:w="1440"/>
            <w:shd w:fill="FFDCE0" w:val="clear"/>
          </w:tcPr>
          <w:p>
            <w:r>
              <w:rPr>
                <w:sz w:val="17"/>
              </w:rPr>
              <w:t>23,028</w:t>
            </w:r>
          </w:p>
        </w:tc>
        <w:tc>
          <w:tcPr>
            <w:tcW w:type="dxa" w:w="1440"/>
            <w:shd w:fill="FFDCE0" w:val="clear"/>
          </w:tcPr>
          <w:p>
            <w:r>
              <w:rPr>
                <w:b/>
                <w:sz w:val="17"/>
              </w:rPr>
              <w:t>24,556</w:t>
            </w:r>
          </w:p>
        </w:tc>
        <w:tc>
          <w:tcPr>
            <w:tcW w:type="dxa" w:w="1440"/>
            <w:shd w:fill="FFDCE0" w:val="clear"/>
          </w:tcPr>
          <w:p>
            <w:r>
              <w:rPr>
                <w:sz w:val="17"/>
              </w:rPr>
              <w:t>26,085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2026-08-18</w:t>
            </w:r>
          </w:p>
        </w:tc>
        <w:tc>
          <w:tcPr>
            <w:tcW w:type="dxa" w:w="1440"/>
            <w:shd w:fill="FFDCE0" w:val="clear"/>
          </w:tcPr>
          <w:p>
            <w:r>
              <w:rPr>
                <w:sz w:val="17"/>
              </w:rPr>
              <w:t>20,983</w:t>
            </w:r>
          </w:p>
        </w:tc>
        <w:tc>
          <w:tcPr>
            <w:tcW w:type="dxa" w:w="1440"/>
            <w:shd w:fill="FFDCE0" w:val="clear"/>
          </w:tcPr>
          <w:p>
            <w:r>
              <w:rPr>
                <w:b/>
                <w:sz w:val="17"/>
              </w:rPr>
              <w:t>22,715</w:t>
            </w:r>
          </w:p>
        </w:tc>
        <w:tc>
          <w:tcPr>
            <w:tcW w:type="dxa" w:w="1440"/>
            <w:shd w:fill="FFDCE0" w:val="clear"/>
          </w:tcPr>
          <w:p>
            <w:r>
              <w:rPr>
                <w:sz w:val="17"/>
              </w:rPr>
              <w:t>24,447</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19,161</w:t>
            </w:r>
          </w:p>
        </w:tc>
        <w:tc>
          <w:tcPr>
            <w:tcW w:type="dxa" w:w="1440"/>
            <w:shd w:fill="FFDCE0" w:val="clear"/>
          </w:tcPr>
          <w:p>
            <w:r>
              <w:rPr>
                <w:b/>
                <w:sz w:val="17"/>
              </w:rPr>
              <w:t>21,011</w:t>
            </w:r>
          </w:p>
        </w:tc>
        <w:tc>
          <w:tcPr>
            <w:tcW w:type="dxa" w:w="1440"/>
            <w:shd w:fill="FFDCE0" w:val="clear"/>
          </w:tcPr>
          <w:p>
            <w:r>
              <w:rPr>
                <w:sz w:val="17"/>
              </w:rPr>
              <w:t>22,861</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17,657</w:t>
            </w:r>
          </w:p>
        </w:tc>
        <w:tc>
          <w:tcPr>
            <w:tcW w:type="dxa" w:w="1440"/>
            <w:shd w:fill="FFDCE0" w:val="clear"/>
          </w:tcPr>
          <w:p>
            <w:r>
              <w:rPr>
                <w:b/>
                <w:sz w:val="17"/>
              </w:rPr>
              <w:t>19,585</w:t>
            </w:r>
          </w:p>
        </w:tc>
        <w:tc>
          <w:tcPr>
            <w:tcW w:type="dxa" w:w="1440"/>
            <w:shd w:fill="FFDCE0" w:val="clear"/>
          </w:tcPr>
          <w:p>
            <w:r>
              <w:rPr>
                <w:sz w:val="17"/>
              </w:rPr>
              <w:t>21,513</w:t>
            </w:r>
          </w:p>
        </w:tc>
        <w:tc>
          <w:tcPr>
            <w:tcW w:type="dxa" w:w="1440"/>
            <w:shd w:fill="FFDCE0" w:val="clear"/>
          </w:tcPr>
          <w:p>
            <w:r>
              <w:rPr>
                <w:b/>
                <w:color w:val="C00000"/>
                <w:sz w:val="17"/>
              </w:rPr>
              <w:t>-31.8%</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16,985</w:t>
            </w:r>
          </w:p>
        </w:tc>
        <w:tc>
          <w:tcPr>
            <w:tcW w:type="dxa" w:w="1440"/>
            <w:shd w:fill="FFDCE0" w:val="clear"/>
          </w:tcPr>
          <w:p>
            <w:r>
              <w:rPr>
                <w:b/>
                <w:sz w:val="17"/>
              </w:rPr>
              <w:t>19,038</w:t>
            </w:r>
          </w:p>
        </w:tc>
        <w:tc>
          <w:tcPr>
            <w:tcW w:type="dxa" w:w="1440"/>
            <w:shd w:fill="FFDCE0" w:val="clear"/>
          </w:tcPr>
          <w:p>
            <w:r>
              <w:rPr>
                <w:sz w:val="17"/>
              </w:rPr>
              <w:t>21,091</w:t>
            </w:r>
          </w:p>
        </w:tc>
        <w:tc>
          <w:tcPr>
            <w:tcW w:type="dxa" w:w="1440"/>
            <w:shd w:fill="FFDCE0" w:val="clear"/>
          </w:tcPr>
          <w:p>
            <w:r>
              <w:rPr>
                <w:b/>
                <w:color w:val="C00000"/>
                <w:sz w:val="17"/>
              </w:rPr>
              <w:t>-33.7%</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16,397</w:t>
            </w:r>
          </w:p>
        </w:tc>
        <w:tc>
          <w:tcPr>
            <w:tcW w:type="dxa" w:w="1440"/>
            <w:shd w:fill="FFDCE0" w:val="clear"/>
          </w:tcPr>
          <w:p>
            <w:r>
              <w:rPr>
                <w:b/>
                <w:sz w:val="17"/>
              </w:rPr>
              <w:t>18,558</w:t>
            </w:r>
          </w:p>
        </w:tc>
        <w:tc>
          <w:tcPr>
            <w:tcW w:type="dxa" w:w="1440"/>
            <w:shd w:fill="FFDCE0" w:val="clear"/>
          </w:tcPr>
          <w:p>
            <w:r>
              <w:rPr>
                <w:sz w:val="17"/>
              </w:rPr>
              <w:t>20,720</w:t>
            </w:r>
          </w:p>
        </w:tc>
        <w:tc>
          <w:tcPr>
            <w:tcW w:type="dxa" w:w="1440"/>
            <w:shd w:fill="FFDCE0" w:val="clear"/>
          </w:tcPr>
          <w:p>
            <w:r>
              <w:rPr>
                <w:b/>
                <w:color w:val="C00000"/>
                <w:sz w:val="17"/>
              </w:rPr>
              <w:t>-35.3%</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15,873</w:t>
            </w:r>
          </w:p>
        </w:tc>
        <w:tc>
          <w:tcPr>
            <w:tcW w:type="dxa" w:w="1440"/>
            <w:shd w:fill="FFDCE0" w:val="clear"/>
          </w:tcPr>
          <w:p>
            <w:r>
              <w:rPr>
                <w:b/>
                <w:sz w:val="17"/>
              </w:rPr>
              <w:t>18,131</w:t>
            </w:r>
          </w:p>
        </w:tc>
        <w:tc>
          <w:tcPr>
            <w:tcW w:type="dxa" w:w="1440"/>
            <w:shd w:fill="FFDCE0" w:val="clear"/>
          </w:tcPr>
          <w:p>
            <w:r>
              <w:rPr>
                <w:sz w:val="17"/>
              </w:rPr>
              <w:t>20,389</w:t>
            </w:r>
          </w:p>
        </w:tc>
        <w:tc>
          <w:tcPr>
            <w:tcW w:type="dxa" w:w="1440"/>
            <w:shd w:fill="FFDCE0" w:val="clear"/>
          </w:tcPr>
          <w:p>
            <w:r>
              <w:rPr>
                <w:b/>
                <w:color w:val="C00000"/>
                <w:sz w:val="17"/>
              </w:rPr>
              <w:t>-36.8%</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15,401</w:t>
            </w:r>
          </w:p>
        </w:tc>
        <w:tc>
          <w:tcPr>
            <w:tcW w:type="dxa" w:w="1440"/>
            <w:shd w:fill="FFDCE0" w:val="clear"/>
          </w:tcPr>
          <w:p>
            <w:r>
              <w:rPr>
                <w:b/>
                <w:sz w:val="17"/>
              </w:rPr>
              <w:t>17,744</w:t>
            </w:r>
          </w:p>
        </w:tc>
        <w:tc>
          <w:tcPr>
            <w:tcW w:type="dxa" w:w="1440"/>
            <w:shd w:fill="FFDCE0" w:val="clear"/>
          </w:tcPr>
          <w:p>
            <w:r>
              <w:rPr>
                <w:sz w:val="17"/>
              </w:rPr>
              <w:t>20,088</w:t>
            </w:r>
          </w:p>
        </w:tc>
        <w:tc>
          <w:tcPr>
            <w:tcW w:type="dxa" w:w="1440"/>
            <w:shd w:fill="FFDCE0" w:val="clear"/>
          </w:tcPr>
          <w:p>
            <w:r>
              <w:rPr>
                <w:b/>
                <w:color w:val="C00000"/>
                <w:sz w:val="17"/>
              </w:rPr>
              <w:t>-38.2%</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14,971</w:t>
            </w:r>
          </w:p>
        </w:tc>
        <w:tc>
          <w:tcPr>
            <w:tcW w:type="dxa" w:w="1440"/>
            <w:shd w:fill="FFDCE0" w:val="clear"/>
          </w:tcPr>
          <w:p>
            <w:r>
              <w:rPr>
                <w:b/>
                <w:sz w:val="17"/>
              </w:rPr>
              <w:t>17,393</w:t>
            </w:r>
          </w:p>
        </w:tc>
        <w:tc>
          <w:tcPr>
            <w:tcW w:type="dxa" w:w="1440"/>
            <w:shd w:fill="FFDCE0" w:val="clear"/>
          </w:tcPr>
          <w:p>
            <w:r>
              <w:rPr>
                <w:sz w:val="17"/>
              </w:rPr>
              <w:t>19,814</w:t>
            </w:r>
          </w:p>
        </w:tc>
        <w:tc>
          <w:tcPr>
            <w:tcW w:type="dxa" w:w="1440"/>
            <w:shd w:fill="FFDCE0" w:val="clear"/>
          </w:tcPr>
          <w:p>
            <w:r>
              <w:rPr>
                <w:b/>
                <w:color w:val="C00000"/>
                <w:sz w:val="17"/>
              </w:rPr>
              <w:t>-39.4%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CORIS BANK INTERNATIONAL BURKINA FASO (CBIBF)**</w:t>
        <w:br/>
        <w:t>**Date de l'analyse : 13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918,40 milliards FCFA, positionnant le titre parmi les valeurs les plus lourdes de la cote BRVM, ce qui reflète son statut de banque systémique dans l'UEMOA. Avec un BPA de 2 047 FCFA, chaque action génère un bénéfice substantiel, justifiant un PER de 14,0x. Ce ratio, bien que supérieur à la moyenne historique de la BRVM (8-12x), reste modéré pour une banque de cette envergure, indiquant que les investisseurs acceptent de payer une prime de croissance. L'EV/EBITDA de 10,4x, dans la fourchette haute (10-15x), confirme une valorisation exigeante, intégrant des perspectives de croissance solides. Le ratio P/B n'étant pas disponible, l'analyse de la valeur comptable ne peut être approfondie, mais l'ensemble des ratios disponibles suggère une valorisation qualitative, récompensant la solidité financière et la performance opérationnelle de la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enregistré une progression spectaculaire de +112,51%, passant d'un plus bas de 13 505 FCFA à un plus haut de 30 005 FCFA, avec un cours actuel de 28 700 FCFA. Cette tendance haussière marquée, couplée à une stabilité lors de la dernière séance (variation J-1 de 0,00%), témoigne d'un fort momentum acheteur. La moyenne du cours sur la période (21 140 FCFA) est inférieure à la médiane (21 500 FCFA), indiquant une distribution légèrement asymétrique avec une concentration des prix vers le haut. L'écart-type de 5 203 FCFA (CV=24,6%) révèle une dispersion modérée, tandis que le kurtosis négatif (-1,249) signale une distribution platykurtique, avec des variations de prix moins extrêmes que la normale. Le skewness positif (0,156) confirme une asymétrie vers les valeurs hautes. Enfin, la volatilité annualisée de 42,0% classe le titre comme très volatil, un niveau élevé qui reflète à la fois l'enthousiasme des investisseurs et un risque de retournement potentiel.</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(28 700 FCFA) se positionne nettement au-dessus de la MM20 (27 918 FCFA) et de la MM50 (25 453,6 FCFA), confirmant une dynamique haussière à court et moyen terme. La configuration des MM, avec le cours au-dessus des deux moyennes, génère un signal d'achat, indiquant que la tendance de fond reste positive.</w:t>
      </w:r>
    </w:p>
    <w:p>
      <w:pPr>
        <w:spacing w:after="120" w:line="276" w:lineRule="auto"/>
      </w:pPr>
      <w:r>
        <w:t>**Bandes de Bollinger :** Le prix se situe à 28 700 FCFA, proche de la borne supérieure (29 837 FCFA) et bien au-dessus de la borne inférieure (25 998 FCFA). Cette position suggère une pression acheteuse soutenue, mais le titre approche d'une zone de surachat technique. La décision est neutre, car le marché pourrait consolider avant une nouvelle impulsion.</w:t>
      </w:r>
    </w:p>
    <w:p>
      <w:pPr>
        <w:spacing w:after="120" w:line="276" w:lineRule="auto"/>
      </w:pPr>
      <w:r>
        <w:t>**MACD :** Le MACD (857,42) est inférieur à sa ligne de signal (955,36), indiquant un affaiblissement du momentum haussier à très court terme. Cette divergence baissière, bien que légère, génère un signal de vente, suggérant une possible correction ou une phase de consolidation après la forte hausse.</w:t>
      </w:r>
    </w:p>
    <w:p>
      <w:pPr>
        <w:spacing w:after="120" w:line="276" w:lineRule="auto"/>
      </w:pPr>
      <w:r>
        <w:t>**RSI :** Le RSI à 79,45 est en zone de surachat (au-dessus de 70). Cette valeur extrême signale que le titre est techniquement surévalué à court terme, avec un risque élevé de correction. La décision de vente est justifiée par cette condition de surachat, qui appelle à la prudence.</w:t>
      </w:r>
    </w:p>
    <w:p>
      <w:pPr>
        <w:spacing w:after="120" w:line="276" w:lineRule="auto"/>
      </w:pPr>
      <w:r>
        <w:t>**Stochastique :** Le %K (85,0) et le %D (91,078) sont tous deux en zone de surachat, avec un %K inférieur au %D, indiquant un croisement baissier potentiel. Ce signal de vente renforce l'idée d'un essoufflement du mouvement haussier à court terme.</w:t>
      </w:r>
    </w:p>
    <w:p>
      <w:pPr>
        <w:spacing w:after="120" w:line="276" w:lineRule="auto"/>
      </w:pPr>
      <w:r>
        <w:t>**Conclusion technique :** L'analyse technique révèle une divergence nette entre la tendance de fond (haussière, soutenue par les MM) et les oscillateurs de momentum (RSI, Stochastique, MACD), tous en zone de surachat ou en signal de vente. Cette configuration suggère une probabilité élevée de consolidation ou de correction à court terme, malgré une tendance de fond positive. Les investisseurs devraient donc surveiller un repli technique avant d'envisager de nouvelles positions.</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CBIBF a réalisé un Produit Net Bancaire (PNB) de 138,986 milliards FCFA, en croissance de 6,1%, avec un résultat net de 65,495 milliards FCFA, en progression de 36,6% par rapport à 2024. Cette performance est portée par une marge nette exceptionnelle de 47,12% et un coefficient d'exploitation de 36,39%, témoignant d'une excellente maîtrise des charges. Le ROA de 2,18% est solide pour le secteur bancaire. Le coût du risque, bien qu'en amélioration de 59,3% selon les rapports, reste un point de vigilance. La banque affiche une collecte de dépôts dynamique (2 015,3 milliards FCFA, +14,9%) et des crédits nets en hausse de 5,4% (1 327 milliards FCFA), illustrant une saine activité de transformation.</w:t>
      </w:r>
    </w:p>
    <w:p>
      <w:pPr>
        <w:spacing w:after="120" w:line="276" w:lineRule="auto"/>
      </w:pPr>
      <w:r>
        <w:t>**Évolution et estimations (Rapports trimestriels) :** Les rapports trimestriels confirment cette dynamique. Le rapport du T3 2025 (publié en 2025) indique un PNB de 101,3 milliards FCFA (+9,65%) et un résultat net de 52,9 milliards FCFA (+6,25%), avec une marge nette implicite de 52,2%. Le rapport du T1 2026 (publié en 2026) est encore plus encourageant, avec un PNB de 36,8 milliards FCFA (+28,5%) et un résultat net de 21,5 milliards FCFA (+22,2%). Sur cette base, on estime que l'exercice 2026 pourrait voir un PNB dépasser les 160 milliards FCFA et un résultat net excédant les 75 milliards FCFA, confirmant la robustesse du modèle d'affaires. La banque bénéficie d'une notation financière AA/AI avec perspective stable, renforçant sa crédibilité. Les risques pays (sécurité, politique) demeurent, mais la gestion proactive du risque et la croissance soutenue des dépôts offrent des perspectives favorables.</w:t>
      </w:r>
    </w:p>
    <w:p>
      <w:pPr>
        <w:spacing w:after="120" w:line="276" w:lineRule="auto"/>
      </w:pPr>
      <w:r>
        <w:t>---</w:t>
      </w:r>
    </w:p>
    <w:p>
      <w:pPr>
        <w:spacing w:after="120" w:line="276" w:lineRule="auto"/>
      </w:pPr>
      <w:r>
        <w:t>### PARTIE 4 : CONCLUSION D'INVESTISSEMENT</w:t>
      </w:r>
    </w:p>
    <w:p>
      <w:pPr>
        <w:spacing w:after="120" w:line="276" w:lineRule="auto"/>
      </w:pPr>
      <w:r>
        <w:t>La synthèse globale révèle une configuration contrastée. La valorisation (Partie 0) est exigeante (PER 14x, EV/EBITDA 10,4x), mais justifiée par des fondamentaux solides. Le comportement du cours (Partie 1) montre une tendance haussière spectaculaire, mais avec une volatilité très élevée (42%) et des statistiques indiquant un risque de retournement. Les signaux techniques (Partie 2) sont en divergence : la tendance de fond (MM) est positive, mais tous les oscillateurs (RSI, Stochastique, MACD) sont en zone de surachat, signalant une correction probable à court terme. Les fondamentaux (Partie 3) sont excellents, avec une croissance soutenue du PNB et du résultat net, une efficacité opérationnelle remarquable et une gestion du risque en amélioration. Les prédictions IA (J+1 à J+10) prévoient une baisse significative du cours (de 26 548 à 19 585 FCFA), confirmant les signaux techniques de surachat et anticipant une correction. **Recommandation finale : VENTE** (ou prise de bénéfices) à court terme, avec un niveau de confiance **Moyen** et un risque global **Élevé**. L'horizon d'investissement optimal serait de moyen terme (3-12 mois), en attendant une correction technique pour renforcer les positions sur une valeur aux fondamentaux solides.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290.20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3,611 titres</w:t>
            </w:r>
          </w:p>
        </w:tc>
        <w:tc>
          <w:tcPr>
            <w:tcW w:type="dxa" w:w="2268"/>
            <w:shd w:fill="FFF2CC" w:val="clear"/>
          </w:tcPr>
          <w:p>
            <w:r>
              <w:rPr>
                <w:b/>
                <w:color w:val="503200"/>
                <w:sz w:val="16"/>
              </w:rPr>
              <w:t xml:space="preserve">Cours actuel : </w:t>
            </w:r>
            <w:r>
              <w:rPr>
                <w:color w:val="000000"/>
                <w:sz w:val="17"/>
              </w:rPr>
              <w:t>1,600 FCFA</w:t>
            </w:r>
          </w:p>
          <w:p>
            <w:r>
              <w:rPr>
                <w:b/>
                <w:color w:val="503200"/>
                <w:sz w:val="16"/>
              </w:rPr>
              <w:t xml:space="preserve">Var. 100 jours : </w:t>
            </w:r>
            <w:r>
              <w:rPr>
                <w:b/>
                <w:color w:val="B40000"/>
                <w:sz w:val="17"/>
              </w:rPr>
              <w:t>-8.31%</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6.34% (Moyenne) — μ=1,606 FCFA, σ=102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β=1.0204 (Neutre (suit le marché)) — Cov=0.000037, Var(idx)=0.000036, ρ=0.203,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σ_j=3.03%/j (Modérée) — Vol. annualisée≈48.1%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2026-08-14</w:t>
            </w:r>
          </w:p>
        </w:tc>
        <w:tc>
          <w:tcPr>
            <w:tcW w:type="dxa" w:w="1440"/>
            <w:shd w:fill="FAFAFA" w:val="clear"/>
          </w:tcPr>
          <w:p>
            <w:r>
              <w:rPr>
                <w:sz w:val="17"/>
              </w:rPr>
              <w:t>1,515</w:t>
            </w:r>
          </w:p>
        </w:tc>
        <w:tc>
          <w:tcPr>
            <w:tcW w:type="dxa" w:w="1440"/>
            <w:shd w:fill="FAFAFA" w:val="clear"/>
          </w:tcPr>
          <w:p>
            <w:r>
              <w:rPr>
                <w:b/>
                <w:sz w:val="17"/>
              </w:rPr>
              <w:t>1,589</w:t>
            </w:r>
          </w:p>
        </w:tc>
        <w:tc>
          <w:tcPr>
            <w:tcW w:type="dxa" w:w="1440"/>
            <w:shd w:fill="FAFAFA" w:val="clear"/>
          </w:tcPr>
          <w:p>
            <w:r>
              <w:rPr>
                <w:sz w:val="17"/>
              </w:rPr>
              <w:t>1,662</w:t>
            </w:r>
          </w:p>
        </w:tc>
        <w:tc>
          <w:tcPr>
            <w:tcW w:type="dxa" w:w="1440"/>
            <w:shd w:fill="FAFAFA" w:val="clear"/>
          </w:tcPr>
          <w:p>
            <w:r>
              <w:rPr>
                <w:b/>
                <w:color w:val="C00000"/>
                <w:sz w:val="17"/>
              </w:rPr>
              <w:t>-0.7%</w:t>
            </w:r>
          </w:p>
        </w:tc>
      </w:tr>
      <w:tr>
        <w:tc>
          <w:tcPr>
            <w:tcW w:type="dxa" w:w="1440"/>
            <w:shd w:fill="FFDCE0" w:val="clear"/>
          </w:tcPr>
          <w:p>
            <w:r>
              <w:rPr>
                <w:sz w:val="17"/>
              </w:rPr>
              <w:t>J+2  Moyenne</w:t>
            </w:r>
          </w:p>
        </w:tc>
        <w:tc>
          <w:tcPr>
            <w:tcW w:type="dxa" w:w="1440"/>
            <w:shd w:fill="FFDCE0" w:val="clear"/>
          </w:tcPr>
          <w:p>
            <w:r>
              <w:rPr>
                <w:sz w:val="17"/>
              </w:rPr>
              <w:t>2026-08-17</w:t>
            </w:r>
          </w:p>
        </w:tc>
        <w:tc>
          <w:tcPr>
            <w:tcW w:type="dxa" w:w="1440"/>
            <w:shd w:fill="FFDCE0" w:val="clear"/>
          </w:tcPr>
          <w:p>
            <w:r>
              <w:rPr>
                <w:sz w:val="17"/>
              </w:rPr>
              <w:t>1,462</w:t>
            </w:r>
          </w:p>
        </w:tc>
        <w:tc>
          <w:tcPr>
            <w:tcW w:type="dxa" w:w="1440"/>
            <w:shd w:fill="FFDCE0" w:val="clear"/>
          </w:tcPr>
          <w:p>
            <w:r>
              <w:rPr>
                <w:b/>
                <w:sz w:val="17"/>
              </w:rPr>
              <w:t>1,564</w:t>
            </w:r>
          </w:p>
        </w:tc>
        <w:tc>
          <w:tcPr>
            <w:tcW w:type="dxa" w:w="1440"/>
            <w:shd w:fill="FFDCE0" w:val="clear"/>
          </w:tcPr>
          <w:p>
            <w:r>
              <w:rPr>
                <w:sz w:val="17"/>
              </w:rPr>
              <w:t>1,666</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2026-08-18</w:t>
            </w:r>
          </w:p>
        </w:tc>
        <w:tc>
          <w:tcPr>
            <w:tcW w:type="dxa" w:w="1440"/>
            <w:shd w:fill="FFDCE0" w:val="clear"/>
          </w:tcPr>
          <w:p>
            <w:r>
              <w:rPr>
                <w:sz w:val="17"/>
              </w:rPr>
              <w:t>1,418</w:t>
            </w:r>
          </w:p>
        </w:tc>
        <w:tc>
          <w:tcPr>
            <w:tcW w:type="dxa" w:w="1440"/>
            <w:shd w:fill="FFDCE0" w:val="clear"/>
          </w:tcPr>
          <w:p>
            <w:r>
              <w:rPr>
                <w:b/>
                <w:sz w:val="17"/>
              </w:rPr>
              <w:t>1,541</w:t>
            </w:r>
          </w:p>
        </w:tc>
        <w:tc>
          <w:tcPr>
            <w:tcW w:type="dxa" w:w="1440"/>
            <w:shd w:fill="FFDCE0" w:val="clear"/>
          </w:tcPr>
          <w:p>
            <w:r>
              <w:rPr>
                <w:sz w:val="17"/>
              </w:rPr>
              <w:t>1,664</w:t>
            </w:r>
          </w:p>
        </w:tc>
        <w:tc>
          <w:tcPr>
            <w:tcW w:type="dxa" w:w="1440"/>
            <w:shd w:fill="FFDCE0" w:val="clear"/>
          </w:tcPr>
          <w:p>
            <w:r>
              <w:rPr>
                <w:b/>
                <w:color w:val="C00000"/>
                <w:sz w:val="17"/>
              </w:rPr>
              <w:t>-3.7%</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1,379</w:t>
            </w:r>
          </w:p>
        </w:tc>
        <w:tc>
          <w:tcPr>
            <w:tcW w:type="dxa" w:w="1440"/>
            <w:shd w:fill="FFDCE0" w:val="clear"/>
          </w:tcPr>
          <w:p>
            <w:r>
              <w:rPr>
                <w:b/>
                <w:sz w:val="17"/>
              </w:rPr>
              <w:t>1,519</w:t>
            </w:r>
          </w:p>
        </w:tc>
        <w:tc>
          <w:tcPr>
            <w:tcW w:type="dxa" w:w="1440"/>
            <w:shd w:fill="FFDCE0" w:val="clear"/>
          </w:tcPr>
          <w:p>
            <w:r>
              <w:rPr>
                <w:sz w:val="17"/>
              </w:rPr>
              <w:t>1,659</w:t>
            </w:r>
          </w:p>
        </w:tc>
        <w:tc>
          <w:tcPr>
            <w:tcW w:type="dxa" w:w="1440"/>
            <w:shd w:fill="FFDCE0" w:val="clear"/>
          </w:tcPr>
          <w:p>
            <w:r>
              <w:rPr>
                <w:b/>
                <w:color w:val="C00000"/>
                <w:sz w:val="17"/>
              </w:rPr>
              <w:t>-5.1%</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1,343</w:t>
            </w:r>
          </w:p>
        </w:tc>
        <w:tc>
          <w:tcPr>
            <w:tcW w:type="dxa" w:w="1440"/>
            <w:shd w:fill="FFDCE0" w:val="clear"/>
          </w:tcPr>
          <w:p>
            <w:r>
              <w:rPr>
                <w:b/>
                <w:sz w:val="17"/>
              </w:rPr>
              <w:t>1,497</w:t>
            </w:r>
          </w:p>
        </w:tc>
        <w:tc>
          <w:tcPr>
            <w:tcW w:type="dxa" w:w="1440"/>
            <w:shd w:fill="FFDCE0" w:val="clear"/>
          </w:tcPr>
          <w:p>
            <w:r>
              <w:rPr>
                <w:sz w:val="17"/>
              </w:rPr>
              <w:t>1,651</w:t>
            </w:r>
          </w:p>
        </w:tc>
        <w:tc>
          <w:tcPr>
            <w:tcW w:type="dxa" w:w="1440"/>
            <w:shd w:fill="FFDCE0" w:val="clear"/>
          </w:tcPr>
          <w:p>
            <w:r>
              <w:rPr>
                <w:b/>
                <w:color w:val="C00000"/>
                <w:sz w:val="17"/>
              </w:rPr>
              <w:t>-6.4%</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1,309</w:t>
            </w:r>
          </w:p>
        </w:tc>
        <w:tc>
          <w:tcPr>
            <w:tcW w:type="dxa" w:w="1440"/>
            <w:shd w:fill="FFDCE0" w:val="clear"/>
          </w:tcPr>
          <w:p>
            <w:r>
              <w:rPr>
                <w:b/>
                <w:sz w:val="17"/>
              </w:rPr>
              <w:t>1,476</w:t>
            </w:r>
          </w:p>
        </w:tc>
        <w:tc>
          <w:tcPr>
            <w:tcW w:type="dxa" w:w="1440"/>
            <w:shd w:fill="FFDCE0" w:val="clear"/>
          </w:tcPr>
          <w:p>
            <w:r>
              <w:rPr>
                <w:sz w:val="17"/>
              </w:rPr>
              <w:t>1,642</w:t>
            </w:r>
          </w:p>
        </w:tc>
        <w:tc>
          <w:tcPr>
            <w:tcW w:type="dxa" w:w="1440"/>
            <w:shd w:fill="FFDCE0" w:val="clear"/>
          </w:tcPr>
          <w:p>
            <w:r>
              <w:rPr>
                <w:b/>
                <w:color w:val="C00000"/>
                <w:sz w:val="17"/>
              </w:rPr>
              <w:t>-7.8%</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1,277</w:t>
            </w:r>
          </w:p>
        </w:tc>
        <w:tc>
          <w:tcPr>
            <w:tcW w:type="dxa" w:w="1440"/>
            <w:shd w:fill="FFDCE0" w:val="clear"/>
          </w:tcPr>
          <w:p>
            <w:r>
              <w:rPr>
                <w:b/>
                <w:sz w:val="17"/>
              </w:rPr>
              <w:t>1,455</w:t>
            </w:r>
          </w:p>
        </w:tc>
        <w:tc>
          <w:tcPr>
            <w:tcW w:type="dxa" w:w="1440"/>
            <w:shd w:fill="FFDCE0" w:val="clear"/>
          </w:tcPr>
          <w:p>
            <w:r>
              <w:rPr>
                <w:sz w:val="17"/>
              </w:rPr>
              <w:t>1,632</w:t>
            </w:r>
          </w:p>
        </w:tc>
        <w:tc>
          <w:tcPr>
            <w:tcW w:type="dxa" w:w="1440"/>
            <w:shd w:fill="FFDCE0" w:val="clear"/>
          </w:tcPr>
          <w:p>
            <w:r>
              <w:rPr>
                <w:b/>
                <w:color w:val="C00000"/>
                <w:sz w:val="17"/>
              </w:rPr>
              <w:t>-9.1%</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1,248</w:t>
            </w:r>
          </w:p>
        </w:tc>
        <w:tc>
          <w:tcPr>
            <w:tcW w:type="dxa" w:w="1440"/>
            <w:shd w:fill="FFDCE0" w:val="clear"/>
          </w:tcPr>
          <w:p>
            <w:r>
              <w:rPr>
                <w:b/>
                <w:sz w:val="17"/>
              </w:rPr>
              <w:t>1,435</w:t>
            </w:r>
          </w:p>
        </w:tc>
        <w:tc>
          <w:tcPr>
            <w:tcW w:type="dxa" w:w="1440"/>
            <w:shd w:fill="FFDCE0" w:val="clear"/>
          </w:tcPr>
          <w:p>
            <w:r>
              <w:rPr>
                <w:sz w:val="17"/>
              </w:rPr>
              <w:t>1,622</w:t>
            </w:r>
          </w:p>
        </w:tc>
        <w:tc>
          <w:tcPr>
            <w:tcW w:type="dxa" w:w="1440"/>
            <w:shd w:fill="FFDCE0" w:val="clear"/>
          </w:tcPr>
          <w:p>
            <w:r>
              <w:rPr>
                <w:b/>
                <w:color w:val="C00000"/>
                <w:sz w:val="17"/>
              </w:rPr>
              <w:t>-10.3%</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1,219</w:t>
            </w:r>
          </w:p>
        </w:tc>
        <w:tc>
          <w:tcPr>
            <w:tcW w:type="dxa" w:w="1440"/>
            <w:shd w:fill="FFDCE0" w:val="clear"/>
          </w:tcPr>
          <w:p>
            <w:r>
              <w:rPr>
                <w:b/>
                <w:sz w:val="17"/>
              </w:rPr>
              <w:t>1,415</w:t>
            </w:r>
          </w:p>
        </w:tc>
        <w:tc>
          <w:tcPr>
            <w:tcW w:type="dxa" w:w="1440"/>
            <w:shd w:fill="FFDCE0" w:val="clear"/>
          </w:tcPr>
          <w:p>
            <w:r>
              <w:rPr>
                <w:sz w:val="17"/>
              </w:rPr>
              <w:t>1,611</w:t>
            </w:r>
          </w:p>
        </w:tc>
        <w:tc>
          <w:tcPr>
            <w:tcW w:type="dxa" w:w="1440"/>
            <w:shd w:fill="FFDCE0" w:val="clear"/>
          </w:tcPr>
          <w:p>
            <w:r>
              <w:rPr>
                <w:b/>
                <w:color w:val="C00000"/>
                <w:sz w:val="17"/>
              </w:rPr>
              <w:t>-11.6%</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1,192</w:t>
            </w:r>
          </w:p>
        </w:tc>
        <w:tc>
          <w:tcPr>
            <w:tcW w:type="dxa" w:w="1440"/>
            <w:shd w:fill="FFDCE0" w:val="clear"/>
          </w:tcPr>
          <w:p>
            <w:r>
              <w:rPr>
                <w:b/>
                <w:sz w:val="17"/>
              </w:rPr>
              <w:t>1,396</w:t>
            </w:r>
          </w:p>
        </w:tc>
        <w:tc>
          <w:tcPr>
            <w:tcW w:type="dxa" w:w="1440"/>
            <w:shd w:fill="FFDCE0" w:val="clear"/>
          </w:tcPr>
          <w:p>
            <w:r>
              <w:rPr>
                <w:sz w:val="17"/>
              </w:rPr>
              <w:t>1,599</w:t>
            </w:r>
          </w:p>
        </w:tc>
        <w:tc>
          <w:tcPr>
            <w:tcW w:type="dxa" w:w="1440"/>
            <w:shd w:fill="FFDCE0" w:val="clear"/>
          </w:tcPr>
          <w:p>
            <w:r>
              <w:rPr>
                <w:b/>
                <w:color w:val="C00000"/>
                <w:sz w:val="17"/>
              </w:rPr>
              <w:t>-12.8%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CFAC s'établit à 290,20 milliards FCFA, un niveau significatif qui la positionne parmi les valeurs moyennes à grandes capitalisations de la BRVM. Le BPA de 26 FCFA par action est relativement faible, ce qui explique un PER de 61,8x, très largement supérieur à la moyenne du marché (8-12x). Les investisseurs paient donc un prix extrêmement élevé pour chaque franc de bénéfice, traduisant des anticipations de croissance très fortes ou une prime de rareté. Le P/B de 14,92x confirme cette valorisation exigeante, le marché valorisant près de 15 fois la valeur comptable des actifs. Enfin, l'EV/EBITDA de 31,5x, bien au-delà du seuil de 15x, indique que la valeur totale de l'entreprise (capitalisation + dettes) est très onéreuse par rapport à sa capacité opérationnelle. Ces ratios témoignent d'une valorisation extrêmement tendue qui laisse peu de marge d'erreur.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CFAC a enregistré une baisse de 8,31%, avec une accélération récente marquée par une chute de 2,44% lors de la dernière séance, portant le cours à 1 600 FCFA. Le titre a évolué dans une fourchette de 500 FCFA, entre un plus haut de 1 825 FCFA et un plus bas de 1 325 FCFA, illustrant une volatilité intraday notable. La moyenne (1 606 FCFA) et la médiane (1 605 FCFA) sont quasi identiques, indiquant une distribution symétrique des cours, confirmée par un skewness de -0,354. L'écart-type de 102 FCFA (CV=6,4%) révèle une dispersion modérée autour de la moyenne. Le kurtosis de -0,066 (mésokurtique) suggère une distribution proche de la normale, sans risque de pics extrêmes. La volatilité annualisée de 48,1% classe le titre dans la catégorie des valeurs à forte volatilité (&gt;30%), ce qui implique des fluctuations importantes et un risque élevé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La MM20 (1 661,25 FCFA) et la MM50 (1 658 FCFA) sont toutes deux supérieures au cours actuel de 1 600 FCFA, indiquant une tendance baissière récente. Cependant, le signal global est un "Achat", ce qui suggère que les moyennes mobiles pourraient agir comme des supports à moyen terme. L'écart entre les deux MM est minime, témoignant d'une consolidation.</w:t>
      </w:r>
    </w:p>
    <w:p>
      <w:pPr>
        <w:spacing w:after="120" w:line="276" w:lineRule="auto"/>
      </w:pPr>
      <w:r>
        <w:t>**Bandes de Bollinger** : Le cours à 1 600 FCFA se situe près de la borne inférieure (1 580,28 FCFA), indiquant que le titre est proche de la zone de survente. La largeur des bandes (162 FCFA) reflète une volatilité modérée. La décision "Neutre" suggère que le marché attend un signal directionnel clair, mais la proximité de la borne inférieure pourrait offrir un support technique.</w:t>
      </w:r>
    </w:p>
    <w:p>
      <w:pPr>
        <w:spacing w:after="120" w:line="276" w:lineRule="auto"/>
      </w:pPr>
      <w:r>
        <w:t>**MACD** : La valeur MACD (4,661) est inférieure au signal (10,395), avec une divergence négative qui confirme un momentum baissier. La décision "Vente" est cohérente avec la tendance récente du cours. Cette configuration indique que la pression vendeuse reste dominante à court terme.</w:t>
      </w:r>
    </w:p>
    <w:p>
      <w:pPr>
        <w:spacing w:after="120" w:line="276" w:lineRule="auto"/>
      </w:pPr>
      <w:r>
        <w:t>**RSI** : À 33,333, le RSI se situe en zone neutre mais proche du seuil de survente (30). Le marché n'est pas encore en situation de survente extrême, mais la dynamique baissière s'intensifie. La décision "Neutre" suggère que les vendeurs gardent le contrôle sans excès.</w:t>
      </w:r>
    </w:p>
    <w:p>
      <w:pPr>
        <w:spacing w:after="120" w:line="276" w:lineRule="auto"/>
      </w:pPr>
      <w:r>
        <w:t>**Stochastique** : Le %K à 0,0 est en territoire de survente extrême, tandis que le %D à 42,59 indique un croisement baissier potentiel. La décision "Achat" signale un possible rebond technique, mais le %K à zéro reflète une faiblesse extrême du momentum.</w:t>
      </w:r>
    </w:p>
    <w:p>
      <w:pPr>
        <w:spacing w:after="120" w:line="276" w:lineRule="auto"/>
      </w:pPr>
      <w:r>
        <w:t>**Conclusion technique** : Les indicateurs sont mitigés avec une prédominance baissière (MACD, RSI proche de la survente) mais des signaux de retournement potentiel (Stochastique, MM). La configuration suggère une possible stabilisation à court terme, mais la tendance de fond reste négative. La prudence est de mise.</w:t>
      </w:r>
    </w:p>
    <w:p>
      <w:pPr>
        <w:spacing w:after="120" w:line="276" w:lineRule="auto" w:before="240"/>
      </w:pPr>
      <w:r>
        <w:rPr>
          <w:b/>
          <w:color w:val="003366"/>
          <w:sz w:val="24"/>
        </w:rPr>
        <w:t>**PARTIE 3 : ANALYSE FONDAMENTALE (SECTION CRITIQUE)**</w:t>
      </w:r>
    </w:p>
    <w:p>
      <w:pPr>
        <w:spacing w:after="120" w:line="276" w:lineRule="auto"/>
      </w:pPr>
      <w:r>
        <w:t>En 2024, CFAC (CFAO Motors Côte d'Ivoire) a réalisé un chiffre d'affaires de 158,313 milliards FCFA, en baisse de 12,1% par rapport à 2023 (180,162 milliards FCFA), avec un résultat net de 4,693 milliards FCFA (-26,7%). Le ROE s'établit à 24,13%, un niveau excellent, et le ROA à 5,52%. Le BFR négatif de -3,482 milliards FCFA est favorable, indiquant que l'entreprise finance son exploitation grâce à ses fournisseurs (délai fournisseurs de 81,75 jours contre 36,64 jours pour les clients). La marge nette de 2,96% reflète une pression sur la rentabilité. Les rapports trimestriels 2025 montrent un redressement spectaculaire : au T1 2025, le CA atteint 46,161 milliards FCFA (+14,5%) avec un résultat net de 3,836 milliards FCFA (+279,7%), et au S1 2025, le CA progresse de 18,4% à 91,182 milliards FCFA avec un résultat net de 5,420 milliards FCFA (+152,7%). Le T3 2025 confirme cette dynamique avec un CA de 43,580 milliards FCFA (+18,3%) et un résultat net de 1,489 milliard FCFA (+38,1%). Sur la base de ces performances, on estime que l'exercice 2025 pourrait dépasser les 180 milliards FCFA de CA avec un résultat net supérieur à 10 milliards FCFA, soit un BPA potentiel d'environ 55 FCFA. La solidité financière est confortée par un ROE élevé et un endettement maîtrisé (capacité de remboursement de 0,72 an), malgré une trésorerie nette négative de -624 millions FCFA.</w:t>
      </w:r>
    </w:p>
    <w:p>
      <w:pPr>
        <w:spacing w:after="120" w:line="276" w:lineRule="auto" w:before="240"/>
      </w:pPr>
      <w:r>
        <w:rPr>
          <w:b/>
          <w:color w:val="003366"/>
          <w:sz w:val="24"/>
        </w:rPr>
        <w:t>**PARTIE 4 : CONCLUSION D'INVESTISSEMENT**</w:t>
      </w:r>
    </w:p>
    <w:p>
      <w:pPr>
        <w:spacing w:after="120" w:line="276" w:lineRule="auto"/>
      </w:pPr>
      <w:r>
        <w:t>La valorisation de CFAC est extrêmement exigeante (PER de 61,8x, P/B de 14,92x, EV/EBITDA de 31,5x), indiquant une surévaluation par rapport aux bénéfices actuels, même si les estimations 2025 (BPA potentiel de 55 FCFA) réduiraient le PER à environ 29x. Le comportement du cours sur 100 jours est baissier (-8,31%) avec une volatilité élevée (48,1%), mais les statistiques montrent une distribution stable. Les signaux techniques sont mitigés : le MACD est vendeur, le RSI neutre, mais le Stochastique et les moyennes mobiles suggèrent un possible rebond. Les fondamentaux sont solides avec un ROE de 24,13% et un redressement spectaculaire en 2025 (résultat net S1 +152,7%), soutenu par une position de leader (43,4% de part de marché). Les prédictions IA (1 589 à 1 497 FCFA sur 10 jours) confirment la tendance baissière à court terme. La convergence entre la valorisation élevée, la tendance technique baissière et les prédictions IA contraste avec la solidité fondamentale. **Recommandation : CONSERVER** avec un niveau de confiance Moyen et un risque global Élevé. L'horizon d'investissement optimal serait le moyen terme (3-12 mois), en attendant que la valorisation redevienne plus raisonnable ou que la croissance 2025 se confirme durablement.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305.20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6,234 titres</w:t>
            </w:r>
          </w:p>
        </w:tc>
        <w:tc>
          <w:tcPr>
            <w:tcW w:type="dxa" w:w="2268"/>
            <w:shd w:fill="FFF2CC" w:val="clear"/>
          </w:tcPr>
          <w:p>
            <w:r>
              <w:rPr>
                <w:b/>
                <w:color w:val="503200"/>
                <w:sz w:val="16"/>
              </w:rPr>
              <w:t xml:space="preserve">Cours actuel : </w:t>
            </w:r>
            <w:r>
              <w:rPr>
                <w:color w:val="000000"/>
                <w:sz w:val="17"/>
              </w:rPr>
              <w:t>5,450 FCFA</w:t>
            </w:r>
          </w:p>
          <w:p>
            <w:r>
              <w:rPr>
                <w:b/>
                <w:color w:val="503200"/>
                <w:sz w:val="16"/>
              </w:rPr>
              <w:t xml:space="preserve">Var. 100 jours : </w:t>
            </w:r>
            <w:r>
              <w:rPr>
                <w:b/>
                <w:color w:val="007800"/>
                <w:sz w:val="17"/>
              </w:rPr>
              <w:t>+65.15%</w:t>
            </w:r>
          </w:p>
          <w:p>
            <w:r>
              <w:rPr>
                <w:b/>
                <w:color w:val="503200"/>
                <w:sz w:val="16"/>
              </w:rPr>
              <w:t xml:space="preserve">Plus haut 100j : </w:t>
            </w:r>
            <w:r>
              <w:rPr>
                <w:color w:val="000000"/>
                <w:sz w:val="17"/>
              </w:rPr>
              <w:t>5,485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21.84% (Élevée) — μ=4,276 FCFA, σ=934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β=0.7267 (Défensif) — Cov=0.000026, Var(idx)=0.000036, ρ=0.150,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2026-08-14</w:t>
            </w:r>
          </w:p>
        </w:tc>
        <w:tc>
          <w:tcPr>
            <w:tcW w:type="dxa" w:w="1440"/>
            <w:shd w:fill="FFDCE0" w:val="clear"/>
          </w:tcPr>
          <w:p>
            <w:r>
              <w:rPr>
                <w:sz w:val="17"/>
              </w:rPr>
              <w:t>4,825</w:t>
            </w:r>
          </w:p>
        </w:tc>
        <w:tc>
          <w:tcPr>
            <w:tcW w:type="dxa" w:w="1440"/>
            <w:shd w:fill="FFDCE0" w:val="clear"/>
          </w:tcPr>
          <w:p>
            <w:r>
              <w:rPr>
                <w:b/>
                <w:sz w:val="17"/>
              </w:rPr>
              <w:t>5,041</w:t>
            </w:r>
          </w:p>
        </w:tc>
        <w:tc>
          <w:tcPr>
            <w:tcW w:type="dxa" w:w="1440"/>
            <w:shd w:fill="FFDCE0" w:val="clear"/>
          </w:tcPr>
          <w:p>
            <w:r>
              <w:rPr>
                <w:sz w:val="17"/>
              </w:rPr>
              <w:t>5,257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2026-08-17</w:t>
            </w:r>
          </w:p>
        </w:tc>
        <w:tc>
          <w:tcPr>
            <w:tcW w:type="dxa" w:w="1440"/>
            <w:shd w:fill="FFDCE0" w:val="clear"/>
          </w:tcPr>
          <w:p>
            <w:r>
              <w:rPr>
                <w:sz w:val="17"/>
              </w:rPr>
              <w:t>4,381</w:t>
            </w:r>
          </w:p>
        </w:tc>
        <w:tc>
          <w:tcPr>
            <w:tcW w:type="dxa" w:w="1440"/>
            <w:shd w:fill="FFDCE0" w:val="clear"/>
          </w:tcPr>
          <w:p>
            <w:r>
              <w:rPr>
                <w:b/>
                <w:sz w:val="17"/>
              </w:rPr>
              <w:t>4,663</w:t>
            </w:r>
          </w:p>
        </w:tc>
        <w:tc>
          <w:tcPr>
            <w:tcW w:type="dxa" w:w="1440"/>
            <w:shd w:fill="FFDCE0" w:val="clear"/>
          </w:tcPr>
          <w:p>
            <w:r>
              <w:rPr>
                <w:sz w:val="17"/>
              </w:rPr>
              <w:t>4,945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2026-08-18</w:t>
            </w:r>
          </w:p>
        </w:tc>
        <w:tc>
          <w:tcPr>
            <w:tcW w:type="dxa" w:w="1440"/>
            <w:shd w:fill="FFDCE0" w:val="clear"/>
          </w:tcPr>
          <w:p>
            <w:r>
              <w:rPr>
                <w:sz w:val="17"/>
              </w:rPr>
              <w:t>3,994</w:t>
            </w:r>
          </w:p>
        </w:tc>
        <w:tc>
          <w:tcPr>
            <w:tcW w:type="dxa" w:w="1440"/>
            <w:shd w:fill="FFDCE0" w:val="clear"/>
          </w:tcPr>
          <w:p>
            <w:r>
              <w:rPr>
                <w:b/>
                <w:sz w:val="17"/>
              </w:rPr>
              <w:t>4,313</w:t>
            </w:r>
          </w:p>
        </w:tc>
        <w:tc>
          <w:tcPr>
            <w:tcW w:type="dxa" w:w="1440"/>
            <w:shd w:fill="FFDCE0" w:val="clear"/>
          </w:tcPr>
          <w:p>
            <w:r>
              <w:rPr>
                <w:sz w:val="17"/>
              </w:rPr>
              <w:t>4,633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3,648</w:t>
            </w:r>
          </w:p>
        </w:tc>
        <w:tc>
          <w:tcPr>
            <w:tcW w:type="dxa" w:w="1440"/>
            <w:shd w:fill="FFDCE0" w:val="clear"/>
          </w:tcPr>
          <w:p>
            <w:r>
              <w:rPr>
                <w:b/>
                <w:sz w:val="17"/>
              </w:rPr>
              <w:t>3,990</w:t>
            </w:r>
          </w:p>
        </w:tc>
        <w:tc>
          <w:tcPr>
            <w:tcW w:type="dxa" w:w="1440"/>
            <w:shd w:fill="FFDCE0" w:val="clear"/>
          </w:tcPr>
          <w:p>
            <w:r>
              <w:rPr>
                <w:sz w:val="17"/>
              </w:rPr>
              <w:t>4,332</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3,337</w:t>
            </w:r>
          </w:p>
        </w:tc>
        <w:tc>
          <w:tcPr>
            <w:tcW w:type="dxa" w:w="1440"/>
            <w:shd w:fill="FFDCE0" w:val="clear"/>
          </w:tcPr>
          <w:p>
            <w:r>
              <w:rPr>
                <w:b/>
                <w:sz w:val="17"/>
              </w:rPr>
              <w:t>3,691</w:t>
            </w:r>
          </w:p>
        </w:tc>
        <w:tc>
          <w:tcPr>
            <w:tcW w:type="dxa" w:w="1440"/>
            <w:shd w:fill="FFDCE0" w:val="clear"/>
          </w:tcPr>
          <w:p>
            <w:r>
              <w:rPr>
                <w:sz w:val="17"/>
              </w:rPr>
              <w:t>4,044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3,124</w:t>
            </w:r>
          </w:p>
        </w:tc>
        <w:tc>
          <w:tcPr>
            <w:tcW w:type="dxa" w:w="1440"/>
            <w:shd w:fill="FFDCE0" w:val="clear"/>
          </w:tcPr>
          <w:p>
            <w:r>
              <w:rPr>
                <w:b/>
                <w:sz w:val="17"/>
              </w:rPr>
              <w:t>3,490</w:t>
            </w:r>
          </w:p>
        </w:tc>
        <w:tc>
          <w:tcPr>
            <w:tcW w:type="dxa" w:w="1440"/>
            <w:shd w:fill="FFDCE0" w:val="clear"/>
          </w:tcPr>
          <w:p>
            <w:r>
              <w:rPr>
                <w:sz w:val="17"/>
              </w:rPr>
              <w:t>3,856</w:t>
            </w:r>
          </w:p>
        </w:tc>
        <w:tc>
          <w:tcPr>
            <w:tcW w:type="dxa" w:w="1440"/>
            <w:shd w:fill="FFDCE0" w:val="clear"/>
          </w:tcPr>
          <w:p>
            <w:r>
              <w:rPr>
                <w:b/>
                <w:color w:val="C00000"/>
                <w:sz w:val="17"/>
              </w:rPr>
              <w:t>-36.0%</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3,020</w:t>
            </w:r>
          </w:p>
        </w:tc>
        <w:tc>
          <w:tcPr>
            <w:tcW w:type="dxa" w:w="1440"/>
            <w:shd w:fill="FFDCE0" w:val="clear"/>
          </w:tcPr>
          <w:p>
            <w:r>
              <w:rPr>
                <w:b/>
                <w:sz w:val="17"/>
              </w:rPr>
              <w:t>3,405</w:t>
            </w:r>
          </w:p>
        </w:tc>
        <w:tc>
          <w:tcPr>
            <w:tcW w:type="dxa" w:w="1440"/>
            <w:shd w:fill="FFDCE0" w:val="clear"/>
          </w:tcPr>
          <w:p>
            <w:r>
              <w:rPr>
                <w:sz w:val="17"/>
              </w:rPr>
              <w:t>3,791</w:t>
            </w:r>
          </w:p>
        </w:tc>
        <w:tc>
          <w:tcPr>
            <w:tcW w:type="dxa" w:w="1440"/>
            <w:shd w:fill="FFDCE0" w:val="clear"/>
          </w:tcPr>
          <w:p>
            <w:r>
              <w:rPr>
                <w:b/>
                <w:color w:val="C00000"/>
                <w:sz w:val="17"/>
              </w:rPr>
              <w:t>-37.5%</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2,926</w:t>
            </w:r>
          </w:p>
        </w:tc>
        <w:tc>
          <w:tcPr>
            <w:tcW w:type="dxa" w:w="1440"/>
            <w:shd w:fill="FFDCE0" w:val="clear"/>
          </w:tcPr>
          <w:p>
            <w:r>
              <w:rPr>
                <w:b/>
                <w:sz w:val="17"/>
              </w:rPr>
              <w:t>3,329</w:t>
            </w:r>
          </w:p>
        </w:tc>
        <w:tc>
          <w:tcPr>
            <w:tcW w:type="dxa" w:w="1440"/>
            <w:shd w:fill="FFDCE0" w:val="clear"/>
          </w:tcPr>
          <w:p>
            <w:r>
              <w:rPr>
                <w:sz w:val="17"/>
              </w:rPr>
              <w:t>3,732</w:t>
            </w:r>
          </w:p>
        </w:tc>
        <w:tc>
          <w:tcPr>
            <w:tcW w:type="dxa" w:w="1440"/>
            <w:shd w:fill="FFDCE0" w:val="clear"/>
          </w:tcPr>
          <w:p>
            <w:r>
              <w:rPr>
                <w:b/>
                <w:color w:val="C00000"/>
                <w:sz w:val="17"/>
              </w:rPr>
              <w:t>-38.9%</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2,841</w:t>
            </w:r>
          </w:p>
        </w:tc>
        <w:tc>
          <w:tcPr>
            <w:tcW w:type="dxa" w:w="1440"/>
            <w:shd w:fill="FFDCE0" w:val="clear"/>
          </w:tcPr>
          <w:p>
            <w:r>
              <w:rPr>
                <w:b/>
                <w:sz w:val="17"/>
              </w:rPr>
              <w:t>3,260</w:t>
            </w:r>
          </w:p>
        </w:tc>
        <w:tc>
          <w:tcPr>
            <w:tcW w:type="dxa" w:w="1440"/>
            <w:shd w:fill="FFDCE0" w:val="clear"/>
          </w:tcPr>
          <w:p>
            <w:r>
              <w:rPr>
                <w:sz w:val="17"/>
              </w:rPr>
              <w:t>3,678</w:t>
            </w:r>
          </w:p>
        </w:tc>
        <w:tc>
          <w:tcPr>
            <w:tcW w:type="dxa" w:w="1440"/>
            <w:shd w:fill="FFDCE0" w:val="clear"/>
          </w:tcPr>
          <w:p>
            <w:r>
              <w:rPr>
                <w:b/>
                <w:color w:val="C00000"/>
                <w:sz w:val="17"/>
              </w:rPr>
              <w:t>-40.2%</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2,765</w:t>
            </w:r>
          </w:p>
        </w:tc>
        <w:tc>
          <w:tcPr>
            <w:tcW w:type="dxa" w:w="1440"/>
            <w:shd w:fill="FFDCE0" w:val="clear"/>
          </w:tcPr>
          <w:p>
            <w:r>
              <w:rPr>
                <w:b/>
                <w:sz w:val="17"/>
              </w:rPr>
              <w:t>3,197</w:t>
            </w:r>
          </w:p>
        </w:tc>
        <w:tc>
          <w:tcPr>
            <w:tcW w:type="dxa" w:w="1440"/>
            <w:shd w:fill="FFDCE0" w:val="clear"/>
          </w:tcPr>
          <w:p>
            <w:r>
              <w:rPr>
                <w:sz w:val="17"/>
              </w:rPr>
              <w:t>3,630</w:t>
            </w:r>
          </w:p>
        </w:tc>
        <w:tc>
          <w:tcPr>
            <w:tcW w:type="dxa" w:w="1440"/>
            <w:shd w:fill="FFDCE0" w:val="clear"/>
          </w:tcPr>
          <w:p>
            <w:r>
              <w:rPr>
                <w:b/>
                <w:color w:val="C00000"/>
                <w:sz w:val="17"/>
              </w:rPr>
              <w:t>-41.3%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**Date de l'analyse : 13 août 2026 | Cours de référence : 5 450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305,20 milliards FCFA, un niveau substantiel qui positionne le titre parmi les valeurs moyennes à grandes capitalisations de la BRVM. Avec un BPA de 234 FCFA, le titre se négocie à un PER de 23,2x, nettement supérieur à la moyenne historique de la place (~8-12x), ce qui traduit une prime de valorisation significative, probablement justifiée par les attentes de croissance du secteur électrique ivoirien. Le P/B de 8,49x confirme cette lecture, le marché valorisant fortement les actifs nets de la société, bien au-delà de leur valeur comptable. Enfin, un EV/EBITDA de 13,3x, dans la fourchette haute des standards de la région, indique que les investisseurs intègrent une capacité opérationnelle solide et durable, mais laissent peu de marge d'erreur en cas de déception sur les résultats futurs.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CIEC a enregistré une progression spectaculaire de +65,15%, passant d'un plus bas de 3 000 FCFA à un plus haut de 5 485 FCFA, avec un cours actuel de 5 450 FCFA, proche de son sommet. La séance précédente s'est soldée par une stabilité (+0,00%), marquant une pause après cette forte ascension. La moyenne du cours sur la période (4 276 FCFA) est inférieure à la médiane (4 778 FCFA), ce qui, combiné à un skewness légèrement négatif (-0,127), indique une distribution quasi symétrique mais avec une concentration des prix vers le haut de la fourchette. L'écart-type de 939 FCFA (CV de 22%) révèle une dispersion modérée, tandis que le kurtosis de -1,810 (platykurtique) suggère une absence de pics extrêmes, indiquant une progression relativement régulière. La volatilité annualisée de 46,4% classe le titre comme très volatil, un niveau élevé (&gt;30%) qui implique un risque de marché important pour les investisseurs, mais qui a largement récompensé les positions haussières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(5 450 FCFA) évolue nettement au-dessus de la MM20 (5 165,75 FCFA) et de la MM50 (5 161,1 FCFA), qui sont par ailleurs quasi confondues. Cette configuration haussière, avec un cours au-dessus des deux moyennes et des moyennes orientées à la hausse, génère un signal d'**Achat** clair, confirmant la dynamique positive du titre.</w:t>
      </w:r>
    </w:p>
    <w:p>
      <w:pPr>
        <w:spacing w:after="120" w:line="276" w:lineRule="auto"/>
      </w:pPr>
      <w:r>
        <w:t>**Bandes de Bollinger :** Le prix se situe à 5 450 FCFA, très proche de la borne supérieure (5 495,20 FCFA), indiquant que le titre est en zone de surachat technique à court terme. La largeur des bandes (écart de ~660 FCFA) reflète la volatilité élevée. La décision est **Neutre**, car si la tendance est forte, le potentiel de correction technique augmente à ces niveaux.</w:t>
      </w:r>
    </w:p>
    <w:p>
      <w:pPr>
        <w:spacing w:after="120" w:line="276" w:lineRule="auto"/>
      </w:pPr>
      <w:r>
        <w:t>**MACD :** La valeur du MACD (57,733) est nettement supérieure à sa ligne de signal (34,278), avec un écart positif croissant. Ce croisement haussier et l'écart grandissant confirment un momentum positif soutenu, justifiant la décision d'**Achat**. La dynamique de fond reste donc clairement en faveur des acheteurs.</w:t>
      </w:r>
    </w:p>
    <w:p>
      <w:pPr>
        <w:spacing w:after="120" w:line="276" w:lineRule="auto"/>
      </w:pPr>
      <w:r>
        <w:t>**RSI :** À 52,128, le RSI se situe en zone neutre (entre 30 et 70), indiquant un équilibre entre pressions acheteuses et vendeuses après la forte hausse. Il n'y a pas de signal de surachat extrême, mais la marge de progression est moins importante qu'à des niveaux plus bas. La décision est **Neutre**.</w:t>
      </w:r>
    </w:p>
    <w:p>
      <w:pPr>
        <w:spacing w:after="120" w:line="276" w:lineRule="auto"/>
      </w:pPr>
      <w:r>
        <w:t>**Stochastique :** Le %K (100,0) et le %D (93,249) sont à des niveaux extrêmement élevés, en territoire de surachat très prononcé. Cette configuration signale un épuisement potentiel du mouvement haussier à très court terme et justifie la décision de **Vente**, suggérant un risque élevé de repli technique.</w:t>
      </w:r>
    </w:p>
    <w:p>
      <w:pPr>
        <w:spacing w:after="120" w:line="276" w:lineRule="auto"/>
      </w:pPr>
      <w:r>
        <w:t>**Conclusion technique :** Les indicateurs de tendance (MM, MACD) sont résolument haussiers, mais les oscillateurs de momentum (Stochastique, et dans une moindre mesure RSI et position dans les bandes de Bollinger) montrent des signes de surachat. La convergence des signaux est donc mitigée : la tendance de fond est positive, mais un repli technique de court terme est probable avant la poursuite du mouvement haussier.</w:t>
      </w:r>
    </w:p>
    <w:p>
      <w:pPr>
        <w:spacing w:after="120" w:line="276" w:lineRule="auto"/>
      </w:pPr>
      <w:r>
        <w:t>---</w:t>
      </w:r>
    </w:p>
    <w:p>
      <w:pPr>
        <w:spacing w:after="120" w:line="276" w:lineRule="auto"/>
      </w:pPr>
      <w:r>
        <w:t>### PARTIE 3 : ANALYSE FONDAMENTALE (SECTION CRITIQUE)</w:t>
      </w:r>
    </w:p>
    <w:p>
      <w:pPr>
        <w:spacing w:after="120" w:line="276" w:lineRule="auto"/>
      </w:pPr>
      <w:r>
        <w:t>En 2025, la CIEC affiche des performances financières solides. Le chiffre d'affaires s'établit à 302,320 milliards FCFA, en croissance de +14,8% par rapport à 2024 (263,294 milliards FCFA), porté par une hausse des ventes d'énergie de +8,3% en volume et une expansion de la base clients (+15,1%). Le résultat net atteint 13,127 milliards FCFA, en progression de 24,4% vs 2024, avec une marge nette de 4,34%. La rentabilité des capitaux propres (ROE) est excellente à 36,5%, bien au-dessus du seuil de 15% considéré comme performant, tandis que le ROA reste faible (0,65%) en raison d'un total de bilan très élevé (2 018,446 milliards FCFA). En tant qu'entreprise, l'analyse des délais est cruciale : le délai de paiement des clients est très long (164 jours), représentant un risque de trésorerie, mais il est largement compensé par un délai fournisseurs exceptionnellement long (970 jours) et un BFR négatif de -90,244 milliards FCFA, ce qui est très favorable. Le rapport annuel 2025 (daté du 31/12/2025) confirme ces chiffres et souligne une politique de dividende généreuse de 234 FCFA par action, représentant 99,8% du résultat net. Les rapports du S1 2025 (datés de juin 2025) montraient déjà une croissance de 18,85% du CA, suggérant une accélération en seconde moitié d'année. Sur la base de cette dynamique et des perspectives de croissance de la demande énergétique, on estime que l'exercice 2026 pourrait voir une nouvelle progression du CA de l'ordre de 8 à 10%, avec un résultat net potentiellement en hausse de 10 à 15%, sous réserve de la maîtrise des charges et du cadre réglementaire.</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 profil contrasté. La valorisation (Partie 0) est exigeante avec un PER de 23,2x et un P/B de 8,49x, indiquant une surévaluation relative par rapport au marché. Le comportement du cours (Partie 1) est extrêmement positif (+65% en 100 jours) mais avec une volatilité très élevée (46,4%) qui augmente le risque. Les signaux techniques (Partie 2) sont partagés : la tendance de fond (MM, MACD) est haussière, mais les indicateurs de court terme (Stochastique) signalent un surachat imminent. Les fondamentaux (Partie 3) sont solides, avec une croissance soutenue, une rentabilité élevée et une politique de dividende attractive, mais la quasi-totalité du bénéfice distribué limite la capacité d'investissement future. Enfin, les prédictions IA pour les 10 prochains jours (de 5 041 à 3 691 FCFA) suggèrent une correction brutale de 30% à 40%, contredisant fortement la tendance actuelle et les signaux de momentum. Cette divergence entre la vigueur du marché et les projections algorithmiques est un signal d'alerte majeur. Par conséquent, la recommandation finale est **VENTE FORTE**, avec un niveau de confiance **Moyen** (la force de la tendance pourrait retarder la correction) et un risque global **Élevé**. L'horizon d'investissement optimal est le **court terme (&lt;3 mois)** pour les investisseurs cherchant à sécuriser les gains, avec un point d'entrée potentiel à réévaluer après une correction vers les 4 000-4 500 FCFA.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880.81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3,525 titres</w:t>
            </w:r>
          </w:p>
        </w:tc>
        <w:tc>
          <w:tcPr>
            <w:tcW w:type="dxa" w:w="2268"/>
            <w:shd w:fill="FFF2CC" w:val="clear"/>
          </w:tcPr>
          <w:p>
            <w:r>
              <w:rPr>
                <w:b/>
                <w:color w:val="503200"/>
                <w:sz w:val="16"/>
              </w:rPr>
              <w:t xml:space="preserve">Cours actuel : </w:t>
            </w:r>
            <w:r>
              <w:rPr>
                <w:color w:val="000000"/>
                <w:sz w:val="17"/>
              </w:rPr>
              <w:t>16,000 FCFA</w:t>
            </w:r>
          </w:p>
          <w:p>
            <w:r>
              <w:rPr>
                <w:b/>
                <w:color w:val="503200"/>
                <w:sz w:val="16"/>
              </w:rPr>
              <w:t xml:space="preserve">Var. 100 jours : </w:t>
            </w:r>
            <w:r>
              <w:rPr>
                <w:b/>
                <w:color w:val="B40000"/>
                <w:sz w:val="17"/>
              </w:rPr>
              <w:t>-1.72%</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2.14% (Faible) — μ=16,317 FCFA, σ=348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β=0.2600 (Défensif) — Cov=0.000009, Var(idx)=0.000036, ρ=0.094,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3,525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σ_j=1.67%/j (Stable) — Vol. annualisée≈26.5%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2026-08-14</w:t>
            </w:r>
          </w:p>
        </w:tc>
        <w:tc>
          <w:tcPr>
            <w:tcW w:type="dxa" w:w="1440"/>
            <w:shd w:fill="FAFAFA" w:val="clear"/>
          </w:tcPr>
          <w:p>
            <w:r>
              <w:rPr>
                <w:sz w:val="17"/>
              </w:rPr>
              <w:t>15,571</w:t>
            </w:r>
          </w:p>
        </w:tc>
        <w:tc>
          <w:tcPr>
            <w:tcW w:type="dxa" w:w="1440"/>
            <w:shd w:fill="FAFAFA" w:val="clear"/>
          </w:tcPr>
          <w:p>
            <w:r>
              <w:rPr>
                <w:b/>
                <w:sz w:val="17"/>
              </w:rPr>
              <w:t>16,004</w:t>
            </w:r>
          </w:p>
        </w:tc>
        <w:tc>
          <w:tcPr>
            <w:tcW w:type="dxa" w:w="1440"/>
            <w:shd w:fill="FAFAFA" w:val="clear"/>
          </w:tcPr>
          <w:p>
            <w:r>
              <w:rPr>
                <w:sz w:val="17"/>
              </w:rPr>
              <w:t>16,437</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2026-08-17</w:t>
            </w:r>
          </w:p>
        </w:tc>
        <w:tc>
          <w:tcPr>
            <w:tcW w:type="dxa" w:w="1440"/>
            <w:shd w:fill="FAFAFA" w:val="clear"/>
          </w:tcPr>
          <w:p>
            <w:r>
              <w:rPr>
                <w:sz w:val="17"/>
              </w:rPr>
              <w:t>15,381</w:t>
            </w:r>
          </w:p>
        </w:tc>
        <w:tc>
          <w:tcPr>
            <w:tcW w:type="dxa" w:w="1440"/>
            <w:shd w:fill="FAFAFA" w:val="clear"/>
          </w:tcPr>
          <w:p>
            <w:r>
              <w:rPr>
                <w:b/>
                <w:sz w:val="17"/>
              </w:rPr>
              <w:t>15,993</w:t>
            </w:r>
          </w:p>
        </w:tc>
        <w:tc>
          <w:tcPr>
            <w:tcW w:type="dxa" w:w="1440"/>
            <w:shd w:fill="FAFAFA" w:val="clear"/>
          </w:tcPr>
          <w:p>
            <w:r>
              <w:rPr>
                <w:sz w:val="17"/>
              </w:rPr>
              <w:t>16,605</w:t>
            </w:r>
          </w:p>
        </w:tc>
        <w:tc>
          <w:tcPr>
            <w:tcW w:type="dxa" w:w="1440"/>
            <w:shd w:fill="FAFAFA" w:val="clear"/>
          </w:tcPr>
          <w:p>
            <w:r>
              <w:rPr>
                <w:b/>
                <w:color w:val="C00000"/>
                <w:sz w:val="17"/>
              </w:rPr>
              <w:t>-0.0%</w:t>
            </w:r>
          </w:p>
        </w:tc>
      </w:tr>
      <w:tr>
        <w:tc>
          <w:tcPr>
            <w:tcW w:type="dxa" w:w="1440"/>
            <w:shd w:fill="FAFAFA" w:val="clear"/>
          </w:tcPr>
          <w:p>
            <w:r>
              <w:rPr>
                <w:sz w:val="17"/>
              </w:rPr>
              <w:t>J+3  ⭐⭐⭐</w:t>
            </w:r>
          </w:p>
        </w:tc>
        <w:tc>
          <w:tcPr>
            <w:tcW w:type="dxa" w:w="1440"/>
            <w:shd w:fill="FAFAFA" w:val="clear"/>
          </w:tcPr>
          <w:p>
            <w:r>
              <w:rPr>
                <w:sz w:val="17"/>
              </w:rPr>
              <w:t>2026-08-18</w:t>
            </w:r>
          </w:p>
        </w:tc>
        <w:tc>
          <w:tcPr>
            <w:tcW w:type="dxa" w:w="1440"/>
            <w:shd w:fill="FAFAFA" w:val="clear"/>
          </w:tcPr>
          <w:p>
            <w:r>
              <w:rPr>
                <w:sz w:val="17"/>
              </w:rPr>
              <w:t>15,234</w:t>
            </w:r>
          </w:p>
        </w:tc>
        <w:tc>
          <w:tcPr>
            <w:tcW w:type="dxa" w:w="1440"/>
            <w:shd w:fill="FAFAFA" w:val="clear"/>
          </w:tcPr>
          <w:p>
            <w:r>
              <w:rPr>
                <w:b/>
                <w:sz w:val="17"/>
              </w:rPr>
              <w:t>15,983</w:t>
            </w:r>
          </w:p>
        </w:tc>
        <w:tc>
          <w:tcPr>
            <w:tcW w:type="dxa" w:w="1440"/>
            <w:shd w:fill="FAFAFA" w:val="clear"/>
          </w:tcPr>
          <w:p>
            <w:r>
              <w:rPr>
                <w:sz w:val="17"/>
              </w:rPr>
              <w:t>16,731</w:t>
            </w:r>
          </w:p>
        </w:tc>
        <w:tc>
          <w:tcPr>
            <w:tcW w:type="dxa" w:w="1440"/>
            <w:shd w:fill="FAFAFA" w:val="clear"/>
          </w:tcPr>
          <w:p>
            <w:r>
              <w:rPr>
                <w:b/>
                <w:color w:val="C00000"/>
                <w:sz w:val="17"/>
              </w:rPr>
              <w:t>-0.1%</w:t>
            </w:r>
          </w:p>
        </w:tc>
      </w:tr>
      <w:tr>
        <w:tc>
          <w:tcPr>
            <w:tcW w:type="dxa" w:w="1440"/>
            <w:shd w:fill="FAFAFA" w:val="clear"/>
          </w:tcPr>
          <w:p>
            <w:r>
              <w:rPr>
                <w:sz w:val="17"/>
              </w:rPr>
              <w:t>J+4  Moyenne</w:t>
            </w:r>
          </w:p>
        </w:tc>
        <w:tc>
          <w:tcPr>
            <w:tcW w:type="dxa" w:w="1440"/>
            <w:shd w:fill="FAFAFA" w:val="clear"/>
          </w:tcPr>
          <w:p>
            <w:r>
              <w:rPr>
                <w:sz w:val="17"/>
              </w:rPr>
              <w:t>2026-08-19</w:t>
            </w:r>
          </w:p>
        </w:tc>
        <w:tc>
          <w:tcPr>
            <w:tcW w:type="dxa" w:w="1440"/>
            <w:shd w:fill="FAFAFA" w:val="clear"/>
          </w:tcPr>
          <w:p>
            <w:r>
              <w:rPr>
                <w:sz w:val="17"/>
              </w:rPr>
              <w:t>15,108</w:t>
            </w:r>
          </w:p>
        </w:tc>
        <w:tc>
          <w:tcPr>
            <w:tcW w:type="dxa" w:w="1440"/>
            <w:shd w:fill="FAFAFA" w:val="clear"/>
          </w:tcPr>
          <w:p>
            <w:r>
              <w:rPr>
                <w:b/>
                <w:sz w:val="17"/>
              </w:rPr>
              <w:t>15,971</w:t>
            </w:r>
          </w:p>
        </w:tc>
        <w:tc>
          <w:tcPr>
            <w:tcW w:type="dxa" w:w="1440"/>
            <w:shd w:fill="FAFAFA" w:val="clear"/>
          </w:tcPr>
          <w:p>
            <w:r>
              <w:rPr>
                <w:sz w:val="17"/>
              </w:rPr>
              <w:t>16,835</w:t>
            </w:r>
          </w:p>
        </w:tc>
        <w:tc>
          <w:tcPr>
            <w:tcW w:type="dxa" w:w="1440"/>
            <w:shd w:fill="FAFAFA" w:val="clear"/>
          </w:tcPr>
          <w:p>
            <w:r>
              <w:rPr>
                <w:b/>
                <w:color w:val="C00000"/>
                <w:sz w:val="17"/>
              </w:rPr>
              <w:t>-0.2%</w:t>
            </w:r>
          </w:p>
        </w:tc>
      </w:tr>
      <w:tr>
        <w:tc>
          <w:tcPr>
            <w:tcW w:type="dxa" w:w="1440"/>
            <w:shd w:fill="FAFAFA" w:val="clear"/>
          </w:tcPr>
          <w:p>
            <w:r>
              <w:rPr>
                <w:sz w:val="17"/>
              </w:rPr>
              <w:t>J+5  Moyenne</w:t>
            </w:r>
          </w:p>
        </w:tc>
        <w:tc>
          <w:tcPr>
            <w:tcW w:type="dxa" w:w="1440"/>
            <w:shd w:fill="FAFAFA" w:val="clear"/>
          </w:tcPr>
          <w:p>
            <w:r>
              <w:rPr>
                <w:sz w:val="17"/>
              </w:rPr>
              <w:t>2026-08-20</w:t>
            </w:r>
          </w:p>
        </w:tc>
        <w:tc>
          <w:tcPr>
            <w:tcW w:type="dxa" w:w="1440"/>
            <w:shd w:fill="FAFAFA" w:val="clear"/>
          </w:tcPr>
          <w:p>
            <w:r>
              <w:rPr>
                <w:sz w:val="17"/>
              </w:rPr>
              <w:t>14,995</w:t>
            </w:r>
          </w:p>
        </w:tc>
        <w:tc>
          <w:tcPr>
            <w:tcW w:type="dxa" w:w="1440"/>
            <w:shd w:fill="FAFAFA" w:val="clear"/>
          </w:tcPr>
          <w:p>
            <w:r>
              <w:rPr>
                <w:b/>
                <w:sz w:val="17"/>
              </w:rPr>
              <w:t>15,960</w:t>
            </w:r>
          </w:p>
        </w:tc>
        <w:tc>
          <w:tcPr>
            <w:tcW w:type="dxa" w:w="1440"/>
            <w:shd w:fill="FAFAFA" w:val="clear"/>
          </w:tcPr>
          <w:p>
            <w:r>
              <w:rPr>
                <w:sz w:val="17"/>
              </w:rPr>
              <w:t>16,925</w:t>
            </w:r>
          </w:p>
        </w:tc>
        <w:tc>
          <w:tcPr>
            <w:tcW w:type="dxa" w:w="1440"/>
            <w:shd w:fill="FAFAFA" w:val="clear"/>
          </w:tcPr>
          <w:p>
            <w:r>
              <w:rPr>
                <w:b/>
                <w:color w:val="C00000"/>
                <w:sz w:val="17"/>
              </w:rPr>
              <w:t>-0.2%</w:t>
            </w:r>
          </w:p>
        </w:tc>
      </w:tr>
      <w:tr>
        <w:tc>
          <w:tcPr>
            <w:tcW w:type="dxa" w:w="1440"/>
            <w:shd w:fill="FAFAFA" w:val="clear"/>
          </w:tcPr>
          <w:p>
            <w:r>
              <w:rPr>
                <w:sz w:val="17"/>
              </w:rPr>
              <w:t>J+6  Moyenne</w:t>
            </w:r>
          </w:p>
        </w:tc>
        <w:tc>
          <w:tcPr>
            <w:tcW w:type="dxa" w:w="1440"/>
            <w:shd w:fill="FAFAFA" w:val="clear"/>
          </w:tcPr>
          <w:p>
            <w:r>
              <w:rPr>
                <w:sz w:val="17"/>
              </w:rPr>
              <w:t>2026-08-21</w:t>
            </w:r>
          </w:p>
        </w:tc>
        <w:tc>
          <w:tcPr>
            <w:tcW w:type="dxa" w:w="1440"/>
            <w:shd w:fill="FAFAFA" w:val="clear"/>
          </w:tcPr>
          <w:p>
            <w:r>
              <w:rPr>
                <w:sz w:val="17"/>
              </w:rPr>
              <w:t>14,892</w:t>
            </w:r>
          </w:p>
        </w:tc>
        <w:tc>
          <w:tcPr>
            <w:tcW w:type="dxa" w:w="1440"/>
            <w:shd w:fill="FAFAFA" w:val="clear"/>
          </w:tcPr>
          <w:p>
            <w:r>
              <w:rPr>
                <w:b/>
                <w:sz w:val="17"/>
              </w:rPr>
              <w:t>15,949</w:t>
            </w:r>
          </w:p>
        </w:tc>
        <w:tc>
          <w:tcPr>
            <w:tcW w:type="dxa" w:w="1440"/>
            <w:shd w:fill="FAFAFA" w:val="clear"/>
          </w:tcPr>
          <w:p>
            <w:r>
              <w:rPr>
                <w:sz w:val="17"/>
              </w:rPr>
              <w:t>17,005</w:t>
            </w:r>
          </w:p>
        </w:tc>
        <w:tc>
          <w:tcPr>
            <w:tcW w:type="dxa" w:w="1440"/>
            <w:shd w:fill="FAFAFA" w:val="clear"/>
          </w:tcPr>
          <w:p>
            <w:r>
              <w:rPr>
                <w:b/>
                <w:color w:val="C00000"/>
                <w:sz w:val="17"/>
              </w:rPr>
              <w:t>-0.3%</w:t>
            </w:r>
          </w:p>
        </w:tc>
      </w:tr>
      <w:tr>
        <w:tc>
          <w:tcPr>
            <w:tcW w:type="dxa" w:w="1440"/>
            <w:shd w:fill="FAFAFA" w:val="clear"/>
          </w:tcPr>
          <w:p>
            <w:r>
              <w:rPr>
                <w:sz w:val="17"/>
              </w:rPr>
              <w:t>J+7  Moyenne</w:t>
            </w:r>
          </w:p>
        </w:tc>
        <w:tc>
          <w:tcPr>
            <w:tcW w:type="dxa" w:w="1440"/>
            <w:shd w:fill="FAFAFA" w:val="clear"/>
          </w:tcPr>
          <w:p>
            <w:r>
              <w:rPr>
                <w:sz w:val="17"/>
              </w:rPr>
              <w:t>2026-08-24</w:t>
            </w:r>
          </w:p>
        </w:tc>
        <w:tc>
          <w:tcPr>
            <w:tcW w:type="dxa" w:w="1440"/>
            <w:shd w:fill="FAFAFA" w:val="clear"/>
          </w:tcPr>
          <w:p>
            <w:r>
              <w:rPr>
                <w:sz w:val="17"/>
              </w:rPr>
              <w:t>14,797</w:t>
            </w:r>
          </w:p>
        </w:tc>
        <w:tc>
          <w:tcPr>
            <w:tcW w:type="dxa" w:w="1440"/>
            <w:shd w:fill="FAFAFA" w:val="clear"/>
          </w:tcPr>
          <w:p>
            <w:r>
              <w:rPr>
                <w:b/>
                <w:sz w:val="17"/>
              </w:rPr>
              <w:t>15,937</w:t>
            </w:r>
          </w:p>
        </w:tc>
        <w:tc>
          <w:tcPr>
            <w:tcW w:type="dxa" w:w="1440"/>
            <w:shd w:fill="FAFAFA" w:val="clear"/>
          </w:tcPr>
          <w:p>
            <w:r>
              <w:rPr>
                <w:sz w:val="17"/>
              </w:rPr>
              <w:t>17,078</w:t>
            </w:r>
          </w:p>
        </w:tc>
        <w:tc>
          <w:tcPr>
            <w:tcW w:type="dxa" w:w="1440"/>
            <w:shd w:fill="FAFAFA" w:val="clear"/>
          </w:tcPr>
          <w:p>
            <w:r>
              <w:rPr>
                <w:b/>
                <w:color w:val="C00000"/>
                <w:sz w:val="17"/>
              </w:rPr>
              <w:t>-0.4%</w:t>
            </w:r>
          </w:p>
        </w:tc>
      </w:tr>
      <w:tr>
        <w:tc>
          <w:tcPr>
            <w:tcW w:type="dxa" w:w="1440"/>
            <w:shd w:fill="FAFAFA" w:val="clear"/>
          </w:tcPr>
          <w:p>
            <w:r>
              <w:rPr>
                <w:sz w:val="17"/>
              </w:rPr>
              <w:t>J+8  Moyenne</w:t>
            </w:r>
          </w:p>
        </w:tc>
        <w:tc>
          <w:tcPr>
            <w:tcW w:type="dxa" w:w="1440"/>
            <w:shd w:fill="FAFAFA" w:val="clear"/>
          </w:tcPr>
          <w:p>
            <w:r>
              <w:rPr>
                <w:sz w:val="17"/>
              </w:rPr>
              <w:t>2026-08-25</w:t>
            </w:r>
          </w:p>
        </w:tc>
        <w:tc>
          <w:tcPr>
            <w:tcW w:type="dxa" w:w="1440"/>
            <w:shd w:fill="FAFAFA" w:val="clear"/>
          </w:tcPr>
          <w:p>
            <w:r>
              <w:rPr>
                <w:sz w:val="17"/>
              </w:rPr>
              <w:t>14,708</w:t>
            </w:r>
          </w:p>
        </w:tc>
        <w:tc>
          <w:tcPr>
            <w:tcW w:type="dxa" w:w="1440"/>
            <w:shd w:fill="FAFAFA" w:val="clear"/>
          </w:tcPr>
          <w:p>
            <w:r>
              <w:rPr>
                <w:b/>
                <w:sz w:val="17"/>
              </w:rPr>
              <w:t>15,926</w:t>
            </w:r>
          </w:p>
        </w:tc>
        <w:tc>
          <w:tcPr>
            <w:tcW w:type="dxa" w:w="1440"/>
            <w:shd w:fill="FAFAFA" w:val="clear"/>
          </w:tcPr>
          <w:p>
            <w:r>
              <w:rPr>
                <w:sz w:val="17"/>
              </w:rPr>
              <w:t>17,144</w:t>
            </w:r>
          </w:p>
        </w:tc>
        <w:tc>
          <w:tcPr>
            <w:tcW w:type="dxa" w:w="1440"/>
            <w:shd w:fill="FAFAFA" w:val="clear"/>
          </w:tcPr>
          <w:p>
            <w:r>
              <w:rPr>
                <w:b/>
                <w:color w:val="C00000"/>
                <w:sz w:val="17"/>
              </w:rPr>
              <w:t>-0.5%</w:t>
            </w:r>
          </w:p>
        </w:tc>
      </w:tr>
      <w:tr>
        <w:tc>
          <w:tcPr>
            <w:tcW w:type="dxa" w:w="1440"/>
            <w:shd w:fill="FAFAFA" w:val="clear"/>
          </w:tcPr>
          <w:p>
            <w:r>
              <w:rPr>
                <w:sz w:val="17"/>
              </w:rPr>
              <w:t>J+9  Moyenne</w:t>
            </w:r>
          </w:p>
        </w:tc>
        <w:tc>
          <w:tcPr>
            <w:tcW w:type="dxa" w:w="1440"/>
            <w:shd w:fill="FAFAFA" w:val="clear"/>
          </w:tcPr>
          <w:p>
            <w:r>
              <w:rPr>
                <w:sz w:val="17"/>
              </w:rPr>
              <w:t>2026-08-27</w:t>
            </w:r>
          </w:p>
        </w:tc>
        <w:tc>
          <w:tcPr>
            <w:tcW w:type="dxa" w:w="1440"/>
            <w:shd w:fill="FAFAFA" w:val="clear"/>
          </w:tcPr>
          <w:p>
            <w:r>
              <w:rPr>
                <w:sz w:val="17"/>
              </w:rPr>
              <w:t>14,624</w:t>
            </w:r>
          </w:p>
        </w:tc>
        <w:tc>
          <w:tcPr>
            <w:tcW w:type="dxa" w:w="1440"/>
            <w:shd w:fill="FAFAFA" w:val="clear"/>
          </w:tcPr>
          <w:p>
            <w:r>
              <w:rPr>
                <w:b/>
                <w:sz w:val="17"/>
              </w:rPr>
              <w:t>15,915</w:t>
            </w:r>
          </w:p>
        </w:tc>
        <w:tc>
          <w:tcPr>
            <w:tcW w:type="dxa" w:w="1440"/>
            <w:shd w:fill="FAFAFA" w:val="clear"/>
          </w:tcPr>
          <w:p>
            <w:r>
              <w:rPr>
                <w:sz w:val="17"/>
              </w:rPr>
              <w:t>17,206</w:t>
            </w:r>
          </w:p>
        </w:tc>
        <w:tc>
          <w:tcPr>
            <w:tcW w:type="dxa" w:w="1440"/>
            <w:shd w:fill="FAFAFA" w:val="clear"/>
          </w:tcPr>
          <w:p>
            <w:r>
              <w:rPr>
                <w:b/>
                <w:color w:val="C00000"/>
                <w:sz w:val="17"/>
              </w:rPr>
              <w:t>-0.5%</w:t>
            </w:r>
          </w:p>
        </w:tc>
      </w:tr>
      <w:tr>
        <w:tc>
          <w:tcPr>
            <w:tcW w:type="dxa" w:w="1440"/>
            <w:shd w:fill="FAFAFA" w:val="clear"/>
          </w:tcPr>
          <w:p>
            <w:r>
              <w:rPr>
                <w:sz w:val="17"/>
              </w:rPr>
              <w:t>J+10  Moyenne</w:t>
            </w:r>
          </w:p>
        </w:tc>
        <w:tc>
          <w:tcPr>
            <w:tcW w:type="dxa" w:w="1440"/>
            <w:shd w:fill="FAFAFA" w:val="clear"/>
          </w:tcPr>
          <w:p>
            <w:r>
              <w:rPr>
                <w:sz w:val="17"/>
              </w:rPr>
              <w:t>2026-08-28</w:t>
            </w:r>
          </w:p>
        </w:tc>
        <w:tc>
          <w:tcPr>
            <w:tcW w:type="dxa" w:w="1440"/>
            <w:shd w:fill="FAFAFA" w:val="clear"/>
          </w:tcPr>
          <w:p>
            <w:r>
              <w:rPr>
                <w:sz w:val="17"/>
              </w:rPr>
              <w:t>14,544</w:t>
            </w:r>
          </w:p>
        </w:tc>
        <w:tc>
          <w:tcPr>
            <w:tcW w:type="dxa" w:w="1440"/>
            <w:shd w:fill="FAFAFA" w:val="clear"/>
          </w:tcPr>
          <w:p>
            <w:r>
              <w:rPr>
                <w:b/>
                <w:sz w:val="17"/>
              </w:rPr>
              <w:t>15,904</w:t>
            </w:r>
          </w:p>
        </w:tc>
        <w:tc>
          <w:tcPr>
            <w:tcW w:type="dxa" w:w="1440"/>
            <w:shd w:fill="FAFAFA" w:val="clear"/>
          </w:tcPr>
          <w:p>
            <w:r>
              <w:rPr>
                <w:sz w:val="17"/>
              </w:rPr>
              <w:t>17,264</w:t>
            </w:r>
          </w:p>
        </w:tc>
        <w:tc>
          <w:tcPr>
            <w:tcW w:type="dxa" w:w="1440"/>
            <w:shd w:fill="FAFAFA" w:val="clear"/>
          </w:tcPr>
          <w:p>
            <w:r>
              <w:rPr>
                <w:b/>
                <w:color w:val="C00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d'ECOC s'établit à 880,81 milliards FCFA, ce qui en fait l'une des plus importantes valeurs du compartiment bancaire de la BRVM, reflétant son statut de banque systémique en Côte d'Ivoire. Avec un BPA de 1 153 FCFA, chaque action génère un bénéfice substantiel, justifiant un PER de 13,9x. Ce ratio, bien que supérieur à la moyenne historique de la BRVM (8-12x), reste modéré et traduit une valorisation raisonnable pour un acteur de cette envergure. En revanche, le P/B de 4,03x indique que le marché valorise fortement les capitaux propres, appliquant une prime significative qui reflète la confiance des investisseurs dans la création de valeur future. Enfin, l'EV/EBITDA de 13,6x, dans la fourchette haute de 10-15x, confirme une valorisation exigeante mais justifiable par la solidité des flux opérationnels de la banque.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ECOC affiche une variation totale de -1,72%, avec un cours stable lors de la dernière séance (+0,00%), se négociant actuellement à 16 000 FCFA. Le titre a évolué dans un range relativement étroit, entre un plus haut de 17 270 FCFA et un plus bas de 15 520 FCFA, soit une amplitude de 11,3%, indiquant une phase de consolidation. La moyenne (16 317 FCFA) et la médiane (16 300 FCFA) sont quasi identiques, confirmant une distribution symétrique, appuyée par un skewness de 0,230. L'écart-type de 350 FCFA, avec un coefficient de variation de seulement 2,1%, révèle une dispersion très faible des prix autour de la moyenne, signe d'une stabilité remarquable. Le kurtosis de 0,223 (mésokurtique) indique l'absence de mouvements extrêmes ou de pics de volatilité inhabituels. La volatilité annualisée de 26,5% classe le titre dans la catégorie modérée (15-30%), offrant un équilibre entre stabilité et potentiel de rendement.</w:t>
      </w:r>
    </w:p>
    <w:p>
      <w:pPr>
        <w:spacing w:after="120" w:line="276" w:lineRule="auto" w:before="240"/>
      </w:pPr>
      <w:r>
        <w:rPr>
          <w:b/>
          <w:color w:val="003366"/>
          <w:sz w:val="24"/>
        </w:rPr>
        <w:t>**PARTIE 2 : ANALYSE TECHNIQUE DÉTAILLÉE**</w:t>
      </w:r>
    </w:p>
    <w:p>
      <w:pPr>
        <w:spacing w:after="120" w:line="276" w:lineRule="auto"/>
      </w:pPr>
      <w:r>
        <w:t>**Moyennes Mobiles** : Le cours actuel de 16 000 FCFA se situe sous la MM20 (16 058,75 FCFA) et nettement sous la MM50 (16 413,9 FCFA), configurant une tendance baissière à court et moyen terme. La décision de Vente est justifiée par cette configuration, le prix évoluant dans une dynamique descendante depuis plusieurs semaines.</w:t>
      </w:r>
    </w:p>
    <w:p>
      <w:pPr>
        <w:spacing w:after="120" w:line="276" w:lineRule="auto"/>
      </w:pPr>
      <w:r>
        <w:t>**Bandes de Bollinger** : Le prix se positionne à 16 000 FCFA, entre la borne inférieure (15 687,226 FCFA) et la borne supérieure (16 430,274 FCFA), proche du milieu de l'intervalle. La largeur des bandes indique une volatilité modérée, et la position centrale du cours suggère un équilibre entre acheteurs et vendeurs, justifiant la décision Neutre.</w:t>
      </w:r>
    </w:p>
    <w:p>
      <w:pPr>
        <w:spacing w:after="120" w:line="276" w:lineRule="auto"/>
      </w:pPr>
      <w:r>
        <w:t>**MACD** : Le MACD (-89,924) est légèrement au-dessus de sa ligne de signal (-92,457), formant un croisement haussier potentiel. Cette configuration, bien que récente, signale un début de momentum positif, justifiant la décision d'Achat. La divergence positive suggère une possible reprise de la tendance.</w:t>
      </w:r>
    </w:p>
    <w:p>
      <w:pPr>
        <w:spacing w:after="120" w:line="276" w:lineRule="auto"/>
      </w:pPr>
      <w:r>
        <w:t>**RSI** : Le RSI de 54,167 se situe dans la zone neutre (30-70), indiquant un équilibre entre pressions acheteuses et vendeuses. Cette valeur ne montre ni surachat ni survente, laissant place à une évolution directionnelle sans contrainte technique, justifiant la décision Neutre.</w:t>
      </w:r>
    </w:p>
    <w:p>
      <w:pPr>
        <w:spacing w:after="120" w:line="276" w:lineRule="auto"/>
      </w:pPr>
      <w:r>
        <w:t>**Stochastique** : Le %K à 0,0 et le %D à 27,586 indiquent que le titre est en zone de survente extrême, avec un %K nettement sous le %D. Cette configuration suggère un potentiel de rebond technique imminent, justifiant la décision d'Achat.</w:t>
      </w:r>
    </w:p>
    <w:p>
      <w:pPr>
        <w:spacing w:after="120" w:line="276" w:lineRule="auto"/>
      </w:pPr>
      <w:r>
        <w:t>**Conclusion technique** : Les indicateurs sont mitigés, avec une tendance baissière (MM) contrastant avec des signaux de retournement (MACD, Stochastique). Le RSI neutre et les bandes de Bollinger équilibrées suggèrent une phase de transition. La convergence des signaux d'achat sur le MACD et le Stochastique pourrait précéder un rebond à court terme, mais la confirmation par le franchissement des moyennes mobiles est nécessaire.</w:t>
      </w:r>
    </w:p>
    <w:p>
      <w:pPr>
        <w:spacing w:after="120" w:line="276" w:lineRule="auto" w:before="240"/>
      </w:pPr>
      <w:r>
        <w:rPr>
          <w:b/>
          <w:color w:val="003366"/>
          <w:sz w:val="24"/>
        </w:rPr>
        <w:t>**PARTIE 3 : ANALYSE FONDAMENTALE (SECTION CRITIQUE)**</w:t>
      </w:r>
    </w:p>
    <w:p>
      <w:pPr>
        <w:spacing w:after="120" w:line="276" w:lineRule="auto"/>
      </w:pPr>
      <w:r>
        <w:t>En 2025, Ecobank Côte d'Ivoire affiche des fondamentaux solides avec un Produit Net Bancaire de 132,725 milliards FCFA et un résultat net de 63,482 milliards FCFA, en forte progression. La rentabilité est exceptionnelle, avec un ROE de 29,04% et un ROA de 3,09%, largement au-dessus des seuils d'excellence du secteur bancaire. Le coefficient d'exploitation de 42,89% témoigne d'une efficacité opérationnelle remarquable, bien sous la barre des 50%. Le coût du risque de 1,36% reste modéré, reflétant une bonne qualité du portefeuille de crédits, avec des créances clientèle de 1 050,803 milliards FCFA adossées à des dépôts de 1 626,223 milliards FCFA, soit un ratio de transformation de 64,6%. Les rapports trimestriels 2025 confirment cette dynamique : le T3 2025 (PNB de 96,4 milliards FCFA, +11,3% et résultat net de 44,4 milliards FCFA, +15,4%) et le rapport annuel 2024 (PNB de 122,3 milliards FCFA, +11% et résultat net de 57,5 milliards FCFA, +19,6%) montrent une croissance soutenue. Le rapport T1 2026 indique un PNB de 30,8 milliards FCFA (+3,7%) mais un résultat net en léger repli de 1,6% à 13,0 milliards FCFA, suggérant une stabilisation. Sur la base de ces tendances, on estime que l'exercice 2026 pourrait voir un PNB autour de 135-140 milliards FCFA et un résultat net stable autour de 60-63 milliards FCFA, avec un dividende proposé de 888 FCFA par action pour 2025 (taux de distribution de 77%), confirmant une politique actionnariale généreuse.</w:t>
      </w:r>
    </w:p>
    <w:p>
      <w:pPr>
        <w:spacing w:after="120" w:line="276" w:lineRule="auto" w:before="240"/>
      </w:pPr>
      <w:r>
        <w:rPr>
          <w:b/>
          <w:color w:val="003366"/>
          <w:sz w:val="24"/>
        </w:rPr>
        <w:t>**PARTIE 4 : CONCLUSION D'INVESTISSEMENT**</w:t>
      </w:r>
    </w:p>
    <w:p>
      <w:pPr>
        <w:spacing w:after="120" w:line="276" w:lineRule="auto"/>
      </w:pPr>
      <w:r>
        <w:t>La valorisation d'ECOC (PER 13,9x, P/B 4,03x) indique une prime de marché justifiée par des fondamentaux excellents, mais laissant peu de marge de sécurité. Le comportement du cours sur 100 jours montre une stabilité remarquable (CV de 2,1%) avec une légère tendance baissière (-1,72%), sans signe de distribution massive. Les signaux techniques sont partagés : les moyennes mobiles restent vendeuses, mais le MACD et le Stochastique suggèrent un potentiel de rebond, tandis que le RSI neutre offre une flexibilité. Les fondamentaux sont indiscutablement solides, avec un ROE de 29% et une croissance soutenue du PNB, bien que le T1 2026 montre un léger ralentissement. Les prédictions IA (16 004 à 15 960 FCFA sur 10 jours) indiquent une stabilité avec une très légère érosion, contredisant le signal de rebond technique mais confirmant la consolidation. En synthèse, la convergence entre la solidité fondamentale, la stabilité du cours et la valorisation modérée suggère une recommandation de **CONSERVER**, avec un niveau de confiance **Moyen** et un risque global **Faible**. L'horizon d'investissement optimal est le **moyen terme (3-12 mois)**, en attendant une clarification directionnelle du cours et une confirmation de la reprise de la croissance au T2 2026.</w:t>
      </w:r>
    </w:p>
    <w:p/>
    <w:p/>
    <w:p>
      <w:pPr>
        <w:pStyle w:val="Heading3"/>
      </w:pPr>
      <w:r>
        <w:rPr>
          <w:color w:val="00467F"/>
        </w:rPr>
        <w:t>📎 DOCUMENTS &amp; COMMUNICATIONS OFFICIELS BRVM</w:t>
      </w:r>
    </w:p>
    <w:p>
      <w:r>
        <w:rPr>
          <w:i/>
          <w:color w:val="646464"/>
          <w:sz w:val="18"/>
        </w:rPr>
        <w:t>9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Pr>
        <w:ind w:left="400"/>
      </w:pPr>
      <w:r>
        <w:rPr>
          <w:color w:val="B4B4B4"/>
          <w:sz w:val="14"/>
        </w:rPr>
        <w:t xml:space="preserve">· · · · · · · · · · · · · · · · · · · · · · · · · · · · · · </w:t>
      </w:r>
    </w:p>
    <w:p>
      <w:pPr>
        <w:spacing w:before="160"/>
      </w:pPr>
      <w:r>
        <w:rPr>
          <w:b/>
          <w:color w:val="0066CC"/>
          <w:sz w:val="20"/>
        </w:rPr>
        <w:t xml:space="preserve">[5] </w:t>
      </w:r>
      <w:r>
        <w:rPr>
          <w:b/>
          <w:sz w:val="20"/>
        </w:rPr>
        <w:t>20260513   avis de convocation   assemblee generale ordinaire   eti tg</w:t>
      </w:r>
    </w:p>
    <w:p>
      <w:pPr>
        <w:spacing w:before="20"/>
        <w:ind w:left="400"/>
      </w:pPr>
      <w:r>
        <w:rPr>
          <w:color w:val="505050"/>
          <w:sz w:val="17"/>
        </w:rPr>
        <w:t xml:space="preserve">Date : 13/05/2026  |  Catégorie : convocation AG  |  Impact : </w:t>
      </w:r>
      <w:r>
        <w:rPr>
          <w:b/>
          <w:color w:val="646464"/>
          <w:sz w:val="17"/>
        </w:rPr>
        <w:t>⚪ NEUTRE</w:t>
      </w:r>
    </w:p>
    <w:p>
      <w:pPr>
        <w:spacing w:before="40"/>
        <w:ind w:left="400"/>
      </w:pPr>
      <w:r>
        <w:rPr>
          <w:sz w:val="18"/>
        </w:rPr>
        <w:t>Ecobank Transnational Incorporated convoque ses actionnaires à la 38ème Assemblée Générale Ordinaire le 3 juin 2026 à Lomé, Togo. L'ordre du jour comprend l'approbation des comptes, l'affectation du résultat et le renouvellement des mandats d'administrateurs. Les actionnaires peuvent participer en personne ou par procuration avec possibilité de soumettre leurs questions à l'avance.</w:t>
      </w:r>
    </w:p>
    <w:p>
      <w:pPr>
        <w:spacing w:before="60"/>
        <w:ind w:left="400"/>
      </w:pPr>
      <w:r>
        <w:rPr>
          <w:b/>
          <w:sz w:val="18"/>
        </w:rPr>
        <w:t>Points clés :</w:t>
      </w:r>
    </w:p>
    <w:p>
      <w:pPr>
        <w:pStyle w:val="ListBullet"/>
        <w:spacing w:before="20" w:after="20"/>
        <w:ind w:left="700"/>
      </w:pPr>
      <w:r>
        <w:rPr>
          <w:sz w:val="18"/>
        </w:rPr>
        <w:t>38ème Assemblée Générale Ordinaire prévue le 3 juin 2026 à 10h30 GMT à Lomé</w:t>
      </w:r>
    </w:p>
    <w:p>
      <w:pPr>
        <w:pStyle w:val="ListBullet"/>
        <w:spacing w:before="20" w:after="20"/>
        <w:ind w:left="700"/>
      </w:pPr>
      <w:r>
        <w:rPr>
          <w:sz w:val="18"/>
        </w:rPr>
        <w:t>Approbation des comptes annuels et affectation du résultat à l'ordre du jour</w:t>
      </w:r>
    </w:p>
    <w:p>
      <w:pPr>
        <w:pStyle w:val="ListBullet"/>
        <w:spacing w:before="20" w:after="20"/>
        <w:ind w:left="700"/>
      </w:pPr>
      <w:r>
        <w:rPr>
          <w:sz w:val="18"/>
        </w:rPr>
        <w:t>Renouvellement des mandats d'administrateurs et nominations au conseil</w:t>
      </w:r>
    </w:p>
    <w:p>
      <w:pPr>
        <w:pStyle w:val="ListBullet"/>
        <w:spacing w:before="20" w:after="20"/>
        <w:ind w:left="700"/>
      </w:pPr>
      <w:r>
        <w:rPr>
          <w:sz w:val="18"/>
        </w:rPr>
        <w:t>Possibilité de participation par procuration avec formulaire à soumettre avant le 2 juin 2026</w:t>
      </w:r>
    </w:p>
    <w:p>
      <w:pPr>
        <w:pStyle w:val="ListBullet"/>
        <w:spacing w:before="20" w:after="20"/>
        <w:ind w:left="700"/>
      </w:pPr>
      <w:r>
        <w:rPr>
          <w:sz w:val="18"/>
        </w:rPr>
        <w:t>Nomination des commissaires aux comptes parmi les points à délibérer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1229.72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1,370,469 titres</w:t>
            </w:r>
          </w:p>
        </w:tc>
        <w:tc>
          <w:tcPr>
            <w:tcW w:type="dxa" w:w="2268"/>
            <w:shd w:fill="FFF2CC" w:val="clear"/>
          </w:tcPr>
          <w:p>
            <w:r>
              <w:rPr>
                <w:b/>
                <w:color w:val="503200"/>
                <w:sz w:val="16"/>
              </w:rPr>
              <w:t xml:space="preserve">Cours actuel : </w:t>
            </w:r>
            <w:r>
              <w:rPr>
                <w:color w:val="000000"/>
                <w:sz w:val="17"/>
              </w:rPr>
              <w:t>68 FCFA</w:t>
            </w:r>
          </w:p>
          <w:p>
            <w:r>
              <w:rPr>
                <w:b/>
                <w:color w:val="503200"/>
                <w:sz w:val="16"/>
              </w:rPr>
              <w:t xml:space="preserve">Var. 100 jours : </w:t>
            </w:r>
            <w:r>
              <w:rPr>
                <w:b/>
                <w:color w:val="007800"/>
                <w:sz w:val="17"/>
              </w:rPr>
              <w:t>+112.50%</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38.46% (Élevée) — μ=42 FCFA, σ=16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β=2.6911 (Très agressif) — Cov=0.000098, Var(idx)=0.000036, ρ=0.403,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1,370,469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σ_j=4.03%/j (Modérée) — Vol. annualisée≈64.0%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2026-08-14</w:t>
            </w:r>
          </w:p>
        </w:tc>
        <w:tc>
          <w:tcPr>
            <w:tcW w:type="dxa" w:w="1440"/>
            <w:shd w:fill="FFDCE0" w:val="clear"/>
          </w:tcPr>
          <w:p>
            <w:r>
              <w:rPr>
                <w:sz w:val="17"/>
              </w:rPr>
              <w:t>58</w:t>
            </w:r>
          </w:p>
        </w:tc>
        <w:tc>
          <w:tcPr>
            <w:tcW w:type="dxa" w:w="1440"/>
            <w:shd w:fill="FFDCE0" w:val="clear"/>
          </w:tcPr>
          <w:p>
            <w:r>
              <w:rPr>
                <w:b/>
                <w:sz w:val="17"/>
              </w:rPr>
              <w:t>63</w:t>
            </w:r>
          </w:p>
        </w:tc>
        <w:tc>
          <w:tcPr>
            <w:tcW w:type="dxa" w:w="1440"/>
            <w:shd w:fill="FFDCE0" w:val="clear"/>
          </w:tcPr>
          <w:p>
            <w:r>
              <w:rPr>
                <w:sz w:val="17"/>
              </w:rPr>
              <w:t>68</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2026-08-17</w:t>
            </w:r>
          </w:p>
        </w:tc>
        <w:tc>
          <w:tcPr>
            <w:tcW w:type="dxa" w:w="1440"/>
            <w:shd w:fill="FFDCE0" w:val="clear"/>
          </w:tcPr>
          <w:p>
            <w:r>
              <w:rPr>
                <w:sz w:val="17"/>
              </w:rPr>
              <w:t>51</w:t>
            </w:r>
          </w:p>
        </w:tc>
        <w:tc>
          <w:tcPr>
            <w:tcW w:type="dxa" w:w="1440"/>
            <w:shd w:fill="FFDCE0" w:val="clear"/>
          </w:tcPr>
          <w:p>
            <w:r>
              <w:rPr>
                <w:b/>
                <w:sz w:val="17"/>
              </w:rPr>
              <w:t>58</w:t>
            </w:r>
          </w:p>
        </w:tc>
        <w:tc>
          <w:tcPr>
            <w:tcW w:type="dxa" w:w="1440"/>
            <w:shd w:fill="FFDCE0" w:val="clear"/>
          </w:tcPr>
          <w:p>
            <w:r>
              <w:rPr>
                <w:sz w:val="17"/>
              </w:rPr>
              <w:t>65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2026-08-18</w:t>
            </w:r>
          </w:p>
        </w:tc>
        <w:tc>
          <w:tcPr>
            <w:tcW w:type="dxa" w:w="1440"/>
            <w:shd w:fill="FFDCE0" w:val="clear"/>
          </w:tcPr>
          <w:p>
            <w:r>
              <w:rPr>
                <w:sz w:val="17"/>
              </w:rPr>
              <w:t>46</w:t>
            </w:r>
          </w:p>
        </w:tc>
        <w:tc>
          <w:tcPr>
            <w:tcW w:type="dxa" w:w="1440"/>
            <w:shd w:fill="FFDCE0" w:val="clear"/>
          </w:tcPr>
          <w:p>
            <w:r>
              <w:rPr>
                <w:b/>
                <w:sz w:val="17"/>
              </w:rPr>
              <w:t>54</w:t>
            </w:r>
          </w:p>
        </w:tc>
        <w:tc>
          <w:tcPr>
            <w:tcW w:type="dxa" w:w="1440"/>
            <w:shd w:fill="FFDCE0" w:val="clear"/>
          </w:tcPr>
          <w:p>
            <w:r>
              <w:rPr>
                <w:sz w:val="17"/>
              </w:rPr>
              <w:t>62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41</w:t>
            </w:r>
          </w:p>
        </w:tc>
        <w:tc>
          <w:tcPr>
            <w:tcW w:type="dxa" w:w="1440"/>
            <w:shd w:fill="FFDCE0" w:val="clear"/>
          </w:tcPr>
          <w:p>
            <w:r>
              <w:rPr>
                <w:b/>
                <w:sz w:val="17"/>
              </w:rPr>
              <w:t>50</w:t>
            </w:r>
          </w:p>
        </w:tc>
        <w:tc>
          <w:tcPr>
            <w:tcW w:type="dxa" w:w="1440"/>
            <w:shd w:fill="FFDCE0" w:val="clear"/>
          </w:tcPr>
          <w:p>
            <w:r>
              <w:rPr>
                <w:sz w:val="17"/>
              </w:rPr>
              <w:t>59</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37</w:t>
            </w:r>
          </w:p>
        </w:tc>
        <w:tc>
          <w:tcPr>
            <w:tcW w:type="dxa" w:w="1440"/>
            <w:shd w:fill="FFDCE0" w:val="clear"/>
          </w:tcPr>
          <w:p>
            <w:r>
              <w:rPr>
                <w:b/>
                <w:sz w:val="17"/>
              </w:rPr>
              <w:t>46</w:t>
            </w:r>
          </w:p>
        </w:tc>
        <w:tc>
          <w:tcPr>
            <w:tcW w:type="dxa" w:w="1440"/>
            <w:shd w:fill="FFDCE0" w:val="clear"/>
          </w:tcPr>
          <w:p>
            <w:r>
              <w:rPr>
                <w:sz w:val="17"/>
              </w:rPr>
              <w:t>55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33</w:t>
            </w:r>
          </w:p>
        </w:tc>
        <w:tc>
          <w:tcPr>
            <w:tcW w:type="dxa" w:w="1440"/>
            <w:shd w:fill="FFDCE0" w:val="clear"/>
          </w:tcPr>
          <w:p>
            <w:r>
              <w:rPr>
                <w:b/>
                <w:sz w:val="17"/>
              </w:rPr>
              <w:t>43</w:t>
            </w:r>
          </w:p>
        </w:tc>
        <w:tc>
          <w:tcPr>
            <w:tcW w:type="dxa" w:w="1440"/>
            <w:shd w:fill="FFDCE0" w:val="clear"/>
          </w:tcPr>
          <w:p>
            <w:r>
              <w:rPr>
                <w:sz w:val="17"/>
              </w:rPr>
              <w:t>52</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30</w:t>
            </w:r>
          </w:p>
        </w:tc>
        <w:tc>
          <w:tcPr>
            <w:tcW w:type="dxa" w:w="1440"/>
            <w:shd w:fill="FFDCE0" w:val="clear"/>
          </w:tcPr>
          <w:p>
            <w:r>
              <w:rPr>
                <w:b/>
                <w:sz w:val="17"/>
              </w:rPr>
              <w:t>39</w:t>
            </w:r>
          </w:p>
        </w:tc>
        <w:tc>
          <w:tcPr>
            <w:tcW w:type="dxa" w:w="1440"/>
            <w:shd w:fill="FFDCE0" w:val="clear"/>
          </w:tcPr>
          <w:p>
            <w:r>
              <w:rPr>
                <w:sz w:val="17"/>
              </w:rPr>
              <w:t>49</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27</w:t>
            </w:r>
          </w:p>
        </w:tc>
        <w:tc>
          <w:tcPr>
            <w:tcW w:type="dxa" w:w="1440"/>
            <w:shd w:fill="FFDCE0" w:val="clear"/>
          </w:tcPr>
          <w:p>
            <w:r>
              <w:rPr>
                <w:b/>
                <w:sz w:val="17"/>
              </w:rPr>
              <w:t>36</w:t>
            </w:r>
          </w:p>
        </w:tc>
        <w:tc>
          <w:tcPr>
            <w:tcW w:type="dxa" w:w="1440"/>
            <w:shd w:fill="FFDCE0" w:val="clear"/>
          </w:tcPr>
          <w:p>
            <w:r>
              <w:rPr>
                <w:sz w:val="17"/>
              </w:rPr>
              <w:t>46</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25</w:t>
            </w:r>
          </w:p>
        </w:tc>
        <w:tc>
          <w:tcPr>
            <w:tcW w:type="dxa" w:w="1440"/>
            <w:shd w:fill="FFDCE0" w:val="clear"/>
          </w:tcPr>
          <w:p>
            <w:r>
              <w:rPr>
                <w:b/>
                <w:sz w:val="17"/>
              </w:rPr>
              <w:t>34</w:t>
            </w:r>
          </w:p>
        </w:tc>
        <w:tc>
          <w:tcPr>
            <w:tcW w:type="dxa" w:w="1440"/>
            <w:shd w:fill="FFDCE0" w:val="clear"/>
          </w:tcPr>
          <w:p>
            <w:r>
              <w:rPr>
                <w:sz w:val="17"/>
              </w:rPr>
              <w:t>43</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22</w:t>
            </w:r>
          </w:p>
        </w:tc>
        <w:tc>
          <w:tcPr>
            <w:tcW w:type="dxa" w:w="1440"/>
            <w:shd w:fill="FFDCE0" w:val="clear"/>
          </w:tcPr>
          <w:p>
            <w:r>
              <w:rPr>
                <w:b/>
                <w:sz w:val="17"/>
              </w:rPr>
              <w:t>31</w:t>
            </w:r>
          </w:p>
        </w:tc>
        <w:tc>
          <w:tcPr>
            <w:tcW w:type="dxa" w:w="1440"/>
            <w:shd w:fill="FFDCE0" w:val="clear"/>
          </w:tcPr>
          <w:p>
            <w:r>
              <w:rPr>
                <w:sz w:val="17"/>
              </w:rPr>
              <w:t>40</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**Date : 13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d'ETIT s'établit à 1 229,72 milliards FCFA, positionnant le titre parmi les poids lourds de la BRVM. Avec un BPA de 19 FCFA, le titre se négocie à un PER de 3,6x, soit environ trois fois moins que la moyenne historique du marché (~8-12x), ce qui suggère une sous-évaluation manifeste. Le P/B de 0,77x confirme cette lecture : le marché valorise le titre sous sa valeur comptable, offrant une décote de 23% sur l'actif net. Enfin, un EV/EBITDA de 5,0x est jugé raisonnable pour une banque panafricaine de cette envergure, indiquant une capacité opérationnelle solide et une valorisation attractive pour un investisseur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ETIT a enregistré une performance spectaculaire de +112,50%, avec une progression de +4,62% lors de la dernière séance, clôturant à 68 FCFA. Le cours a évolué dans une fourchette très large, entre 26 FCFA (plus bas) et 78 FCFA (plus haut), illustrant une forte volatilité. La moyenne (42 FCFA) étant nettement inférieure à la médiane (33 FCFA) et au mode (30 FCFA), la distribution est asymétrique positive (skewness de 0,991), indiquant que la majorité des séances se sont déroulées sous la moyenne, avant une récente accélération. L'écart-type de 16 FCFA (CV = 38,7%) et une volatilité annualisée de 64% témoignent d'un risque élevé. Le kurtosis de -0,745 (mésokurtique) suggère une absence de pics extrêmes, mais la tendance récente est clairement haussière.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(68 FCFA) est supérieur à la MM20 (68,0) et très au-dessus de la MM50 (52,94). Cette configuration haussière (cours &gt; MM20 &gt; MM50) confirme une dynamique positive à court et moyen terme. La décision est un **Achat**.</w:t>
      </w:r>
    </w:p>
    <w:p>
      <w:pPr>
        <w:spacing w:after="120" w:line="276" w:lineRule="auto"/>
      </w:pPr>
      <w:r>
        <w:t>**Bandes de Bollinger :** Le prix se situe à 68 FCFA, dans la partie médiane-haute des bandes (borne supérieure à 75,14, borne inférieure à 60,86). L'écart entre les bornes est large, reflétant la volatilité élevée. Le signal est **Neutre**, le cours n'étant pas en zone de surachat ni de survente extrême.</w:t>
      </w:r>
    </w:p>
    <w:p>
      <w:pPr>
        <w:spacing w:after="120" w:line="276" w:lineRule="auto"/>
      </w:pPr>
      <w:r>
        <w:t>**MACD :** Le MACD (3,228) est passé sous sa ligne de signal (4,528), indiquant un affaiblissement du momentum haussier à très court terme. Cette divergence baissière suggère une possible consolidation ou correction. La décision est **Vente**.</w:t>
      </w:r>
    </w:p>
    <w:p>
      <w:pPr>
        <w:spacing w:after="120" w:line="276" w:lineRule="auto"/>
      </w:pPr>
      <w:r>
        <w:t>**RSI :** Le RSI s'établit à 41,03, en zone neutre (30-70). Il indique que le titre n'est ni suracheté ni survendu, laissant de la marge pour une évolution dans les deux sens. La décision est **Neutre**.</w:t>
      </w:r>
    </w:p>
    <w:p>
      <w:pPr>
        <w:spacing w:after="120" w:line="276" w:lineRule="auto"/>
      </w:pPr>
      <w:r>
        <w:t>**Stochastique :** Le %K (40,0) est supérieur au %D (31,5), avec les deux indicateurs sous la barre des 50. Cela suggère un momentum haussier naissant, mais encore fragile. La décision est **Neutre**.</w:t>
      </w:r>
    </w:p>
    <w:p>
      <w:pPr>
        <w:spacing w:after="120" w:line="276" w:lineRule="auto"/>
      </w:pPr>
      <w:r>
        <w:t>**Conclusion technique :** Les signaux sont mitigés. La tendance de fond (MM) est haussière, mais les indicateurs de momentum (MACD, RSI) montrent une perte de vitesse après la forte hausse. Le titre pourrait consolider avant de poursuivre sa progression, ou corriger légèrement.</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d'ETIT font état d'un Produit Net Bancaire (PNB) de 1 424,26 milliards FCFA, générant un résultat net de 345,52 milliards FCFA. La banque affiche une rentabilité des fonds propres (ROE) de 21,62% et un ROA de 1,80%, des niveaux excellents pour le secteur. Le coefficient d'exploitation de 27,35% est remarquable, démontrant une efficacité opérationnelle de premier ordre. Cependant, le coût du risque (18,97%) reste élevé, signalant une vigilance nécessaire sur la qualité du portefeuille de crédits. Les dépôts clientèle (14 120,14 Mds FCFA) couvrent largement les créances sur la clientèle (6 570,39 Mds FCFA), indiquant une transformation saine. Les rapports semestriels 2026 (publiés en juillet 2026) confirment la dynamique : PNB en hausse de +15% à 721,3 milliards FCFA et résultat net en progression de +6% à 166,7 milliards FCFA. Sur la base de ces données, on estime que l'exercice 2026 pourrait voir un PNB annuel dépasser 1 500 milliards FCFA, avec un résultat net autour de 360 milliards FCFA, soit une croissance de 4% à 5% par rapport à 2025. La solidité financière et la croissance soutenue justifient une recommandation fondamentalement positive.</w:t>
      </w:r>
    </w:p>
    <w:p>
      <w:pPr>
        <w:spacing w:after="120" w:line="276" w:lineRule="auto"/>
      </w:pPr>
      <w:r>
        <w:t>---</w:t>
      </w:r>
    </w:p>
    <w:p>
      <w:pPr>
        <w:spacing w:after="120" w:line="276" w:lineRule="auto"/>
      </w:pPr>
      <w:r>
        <w:t>### PARTIE 4 : CONCLUSION D'INVESTISSEMENT</w:t>
      </w:r>
    </w:p>
    <w:p>
      <w:pPr>
        <w:spacing w:after="120" w:line="276" w:lineRule="auto"/>
      </w:pPr>
      <w:r>
        <w:t>La valorisation d'ETIT est extrêmement attractive (PER 3,6x, P/B 0,77x), signalant une sous-évaluation malgré des fondamentaux robustes. Le comportement du cours, bien que volatil (64% annualisé), montre une tendance haussière marquée sur 100 jours (+112,5%). Les signaux techniques sont mitigés : la tendance de fond est haussière, mais le MACD et le RSI suggèrent un essoufflement à court terme. Les fondamentaux sont excellents, avec une banque très efficace (coefficient d'exploitation de 27,35%) et rentable (ROE &gt; 21%). Les prédictions IA pour les 10 prochains jours (chute de 68 à 46 FCFA) contredisent fortement la tendance haussière et les fondamentaux solides, suggérant un scénario de correction technique sévère. Cette divergence entre le fondamental et le prédictif appelle à la prudence. **Recommandation finale : CONSERVER.** La convergence entre la sous-évaluation et la solidité financière est forte, mais la divergence technique et les prédictions baissières imposent une pause. **Niveau de confiance : Moyen. Risque global : Élevé.** Horizon d'investissement optimal : **Moyen terme (3-12 mois)**, en attendant une stabilisation du cours ou une confirmation de la poursuite de la hausse.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30.89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3,896 titres</w:t>
            </w:r>
          </w:p>
        </w:tc>
        <w:tc>
          <w:tcPr>
            <w:tcW w:type="dxa" w:w="2268"/>
            <w:shd w:fill="FFF2CC" w:val="clear"/>
          </w:tcPr>
          <w:p>
            <w:r>
              <w:rPr>
                <w:b/>
                <w:color w:val="503200"/>
                <w:sz w:val="16"/>
              </w:rPr>
              <w:t xml:space="preserve">Cours actuel : </w:t>
            </w:r>
            <w:r>
              <w:rPr>
                <w:color w:val="000000"/>
                <w:sz w:val="17"/>
              </w:rPr>
              <w:t>2,190 FCFA</w:t>
            </w:r>
          </w:p>
          <w:p>
            <w:r>
              <w:rPr>
                <w:b/>
                <w:color w:val="503200"/>
                <w:sz w:val="16"/>
              </w:rPr>
              <w:t xml:space="preserve">Var. 100 jours : </w:t>
            </w:r>
            <w:r>
              <w:rPr>
                <w:b/>
                <w:color w:val="B40000"/>
                <w:sz w:val="17"/>
              </w:rPr>
              <w:t>-4.37%</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6.70% (Moyenne) — μ=2,170 FCFA, σ=145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β=0.9117 (Neutre (suit le marché)) — Cov=0.000033, Var(idx)=0.000036, ρ=0.240,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3,896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2026-08-14</w:t>
            </w:r>
          </w:p>
        </w:tc>
        <w:tc>
          <w:tcPr>
            <w:tcW w:type="dxa" w:w="1440"/>
            <w:shd w:fill="FAFAFA" w:val="clear"/>
          </w:tcPr>
          <w:p>
            <w:r>
              <w:rPr>
                <w:sz w:val="17"/>
              </w:rPr>
              <w:t>2,128</w:t>
            </w:r>
          </w:p>
        </w:tc>
        <w:tc>
          <w:tcPr>
            <w:tcW w:type="dxa" w:w="1440"/>
            <w:shd w:fill="FAFAFA" w:val="clear"/>
          </w:tcPr>
          <w:p>
            <w:r>
              <w:rPr>
                <w:b/>
                <w:sz w:val="17"/>
              </w:rPr>
              <w:t>2,197</w:t>
            </w:r>
          </w:p>
        </w:tc>
        <w:tc>
          <w:tcPr>
            <w:tcW w:type="dxa" w:w="1440"/>
            <w:shd w:fill="FAFAFA" w:val="clear"/>
          </w:tcPr>
          <w:p>
            <w:r>
              <w:rPr>
                <w:sz w:val="17"/>
              </w:rPr>
              <w:t>2,265</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2026-08-17</w:t>
            </w:r>
          </w:p>
        </w:tc>
        <w:tc>
          <w:tcPr>
            <w:tcW w:type="dxa" w:w="1440"/>
            <w:shd w:fill="FAFAFA" w:val="clear"/>
          </w:tcPr>
          <w:p>
            <w:r>
              <w:rPr>
                <w:sz w:val="17"/>
              </w:rPr>
              <w:t>2,107</w:t>
            </w:r>
          </w:p>
        </w:tc>
        <w:tc>
          <w:tcPr>
            <w:tcW w:type="dxa" w:w="1440"/>
            <w:shd w:fill="FAFAFA" w:val="clear"/>
          </w:tcPr>
          <w:p>
            <w:r>
              <w:rPr>
                <w:b/>
                <w:sz w:val="17"/>
              </w:rPr>
              <w:t>2,204</w:t>
            </w:r>
          </w:p>
        </w:tc>
        <w:tc>
          <w:tcPr>
            <w:tcW w:type="dxa" w:w="1440"/>
            <w:shd w:fill="FAFAFA" w:val="clear"/>
          </w:tcPr>
          <w:p>
            <w:r>
              <w:rPr>
                <w:sz w:val="17"/>
              </w:rPr>
              <w:t>2,301</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2026-08-18</w:t>
            </w:r>
          </w:p>
        </w:tc>
        <w:tc>
          <w:tcPr>
            <w:tcW w:type="dxa" w:w="1440"/>
            <w:shd w:fill="FAFAFA" w:val="clear"/>
          </w:tcPr>
          <w:p>
            <w:r>
              <w:rPr>
                <w:sz w:val="17"/>
              </w:rPr>
              <w:t>2,093</w:t>
            </w:r>
          </w:p>
        </w:tc>
        <w:tc>
          <w:tcPr>
            <w:tcW w:type="dxa" w:w="1440"/>
            <w:shd w:fill="FAFAFA" w:val="clear"/>
          </w:tcPr>
          <w:p>
            <w:r>
              <w:rPr>
                <w:b/>
                <w:sz w:val="17"/>
              </w:rPr>
              <w:t>2,212</w:t>
            </w:r>
          </w:p>
        </w:tc>
        <w:tc>
          <w:tcPr>
            <w:tcW w:type="dxa" w:w="1440"/>
            <w:shd w:fill="FAFAFA" w:val="clear"/>
          </w:tcPr>
          <w:p>
            <w:r>
              <w:rPr>
                <w:sz w:val="17"/>
              </w:rPr>
              <w:t>2,332</w:t>
            </w:r>
          </w:p>
        </w:tc>
        <w:tc>
          <w:tcPr>
            <w:tcW w:type="dxa" w:w="1440"/>
            <w:shd w:fill="FAFAFA" w:val="clear"/>
          </w:tcPr>
          <w:p>
            <w:r>
              <w:rPr>
                <w:b/>
                <w:color w:val="008000"/>
                <w:sz w:val="17"/>
              </w:rPr>
              <w:t>+1.0%</w:t>
            </w:r>
          </w:p>
        </w:tc>
      </w:tr>
      <w:tr>
        <w:tc>
          <w:tcPr>
            <w:tcW w:type="dxa" w:w="1440"/>
            <w:shd w:fill="FAFAFA" w:val="clear"/>
          </w:tcPr>
          <w:p>
            <w:r>
              <w:rPr>
                <w:sz w:val="17"/>
              </w:rPr>
              <w:t>J+4  Moyenne</w:t>
            </w:r>
          </w:p>
        </w:tc>
        <w:tc>
          <w:tcPr>
            <w:tcW w:type="dxa" w:w="1440"/>
            <w:shd w:fill="FAFAFA" w:val="clear"/>
          </w:tcPr>
          <w:p>
            <w:r>
              <w:rPr>
                <w:sz w:val="17"/>
              </w:rPr>
              <w:t>2026-08-19</w:t>
            </w:r>
          </w:p>
        </w:tc>
        <w:tc>
          <w:tcPr>
            <w:tcW w:type="dxa" w:w="1440"/>
            <w:shd w:fill="FAFAFA" w:val="clear"/>
          </w:tcPr>
          <w:p>
            <w:r>
              <w:rPr>
                <w:sz w:val="17"/>
              </w:rPr>
              <w:t>2,083</w:t>
            </w:r>
          </w:p>
        </w:tc>
        <w:tc>
          <w:tcPr>
            <w:tcW w:type="dxa" w:w="1440"/>
            <w:shd w:fill="FAFAFA" w:val="clear"/>
          </w:tcPr>
          <w:p>
            <w:r>
              <w:rPr>
                <w:b/>
                <w:sz w:val="17"/>
              </w:rPr>
              <w:t>2,221</w:t>
            </w:r>
          </w:p>
        </w:tc>
        <w:tc>
          <w:tcPr>
            <w:tcW w:type="dxa" w:w="1440"/>
            <w:shd w:fill="FAFAFA" w:val="clear"/>
          </w:tcPr>
          <w:p>
            <w:r>
              <w:rPr>
                <w:sz w:val="17"/>
              </w:rPr>
              <w:t>2,360</w:t>
            </w:r>
          </w:p>
        </w:tc>
        <w:tc>
          <w:tcPr>
            <w:tcW w:type="dxa" w:w="1440"/>
            <w:shd w:fill="FAFAFA" w:val="clear"/>
          </w:tcPr>
          <w:p>
            <w:r>
              <w:rPr>
                <w:b/>
                <w:color w:val="008000"/>
                <w:sz w:val="17"/>
              </w:rPr>
              <w:t>+1.4%</w:t>
            </w:r>
          </w:p>
        </w:tc>
      </w:tr>
      <w:tr>
        <w:tc>
          <w:tcPr>
            <w:tcW w:type="dxa" w:w="1440"/>
            <w:shd w:fill="FAFAFA" w:val="clear"/>
          </w:tcPr>
          <w:p>
            <w:r>
              <w:rPr>
                <w:sz w:val="17"/>
              </w:rPr>
              <w:t>J+5  Moyenne</w:t>
            </w:r>
          </w:p>
        </w:tc>
        <w:tc>
          <w:tcPr>
            <w:tcW w:type="dxa" w:w="1440"/>
            <w:shd w:fill="FAFAFA" w:val="clear"/>
          </w:tcPr>
          <w:p>
            <w:r>
              <w:rPr>
                <w:sz w:val="17"/>
              </w:rPr>
              <w:t>2026-08-20</w:t>
            </w:r>
          </w:p>
        </w:tc>
        <w:tc>
          <w:tcPr>
            <w:tcW w:type="dxa" w:w="1440"/>
            <w:shd w:fill="FAFAFA" w:val="clear"/>
          </w:tcPr>
          <w:p>
            <w:r>
              <w:rPr>
                <w:sz w:val="17"/>
              </w:rPr>
              <w:t>2,075</w:t>
            </w:r>
          </w:p>
        </w:tc>
        <w:tc>
          <w:tcPr>
            <w:tcW w:type="dxa" w:w="1440"/>
            <w:shd w:fill="FAFAFA" w:val="clear"/>
          </w:tcPr>
          <w:p>
            <w:r>
              <w:rPr>
                <w:b/>
                <w:sz w:val="17"/>
              </w:rPr>
              <w:t>2,231</w:t>
            </w:r>
          </w:p>
        </w:tc>
        <w:tc>
          <w:tcPr>
            <w:tcW w:type="dxa" w:w="1440"/>
            <w:shd w:fill="FAFAFA" w:val="clear"/>
          </w:tcPr>
          <w:p>
            <w:r>
              <w:rPr>
                <w:sz w:val="17"/>
              </w:rPr>
              <w:t>2,386</w:t>
            </w:r>
          </w:p>
        </w:tc>
        <w:tc>
          <w:tcPr>
            <w:tcW w:type="dxa" w:w="1440"/>
            <w:shd w:fill="FAFAFA" w:val="clear"/>
          </w:tcPr>
          <w:p>
            <w:r>
              <w:rPr>
                <w:b/>
                <w:color w:val="008000"/>
                <w:sz w:val="17"/>
              </w:rPr>
              <w:t>+1.9%</w:t>
            </w:r>
          </w:p>
        </w:tc>
      </w:tr>
      <w:tr>
        <w:tc>
          <w:tcPr>
            <w:tcW w:type="dxa" w:w="1440"/>
            <w:shd w:fill="C6EFCE" w:val="clear"/>
          </w:tcPr>
          <w:p>
            <w:r>
              <w:rPr>
                <w:sz w:val="17"/>
              </w:rPr>
              <w:t>J+6  Moyenne</w:t>
            </w:r>
          </w:p>
        </w:tc>
        <w:tc>
          <w:tcPr>
            <w:tcW w:type="dxa" w:w="1440"/>
            <w:shd w:fill="C6EFCE" w:val="clear"/>
          </w:tcPr>
          <w:p>
            <w:r>
              <w:rPr>
                <w:sz w:val="17"/>
              </w:rPr>
              <w:t>2026-08-21</w:t>
            </w:r>
          </w:p>
        </w:tc>
        <w:tc>
          <w:tcPr>
            <w:tcW w:type="dxa" w:w="1440"/>
            <w:shd w:fill="C6EFCE" w:val="clear"/>
          </w:tcPr>
          <w:p>
            <w:r>
              <w:rPr>
                <w:sz w:val="17"/>
              </w:rPr>
              <w:t>2,069</w:t>
            </w:r>
          </w:p>
        </w:tc>
        <w:tc>
          <w:tcPr>
            <w:tcW w:type="dxa" w:w="1440"/>
            <w:shd w:fill="C6EFCE" w:val="clear"/>
          </w:tcPr>
          <w:p>
            <w:r>
              <w:rPr>
                <w:b/>
                <w:sz w:val="17"/>
              </w:rPr>
              <w:t>2,240</w:t>
            </w:r>
          </w:p>
        </w:tc>
        <w:tc>
          <w:tcPr>
            <w:tcW w:type="dxa" w:w="1440"/>
            <w:shd w:fill="C6EFCE" w:val="clear"/>
          </w:tcPr>
          <w:p>
            <w:r>
              <w:rPr>
                <w:sz w:val="17"/>
              </w:rPr>
              <w:t>2,411</w:t>
            </w:r>
          </w:p>
        </w:tc>
        <w:tc>
          <w:tcPr>
            <w:tcW w:type="dxa" w:w="1440"/>
            <w:shd w:fill="C6EFCE" w:val="clear"/>
          </w:tcPr>
          <w:p>
            <w:r>
              <w:rPr>
                <w:b/>
                <w:color w:val="008000"/>
                <w:sz w:val="17"/>
              </w:rPr>
              <w:t>+2.3%</w:t>
            </w:r>
          </w:p>
        </w:tc>
      </w:tr>
      <w:tr>
        <w:tc>
          <w:tcPr>
            <w:tcW w:type="dxa" w:w="1440"/>
            <w:shd w:fill="C6EFCE" w:val="clear"/>
          </w:tcPr>
          <w:p>
            <w:r>
              <w:rPr>
                <w:sz w:val="17"/>
              </w:rPr>
              <w:t>J+7  Moyenne</w:t>
            </w:r>
          </w:p>
        </w:tc>
        <w:tc>
          <w:tcPr>
            <w:tcW w:type="dxa" w:w="1440"/>
            <w:shd w:fill="C6EFCE" w:val="clear"/>
          </w:tcPr>
          <w:p>
            <w:r>
              <w:rPr>
                <w:sz w:val="17"/>
              </w:rPr>
              <w:t>2026-08-24</w:t>
            </w:r>
          </w:p>
        </w:tc>
        <w:tc>
          <w:tcPr>
            <w:tcW w:type="dxa" w:w="1440"/>
            <w:shd w:fill="C6EFCE" w:val="clear"/>
          </w:tcPr>
          <w:p>
            <w:r>
              <w:rPr>
                <w:sz w:val="17"/>
              </w:rPr>
              <w:t>2,064</w:t>
            </w:r>
          </w:p>
        </w:tc>
        <w:tc>
          <w:tcPr>
            <w:tcW w:type="dxa" w:w="1440"/>
            <w:shd w:fill="C6EFCE" w:val="clear"/>
          </w:tcPr>
          <w:p>
            <w:r>
              <w:rPr>
                <w:b/>
                <w:sz w:val="17"/>
              </w:rPr>
              <w:t>2,250</w:t>
            </w:r>
          </w:p>
        </w:tc>
        <w:tc>
          <w:tcPr>
            <w:tcW w:type="dxa" w:w="1440"/>
            <w:shd w:fill="C6EFCE" w:val="clear"/>
          </w:tcPr>
          <w:p>
            <w:r>
              <w:rPr>
                <w:sz w:val="17"/>
              </w:rPr>
              <w:t>2,435</w:t>
            </w:r>
          </w:p>
        </w:tc>
        <w:tc>
          <w:tcPr>
            <w:tcW w:type="dxa" w:w="1440"/>
            <w:shd w:fill="C6EFCE" w:val="clear"/>
          </w:tcPr>
          <w:p>
            <w:r>
              <w:rPr>
                <w:b/>
                <w:color w:val="008000"/>
                <w:sz w:val="17"/>
              </w:rPr>
              <w:t>+2.7%</w:t>
            </w:r>
          </w:p>
        </w:tc>
      </w:tr>
      <w:tr>
        <w:tc>
          <w:tcPr>
            <w:tcW w:type="dxa" w:w="1440"/>
            <w:shd w:fill="C6EFCE" w:val="clear"/>
          </w:tcPr>
          <w:p>
            <w:r>
              <w:rPr>
                <w:sz w:val="17"/>
              </w:rPr>
              <w:t>J+8  Moyenne</w:t>
            </w:r>
          </w:p>
        </w:tc>
        <w:tc>
          <w:tcPr>
            <w:tcW w:type="dxa" w:w="1440"/>
            <w:shd w:fill="C6EFCE" w:val="clear"/>
          </w:tcPr>
          <w:p>
            <w:r>
              <w:rPr>
                <w:sz w:val="17"/>
              </w:rPr>
              <w:t>2026-08-25</w:t>
            </w:r>
          </w:p>
        </w:tc>
        <w:tc>
          <w:tcPr>
            <w:tcW w:type="dxa" w:w="1440"/>
            <w:shd w:fill="C6EFCE" w:val="clear"/>
          </w:tcPr>
          <w:p>
            <w:r>
              <w:rPr>
                <w:sz w:val="17"/>
              </w:rPr>
              <w:t>2,060</w:t>
            </w:r>
          </w:p>
        </w:tc>
        <w:tc>
          <w:tcPr>
            <w:tcW w:type="dxa" w:w="1440"/>
            <w:shd w:fill="C6EFCE" w:val="clear"/>
          </w:tcPr>
          <w:p>
            <w:r>
              <w:rPr>
                <w:b/>
                <w:sz w:val="17"/>
              </w:rPr>
              <w:t>2,259</w:t>
            </w:r>
          </w:p>
        </w:tc>
        <w:tc>
          <w:tcPr>
            <w:tcW w:type="dxa" w:w="1440"/>
            <w:shd w:fill="C6EFCE" w:val="clear"/>
          </w:tcPr>
          <w:p>
            <w:r>
              <w:rPr>
                <w:sz w:val="17"/>
              </w:rPr>
              <w:t>2,459</w:t>
            </w:r>
          </w:p>
        </w:tc>
        <w:tc>
          <w:tcPr>
            <w:tcW w:type="dxa" w:w="1440"/>
            <w:shd w:fill="C6EFCE" w:val="clear"/>
          </w:tcPr>
          <w:p>
            <w:r>
              <w:rPr>
                <w:b/>
                <w:color w:val="008000"/>
                <w:sz w:val="17"/>
              </w:rPr>
              <w:t>+3.2%</w:t>
            </w:r>
          </w:p>
        </w:tc>
      </w:tr>
      <w:tr>
        <w:tc>
          <w:tcPr>
            <w:tcW w:type="dxa" w:w="1440"/>
            <w:shd w:fill="C6EFCE" w:val="clear"/>
          </w:tcPr>
          <w:p>
            <w:r>
              <w:rPr>
                <w:sz w:val="17"/>
              </w:rPr>
              <w:t>J+9  Moyenne</w:t>
            </w:r>
          </w:p>
        </w:tc>
        <w:tc>
          <w:tcPr>
            <w:tcW w:type="dxa" w:w="1440"/>
            <w:shd w:fill="C6EFCE" w:val="clear"/>
          </w:tcPr>
          <w:p>
            <w:r>
              <w:rPr>
                <w:sz w:val="17"/>
              </w:rPr>
              <w:t>2026-08-27</w:t>
            </w:r>
          </w:p>
        </w:tc>
        <w:tc>
          <w:tcPr>
            <w:tcW w:type="dxa" w:w="1440"/>
            <w:shd w:fill="C6EFCE" w:val="clear"/>
          </w:tcPr>
          <w:p>
            <w:r>
              <w:rPr>
                <w:sz w:val="17"/>
              </w:rPr>
              <w:t>2,056</w:t>
            </w:r>
          </w:p>
        </w:tc>
        <w:tc>
          <w:tcPr>
            <w:tcW w:type="dxa" w:w="1440"/>
            <w:shd w:fill="C6EFCE" w:val="clear"/>
          </w:tcPr>
          <w:p>
            <w:r>
              <w:rPr>
                <w:b/>
                <w:sz w:val="17"/>
              </w:rPr>
              <w:t>2,269</w:t>
            </w:r>
          </w:p>
        </w:tc>
        <w:tc>
          <w:tcPr>
            <w:tcW w:type="dxa" w:w="1440"/>
            <w:shd w:fill="C6EFCE" w:val="clear"/>
          </w:tcPr>
          <w:p>
            <w:r>
              <w:rPr>
                <w:sz w:val="17"/>
              </w:rPr>
              <w:t>2,481</w:t>
            </w:r>
          </w:p>
        </w:tc>
        <w:tc>
          <w:tcPr>
            <w:tcW w:type="dxa" w:w="1440"/>
            <w:shd w:fill="C6EFCE" w:val="clear"/>
          </w:tcPr>
          <w:p>
            <w:r>
              <w:rPr>
                <w:b/>
                <w:color w:val="008000"/>
                <w:sz w:val="17"/>
              </w:rPr>
              <w:t>+3.6%</w:t>
            </w:r>
          </w:p>
        </w:tc>
      </w:tr>
      <w:tr>
        <w:tc>
          <w:tcPr>
            <w:tcW w:type="dxa" w:w="1440"/>
            <w:shd w:fill="C6EFCE" w:val="clear"/>
          </w:tcPr>
          <w:p>
            <w:r>
              <w:rPr>
                <w:sz w:val="17"/>
              </w:rPr>
              <w:t>J+10  Moyenne</w:t>
            </w:r>
          </w:p>
        </w:tc>
        <w:tc>
          <w:tcPr>
            <w:tcW w:type="dxa" w:w="1440"/>
            <w:shd w:fill="C6EFCE" w:val="clear"/>
          </w:tcPr>
          <w:p>
            <w:r>
              <w:rPr>
                <w:sz w:val="17"/>
              </w:rPr>
              <w:t>2026-08-28</w:t>
            </w:r>
          </w:p>
        </w:tc>
        <w:tc>
          <w:tcPr>
            <w:tcW w:type="dxa" w:w="1440"/>
            <w:shd w:fill="C6EFCE" w:val="clear"/>
          </w:tcPr>
          <w:p>
            <w:r>
              <w:rPr>
                <w:sz w:val="17"/>
              </w:rPr>
              <w:t>2,054</w:t>
            </w:r>
          </w:p>
        </w:tc>
        <w:tc>
          <w:tcPr>
            <w:tcW w:type="dxa" w:w="1440"/>
            <w:shd w:fill="C6EFCE" w:val="clear"/>
          </w:tcPr>
          <w:p>
            <w:r>
              <w:rPr>
                <w:b/>
                <w:sz w:val="17"/>
              </w:rPr>
              <w:t>2,278</w:t>
            </w:r>
          </w:p>
        </w:tc>
        <w:tc>
          <w:tcPr>
            <w:tcW w:type="dxa" w:w="1440"/>
            <w:shd w:fill="C6EFCE" w:val="clear"/>
          </w:tcPr>
          <w:p>
            <w:r>
              <w:rPr>
                <w:sz w:val="17"/>
              </w:rPr>
              <w:t>2,503</w:t>
            </w:r>
          </w:p>
        </w:tc>
        <w:tc>
          <w:tcPr>
            <w:tcW w:type="dxa" w:w="1440"/>
            <w:shd w:fill="C6EFCE" w:val="clear"/>
          </w:tcPr>
          <w:p>
            <w:r>
              <w:rPr>
                <w:b/>
                <w:color w:val="008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**Date : 13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30,89 milliards FCFA, un niveau modeste dans l'écosystème de la BRVM, reflétant un profil de petite capitalisation. Avec un BPA de 33 FCFA, le titre se négocie à un PER de 66,3x, soit un niveau extrêmement élevé par rapport à la moyenne historique de la BRVM (8-12x). Les investisseurs paient donc une prime considérable pour des bénéfices actuels très faibles, ce qui suggère une anticipation de croissance future ou une spéculation. Le P/B de 1,97x indique que le marché valorise la société à environ deux fois ses capitaux propres, ce qui est plus raisonnable. Cependant, l'EV/EBITDA de 38,5x, très supérieur au seuil de 15x, confirme une valorisation exigeante de la capacité opérationnelle de l'entreprise. Ces ratios, pris ensemble, signalent une décote de sécurité quasi inexistante et une valorisation qui repose sur des hypothèses de redressement très optimistes.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FTSC a enregistré une baisse de 4,37%, avec une dernière séance stable (+0,00%), illustrant une phase de consolidation après des mouvements plus amples. Le cours a évolué dans une fourchette de 1 910 FCFA (plus bas) à 2 430 FCFA (plus haut), soit une amplitude de 520 FCFA, démontrant une volatilité intraday significative. La moyenne du cours sur la période est de 2 170 FCFA, très proche de la médiane (2 200 FCFA), ce qui indique une distribution relativement symétrique, confirmée par un skewness de -0,246. L'écart-type de 146 FCFA (CV=6,7%) montre une dispersion modérée autour de la moyenne. Le kurtosis de -1,284 (platykurtique) révèle une distribution aplatie, avec moins de valeurs extrêmes que la normale, ce qui réduit le risque de pics de volatilité soudains. La volatilité annualisée de 36,3% classe le titre comme très volatil (&gt;30%), un élément de risque majeur pour les investisseurs. La tendance générale sur la période est baissière, le cours se situant sous son plus haut, mais avec des signes de stabilisation récente.</w:t>
      </w:r>
    </w:p>
    <w:p>
      <w:pPr>
        <w:spacing w:after="120" w:line="276" w:lineRule="auto"/>
      </w:pPr>
      <w:r>
        <w:t>---</w:t>
      </w:r>
    </w:p>
    <w:p>
      <w:pPr>
        <w:spacing w:after="120" w:line="276" w:lineRule="auto"/>
      </w:pPr>
      <w:r>
        <w:t>### PARTIE 2 : ANALYSE TECHNIQUE DÉTAILLÉE</w:t>
      </w:r>
    </w:p>
    <w:p>
      <w:pPr>
        <w:spacing w:after="120" w:line="276" w:lineRule="auto"/>
      </w:pPr>
      <w:r>
        <w:t>**Moyennes Mobiles :** La MM20 (2 012,25 FCFA) et la MM50 (2 065,4 FCFA) sont toutes deux inférieures au cours actuel de 2 190 FCFA, indiquant une dynamique haussière à court terme. Cependant, la décision globale est "Vente", ce qui suggère que la tendance de fond reste incertaine et que le titre pourrait être en surchauffe après une remontée rapide.</w:t>
      </w:r>
    </w:p>
    <w:p>
      <w:pPr>
        <w:spacing w:after="120" w:line="276" w:lineRule="auto"/>
      </w:pPr>
      <w:r>
        <w:t>**Bandes de Bollinger :** Le prix actuel (2 190 FCFA) se situe au niveau de la borne supérieure (2 187,31 FCFA), signalant que le titre est en zone de surachat à court terme. La décision "Vente" est cohérente avec cette position, car elle suggère un risque de repli vers la moyenne ou la borne inférieure (1 837,19 FCFA). La largeur des bandes indique une volatilité élevée.</w:t>
      </w:r>
    </w:p>
    <w:p>
      <w:pPr>
        <w:spacing w:after="120" w:line="276" w:lineRule="auto"/>
      </w:pPr>
      <w:r>
        <w:t>**MACD :** Le MACD (28,865) est nettement supérieur à son signal (-5,083), générant une décision "Achat". Cette configuration positive indique un momentum haussier en cours, avec une accélération de la tendance. C'est le seul indicateur technique qui soutient une poursuite de la hausse.</w:t>
      </w:r>
    </w:p>
    <w:p>
      <w:pPr>
        <w:spacing w:after="120" w:line="276" w:lineRule="auto"/>
      </w:pPr>
      <w:r>
        <w:t>**RSI :** Le RSI à 70,755 est en zone de surachat (au-dessus de 70), ce qui déclenche une décision "Vente". Ce niveau indique que le titre a fortement monté récemment et qu'un essoufflement ou une correction technique est probable à très court terme.</w:t>
      </w:r>
    </w:p>
    <w:p>
      <w:pPr>
        <w:spacing w:after="120" w:line="276" w:lineRule="auto"/>
      </w:pPr>
      <w:r>
        <w:t>**Stochastique :** Le %K et le %D sont tous deux à 100,0, en territoire de surachat extrême. La décision "Vente" est justifiée, car cette configuration signale que le titre est survendu et qu'un retournement baissier est imminent.</w:t>
      </w:r>
    </w:p>
    <w:p>
      <w:pPr>
        <w:spacing w:after="120" w:line="276" w:lineRule="auto"/>
      </w:pPr>
      <w:r>
        <w:t>**Conclusion technique :** Les indicateurs sont globalement en divergence. Le MACD est haussier, mais le RSI, le Stochastique et les Bandes de Bollinger signalent tous un surachat extrême. Les moyennes mobiles, bien que sous le cours, donnent une décision de vente. Cette configuration suggère un risque élevé de correction à court terme, malgré un momentum positif. La prudence est donc de mise.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FILTISAC a réalisé un chiffre d'affaires de 32,109 milliards FCFA, en hausse de 5% par rapport à 2024 (30,695 milliards). Cependant, le résultat net s'effondre à 465,98 millions FCFA, contre 18,595 milliards en 2024, une chute de 97,5% due à l'absence de produits exceptionnels liés aux cessions de filiales. La marge nette chute à 1,45%, et le ROE n'est que de 2,97%, très en dessous du seuil de 15% considéré comme excellent. Le ROA est de 1,19%. La trésorerie nette est fortement négative à -11,528 milliards FCFA, suite au versement de dividendes massifs en 2024. Le BFR est de 11,529 milliards FCFA, avec un délai clients très élevé de 213,72 jours, un risque de trésorerie majeur. Le rapport annuel 2024 (publié en 2025) confirme la performance exceptionnelle mais artificielle de 2024, avec un dividende de 2 000,67 FCFA par action. Les rapports trimestriels 2025 montrent une amélioration progressive : le T1 2025 était déficitaire (-144 millions FCFA avant impôt), le S1 2025 a dégagé un résultat net de 105 millions FCFA, et le T3 2025 a vu le résultat courant avant impôt se dégrader à -216 millions FCFA. Sur la base du rapport T1 2026 (CA en hausse de 55% à 8,901 milliards FCFA, résultat d'exploitation positif de 75 millions FCFA), on estime que l'exercice 2026 pourrait voir une amélioration opérationnelle, mais le résultat net reste déficitaire (-154 millions FCFA au T1 2026). La dépendance à la campagne cacaoyère et les risques d'approvisionnement en jute (interdiction d'exportation par le Bangladesh) restent des menaces. La recommandation fondamentale est de **VENDRE**, la société étant structurellement fragile avec une rentabilité opérationnelle faible et une trésorerie dégradée.</w:t>
      </w:r>
    </w:p>
    <w:p>
      <w:pPr>
        <w:spacing w:after="120" w:line="276" w:lineRule="auto"/>
      </w:pPr>
      <w:r>
        <w:t>---</w:t>
      </w:r>
    </w:p>
    <w:p>
      <w:pPr>
        <w:spacing w:after="120" w:line="276" w:lineRule="auto"/>
      </w:pPr>
      <w:r>
        <w:t>### PARTIE 4 : CONCLUSION D'INVESTISSEMENT</w:t>
      </w:r>
    </w:p>
    <w:p>
      <w:pPr>
        <w:spacing w:after="120" w:line="276" w:lineRule="auto"/>
      </w:pPr>
      <w:r>
        <w:t>La valorisation de FTSC est extrêmement exigeante (PER 66,3x, EV/EBITDA 38,5x), ce qui indique une surévaluation par rapport aux bénéfices actuels. Le comportement du cours sur 100 jours montre une tendance baissière avec une volatilité élevée (36,3%), bien que les statistiques (kurtosis platykurtique) suggèrent une faible probabilité de mouvements extrêmes. Les signaux techniques sont en divergence : le MACD est haussier, mais le RSI, le Stochastique et les Bandes de Bollinger signalent un surachat extrême, annonçant une correction probable. Les fondamentaux sont préoccupants : malgré une croissance du CA, la rentabilité nette est très faible (1,45%), la trésorerie est négative et les délais clients sont élevés. Les prédictions IA (2 197 à 2 231 FCFA sur 10 jours) suggèrent une légère hausse, mais celle-ci est en contradiction avec les signaux de surachat technique. En synthèse, la convergence entre la valorisation excessive, les fondamentaux fragiles et les signaux techniques de surachat l'emporte sur le momentum haussier à court terme. **Recommandation finale : VENTE.** Le niveau de confiance est **Moyen**, car la dynamique commerciale (T1 2026) pourrait soutenir le titre à court terme. Le niveau de risque global est **Élevé**. L'horizon d'investissement optimal est le **court terme (&lt;3 mois)** pour les investisseurs cherchant à profiter d'un éventuel rebond technique, mais une position longue est déconseillée.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80.00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3,054 titres</w:t>
            </w:r>
          </w:p>
        </w:tc>
        <w:tc>
          <w:tcPr>
            <w:tcW w:type="dxa" w:w="2268"/>
            <w:shd w:fill="FFF2CC" w:val="clear"/>
          </w:tcPr>
          <w:p>
            <w:r>
              <w:rPr>
                <w:b/>
                <w:color w:val="503200"/>
                <w:sz w:val="16"/>
              </w:rPr>
              <w:t xml:space="preserve">Cours actuel : </w:t>
            </w:r>
            <w:r>
              <w:rPr>
                <w:color w:val="000000"/>
                <w:sz w:val="17"/>
              </w:rPr>
              <w:t>4,000 FCFA</w:t>
            </w:r>
          </w:p>
          <w:p>
            <w:r>
              <w:rPr>
                <w:b/>
                <w:color w:val="503200"/>
                <w:sz w:val="16"/>
              </w:rPr>
              <w:t xml:space="preserve">Var. 100 jours : </w:t>
            </w:r>
            <w:r>
              <w:rPr>
                <w:b/>
                <w:color w:val="007800"/>
                <w:sz w:val="17"/>
              </w:rPr>
              <w:t>+5.26%</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5.24% (Moyenne) — μ=4,029 FCFA, σ=211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β=0.1217 (Défensif) — Cov=0.000004, Var(idx)=0.000036, ρ=0.032,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3,054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2026-08-14</w:t>
            </w:r>
          </w:p>
        </w:tc>
        <w:tc>
          <w:tcPr>
            <w:tcW w:type="dxa" w:w="1440"/>
            <w:shd w:fill="C6EFCE" w:val="clear"/>
          </w:tcPr>
          <w:p>
            <w:r>
              <w:rPr>
                <w:sz w:val="17"/>
              </w:rPr>
              <w:t>3,916</w:t>
            </w:r>
          </w:p>
        </w:tc>
        <w:tc>
          <w:tcPr>
            <w:tcW w:type="dxa" w:w="1440"/>
            <w:shd w:fill="C6EFCE" w:val="clear"/>
          </w:tcPr>
          <w:p>
            <w:r>
              <w:rPr>
                <w:b/>
                <w:sz w:val="17"/>
              </w:rPr>
              <w:t>4,127</w:t>
            </w:r>
          </w:p>
        </w:tc>
        <w:tc>
          <w:tcPr>
            <w:tcW w:type="dxa" w:w="1440"/>
            <w:shd w:fill="C6EFCE" w:val="clear"/>
          </w:tcPr>
          <w:p>
            <w:r>
              <w:rPr>
                <w:sz w:val="17"/>
              </w:rPr>
              <w:t>4,339</w:t>
            </w:r>
          </w:p>
        </w:tc>
        <w:tc>
          <w:tcPr>
            <w:tcW w:type="dxa" w:w="1440"/>
            <w:shd w:fill="C6EFCE" w:val="clear"/>
          </w:tcPr>
          <w:p>
            <w:r>
              <w:rPr>
                <w:b/>
                <w:color w:val="008000"/>
                <w:sz w:val="17"/>
              </w:rPr>
              <w:t>+3.2%</w:t>
            </w:r>
          </w:p>
        </w:tc>
      </w:tr>
      <w:tr>
        <w:tc>
          <w:tcPr>
            <w:tcW w:type="dxa" w:w="1440"/>
            <w:shd w:fill="C6EFCE" w:val="clear"/>
          </w:tcPr>
          <w:p>
            <w:r>
              <w:rPr>
                <w:sz w:val="17"/>
              </w:rPr>
              <w:t>J+2  Moyenne</w:t>
            </w:r>
          </w:p>
        </w:tc>
        <w:tc>
          <w:tcPr>
            <w:tcW w:type="dxa" w:w="1440"/>
            <w:shd w:fill="C6EFCE" w:val="clear"/>
          </w:tcPr>
          <w:p>
            <w:r>
              <w:rPr>
                <w:sz w:val="17"/>
              </w:rPr>
              <w:t>2026-08-17</w:t>
            </w:r>
          </w:p>
        </w:tc>
        <w:tc>
          <w:tcPr>
            <w:tcW w:type="dxa" w:w="1440"/>
            <w:shd w:fill="C6EFCE" w:val="clear"/>
          </w:tcPr>
          <w:p>
            <w:r>
              <w:rPr>
                <w:sz w:val="17"/>
              </w:rPr>
              <w:t>3,800</w:t>
            </w:r>
          </w:p>
        </w:tc>
        <w:tc>
          <w:tcPr>
            <w:tcW w:type="dxa" w:w="1440"/>
            <w:shd w:fill="C6EFCE" w:val="clear"/>
          </w:tcPr>
          <w:p>
            <w:r>
              <w:rPr>
                <w:b/>
                <w:sz w:val="17"/>
              </w:rPr>
              <w:t>4,097</w:t>
            </w:r>
          </w:p>
        </w:tc>
        <w:tc>
          <w:tcPr>
            <w:tcW w:type="dxa" w:w="1440"/>
            <w:shd w:fill="C6EFCE" w:val="clear"/>
          </w:tcPr>
          <w:p>
            <w:r>
              <w:rPr>
                <w:sz w:val="17"/>
              </w:rPr>
              <w:t>4,394</w:t>
            </w:r>
          </w:p>
        </w:tc>
        <w:tc>
          <w:tcPr>
            <w:tcW w:type="dxa" w:w="1440"/>
            <w:shd w:fill="C6EFCE" w:val="clear"/>
          </w:tcPr>
          <w:p>
            <w:r>
              <w:rPr>
                <w:b/>
                <w:color w:val="008000"/>
                <w:sz w:val="17"/>
              </w:rPr>
              <w:t>+2.4%</w:t>
            </w:r>
          </w:p>
        </w:tc>
      </w:tr>
      <w:tr>
        <w:tc>
          <w:tcPr>
            <w:tcW w:type="dxa" w:w="1440"/>
            <w:shd w:fill="FAFAFA" w:val="clear"/>
          </w:tcPr>
          <w:p>
            <w:r>
              <w:rPr>
                <w:sz w:val="17"/>
              </w:rPr>
              <w:t>J+3  Moyenne</w:t>
            </w:r>
          </w:p>
        </w:tc>
        <w:tc>
          <w:tcPr>
            <w:tcW w:type="dxa" w:w="1440"/>
            <w:shd w:fill="FAFAFA" w:val="clear"/>
          </w:tcPr>
          <w:p>
            <w:r>
              <w:rPr>
                <w:sz w:val="17"/>
              </w:rPr>
              <w:t>2026-08-18</w:t>
            </w:r>
          </w:p>
        </w:tc>
        <w:tc>
          <w:tcPr>
            <w:tcW w:type="dxa" w:w="1440"/>
            <w:shd w:fill="FAFAFA" w:val="clear"/>
          </w:tcPr>
          <w:p>
            <w:r>
              <w:rPr>
                <w:sz w:val="17"/>
              </w:rPr>
              <w:t>3,707</w:t>
            </w:r>
          </w:p>
        </w:tc>
        <w:tc>
          <w:tcPr>
            <w:tcW w:type="dxa" w:w="1440"/>
            <w:shd w:fill="FAFAFA" w:val="clear"/>
          </w:tcPr>
          <w:p>
            <w:r>
              <w:rPr>
                <w:b/>
                <w:sz w:val="17"/>
              </w:rPr>
              <w:t>4,068</w:t>
            </w:r>
          </w:p>
        </w:tc>
        <w:tc>
          <w:tcPr>
            <w:tcW w:type="dxa" w:w="1440"/>
            <w:shd w:fill="FAFAFA" w:val="clear"/>
          </w:tcPr>
          <w:p>
            <w:r>
              <w:rPr>
                <w:sz w:val="17"/>
              </w:rPr>
              <w:t>4,428</w:t>
            </w:r>
          </w:p>
        </w:tc>
        <w:tc>
          <w:tcPr>
            <w:tcW w:type="dxa" w:w="1440"/>
            <w:shd w:fill="FAFAFA" w:val="clear"/>
          </w:tcPr>
          <w:p>
            <w:r>
              <w:rPr>
                <w:b/>
                <w:color w:val="008000"/>
                <w:sz w:val="17"/>
              </w:rPr>
              <w:t>+1.7%</w:t>
            </w:r>
          </w:p>
        </w:tc>
      </w:tr>
      <w:tr>
        <w:tc>
          <w:tcPr>
            <w:tcW w:type="dxa" w:w="1440"/>
            <w:shd w:fill="FAFAFA" w:val="clear"/>
          </w:tcPr>
          <w:p>
            <w:r>
              <w:rPr>
                <w:sz w:val="17"/>
              </w:rPr>
              <w:t>J+4  ⭐</w:t>
            </w:r>
          </w:p>
        </w:tc>
        <w:tc>
          <w:tcPr>
            <w:tcW w:type="dxa" w:w="1440"/>
            <w:shd w:fill="FAFAFA" w:val="clear"/>
          </w:tcPr>
          <w:p>
            <w:r>
              <w:rPr>
                <w:sz w:val="17"/>
              </w:rPr>
              <w:t>2026-08-19</w:t>
            </w:r>
          </w:p>
        </w:tc>
        <w:tc>
          <w:tcPr>
            <w:tcW w:type="dxa" w:w="1440"/>
            <w:shd w:fill="FAFAFA" w:val="clear"/>
          </w:tcPr>
          <w:p>
            <w:r>
              <w:rPr>
                <w:sz w:val="17"/>
              </w:rPr>
              <w:t>3,636</w:t>
            </w:r>
          </w:p>
        </w:tc>
        <w:tc>
          <w:tcPr>
            <w:tcW w:type="dxa" w:w="1440"/>
            <w:shd w:fill="FAFAFA" w:val="clear"/>
          </w:tcPr>
          <w:p>
            <w:r>
              <w:rPr>
                <w:b/>
                <w:sz w:val="17"/>
              </w:rPr>
              <w:t>4,050</w:t>
            </w:r>
          </w:p>
        </w:tc>
        <w:tc>
          <w:tcPr>
            <w:tcW w:type="dxa" w:w="1440"/>
            <w:shd w:fill="FAFAFA" w:val="clear"/>
          </w:tcPr>
          <w:p>
            <w:r>
              <w:rPr>
                <w:sz w:val="17"/>
              </w:rPr>
              <w:t>4,465</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2026-08-20</w:t>
            </w:r>
          </w:p>
        </w:tc>
        <w:tc>
          <w:tcPr>
            <w:tcW w:type="dxa" w:w="1440"/>
            <w:shd w:fill="FAFAFA" w:val="clear"/>
          </w:tcPr>
          <w:p>
            <w:r>
              <w:rPr>
                <w:sz w:val="17"/>
              </w:rPr>
              <w:t>3,572</w:t>
            </w:r>
          </w:p>
        </w:tc>
        <w:tc>
          <w:tcPr>
            <w:tcW w:type="dxa" w:w="1440"/>
            <w:shd w:fill="FAFAFA" w:val="clear"/>
          </w:tcPr>
          <w:p>
            <w:r>
              <w:rPr>
                <w:b/>
                <w:sz w:val="17"/>
              </w:rPr>
              <w:t>4,034</w:t>
            </w:r>
          </w:p>
        </w:tc>
        <w:tc>
          <w:tcPr>
            <w:tcW w:type="dxa" w:w="1440"/>
            <w:shd w:fill="FAFAFA" w:val="clear"/>
          </w:tcPr>
          <w:p>
            <w:r>
              <w:rPr>
                <w:sz w:val="17"/>
              </w:rPr>
              <w:t>4,496</w:t>
            </w:r>
          </w:p>
        </w:tc>
        <w:tc>
          <w:tcPr>
            <w:tcW w:type="dxa" w:w="1440"/>
            <w:shd w:fill="FAFAFA" w:val="clear"/>
          </w:tcPr>
          <w:p>
            <w:r>
              <w:rPr>
                <w:b/>
                <w:color w:val="008000"/>
                <w:sz w:val="17"/>
              </w:rPr>
              <w:t>+0.9%</w:t>
            </w:r>
          </w:p>
        </w:tc>
      </w:tr>
      <w:tr>
        <w:tc>
          <w:tcPr>
            <w:tcW w:type="dxa" w:w="1440"/>
            <w:shd w:fill="FAFAFA" w:val="clear"/>
          </w:tcPr>
          <w:p>
            <w:r>
              <w:rPr>
                <w:sz w:val="17"/>
              </w:rPr>
              <w:t>J+6  ⭐</w:t>
            </w:r>
          </w:p>
        </w:tc>
        <w:tc>
          <w:tcPr>
            <w:tcW w:type="dxa" w:w="1440"/>
            <w:shd w:fill="FAFAFA" w:val="clear"/>
          </w:tcPr>
          <w:p>
            <w:r>
              <w:rPr>
                <w:sz w:val="17"/>
              </w:rPr>
              <w:t>2026-08-21</w:t>
            </w:r>
          </w:p>
        </w:tc>
        <w:tc>
          <w:tcPr>
            <w:tcW w:type="dxa" w:w="1440"/>
            <w:shd w:fill="FAFAFA" w:val="clear"/>
          </w:tcPr>
          <w:p>
            <w:r>
              <w:rPr>
                <w:sz w:val="17"/>
              </w:rPr>
              <w:t>3,504</w:t>
            </w:r>
          </w:p>
        </w:tc>
        <w:tc>
          <w:tcPr>
            <w:tcW w:type="dxa" w:w="1440"/>
            <w:shd w:fill="FAFAFA" w:val="clear"/>
          </w:tcPr>
          <w:p>
            <w:r>
              <w:rPr>
                <w:b/>
                <w:sz w:val="17"/>
              </w:rPr>
              <w:t>4,007</w:t>
            </w:r>
          </w:p>
        </w:tc>
        <w:tc>
          <w:tcPr>
            <w:tcW w:type="dxa" w:w="1440"/>
            <w:shd w:fill="FAFAFA" w:val="clear"/>
          </w:tcPr>
          <w:p>
            <w:r>
              <w:rPr>
                <w:sz w:val="17"/>
              </w:rPr>
              <w:t>4,509</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2026-08-24</w:t>
            </w:r>
          </w:p>
        </w:tc>
        <w:tc>
          <w:tcPr>
            <w:tcW w:type="dxa" w:w="1440"/>
            <w:shd w:fill="FAFAFA" w:val="clear"/>
          </w:tcPr>
          <w:p>
            <w:r>
              <w:rPr>
                <w:sz w:val="17"/>
              </w:rPr>
              <w:t>3,452</w:t>
            </w:r>
          </w:p>
        </w:tc>
        <w:tc>
          <w:tcPr>
            <w:tcW w:type="dxa" w:w="1440"/>
            <w:shd w:fill="FAFAFA" w:val="clear"/>
          </w:tcPr>
          <w:p>
            <w:r>
              <w:rPr>
                <w:b/>
                <w:sz w:val="17"/>
              </w:rPr>
              <w:t>3,994</w:t>
            </w:r>
          </w:p>
        </w:tc>
        <w:tc>
          <w:tcPr>
            <w:tcW w:type="dxa" w:w="1440"/>
            <w:shd w:fill="FAFAFA" w:val="clear"/>
          </w:tcPr>
          <w:p>
            <w:r>
              <w:rPr>
                <w:sz w:val="17"/>
              </w:rPr>
              <w:t>4,535</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2026-08-25</w:t>
            </w:r>
          </w:p>
        </w:tc>
        <w:tc>
          <w:tcPr>
            <w:tcW w:type="dxa" w:w="1440"/>
            <w:shd w:fill="FAFAFA" w:val="clear"/>
          </w:tcPr>
          <w:p>
            <w:r>
              <w:rPr>
                <w:sz w:val="17"/>
              </w:rPr>
              <w:t>3,403</w:t>
            </w:r>
          </w:p>
        </w:tc>
        <w:tc>
          <w:tcPr>
            <w:tcW w:type="dxa" w:w="1440"/>
            <w:shd w:fill="FAFAFA" w:val="clear"/>
          </w:tcPr>
          <w:p>
            <w:r>
              <w:rPr>
                <w:b/>
                <w:sz w:val="17"/>
              </w:rPr>
              <w:t>3,980</w:t>
            </w:r>
          </w:p>
        </w:tc>
        <w:tc>
          <w:tcPr>
            <w:tcW w:type="dxa" w:w="1440"/>
            <w:shd w:fill="FAFAFA" w:val="clear"/>
          </w:tcPr>
          <w:p>
            <w:r>
              <w:rPr>
                <w:sz w:val="17"/>
              </w:rPr>
              <w:t>4,556</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2026-08-27</w:t>
            </w:r>
          </w:p>
        </w:tc>
        <w:tc>
          <w:tcPr>
            <w:tcW w:type="dxa" w:w="1440"/>
            <w:shd w:fill="FAFAFA" w:val="clear"/>
          </w:tcPr>
          <w:p>
            <w:r>
              <w:rPr>
                <w:sz w:val="17"/>
              </w:rPr>
              <w:t>3,357</w:t>
            </w:r>
          </w:p>
        </w:tc>
        <w:tc>
          <w:tcPr>
            <w:tcW w:type="dxa" w:w="1440"/>
            <w:shd w:fill="FAFAFA" w:val="clear"/>
          </w:tcPr>
          <w:p>
            <w:r>
              <w:rPr>
                <w:b/>
                <w:sz w:val="17"/>
              </w:rPr>
              <w:t>3,967</w:t>
            </w:r>
          </w:p>
        </w:tc>
        <w:tc>
          <w:tcPr>
            <w:tcW w:type="dxa" w:w="1440"/>
            <w:shd w:fill="FAFAFA" w:val="clear"/>
          </w:tcPr>
          <w:p>
            <w:r>
              <w:rPr>
                <w:sz w:val="17"/>
              </w:rPr>
              <w:t>4,576</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2026-08-28</w:t>
            </w:r>
          </w:p>
        </w:tc>
        <w:tc>
          <w:tcPr>
            <w:tcW w:type="dxa" w:w="1440"/>
            <w:shd w:fill="FAFAFA" w:val="clear"/>
          </w:tcPr>
          <w:p>
            <w:r>
              <w:rPr>
                <w:sz w:val="17"/>
              </w:rPr>
              <w:t>3,315</w:t>
            </w:r>
          </w:p>
        </w:tc>
        <w:tc>
          <w:tcPr>
            <w:tcW w:type="dxa" w:w="1440"/>
            <w:shd w:fill="FAFAFA" w:val="clear"/>
          </w:tcPr>
          <w:p>
            <w:r>
              <w:rPr>
                <w:b/>
                <w:sz w:val="17"/>
              </w:rPr>
              <w:t>3,955</w:t>
            </w:r>
          </w:p>
        </w:tc>
        <w:tc>
          <w:tcPr>
            <w:tcW w:type="dxa" w:w="1440"/>
            <w:shd w:fill="FAFAFA" w:val="clear"/>
          </w:tcPr>
          <w:p>
            <w:r>
              <w:rPr>
                <w:sz w:val="17"/>
              </w:rPr>
              <w:t>4,595</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 13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80 milliards FCFA, un niveau significatif pour la BRVM qui place le titre parmi les valeurs moyennes de la cote. Le BPA de 231 FCFA indique que chaque action génère un bénéfice de 231 FCFA, ce qui, rapporté au cours de 4 000 FCFA, donne un PER de 17,3x. Ce ratio est nettement supérieur à la moyenne historique de la BRVM (8-12x), suggérant que le marché applique une prime de valorisation, probablement justifiée par le statut de quasi-monopole de l'entreprise dans son secteur au Bénin et sa forte rentabilité. Le P/B de 3,64x confirme cette prime, le marché valorisant l'actif net comptable plus de 3,6 fois au-dessus de sa valeur, ce qui est typique des sociétés à forte génération de cash-flow. Enfin, l'EV/EBITDA de 10,1x, bien que dans la fourchette haute (10-15x), reste raisonnable pour une entreprise stable et peu endettée.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LNBB affiche une progression de +5,26%, mais subit une forte correction de -5,77% lors de la dernière séance, clôturant à 4 000 FCFA. Le cours a évolué dans un range de 3 765 à 4 560 FCFA, montrant une amplitude de près de 800 FCFA. La moyenne (4 029 FCFA) est supérieure à la médiane (3 930 FCFA), et le skewness positif (0,763) indique une distribution asymétrique avec des journées plus fréquentes sous la moyenne, mais des mouvements haussiers ponctuels plus amples. L'écart-type de 212 FCFA (CV=5,3%) révèle une dispersion modérée autour de la moyenne. Le kurtosis de -0,886 (mésokurtique) suggère une distribution proche de la normale, sans risque de pics extrêmes. La volatilité annualisée de 35,9% classe le titre comme très volatil (&gt;30%), un niveau élevé qui reflète une sensibilité marquée aux annonces et aux variations de volume, le volume moyen étant faible (3 054 titres/jour), ce qui amplifie les mouvements de prix.</w:t>
      </w:r>
    </w:p>
    <w:p>
      <w:pPr>
        <w:spacing w:after="120" w:line="276" w:lineRule="auto"/>
      </w:pPr>
      <w:r>
        <w:t>---</w:t>
      </w:r>
    </w:p>
    <w:p>
      <w:pPr>
        <w:spacing w:after="120" w:line="276" w:lineRule="auto"/>
      </w:pPr>
      <w:r>
        <w:t>### PARTIE 2 : ANALYSE TECHNIQUE DÉTAILLÉE</w:t>
      </w:r>
    </w:p>
    <w:p>
      <w:pPr>
        <w:spacing w:after="120" w:line="276" w:lineRule="auto"/>
      </w:pPr>
      <w:r>
        <w:t>**Moyennes Mobiles** : La MM20 (4 285 FCFA) et la MM50 (4 178 FCFA) sont toutes deux supérieures au cours actuel (4 000 FCFA), indiquant une tendance baissière à court terme. Cependant, le signal global reste "Achat" car le cours, bien qu'en repli, se maintient au-dessus de la MM50 sur une base historique plus longue. La configuration suggère un creux temporaire dans une tendance haussière de fond.</w:t>
      </w:r>
    </w:p>
    <w:p>
      <w:pPr>
        <w:spacing w:after="120" w:line="276" w:lineRule="auto"/>
      </w:pPr>
      <w:r>
        <w:t>**Bandes de Bollinger** : Le cours (4 000 FCFA) se situe sous la borne inférieure (4 027,9 FCFA), ce qui est un signal de survente extrême. Historiquement, une telle sortie précède souvent un rebond technique. La décision "Achat" est donc cohérente avec cette lecture de retour à la moyenne, la volatilité étant élevée comme en témoigne l'écart entre les bornes (4542,6 vs 4027,9).</w:t>
      </w:r>
    </w:p>
    <w:p>
      <w:pPr>
        <w:spacing w:after="120" w:line="276" w:lineRule="auto"/>
      </w:pPr>
      <w:r>
        <w:t>**MACD** : Le MACD (0,677) est très inférieur à sa ligne de signal (37,702), indiquant un momentum baissier fort et récent. La décision "Vente" est justifiée par cette divergence négative, qui suggère que la pression vendeuse est encore active à très court terme, malgré la proximité de zones de support.</w:t>
      </w:r>
    </w:p>
    <w:p>
      <w:pPr>
        <w:spacing w:after="120" w:line="276" w:lineRule="auto"/>
      </w:pPr>
      <w:r>
        <w:t>**RSI** : À 37,97, le RSI est en zone neutre, mais proche de la zone de survente (30). Cela indique que le titre n'est ni suracheté ni survendu, laissant une marge de manœuvre dans les deux sens. La décision "Neutre" est appropriée, le marché attendant un catalyseur pour orienter le mouvement.</w:t>
      </w:r>
    </w:p>
    <w:p>
      <w:pPr>
        <w:spacing w:after="120" w:line="276" w:lineRule="auto"/>
      </w:pPr>
      <w:r>
        <w:t>**Stochastique** : Le %K (0,0) est extrêmement bas et croise sous le %D (9,91), signalant une condition de survente sévère. Historiquement, un %K à 0 est rare et précède souvent un rebond technique violent. La décision "Achat" est donc justifiée par ce signal de retournement potentiel.</w:t>
      </w:r>
    </w:p>
    <w:p>
      <w:pPr>
        <w:spacing w:after="120" w:line="276" w:lineRule="auto"/>
      </w:pPr>
      <w:r>
        <w:t>**Conclusion technique** : Les indicateurs sont mitigés mais penchent vers un scénario de rebond technique. Le MACD et la dernière séance baissière suggèrent une faiblesse immédiate, mais le Stochastique, les Bandes de Bollinger et le RSI indiquent une zone de survente qui pourrait attirer les acheteurs. Le titre semble proche d'un point de retournement, mais la confirmation nécessitera un volume soutenu.</w:t>
      </w:r>
    </w:p>
    <w:p>
      <w:pPr>
        <w:spacing w:after="120" w:line="276" w:lineRule="auto"/>
      </w:pPr>
      <w:r>
        <w:t>---</w:t>
      </w:r>
    </w:p>
    <w:p>
      <w:pPr>
        <w:spacing w:after="120" w:line="276" w:lineRule="auto"/>
      </w:pPr>
      <w:r>
        <w:t>### PARTIE 3 : ANALYSE FONDAMENTALE (SECTION CRITIQUE)</w:t>
      </w:r>
    </w:p>
    <w:p>
      <w:pPr>
        <w:spacing w:after="120" w:line="276" w:lineRule="auto"/>
      </w:pPr>
      <w:r>
        <w:t>En 2025, LNBB a réalisé un chiffre d'affaires de 98,598 milliards FCFA, en baisse de -3,85% par rapport à 2024 (102,544 Mds), principalement en raison de la concurrence déloyale. Le résultat net s'établit à 4,622 milliards FCFA, en recul de -36% par rapport à 2024 (7,176 Mds), impacté par l'absence de produits exceptionnels. La marge nette ressort à 4,69%, contre 7,0% en 2024. Cependant, la structure financière est robuste : les capitaux propres atteignent 21,954 milliards FCFA (autonomie financière de 67,3%), la trésorerie nette est positive à 7,979 milliards FCFA, et le BFR est négatif (-217 millions FCFA), signe d'une gestion saine du cycle d'exploitation. Le ROE de 21,05% et le ROA de 14,17% démontrent une excellente rentabilité des fonds propres et des actifs. Les délais clients (4,82 jours) et fournisseurs (20,41 jours) sont très courts, indiquant une collecte rapide et des conditions de paiement favorables. Sur la base du rapport S1 2026 (publié en juillet 2026), le CA a progressé de +4% à 49,937 milliards FCFA, et le résultat net a bondi de +60%, grâce à la maîtrise des charges et aux revenus de partenariats. On estime que l'exercice 2026 devrait confirmer ce redressement, avec un résultat net potentiellement supérieur à 6 milliards FCFA, si la tendance du S1 se maintient. La recommandation fondamentale est **CONSERVER**, la société étant financièrement solide mais confrontée à des défis de marges sur son segment digital.</w:t>
      </w:r>
    </w:p>
    <w:p>
      <w:pPr>
        <w:spacing w:after="120" w:line="276" w:lineRule="auto"/>
      </w:pPr>
      <w:r>
        <w:t>---</w:t>
      </w:r>
    </w:p>
    <w:p>
      <w:pPr>
        <w:spacing w:after="120" w:line="276" w:lineRule="auto"/>
      </w:pPr>
      <w:r>
        <w:t>### PARTIE 4 : CONCLUSION D'INVESTISSEMENT</w:t>
      </w:r>
    </w:p>
    <w:p>
      <w:pPr>
        <w:spacing w:after="120" w:line="276" w:lineRule="auto"/>
      </w:pPr>
      <w:r>
        <w:t>La valorisation de LNBB (PER 17,3x, P/B 3,64x, EV/EBITDA 10,1x) est exigeante, le marché intégrant une prime pour la solidité financière et le potentiel de rebond, mais elle laisse peu de marge en cas de déception. Le comportement du cours montre une tendance haussière sur 100 jours (+5,26%) mais une forte volatilité (35,9%) et une correction récente de -5,77%, avec des statistiques (skewness positif, kurtosis faible) indiquant un profil de risque modéré. Les signaux techniques sont mitigés : les moyennes mobiles et le MACD sont baissiers à court terme, mais les bandes de Bollinger et le stochastique signalent une survente, suggérant un rebond technique imminent. Les fondamentaux sont contrastés : baisse des résultats en 2025, mais redressement spectaculaire au S1 2026 (+60% du RN), avec une structure bilancielle très saine. Les prédictions IA (4 127 à 4 034 FCFA sur 10 jours) indiquent une stabilisation autour de 4 000-4 100 FCFA, confirmant l'hypothèse d'un rebond modéré après la chute récente. En synthèse, la convergence entre la survente technique, le redressement fondamental et les prédictions IA plaide pour une recommandation **ACHAT** avec un niveau de confiance **Moyen**. Le risque global est **Moyen**, principalement lié à la concurrence illégale et à la pression sur les marges. L'horizon d'investissement optimal est le **moyen terme (3-12 mois)**, pour capturer le plein effet du plan de redressement et des nouveaux produits digitaux.</w:t>
      </w:r>
    </w:p>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28.08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5,363 titres</w:t>
            </w:r>
          </w:p>
        </w:tc>
        <w:tc>
          <w:tcPr>
            <w:tcW w:type="dxa" w:w="2268"/>
            <w:shd w:fill="FFF2CC" w:val="clear"/>
          </w:tcPr>
          <w:p>
            <w:r>
              <w:rPr>
                <w:b/>
                <w:color w:val="503200"/>
                <w:sz w:val="16"/>
              </w:rPr>
              <w:t xml:space="preserve">Cours actuel : </w:t>
            </w:r>
            <w:r>
              <w:rPr>
                <w:color w:val="000000"/>
                <w:sz w:val="17"/>
              </w:rPr>
              <w:t>2,200 FCFA</w:t>
            </w:r>
          </w:p>
          <w:p>
            <w:r>
              <w:rPr>
                <w:b/>
                <w:color w:val="503200"/>
                <w:sz w:val="16"/>
              </w:rPr>
              <w:t xml:space="preserve">Var. 100 jours : </w:t>
            </w:r>
            <w:r>
              <w:rPr>
                <w:b/>
                <w:color w:val="007800"/>
                <w:sz w:val="17"/>
              </w:rPr>
              <w:t>+56.03%</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18.31% (Élevée) — μ=1,926 FCFA, σ=353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β=-0.0173 (Contre-cyclique) — Cov=-0.000001, Var(idx)=0.000036, ρ=-0.003,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5,363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σ_j=3.18%/j (Modérée) — Vol. annualisée≈50.4%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2026-08-14</w:t>
            </w:r>
          </w:p>
        </w:tc>
        <w:tc>
          <w:tcPr>
            <w:tcW w:type="dxa" w:w="1440"/>
            <w:shd w:fill="FFDCE0" w:val="clear"/>
          </w:tcPr>
          <w:p>
            <w:r>
              <w:rPr>
                <w:sz w:val="17"/>
              </w:rPr>
              <w:t>1,916</w:t>
            </w:r>
          </w:p>
        </w:tc>
        <w:tc>
          <w:tcPr>
            <w:tcW w:type="dxa" w:w="1440"/>
            <w:shd w:fill="FFDCE0" w:val="clear"/>
          </w:tcPr>
          <w:p>
            <w:r>
              <w:rPr>
                <w:b/>
                <w:sz w:val="17"/>
              </w:rPr>
              <w:t>2,035</w:t>
            </w:r>
          </w:p>
        </w:tc>
        <w:tc>
          <w:tcPr>
            <w:tcW w:type="dxa" w:w="1440"/>
            <w:shd w:fill="FFDCE0" w:val="clear"/>
          </w:tcPr>
          <w:p>
            <w:r>
              <w:rPr>
                <w:sz w:val="17"/>
              </w:rPr>
              <w:t>2,154</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2026-08-17</w:t>
            </w:r>
          </w:p>
        </w:tc>
        <w:tc>
          <w:tcPr>
            <w:tcW w:type="dxa" w:w="1440"/>
            <w:shd w:fill="FFDCE0" w:val="clear"/>
          </w:tcPr>
          <w:p>
            <w:r>
              <w:rPr>
                <w:sz w:val="17"/>
              </w:rPr>
              <w:t>1,742</w:t>
            </w:r>
          </w:p>
        </w:tc>
        <w:tc>
          <w:tcPr>
            <w:tcW w:type="dxa" w:w="1440"/>
            <w:shd w:fill="FFDCE0" w:val="clear"/>
          </w:tcPr>
          <w:p>
            <w:r>
              <w:rPr>
                <w:b/>
                <w:sz w:val="17"/>
              </w:rPr>
              <w:t>1,900</w:t>
            </w:r>
          </w:p>
        </w:tc>
        <w:tc>
          <w:tcPr>
            <w:tcW w:type="dxa" w:w="1440"/>
            <w:shd w:fill="FFDCE0" w:val="clear"/>
          </w:tcPr>
          <w:p>
            <w:r>
              <w:rPr>
                <w:sz w:val="17"/>
              </w:rPr>
              <w:t>2,057</w:t>
            </w:r>
          </w:p>
        </w:tc>
        <w:tc>
          <w:tcPr>
            <w:tcW w:type="dxa" w:w="1440"/>
            <w:shd w:fill="FFDCE0" w:val="clear"/>
          </w:tcPr>
          <w:p>
            <w:r>
              <w:rPr>
                <w:b/>
                <w:color w:val="C00000"/>
                <w:sz w:val="17"/>
              </w:rPr>
              <w:t>-13.6%</w:t>
            </w:r>
          </w:p>
        </w:tc>
      </w:tr>
      <w:tr>
        <w:tc>
          <w:tcPr>
            <w:tcW w:type="dxa" w:w="1440"/>
            <w:shd w:fill="FFDCE0" w:val="clear"/>
          </w:tcPr>
          <w:p>
            <w:r>
              <w:rPr>
                <w:sz w:val="17"/>
              </w:rPr>
              <w:t>J+3  Moyenne</w:t>
            </w:r>
          </w:p>
        </w:tc>
        <w:tc>
          <w:tcPr>
            <w:tcW w:type="dxa" w:w="1440"/>
            <w:shd w:fill="FFDCE0" w:val="clear"/>
          </w:tcPr>
          <w:p>
            <w:r>
              <w:rPr>
                <w:sz w:val="17"/>
              </w:rPr>
              <w:t>2026-08-18</w:t>
            </w:r>
          </w:p>
        </w:tc>
        <w:tc>
          <w:tcPr>
            <w:tcW w:type="dxa" w:w="1440"/>
            <w:shd w:fill="FFDCE0" w:val="clear"/>
          </w:tcPr>
          <w:p>
            <w:r>
              <w:rPr>
                <w:sz w:val="17"/>
              </w:rPr>
              <w:t>1,606</w:t>
            </w:r>
          </w:p>
        </w:tc>
        <w:tc>
          <w:tcPr>
            <w:tcW w:type="dxa" w:w="1440"/>
            <w:shd w:fill="FFDCE0" w:val="clear"/>
          </w:tcPr>
          <w:p>
            <w:r>
              <w:rPr>
                <w:b/>
                <w:sz w:val="17"/>
              </w:rPr>
              <w:t>1,788</w:t>
            </w:r>
          </w:p>
        </w:tc>
        <w:tc>
          <w:tcPr>
            <w:tcW w:type="dxa" w:w="1440"/>
            <w:shd w:fill="FFDCE0" w:val="clear"/>
          </w:tcPr>
          <w:p>
            <w:r>
              <w:rPr>
                <w:sz w:val="17"/>
              </w:rPr>
              <w:t>1,970</w:t>
            </w:r>
          </w:p>
        </w:tc>
        <w:tc>
          <w:tcPr>
            <w:tcW w:type="dxa" w:w="1440"/>
            <w:shd w:fill="FFDCE0" w:val="clear"/>
          </w:tcPr>
          <w:p>
            <w:r>
              <w:rPr>
                <w:b/>
                <w:color w:val="C00000"/>
                <w:sz w:val="17"/>
              </w:rPr>
              <w:t>-18.7%</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1,499</w:t>
            </w:r>
          </w:p>
        </w:tc>
        <w:tc>
          <w:tcPr>
            <w:tcW w:type="dxa" w:w="1440"/>
            <w:shd w:fill="FFDCE0" w:val="clear"/>
          </w:tcPr>
          <w:p>
            <w:r>
              <w:rPr>
                <w:b/>
                <w:sz w:val="17"/>
              </w:rPr>
              <w:t>1,698</w:t>
            </w:r>
          </w:p>
        </w:tc>
        <w:tc>
          <w:tcPr>
            <w:tcW w:type="dxa" w:w="1440"/>
            <w:shd w:fill="FFDCE0" w:val="clear"/>
          </w:tcPr>
          <w:p>
            <w:r>
              <w:rPr>
                <w:sz w:val="17"/>
              </w:rPr>
              <w:t>1,897</w:t>
            </w:r>
          </w:p>
        </w:tc>
        <w:tc>
          <w:tcPr>
            <w:tcW w:type="dxa" w:w="1440"/>
            <w:shd w:fill="FFDCE0" w:val="clear"/>
          </w:tcPr>
          <w:p>
            <w:r>
              <w:rPr>
                <w:b/>
                <w:color w:val="C00000"/>
                <w:sz w:val="17"/>
              </w:rPr>
              <w:t>-22.8%</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1,410</w:t>
            </w:r>
          </w:p>
        </w:tc>
        <w:tc>
          <w:tcPr>
            <w:tcW w:type="dxa" w:w="1440"/>
            <w:shd w:fill="FFDCE0" w:val="clear"/>
          </w:tcPr>
          <w:p>
            <w:r>
              <w:rPr>
                <w:b/>
                <w:sz w:val="17"/>
              </w:rPr>
              <w:t>1,623</w:t>
            </w:r>
          </w:p>
        </w:tc>
        <w:tc>
          <w:tcPr>
            <w:tcW w:type="dxa" w:w="1440"/>
            <w:shd w:fill="FFDCE0" w:val="clear"/>
          </w:tcPr>
          <w:p>
            <w:r>
              <w:rPr>
                <w:sz w:val="17"/>
              </w:rPr>
              <w:t>1,836</w:t>
            </w:r>
          </w:p>
        </w:tc>
        <w:tc>
          <w:tcPr>
            <w:tcW w:type="dxa" w:w="1440"/>
            <w:shd w:fill="FFDCE0" w:val="clear"/>
          </w:tcPr>
          <w:p>
            <w:r>
              <w:rPr>
                <w:b/>
                <w:color w:val="C00000"/>
                <w:sz w:val="17"/>
              </w:rPr>
              <w:t>-26.2%</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1,335</w:t>
            </w:r>
          </w:p>
        </w:tc>
        <w:tc>
          <w:tcPr>
            <w:tcW w:type="dxa" w:w="1440"/>
            <w:shd w:fill="FFDCE0" w:val="clear"/>
          </w:tcPr>
          <w:p>
            <w:r>
              <w:rPr>
                <w:b/>
                <w:sz w:val="17"/>
              </w:rPr>
              <w:t>1,559</w:t>
            </w:r>
          </w:p>
        </w:tc>
        <w:tc>
          <w:tcPr>
            <w:tcW w:type="dxa" w:w="1440"/>
            <w:shd w:fill="FFDCE0" w:val="clear"/>
          </w:tcPr>
          <w:p>
            <w:r>
              <w:rPr>
                <w:sz w:val="17"/>
              </w:rPr>
              <w:t>1,783</w:t>
            </w:r>
          </w:p>
        </w:tc>
        <w:tc>
          <w:tcPr>
            <w:tcW w:type="dxa" w:w="1440"/>
            <w:shd w:fill="FFDCE0" w:val="clear"/>
          </w:tcPr>
          <w:p>
            <w:r>
              <w:rPr>
                <w:b/>
                <w:color w:val="C00000"/>
                <w:sz w:val="17"/>
              </w:rPr>
              <w:t>-29.1%</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1,269</w:t>
            </w:r>
          </w:p>
        </w:tc>
        <w:tc>
          <w:tcPr>
            <w:tcW w:type="dxa" w:w="1440"/>
            <w:shd w:fill="FFDCE0" w:val="clear"/>
          </w:tcPr>
          <w:p>
            <w:r>
              <w:rPr>
                <w:b/>
                <w:sz w:val="17"/>
              </w:rPr>
              <w:t>1,502</w:t>
            </w:r>
          </w:p>
        </w:tc>
        <w:tc>
          <w:tcPr>
            <w:tcW w:type="dxa" w:w="1440"/>
            <w:shd w:fill="FFDCE0" w:val="clear"/>
          </w:tcPr>
          <w:p>
            <w:r>
              <w:rPr>
                <w:sz w:val="17"/>
              </w:rPr>
              <w:t>1,736</w:t>
            </w:r>
          </w:p>
        </w:tc>
        <w:tc>
          <w:tcPr>
            <w:tcW w:type="dxa" w:w="1440"/>
            <w:shd w:fill="FFDCE0" w:val="clear"/>
          </w:tcPr>
          <w:p>
            <w:r>
              <w:rPr>
                <w:b/>
                <w:color w:val="C00000"/>
                <w:sz w:val="17"/>
              </w:rPr>
              <w:t>-31.7%</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1,211</w:t>
            </w:r>
          </w:p>
        </w:tc>
        <w:tc>
          <w:tcPr>
            <w:tcW w:type="dxa" w:w="1440"/>
            <w:shd w:fill="FFDCE0" w:val="clear"/>
          </w:tcPr>
          <w:p>
            <w:r>
              <w:rPr>
                <w:b/>
                <w:sz w:val="17"/>
              </w:rPr>
              <w:t>1,452</w:t>
            </w:r>
          </w:p>
        </w:tc>
        <w:tc>
          <w:tcPr>
            <w:tcW w:type="dxa" w:w="1440"/>
            <w:shd w:fill="FFDCE0" w:val="clear"/>
          </w:tcPr>
          <w:p>
            <w:r>
              <w:rPr>
                <w:sz w:val="17"/>
              </w:rPr>
              <w:t>1,693</w:t>
            </w:r>
          </w:p>
        </w:tc>
        <w:tc>
          <w:tcPr>
            <w:tcW w:type="dxa" w:w="1440"/>
            <w:shd w:fill="FFDCE0" w:val="clear"/>
          </w:tcPr>
          <w:p>
            <w:r>
              <w:rPr>
                <w:b/>
                <w:color w:val="C00000"/>
                <w:sz w:val="17"/>
              </w:rPr>
              <w:t>-34.0%</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1,159</w:t>
            </w:r>
          </w:p>
        </w:tc>
        <w:tc>
          <w:tcPr>
            <w:tcW w:type="dxa" w:w="1440"/>
            <w:shd w:fill="FFDCE0" w:val="clear"/>
          </w:tcPr>
          <w:p>
            <w:r>
              <w:rPr>
                <w:b/>
                <w:sz w:val="17"/>
              </w:rPr>
              <w:t>1,407</w:t>
            </w:r>
          </w:p>
        </w:tc>
        <w:tc>
          <w:tcPr>
            <w:tcW w:type="dxa" w:w="1440"/>
            <w:shd w:fill="FFDCE0" w:val="clear"/>
          </w:tcPr>
          <w:p>
            <w:r>
              <w:rPr>
                <w:sz w:val="17"/>
              </w:rPr>
              <w:t>1,654</w:t>
            </w:r>
          </w:p>
        </w:tc>
        <w:tc>
          <w:tcPr>
            <w:tcW w:type="dxa" w:w="1440"/>
            <w:shd w:fill="FFDCE0" w:val="clear"/>
          </w:tcPr>
          <w:p>
            <w:r>
              <w:rPr>
                <w:b/>
                <w:color w:val="C00000"/>
                <w:sz w:val="17"/>
              </w:rPr>
              <w:t>-36.1%</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1,112</w:t>
            </w:r>
          </w:p>
        </w:tc>
        <w:tc>
          <w:tcPr>
            <w:tcW w:type="dxa" w:w="1440"/>
            <w:shd w:fill="FFDCE0" w:val="clear"/>
          </w:tcPr>
          <w:p>
            <w:r>
              <w:rPr>
                <w:b/>
                <w:sz w:val="17"/>
              </w:rPr>
              <w:t>1,365</w:t>
            </w:r>
          </w:p>
        </w:tc>
        <w:tc>
          <w:tcPr>
            <w:tcW w:type="dxa" w:w="1440"/>
            <w:shd w:fill="FFDCE0" w:val="clear"/>
          </w:tcPr>
          <w:p>
            <w:r>
              <w:rPr>
                <w:sz w:val="17"/>
              </w:rPr>
              <w:t>1,618</w:t>
            </w:r>
          </w:p>
        </w:tc>
        <w:tc>
          <w:tcPr>
            <w:tcW w:type="dxa" w:w="1440"/>
            <w:shd w:fill="FFDCE0" w:val="clear"/>
          </w:tcPr>
          <w:p>
            <w:r>
              <w:rPr>
                <w:b/>
                <w:color w:val="C00000"/>
                <w:sz w:val="17"/>
              </w:rPr>
              <w:t>-37.9%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28,08 milliards FCFA, un niveau modeste qui la positionne comme une valeur de petite capitalisation sur la BRVM. Avec un BPA de 160 FCFA, le titre se négocie à un PER de 13,8x, légèrement au-dessus de la moyenne historique du marché (~8-12x), indiquant que les investisseurs paient une prime relative pour la croissance récente des bénéfices. Le P/B de 4,88x est particulièrement exigeant, signifiant que le marché valorise la société près de cinq fois sa valeur comptable, ce qui reflète des attentes élevées de rendement futur. Enfin, l'EV/EBITDA de 20,4x confirme cette valorisation tendue, la valeur d'entreprise représentant plus de vingt fois la capacité opérationnelle brute, un niveau qui laisse peu de marge d'erreur en cas de déception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NEIC a enregistré une progression spectaculaire de +56,03%, passant d'un plus bas de 1 350 FCFA à un plus haut de 2 400 FCFA, avant de clôturer à 2 200 FCFA, en repli de -2,65% lors de la dernière séance. La moyenne du cours sur la période (1 926 FCFA) est inférieure à la médiane (1 990 FCFA), suggérant une distribution légèrement asymétrique avec des épisodes de forte baisse ayant tiré la moyenne vers le bas. L'écart-type de 354 FCFA (CV = 18,4%) témoigne d'une dispersion modérée des prix autour de la moyenne. Le kurtosis négatif (-1,247) indique une distribution platykurtique, avec moins de valeurs extrêmes que la normale, tandis que le skewness de -0,468 révèle une asymétrie vers les rendements négatifs. La volatilité annualisée de 50,4% classe le titre comme très volatil, un niveau élevé qui implique des fluctuations importantes et un risque accru pour les investisseurs à court terme.</w:t>
      </w:r>
    </w:p>
    <w:p>
      <w:pPr>
        <w:spacing w:after="120" w:line="276" w:lineRule="auto" w:before="240"/>
      </w:pPr>
      <w:r>
        <w:rPr>
          <w:b/>
          <w:color w:val="003366"/>
          <w:sz w:val="24"/>
        </w:rPr>
        <w:t>**PARTIE 2 : ANALYSE TECHNIQUE DÉTAILLÉE**</w:t>
      </w:r>
    </w:p>
    <w:p>
      <w:pPr>
        <w:spacing w:after="120" w:line="276" w:lineRule="auto"/>
      </w:pPr>
      <w:r>
        <w:t>Les moyennes mobiles sur 20 et 50 jours (2 240,25 FCFA et 2 220,5 FCFA respectivement) sont toutes deux supérieures au cours actuel de 2 200 FCFA, ce qui indique que le prix évolue en dessous de ses moyennes récentes. Cependant, la proximité de ces niveaux suggère une consolidation plutôt qu'un retournement majeur. La décision d'achat signalée par cet indicateur s'explique par la tendance haussière de fond qui demeure intacte malgré le repli récent.</w:t>
      </w:r>
    </w:p>
    <w:p>
      <w:pPr>
        <w:spacing w:after="120" w:line="276" w:lineRule="auto"/>
      </w:pPr>
      <w:r>
        <w:t>Le cours se situe entre les bornes de Bollinger (2 136,25 FCFA et 2 344,25 FCFA), proche de la borne inférieure, ce qui indique une pression vendeuse à court terme mais sans sortie de canal. La décision neutre reflète une volatilité modérée et un prix dans la zone médiane du canal, laissant place à une possible poursuite de la consolidation avant un nouveau mouvement directionnel.</w:t>
      </w:r>
    </w:p>
    <w:p>
      <w:pPr>
        <w:spacing w:after="120" w:line="276" w:lineRule="auto"/>
      </w:pPr>
      <w:r>
        <w:t>Le MACD affiche une valeur de 9,123 inférieure à son signal (16,561), avec un croisement baissier récent. Cette configuration signale un affaiblissement du momentum haussier, bien que les valeurs restent positives, indiquant que la tendance de fond demeure haussière. La décision de vente est donc à interpréter comme un signal de prudence à court terme plutôt qu'un retournement majeur.</w:t>
      </w:r>
    </w:p>
    <w:p>
      <w:pPr>
        <w:spacing w:after="120" w:line="276" w:lineRule="auto"/>
      </w:pPr>
      <w:r>
        <w:t>Le RSI à 50,98 se situe exactement dans la zone neutre, indiquant un équilibre entre pressions acheteuses et vendeuses. Cette valeur ne montre ni surachat ni survente, suggérant que le titre pourrait évoluer dans une fourchette avant de choisir une direction. La décision neutre est cohérente avec cette lecture.</w:t>
      </w:r>
    </w:p>
    <w:p>
      <w:pPr>
        <w:spacing w:after="120" w:line="276" w:lineRule="auto"/>
      </w:pPr>
      <w:r>
        <w:t>Le stochastique affiche un %K à 45,946 inférieur au %D à 67,568, avec une configuration baissière. Le croisement de ces deux lignes sous la zone des 80 indique un affaiblissement du momentum haussier, mais sans atteindre la zone de survente. La décision neutre reflète cette situation intermédiaire.</w:t>
      </w:r>
    </w:p>
    <w:p>
      <w:pPr>
        <w:spacing w:after="120" w:line="276" w:lineRule="auto"/>
      </w:pPr>
      <w:r>
        <w:t>La convergence des indicateurs techniques est mitigée : les moyennes mobiles restent positives, tandis que le MACD et le stochastique signalent un essoufflement du momentum. Le RSI neutre et les bandes de Bollinger sans signal directionnel fort suggèrent une phase de consolidation après une forte hausse. Les investisseurs devraient attendre un signal plus clair avant de prendre position, avec une vigilance particulière sur le maintien du support des 2 136 FCFA.</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révèlent une performance financière contrastée pour NEIC. Le chiffre d'affaires s'établit à 5,139 milliards FCFA, en recul de -23,8% par rapport à l'exercice précédent, mais le résultat net atteint 2,037 milliards FCFA, porté par un résultat avant impôt exceptionnel de 2,467 milliards FCFA. La marge nette ressort à 39,6%, un niveau remarquable, tandis que le ROE de 35,4% et le ROA de 27,3% témoignent d'une excellente rentabilité des capitaux propres et des actifs. La structure financière est saine avec une autonomie financière de 77% et une trésorerie nette positive de 4,196 milliards FCFA. Cependant, le BFR de 1,498 milliards FCFA et le délai clients de 154,7 jours signalent un risque de trésorerie lié aux créances. Le rapport du 3ème trimestre 2025 confirme cette tendance avec un CA de 3,406 milliards FCFA, en baisse de 35% sur un an, mais un bénéfice net de 1,596 milliards FCFA, largement soutenu par la reprise d'une provision fiscale. Le rapport T1 2026 montre une amélioration du CA (+137% à 115,1 millions FCFA) mais une perte nette persistante de -168,9 millions FCFA. Enfin, le rapport annuel 2025 (publié en 2026) fait état d'un résultat net de 2,04 milliards FCFA, en hausse de 169% par rapport à 2024, avec une distribution de dividende de 100% du bénéfice. La solidité financière est réelle, mais la dépendance aux éléments exceptionnels et la dégradation du CA récurrent constituent des risques majeurs pour la pérennité de la performance.</w:t>
      </w:r>
    </w:p>
    <w:p>
      <w:pPr>
        <w:spacing w:after="120" w:line="276" w:lineRule="auto" w:before="240"/>
      </w:pPr>
      <w:r>
        <w:rPr>
          <w:b/>
          <w:color w:val="003366"/>
          <w:sz w:val="24"/>
        </w:rPr>
        <w:t>**PARTIE 4 : CONCLUSION D'INVESTISSEMENT**</w:t>
      </w:r>
    </w:p>
    <w:p>
      <w:pPr>
        <w:spacing w:after="120" w:line="276" w:lineRule="auto"/>
      </w:pPr>
      <w:r>
        <w:t>La valorisation de NEIC apparaît exigeante avec un PER de 13,8x, un P/B de 4,88x et un EV/EBITDA de 20,4x, reflétant des attentes élevées qui pourraient être déçues si la performance opérationnelle ne suit pas. Le comportement du cours sur 100 jours montre une forte appréciation (+56%) mais avec une volatilité très élevée (50,4%) et une distribution statistique suggérant un risque de correction. Les signaux techniques sont mitigés, oscillant entre une tendance haussière de fond et un momentum baissier à court terme, avec une consolidation en cours. Les fondamentaux, bien que solides en termes de rentabilité (ROE de 35,4%) et de trésorerie (4,196 milliards FCFA), sont fragilisés par la baisse structurelle du chiffre d'affaires et la dépendance aux éléments exceptionnels. Les prédictions IA indiquent une trajectoire baissière sur les 10 prochains jours (de 2 035 à 1 623 FCFA), contredisant la tendance haussière récente et suggérant une correction imminente. La convergence des signaux de valorisation exigeante, de volatilité élevée, de momentum technique négatif et de prédictions baissières conduit à une recommandation de **VENTE** avec un niveau de confiance **Moyen** et un risque global **Élevé**. L'horizon d'investissement optimal serait à court terme (&lt;3 mois) pour les investisseurs cherchant à sécuriser leurs gains, tandis que les investisseurs à long terme devraient attendre une stabilisation du chiffre d'affaires et une valorisation plus raisonnable avant d'envisager une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568.90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1,932 titres</w:t>
            </w:r>
          </w:p>
        </w:tc>
        <w:tc>
          <w:tcPr>
            <w:tcW w:type="dxa" w:w="2268"/>
            <w:shd w:fill="FFF2CC" w:val="clear"/>
          </w:tcPr>
          <w:p>
            <w:r>
              <w:rPr>
                <w:b/>
                <w:color w:val="503200"/>
                <w:sz w:val="16"/>
              </w:rPr>
              <w:t xml:space="preserve">Cours actuel : </w:t>
            </w:r>
            <w:r>
              <w:rPr>
                <w:color w:val="000000"/>
                <w:sz w:val="17"/>
              </w:rPr>
              <w:t>23,000 FCFA</w:t>
            </w:r>
          </w:p>
          <w:p>
            <w:r>
              <w:rPr>
                <w:b/>
                <w:color w:val="503200"/>
                <w:sz w:val="16"/>
              </w:rPr>
              <w:t xml:space="preserve">Var. 100 jours : </w:t>
            </w:r>
            <w:r>
              <w:rPr>
                <w:b/>
                <w:color w:val="007800"/>
                <w:sz w:val="17"/>
              </w:rPr>
              <w:t>+61.97%</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19.91% (Élevée) — μ=18,077 FCFA, σ=3,600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β=1.3836 (Agressif) — Cov=0.000050, Var(idx)=0.000036, ρ=0.351,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1,932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2026-08-14</w:t>
            </w:r>
          </w:p>
        </w:tc>
        <w:tc>
          <w:tcPr>
            <w:tcW w:type="dxa" w:w="1440"/>
            <w:shd w:fill="C6EFCE" w:val="clear"/>
          </w:tcPr>
          <w:p>
            <w:r>
              <w:rPr>
                <w:sz w:val="17"/>
              </w:rPr>
              <w:t>22,692</w:t>
            </w:r>
          </w:p>
        </w:tc>
        <w:tc>
          <w:tcPr>
            <w:tcW w:type="dxa" w:w="1440"/>
            <w:shd w:fill="C6EFCE" w:val="clear"/>
          </w:tcPr>
          <w:p>
            <w:r>
              <w:rPr>
                <w:b/>
                <w:sz w:val="17"/>
              </w:rPr>
              <w:t>23,718</w:t>
            </w:r>
          </w:p>
        </w:tc>
        <w:tc>
          <w:tcPr>
            <w:tcW w:type="dxa" w:w="1440"/>
            <w:shd w:fill="C6EFCE" w:val="clear"/>
          </w:tcPr>
          <w:p>
            <w:r>
              <w:rPr>
                <w:sz w:val="17"/>
              </w:rPr>
              <w:t>24,743</w:t>
            </w:r>
          </w:p>
        </w:tc>
        <w:tc>
          <w:tcPr>
            <w:tcW w:type="dxa" w:w="1440"/>
            <w:shd w:fill="C6EFCE" w:val="clear"/>
          </w:tcPr>
          <w:p>
            <w:r>
              <w:rPr>
                <w:b/>
                <w:color w:val="008000"/>
                <w:sz w:val="17"/>
              </w:rPr>
              <w:t>+3.1%</w:t>
            </w:r>
          </w:p>
        </w:tc>
      </w:tr>
      <w:tr>
        <w:tc>
          <w:tcPr>
            <w:tcW w:type="dxa" w:w="1440"/>
            <w:shd w:fill="C6EFCE" w:val="clear"/>
          </w:tcPr>
          <w:p>
            <w:r>
              <w:rPr>
                <w:sz w:val="17"/>
              </w:rPr>
              <w:t>J+2  Moyenne</w:t>
            </w:r>
          </w:p>
        </w:tc>
        <w:tc>
          <w:tcPr>
            <w:tcW w:type="dxa" w:w="1440"/>
            <w:shd w:fill="C6EFCE" w:val="clear"/>
          </w:tcPr>
          <w:p>
            <w:r>
              <w:rPr>
                <w:sz w:val="17"/>
              </w:rPr>
              <w:t>2026-08-17</w:t>
            </w:r>
          </w:p>
        </w:tc>
        <w:tc>
          <w:tcPr>
            <w:tcW w:type="dxa" w:w="1440"/>
            <w:shd w:fill="C6EFCE" w:val="clear"/>
          </w:tcPr>
          <w:p>
            <w:r>
              <w:rPr>
                <w:sz w:val="17"/>
              </w:rPr>
              <w:t>22,680</w:t>
            </w:r>
          </w:p>
        </w:tc>
        <w:tc>
          <w:tcPr>
            <w:tcW w:type="dxa" w:w="1440"/>
            <w:shd w:fill="C6EFCE" w:val="clear"/>
          </w:tcPr>
          <w:p>
            <w:r>
              <w:rPr>
                <w:b/>
                <w:sz w:val="17"/>
              </w:rPr>
              <w:t>24,157</w:t>
            </w:r>
          </w:p>
        </w:tc>
        <w:tc>
          <w:tcPr>
            <w:tcW w:type="dxa" w:w="1440"/>
            <w:shd w:fill="C6EFCE" w:val="clear"/>
          </w:tcPr>
          <w:p>
            <w:r>
              <w:rPr>
                <w:sz w:val="17"/>
              </w:rPr>
              <w:t>25,635</w:t>
            </w:r>
          </w:p>
        </w:tc>
        <w:tc>
          <w:tcPr>
            <w:tcW w:type="dxa" w:w="1440"/>
            <w:shd w:fill="C6EFCE" w:val="clear"/>
          </w:tcPr>
          <w:p>
            <w:r>
              <w:rPr>
                <w:b/>
                <w:color w:val="008000"/>
                <w:sz w:val="17"/>
              </w:rPr>
              <w:t>+5.0%</w:t>
            </w:r>
          </w:p>
        </w:tc>
      </w:tr>
      <w:tr>
        <w:tc>
          <w:tcPr>
            <w:tcW w:type="dxa" w:w="1440"/>
            <w:shd w:fill="C6EFCE" w:val="clear"/>
          </w:tcPr>
          <w:p>
            <w:r>
              <w:rPr>
                <w:sz w:val="17"/>
              </w:rPr>
              <w:t>J+3  Moyenne</w:t>
            </w:r>
          </w:p>
        </w:tc>
        <w:tc>
          <w:tcPr>
            <w:tcW w:type="dxa" w:w="1440"/>
            <w:shd w:fill="C6EFCE" w:val="clear"/>
          </w:tcPr>
          <w:p>
            <w:r>
              <w:rPr>
                <w:sz w:val="17"/>
              </w:rPr>
              <w:t>2026-08-18</w:t>
            </w:r>
          </w:p>
        </w:tc>
        <w:tc>
          <w:tcPr>
            <w:tcW w:type="dxa" w:w="1440"/>
            <w:shd w:fill="C6EFCE" w:val="clear"/>
          </w:tcPr>
          <w:p>
            <w:r>
              <w:rPr>
                <w:sz w:val="17"/>
              </w:rPr>
              <w:t>22,742</w:t>
            </w:r>
          </w:p>
        </w:tc>
        <w:tc>
          <w:tcPr>
            <w:tcW w:type="dxa" w:w="1440"/>
            <w:shd w:fill="C6EFCE" w:val="clear"/>
          </w:tcPr>
          <w:p>
            <w:r>
              <w:rPr>
                <w:b/>
                <w:sz w:val="17"/>
              </w:rPr>
              <w:t>24,583</w:t>
            </w:r>
          </w:p>
        </w:tc>
        <w:tc>
          <w:tcPr>
            <w:tcW w:type="dxa" w:w="1440"/>
            <w:shd w:fill="C6EFCE" w:val="clear"/>
          </w:tcPr>
          <w:p>
            <w:r>
              <w:rPr>
                <w:sz w:val="17"/>
              </w:rPr>
              <w:t>26,425</w:t>
            </w:r>
          </w:p>
        </w:tc>
        <w:tc>
          <w:tcPr>
            <w:tcW w:type="dxa" w:w="1440"/>
            <w:shd w:fill="C6EFCE" w:val="clear"/>
          </w:tcPr>
          <w:p>
            <w:r>
              <w:rPr>
                <w:b/>
                <w:color w:val="008000"/>
                <w:sz w:val="17"/>
              </w:rPr>
              <w:t>+6.9%</w:t>
            </w:r>
          </w:p>
        </w:tc>
      </w:tr>
      <w:tr>
        <w:tc>
          <w:tcPr>
            <w:tcW w:type="dxa" w:w="1440"/>
            <w:shd w:fill="C6EFCE" w:val="clear"/>
          </w:tcPr>
          <w:p>
            <w:r>
              <w:rPr>
                <w:sz w:val="17"/>
              </w:rPr>
              <w:t>J+4  ⭐</w:t>
            </w:r>
          </w:p>
        </w:tc>
        <w:tc>
          <w:tcPr>
            <w:tcW w:type="dxa" w:w="1440"/>
            <w:shd w:fill="C6EFCE" w:val="clear"/>
          </w:tcPr>
          <w:p>
            <w:r>
              <w:rPr>
                <w:sz w:val="17"/>
              </w:rPr>
              <w:t>2026-08-19</w:t>
            </w:r>
          </w:p>
        </w:tc>
        <w:tc>
          <w:tcPr>
            <w:tcW w:type="dxa" w:w="1440"/>
            <w:shd w:fill="C6EFCE" w:val="clear"/>
          </w:tcPr>
          <w:p>
            <w:r>
              <w:rPr>
                <w:sz w:val="17"/>
              </w:rPr>
              <w:t>22,823</w:t>
            </w:r>
          </w:p>
        </w:tc>
        <w:tc>
          <w:tcPr>
            <w:tcW w:type="dxa" w:w="1440"/>
            <w:shd w:fill="C6EFCE" w:val="clear"/>
          </w:tcPr>
          <w:p>
            <w:r>
              <w:rPr>
                <w:b/>
                <w:sz w:val="17"/>
              </w:rPr>
              <w:t>24,984</w:t>
            </w:r>
          </w:p>
        </w:tc>
        <w:tc>
          <w:tcPr>
            <w:tcW w:type="dxa" w:w="1440"/>
            <w:shd w:fill="C6EFCE" w:val="clear"/>
          </w:tcPr>
          <w:p>
            <w:r>
              <w:rPr>
                <w:sz w:val="17"/>
              </w:rPr>
              <w:t>27,145</w:t>
            </w:r>
          </w:p>
        </w:tc>
        <w:tc>
          <w:tcPr>
            <w:tcW w:type="dxa" w:w="1440"/>
            <w:shd w:fill="C6EFCE" w:val="clear"/>
          </w:tcPr>
          <w:p>
            <w:r>
              <w:rPr>
                <w:b/>
                <w:color w:val="008000"/>
                <w:sz w:val="17"/>
              </w:rPr>
              <w:t>+8.6%</w:t>
            </w:r>
          </w:p>
        </w:tc>
      </w:tr>
      <w:tr>
        <w:tc>
          <w:tcPr>
            <w:tcW w:type="dxa" w:w="1440"/>
            <w:shd w:fill="C6EFCE" w:val="clear"/>
          </w:tcPr>
          <w:p>
            <w:r>
              <w:rPr>
                <w:sz w:val="17"/>
              </w:rPr>
              <w:t>J+5  ⭐</w:t>
            </w:r>
          </w:p>
        </w:tc>
        <w:tc>
          <w:tcPr>
            <w:tcW w:type="dxa" w:w="1440"/>
            <w:shd w:fill="C6EFCE" w:val="clear"/>
          </w:tcPr>
          <w:p>
            <w:r>
              <w:rPr>
                <w:sz w:val="17"/>
              </w:rPr>
              <w:t>2026-08-20</w:t>
            </w:r>
          </w:p>
        </w:tc>
        <w:tc>
          <w:tcPr>
            <w:tcW w:type="dxa" w:w="1440"/>
            <w:shd w:fill="C6EFCE" w:val="clear"/>
          </w:tcPr>
          <w:p>
            <w:r>
              <w:rPr>
                <w:sz w:val="17"/>
              </w:rPr>
              <w:t>22,925</w:t>
            </w:r>
          </w:p>
        </w:tc>
        <w:tc>
          <w:tcPr>
            <w:tcW w:type="dxa" w:w="1440"/>
            <w:shd w:fill="C6EFCE" w:val="clear"/>
          </w:tcPr>
          <w:p>
            <w:r>
              <w:rPr>
                <w:b/>
                <w:sz w:val="17"/>
              </w:rPr>
              <w:t>25,379</w:t>
            </w:r>
          </w:p>
        </w:tc>
        <w:tc>
          <w:tcPr>
            <w:tcW w:type="dxa" w:w="1440"/>
            <w:shd w:fill="C6EFCE" w:val="clear"/>
          </w:tcPr>
          <w:p>
            <w:r>
              <w:rPr>
                <w:sz w:val="17"/>
              </w:rPr>
              <w:t>27,833</w:t>
            </w:r>
          </w:p>
        </w:tc>
        <w:tc>
          <w:tcPr>
            <w:tcW w:type="dxa" w:w="1440"/>
            <w:shd w:fill="C6EFCE" w:val="clear"/>
          </w:tcPr>
          <w:p>
            <w:r>
              <w:rPr>
                <w:b/>
                <w:color w:val="008000"/>
                <w:sz w:val="17"/>
              </w:rPr>
              <w:t>+10.3%</w:t>
            </w:r>
          </w:p>
        </w:tc>
      </w:tr>
      <w:tr>
        <w:tc>
          <w:tcPr>
            <w:tcW w:type="dxa" w:w="1440"/>
            <w:shd w:fill="C6EFCE" w:val="clear"/>
          </w:tcPr>
          <w:p>
            <w:r>
              <w:rPr>
                <w:sz w:val="17"/>
              </w:rPr>
              <w:t>J+6  ⭐</w:t>
            </w:r>
          </w:p>
        </w:tc>
        <w:tc>
          <w:tcPr>
            <w:tcW w:type="dxa" w:w="1440"/>
            <w:shd w:fill="C6EFCE" w:val="clear"/>
          </w:tcPr>
          <w:p>
            <w:r>
              <w:rPr>
                <w:sz w:val="17"/>
              </w:rPr>
              <w:t>2026-08-21</w:t>
            </w:r>
          </w:p>
        </w:tc>
        <w:tc>
          <w:tcPr>
            <w:tcW w:type="dxa" w:w="1440"/>
            <w:shd w:fill="C6EFCE" w:val="clear"/>
          </w:tcPr>
          <w:p>
            <w:r>
              <w:rPr>
                <w:sz w:val="17"/>
              </w:rPr>
              <w:t>23,041</w:t>
            </w:r>
          </w:p>
        </w:tc>
        <w:tc>
          <w:tcPr>
            <w:tcW w:type="dxa" w:w="1440"/>
            <w:shd w:fill="C6EFCE" w:val="clear"/>
          </w:tcPr>
          <w:p>
            <w:r>
              <w:rPr>
                <w:b/>
                <w:sz w:val="17"/>
              </w:rPr>
              <w:t>25,771</w:t>
            </w:r>
          </w:p>
        </w:tc>
        <w:tc>
          <w:tcPr>
            <w:tcW w:type="dxa" w:w="1440"/>
            <w:shd w:fill="C6EFCE" w:val="clear"/>
          </w:tcPr>
          <w:p>
            <w:r>
              <w:rPr>
                <w:sz w:val="17"/>
              </w:rPr>
              <w:t>28,501</w:t>
            </w:r>
          </w:p>
        </w:tc>
        <w:tc>
          <w:tcPr>
            <w:tcW w:type="dxa" w:w="1440"/>
            <w:shd w:fill="C6EFCE" w:val="clear"/>
          </w:tcPr>
          <w:p>
            <w:r>
              <w:rPr>
                <w:b/>
                <w:color w:val="008000"/>
                <w:sz w:val="17"/>
              </w:rPr>
              <w:t>+12.0%</w:t>
            </w:r>
          </w:p>
        </w:tc>
      </w:tr>
      <w:tr>
        <w:tc>
          <w:tcPr>
            <w:tcW w:type="dxa" w:w="1440"/>
            <w:shd w:fill="C6EFCE" w:val="clear"/>
          </w:tcPr>
          <w:p>
            <w:r>
              <w:rPr>
                <w:sz w:val="17"/>
              </w:rPr>
              <w:t>J+7  ⭐</w:t>
            </w:r>
          </w:p>
        </w:tc>
        <w:tc>
          <w:tcPr>
            <w:tcW w:type="dxa" w:w="1440"/>
            <w:shd w:fill="C6EFCE" w:val="clear"/>
          </w:tcPr>
          <w:p>
            <w:r>
              <w:rPr>
                <w:sz w:val="17"/>
              </w:rPr>
              <w:t>2026-08-24</w:t>
            </w:r>
          </w:p>
        </w:tc>
        <w:tc>
          <w:tcPr>
            <w:tcW w:type="dxa" w:w="1440"/>
            <w:shd w:fill="C6EFCE" w:val="clear"/>
          </w:tcPr>
          <w:p>
            <w:r>
              <w:rPr>
                <w:sz w:val="17"/>
              </w:rPr>
              <w:t>23,167</w:t>
            </w:r>
          </w:p>
        </w:tc>
        <w:tc>
          <w:tcPr>
            <w:tcW w:type="dxa" w:w="1440"/>
            <w:shd w:fill="C6EFCE" w:val="clear"/>
          </w:tcPr>
          <w:p>
            <w:r>
              <w:rPr>
                <w:b/>
                <w:sz w:val="17"/>
              </w:rPr>
              <w:t>26,160</w:t>
            </w:r>
          </w:p>
        </w:tc>
        <w:tc>
          <w:tcPr>
            <w:tcW w:type="dxa" w:w="1440"/>
            <w:shd w:fill="C6EFCE" w:val="clear"/>
          </w:tcPr>
          <w:p>
            <w:r>
              <w:rPr>
                <w:sz w:val="17"/>
              </w:rPr>
              <w:t>29,153</w:t>
            </w:r>
          </w:p>
        </w:tc>
        <w:tc>
          <w:tcPr>
            <w:tcW w:type="dxa" w:w="1440"/>
            <w:shd w:fill="C6EFCE" w:val="clear"/>
          </w:tcPr>
          <w:p>
            <w:r>
              <w:rPr>
                <w:b/>
                <w:color w:val="008000"/>
                <w:sz w:val="17"/>
              </w:rPr>
              <w:t>+13.7%</w:t>
            </w:r>
          </w:p>
        </w:tc>
      </w:tr>
      <w:tr>
        <w:tc>
          <w:tcPr>
            <w:tcW w:type="dxa" w:w="1440"/>
            <w:shd w:fill="C6EFCE" w:val="clear"/>
          </w:tcPr>
          <w:p>
            <w:r>
              <w:rPr>
                <w:sz w:val="17"/>
              </w:rPr>
              <w:t>J+8  ⭐</w:t>
            </w:r>
          </w:p>
        </w:tc>
        <w:tc>
          <w:tcPr>
            <w:tcW w:type="dxa" w:w="1440"/>
            <w:shd w:fill="C6EFCE" w:val="clear"/>
          </w:tcPr>
          <w:p>
            <w:r>
              <w:rPr>
                <w:sz w:val="17"/>
              </w:rPr>
              <w:t>2026-08-25</w:t>
            </w:r>
          </w:p>
        </w:tc>
        <w:tc>
          <w:tcPr>
            <w:tcW w:type="dxa" w:w="1440"/>
            <w:shd w:fill="C6EFCE" w:val="clear"/>
          </w:tcPr>
          <w:p>
            <w:r>
              <w:rPr>
                <w:sz w:val="17"/>
              </w:rPr>
              <w:t>23,300</w:t>
            </w:r>
          </w:p>
        </w:tc>
        <w:tc>
          <w:tcPr>
            <w:tcW w:type="dxa" w:w="1440"/>
            <w:shd w:fill="C6EFCE" w:val="clear"/>
          </w:tcPr>
          <w:p>
            <w:r>
              <w:rPr>
                <w:b/>
                <w:sz w:val="17"/>
              </w:rPr>
              <w:t>26,547</w:t>
            </w:r>
          </w:p>
        </w:tc>
        <w:tc>
          <w:tcPr>
            <w:tcW w:type="dxa" w:w="1440"/>
            <w:shd w:fill="C6EFCE" w:val="clear"/>
          </w:tcPr>
          <w:p>
            <w:r>
              <w:rPr>
                <w:sz w:val="17"/>
              </w:rPr>
              <w:t>29,794</w:t>
            </w:r>
          </w:p>
        </w:tc>
        <w:tc>
          <w:tcPr>
            <w:tcW w:type="dxa" w:w="1440"/>
            <w:shd w:fill="C6EFCE" w:val="clear"/>
          </w:tcPr>
          <w:p>
            <w:r>
              <w:rPr>
                <w:b/>
                <w:color w:val="008000"/>
                <w:sz w:val="17"/>
              </w:rPr>
              <w:t>+15.4%</w:t>
            </w:r>
          </w:p>
        </w:tc>
      </w:tr>
      <w:tr>
        <w:tc>
          <w:tcPr>
            <w:tcW w:type="dxa" w:w="1440"/>
            <w:shd w:fill="C6EFCE" w:val="clear"/>
          </w:tcPr>
          <w:p>
            <w:r>
              <w:rPr>
                <w:sz w:val="17"/>
              </w:rPr>
              <w:t>J+9  ⭐</w:t>
            </w:r>
          </w:p>
        </w:tc>
        <w:tc>
          <w:tcPr>
            <w:tcW w:type="dxa" w:w="1440"/>
            <w:shd w:fill="C6EFCE" w:val="clear"/>
          </w:tcPr>
          <w:p>
            <w:r>
              <w:rPr>
                <w:sz w:val="17"/>
              </w:rPr>
              <w:t>2026-08-27</w:t>
            </w:r>
          </w:p>
        </w:tc>
        <w:tc>
          <w:tcPr>
            <w:tcW w:type="dxa" w:w="1440"/>
            <w:shd w:fill="C6EFCE" w:val="clear"/>
          </w:tcPr>
          <w:p>
            <w:r>
              <w:rPr>
                <w:sz w:val="17"/>
              </w:rPr>
              <w:t>23,438</w:t>
            </w:r>
          </w:p>
        </w:tc>
        <w:tc>
          <w:tcPr>
            <w:tcW w:type="dxa" w:w="1440"/>
            <w:shd w:fill="C6EFCE" w:val="clear"/>
          </w:tcPr>
          <w:p>
            <w:r>
              <w:rPr>
                <w:b/>
                <w:sz w:val="17"/>
              </w:rPr>
              <w:t>26,932</w:t>
            </w:r>
          </w:p>
        </w:tc>
        <w:tc>
          <w:tcPr>
            <w:tcW w:type="dxa" w:w="1440"/>
            <w:shd w:fill="C6EFCE" w:val="clear"/>
          </w:tcPr>
          <w:p>
            <w:r>
              <w:rPr>
                <w:sz w:val="17"/>
              </w:rPr>
              <w:t>30,426</w:t>
            </w:r>
          </w:p>
        </w:tc>
        <w:tc>
          <w:tcPr>
            <w:tcW w:type="dxa" w:w="1440"/>
            <w:shd w:fill="C6EFCE" w:val="clear"/>
          </w:tcPr>
          <w:p>
            <w:r>
              <w:rPr>
                <w:b/>
                <w:color w:val="008000"/>
                <w:sz w:val="17"/>
              </w:rPr>
              <w:t>+17.1%</w:t>
            </w:r>
          </w:p>
        </w:tc>
      </w:tr>
      <w:tr>
        <w:tc>
          <w:tcPr>
            <w:tcW w:type="dxa" w:w="1440"/>
            <w:shd w:fill="C6EFCE" w:val="clear"/>
          </w:tcPr>
          <w:p>
            <w:r>
              <w:rPr>
                <w:sz w:val="17"/>
              </w:rPr>
              <w:t>J+10  ⭐</w:t>
            </w:r>
          </w:p>
        </w:tc>
        <w:tc>
          <w:tcPr>
            <w:tcW w:type="dxa" w:w="1440"/>
            <w:shd w:fill="C6EFCE" w:val="clear"/>
          </w:tcPr>
          <w:p>
            <w:r>
              <w:rPr>
                <w:sz w:val="17"/>
              </w:rPr>
              <w:t>2026-08-28</w:t>
            </w:r>
          </w:p>
        </w:tc>
        <w:tc>
          <w:tcPr>
            <w:tcW w:type="dxa" w:w="1440"/>
            <w:shd w:fill="C6EFCE" w:val="clear"/>
          </w:tcPr>
          <w:p>
            <w:r>
              <w:rPr>
                <w:sz w:val="17"/>
              </w:rPr>
              <w:t>23,580</w:t>
            </w:r>
          </w:p>
        </w:tc>
        <w:tc>
          <w:tcPr>
            <w:tcW w:type="dxa" w:w="1440"/>
            <w:shd w:fill="C6EFCE" w:val="clear"/>
          </w:tcPr>
          <w:p>
            <w:r>
              <w:rPr>
                <w:b/>
                <w:sz w:val="17"/>
              </w:rPr>
              <w:t>27,315</w:t>
            </w:r>
          </w:p>
        </w:tc>
        <w:tc>
          <w:tcPr>
            <w:tcW w:type="dxa" w:w="1440"/>
            <w:shd w:fill="C6EFCE" w:val="clear"/>
          </w:tcPr>
          <w:p>
            <w:r>
              <w:rPr>
                <w:sz w:val="17"/>
              </w:rPr>
              <w:t>31,051</w:t>
            </w:r>
          </w:p>
        </w:tc>
        <w:tc>
          <w:tcPr>
            <w:tcW w:type="dxa" w:w="1440"/>
            <w:shd w:fill="C6EFCE" w:val="clear"/>
          </w:tcPr>
          <w:p>
            <w:r>
              <w:rPr>
                <w:b/>
                <w:color w:val="008000"/>
                <w:sz w:val="17"/>
              </w:rPr>
              <w:t>+18.8%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NSIA BANQUE CÔTE D'IVOIRE (NSBC)**</w:t>
        <w:br/>
        <w:t>**Date de l'analyse : 13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NSBC s'établit à 568,90 milliards FCFA, un niveau qui la positionne parmi les valeurs les plus significatives de la BRVM, reflétant son statut de leader bancaire régional. Avec un BPA de 1 646 FCFA, chaque action détenue génère un bénéfice substantiel pour l'actionnaire. Le PER de 14,0x se situe au-dessus de la moyenne historique de la BRVM (8-12x), indiquant que le marché intègre déjà une prime de croissance pour ce titre. Le P/B de 2,44x confirme cette lecture : les investisseurs valorisent la société à plus de deux fois sa valeur comptable, signe d'une confiance dans la création de valeur future. Enfin, l'EV/EBITDA de 21,5x, bien que supérieur au seuil exigeant de 15x, témoigne de la solidité opérationnelle de la banque, justifiant une valorisation élevée de son potentiel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NSBC a enregistré une performance spectaculaire de +61,97%, passant d'un plus bas de 13 810 FCFA à un plus haut de 24 020 FCFA, avant de clôturer à 23 000 FCFA, en léger repli de -2,50% sur la dernière séance. Cette tendance lourdement haussière s'accompagne d'une moyenne de 18 077 FCFA et d'une médiane de 18 958 FCFA, dont l'écart suggère une distribution légèrement asymétrique, confirmée par un skewness positif de 0,158. L'écart-type de 3 618 FCFA (CV = 20,0%) indique une dispersion modérée des prix, tandis que le kurtosis de -1,427 (platykurtique) révèle une distribution aplatie, avec peu de valeurs extrêmes. La volatilité annualisée de 37,7% classe le titre dans la catégorie « élevée » (&gt;30%), ce qui implique des fluctuations importantes et un risque de marché accru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23 000 FCFA se positionne au-dessus de la MM20 (23 259 FCFA) et de la MM50 (21 237,8 FCFA), bien que légèrement sous la MM20. La configuration globale reste positive, avec une MM50 en nette progression, justifiant la décision d'achat. La tendance de fond demeure haussière, soutenue par la dynamique des 50 derniers jours.</w:t>
      </w:r>
    </w:p>
    <w:p>
      <w:pPr>
        <w:spacing w:after="120" w:line="276" w:lineRule="auto"/>
      </w:pPr>
      <w:r>
        <w:t>**Bandes de Bollinger** : Le prix évolue entre la borne supérieure (24 389,2 FCFA) et la borne inférieure (22 128,8 FCFA), se situant dans la moitié haute du canal. La largeur des bandes reflète une volatilité soutenue. La position du cours, proche de la moyenne, suggère un équilibre temporaire, d'où la décision neutre.</w:t>
      </w:r>
    </w:p>
    <w:p>
      <w:pPr>
        <w:spacing w:after="120" w:line="276" w:lineRule="auto"/>
      </w:pPr>
      <w:r>
        <w:t>**MACD** : La valeur du MACD (702,5) est inférieure à son signal (870,2), indiquant un momentum baissier à court terme. Cette divergence négative, bien que récente, pourrait signaler une consolidation après la forte hausse, justifiant la décision de vente.</w:t>
      </w:r>
    </w:p>
    <w:p>
      <w:pPr>
        <w:spacing w:after="120" w:line="276" w:lineRule="auto"/>
      </w:pPr>
      <w:r>
        <w:t>**RSI** : À 50,0, le RSI se situe exactement à la limite neutre, indiquant une absence de surachat ou de survente. Cette valeur reflète un marché équilibré, sans pression directionnelle immédiate, d'où la décision neutre.</w:t>
      </w:r>
    </w:p>
    <w:p>
      <w:pPr>
        <w:spacing w:after="120" w:line="276" w:lineRule="auto"/>
      </w:pPr>
      <w:r>
        <w:t>**Stochastique** : Le %K à 0,0 et le %D à 41,6 montrent un croisement baissier, mais le %K en territoire de survente extrême pourrait précéder un rebond technique. Cette configuration suggère un potentiel de reprise, justifiant la décision d'achat.</w:t>
      </w:r>
    </w:p>
    <w:p>
      <w:pPr>
        <w:spacing w:after="120" w:line="276" w:lineRule="auto"/>
      </w:pPr>
      <w:r>
        <w:t>**Conclusion technique** : Les indicateurs sont mitigés, avec une divergence entre les signaux à court terme (MACD vendeur, Stochastique acheteur) et la tendance de fond (MM haussières). Le titre semble en phase de consolidation après une forte progression, avec un biais haussier à moyen terme mais un risque de correction à court terme.</w:t>
      </w:r>
    </w:p>
    <w:p>
      <w:pPr>
        <w:spacing w:after="120" w:line="276" w:lineRule="auto"/>
      </w:pPr>
      <w:r>
        <w:t>---</w:t>
      </w:r>
    </w:p>
    <w:p>
      <w:pPr>
        <w:spacing w:after="120" w:line="276" w:lineRule="auto"/>
      </w:pPr>
      <w:r>
        <w:t>### PARTIE 3 : ANALYSE FONDAMENTALE (SECTION CRITIQUE)</w:t>
      </w:r>
    </w:p>
    <w:p>
      <w:pPr>
        <w:spacing w:after="120" w:line="276" w:lineRule="auto"/>
      </w:pPr>
      <w:r>
        <w:t>En 2025, NSBC a affiché un Produit Net Bancaire de 112,928 milliards FCFA, en hausse de 15% par rapport à 2024, et un résultat net de 40,712 milliards FCFA, en progression de 7%. La rentabilité des fonds propres (ROE) atteint 17,45%, un niveau excellent, et le ROA de 1,32% est solide pour le secteur. Le coefficient d'exploitation de 54,59% témoigne d'une excellente maîtrise des charges. Cependant, le coût du risque s'est dégradé, passant de +0,6 milliard FCFA (reprise) en 2024 à -8,5 milliards FCFA (dotation) en 2025, signalant une détérioration de la qualité du portefeuille de crédits. Les dépôts clientèle (2 242 milliards FCFA) couvrent largement les créances clientèle (1 818 milliards FCFA), indiquant une transformation saine. Sur la base du rapport T1 2026 (PNB de 28,6 milliards FCFA, +28%, et résultat net de 10,9 milliards FCFA, +53%), on estime que l'exercice 2026 pourrait voir un PNB dépasser 130 milliards FCFA et un résultat net supérieur à 45 milliards FCFA, si la tendance se maintient. La banque bénéficie d'une dynamique commerciale forte, portée par l'activité titres, mais doit surveiller la qualité de ses actifs.</w:t>
      </w:r>
    </w:p>
    <w:p>
      <w:pPr>
        <w:spacing w:after="120" w:line="276" w:lineRule="auto"/>
      </w:pPr>
      <w:r>
        <w:t>---</w:t>
      </w:r>
    </w:p>
    <w:p>
      <w:pPr>
        <w:spacing w:after="120" w:line="276" w:lineRule="auto"/>
      </w:pPr>
      <w:r>
        <w:t>### PARTIE 4 : CONCLUSION D'INVESTISSEMENT</w:t>
      </w:r>
    </w:p>
    <w:p>
      <w:pPr>
        <w:spacing w:after="120" w:line="276" w:lineRule="auto"/>
      </w:pPr>
      <w:r>
        <w:t>La valorisation de NSBC (PER 14,0x, P/B 2,44x, EV/EBITDA 21,5x) est exigeante, mais justifiée par une croissance soutenue et une rentabilité supérieure à la moyenne. Le comportement du cours (+61,97% en 100 jours) témoigne d'un fort momentum, bien que la volatilité élevée (37,7%) et le kurtosis platykurtique appellent à la prudence. Les signaux techniques sont mitigés, avec une tendance de fond haussière (MM) mais des indicateurs à court terme en consolidation (MACD, RSI). Les fondamentaux restent solides, avec une croissance du PNB et du résultat net, malgré un coût du risque en hausse. Les prédictions IA (23 718 à 25 379 FCFA sur 10 jours) confirment une poursuite de la hausse, en cohérence avec la tendance de fond. En synthèse, la convergence entre la solidité fondamentale, la tendance haussière et les prédictions IA soutient une recommandation **ACHAT**, avec un niveau de confiance **Moyen** et un risque global **Élevé** en raison de la volatilité. L'horizon d'investissement optimal serait à **moyen terme (3-12 mois)**, pour capitaliser sur la croissance tout en gérant le risque de correction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385.13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1,936 titres</w:t>
            </w:r>
          </w:p>
        </w:tc>
        <w:tc>
          <w:tcPr>
            <w:tcW w:type="dxa" w:w="2268"/>
            <w:shd w:fill="FFF2CC" w:val="clear"/>
          </w:tcPr>
          <w:p>
            <w:r>
              <w:rPr>
                <w:b/>
                <w:color w:val="503200"/>
                <w:sz w:val="16"/>
              </w:rPr>
              <w:t xml:space="preserve">Cours actuel : </w:t>
            </w:r>
            <w:r>
              <w:rPr>
                <w:color w:val="000000"/>
                <w:sz w:val="17"/>
              </w:rPr>
              <w:t>17,450 FCFA</w:t>
            </w:r>
          </w:p>
          <w:p>
            <w:r>
              <w:rPr>
                <w:b/>
                <w:color w:val="503200"/>
                <w:sz w:val="16"/>
              </w:rPr>
              <w:t xml:space="preserve">Var. 100 jours : </w:t>
            </w:r>
            <w:r>
              <w:rPr>
                <w:b/>
                <w:color w:val="007800"/>
                <w:sz w:val="17"/>
              </w:rPr>
              <w:t>+35.27%</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13.42% (Moyenne) — μ=14,055 FCFA, σ=1,887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β=0.2138 (Défensif) — Cov=0.000008, Var(idx)=0.000036, ρ=0.061,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1,936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σ_j=2.12%/j (Stable) — Vol. annualisée≈33.7%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2026-08-14</w:t>
            </w:r>
          </w:p>
        </w:tc>
        <w:tc>
          <w:tcPr>
            <w:tcW w:type="dxa" w:w="1440"/>
            <w:shd w:fill="FFDCE0" w:val="clear"/>
          </w:tcPr>
          <w:p>
            <w:r>
              <w:rPr>
                <w:sz w:val="17"/>
              </w:rPr>
              <w:t>16,496</w:t>
            </w:r>
          </w:p>
        </w:tc>
        <w:tc>
          <w:tcPr>
            <w:tcW w:type="dxa" w:w="1440"/>
            <w:shd w:fill="FFDCE0" w:val="clear"/>
          </w:tcPr>
          <w:p>
            <w:r>
              <w:rPr>
                <w:b/>
                <w:sz w:val="17"/>
              </w:rPr>
              <w:t>16,802</w:t>
            </w:r>
          </w:p>
        </w:tc>
        <w:tc>
          <w:tcPr>
            <w:tcW w:type="dxa" w:w="1440"/>
            <w:shd w:fill="FFDCE0" w:val="clear"/>
          </w:tcPr>
          <w:p>
            <w:r>
              <w:rPr>
                <w:sz w:val="17"/>
              </w:rPr>
              <w:t>17,107</w:t>
            </w:r>
          </w:p>
        </w:tc>
        <w:tc>
          <w:tcPr>
            <w:tcW w:type="dxa" w:w="1440"/>
            <w:shd w:fill="FFDCE0" w:val="clear"/>
          </w:tcPr>
          <w:p>
            <w:r>
              <w:rPr>
                <w:b/>
                <w:color w:val="C00000"/>
                <w:sz w:val="17"/>
              </w:rPr>
              <w:t>-3.7%</w:t>
            </w:r>
          </w:p>
        </w:tc>
      </w:tr>
      <w:tr>
        <w:tc>
          <w:tcPr>
            <w:tcW w:type="dxa" w:w="1440"/>
            <w:shd w:fill="FFDCE0" w:val="clear"/>
          </w:tcPr>
          <w:p>
            <w:r>
              <w:rPr>
                <w:sz w:val="17"/>
              </w:rPr>
              <w:t>J+2  Moyenne</w:t>
            </w:r>
          </w:p>
        </w:tc>
        <w:tc>
          <w:tcPr>
            <w:tcW w:type="dxa" w:w="1440"/>
            <w:shd w:fill="FFDCE0" w:val="clear"/>
          </w:tcPr>
          <w:p>
            <w:r>
              <w:rPr>
                <w:sz w:val="17"/>
              </w:rPr>
              <w:t>2026-08-17</w:t>
            </w:r>
          </w:p>
        </w:tc>
        <w:tc>
          <w:tcPr>
            <w:tcW w:type="dxa" w:w="1440"/>
            <w:shd w:fill="FFDCE0" w:val="clear"/>
          </w:tcPr>
          <w:p>
            <w:r>
              <w:rPr>
                <w:sz w:val="17"/>
              </w:rPr>
              <w:t>16,380</w:t>
            </w:r>
          </w:p>
        </w:tc>
        <w:tc>
          <w:tcPr>
            <w:tcW w:type="dxa" w:w="1440"/>
            <w:shd w:fill="FFDCE0" w:val="clear"/>
          </w:tcPr>
          <w:p>
            <w:r>
              <w:rPr>
                <w:b/>
                <w:sz w:val="17"/>
              </w:rPr>
              <w:t>16,812</w:t>
            </w:r>
          </w:p>
        </w:tc>
        <w:tc>
          <w:tcPr>
            <w:tcW w:type="dxa" w:w="1440"/>
            <w:shd w:fill="FFDCE0" w:val="clear"/>
          </w:tcPr>
          <w:p>
            <w:r>
              <w:rPr>
                <w:sz w:val="17"/>
              </w:rPr>
              <w:t>17,244</w:t>
            </w:r>
          </w:p>
        </w:tc>
        <w:tc>
          <w:tcPr>
            <w:tcW w:type="dxa" w:w="1440"/>
            <w:shd w:fill="FFDCE0" w:val="clear"/>
          </w:tcPr>
          <w:p>
            <w:r>
              <w:rPr>
                <w:b/>
                <w:color w:val="C00000"/>
                <w:sz w:val="17"/>
              </w:rPr>
              <w:t>-3.7%</w:t>
            </w:r>
          </w:p>
        </w:tc>
      </w:tr>
      <w:tr>
        <w:tc>
          <w:tcPr>
            <w:tcW w:type="dxa" w:w="1440"/>
            <w:shd w:fill="FFDCE0" w:val="clear"/>
          </w:tcPr>
          <w:p>
            <w:r>
              <w:rPr>
                <w:sz w:val="17"/>
              </w:rPr>
              <w:t>J+3  ⭐</w:t>
            </w:r>
          </w:p>
        </w:tc>
        <w:tc>
          <w:tcPr>
            <w:tcW w:type="dxa" w:w="1440"/>
            <w:shd w:fill="FFDCE0" w:val="clear"/>
          </w:tcPr>
          <w:p>
            <w:r>
              <w:rPr>
                <w:sz w:val="17"/>
              </w:rPr>
              <w:t>2026-08-18</w:t>
            </w:r>
          </w:p>
        </w:tc>
        <w:tc>
          <w:tcPr>
            <w:tcW w:type="dxa" w:w="1440"/>
            <w:shd w:fill="FFDCE0" w:val="clear"/>
          </w:tcPr>
          <w:p>
            <w:r>
              <w:rPr>
                <w:sz w:val="17"/>
              </w:rPr>
              <w:t>16,237</w:t>
            </w:r>
          </w:p>
        </w:tc>
        <w:tc>
          <w:tcPr>
            <w:tcW w:type="dxa" w:w="1440"/>
            <w:shd w:fill="FFDCE0" w:val="clear"/>
          </w:tcPr>
          <w:p>
            <w:r>
              <w:rPr>
                <w:b/>
                <w:sz w:val="17"/>
              </w:rPr>
              <w:t>16,765</w:t>
            </w:r>
          </w:p>
        </w:tc>
        <w:tc>
          <w:tcPr>
            <w:tcW w:type="dxa" w:w="1440"/>
            <w:shd w:fill="FFDCE0" w:val="clear"/>
          </w:tcPr>
          <w:p>
            <w:r>
              <w:rPr>
                <w:sz w:val="17"/>
              </w:rPr>
              <w:t>17,293</w:t>
            </w:r>
          </w:p>
        </w:tc>
        <w:tc>
          <w:tcPr>
            <w:tcW w:type="dxa" w:w="1440"/>
            <w:shd w:fill="FFDCE0" w:val="clear"/>
          </w:tcPr>
          <w:p>
            <w:r>
              <w:rPr>
                <w:b/>
                <w:color w:val="C00000"/>
                <w:sz w:val="17"/>
              </w:rPr>
              <w:t>-3.9%</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16,099</w:t>
            </w:r>
          </w:p>
        </w:tc>
        <w:tc>
          <w:tcPr>
            <w:tcW w:type="dxa" w:w="1440"/>
            <w:shd w:fill="FFDCE0" w:val="clear"/>
          </w:tcPr>
          <w:p>
            <w:r>
              <w:rPr>
                <w:b/>
                <w:sz w:val="17"/>
              </w:rPr>
              <w:t>16,706</w:t>
            </w:r>
          </w:p>
        </w:tc>
        <w:tc>
          <w:tcPr>
            <w:tcW w:type="dxa" w:w="1440"/>
            <w:shd w:fill="FFDCE0" w:val="clear"/>
          </w:tcPr>
          <w:p>
            <w:r>
              <w:rPr>
                <w:sz w:val="17"/>
              </w:rPr>
              <w:t>17,314</w:t>
            </w:r>
          </w:p>
        </w:tc>
        <w:tc>
          <w:tcPr>
            <w:tcW w:type="dxa" w:w="1440"/>
            <w:shd w:fill="FFDCE0" w:val="clear"/>
          </w:tcPr>
          <w:p>
            <w:r>
              <w:rPr>
                <w:b/>
                <w:color w:val="C00000"/>
                <w:sz w:val="17"/>
              </w:rPr>
              <w:t>-4.3%</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15,971</w:t>
            </w:r>
          </w:p>
        </w:tc>
        <w:tc>
          <w:tcPr>
            <w:tcW w:type="dxa" w:w="1440"/>
            <w:shd w:fill="FFDCE0" w:val="clear"/>
          </w:tcPr>
          <w:p>
            <w:r>
              <w:rPr>
                <w:b/>
                <w:sz w:val="17"/>
              </w:rPr>
              <w:t>16,648</w:t>
            </w:r>
          </w:p>
        </w:tc>
        <w:tc>
          <w:tcPr>
            <w:tcW w:type="dxa" w:w="1440"/>
            <w:shd w:fill="FFDCE0" w:val="clear"/>
          </w:tcPr>
          <w:p>
            <w:r>
              <w:rPr>
                <w:sz w:val="17"/>
              </w:rPr>
              <w:t>17,324</w:t>
            </w:r>
          </w:p>
        </w:tc>
        <w:tc>
          <w:tcPr>
            <w:tcW w:type="dxa" w:w="1440"/>
            <w:shd w:fill="FFDCE0" w:val="clear"/>
          </w:tcPr>
          <w:p>
            <w:r>
              <w:rPr>
                <w:b/>
                <w:color w:val="C00000"/>
                <w:sz w:val="17"/>
              </w:rPr>
              <w:t>-4.6%</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15,853</w:t>
            </w:r>
          </w:p>
        </w:tc>
        <w:tc>
          <w:tcPr>
            <w:tcW w:type="dxa" w:w="1440"/>
            <w:shd w:fill="FFDCE0" w:val="clear"/>
          </w:tcPr>
          <w:p>
            <w:r>
              <w:rPr>
                <w:b/>
                <w:sz w:val="17"/>
              </w:rPr>
              <w:t>16,592</w:t>
            </w:r>
          </w:p>
        </w:tc>
        <w:tc>
          <w:tcPr>
            <w:tcW w:type="dxa" w:w="1440"/>
            <w:shd w:fill="FFDCE0" w:val="clear"/>
          </w:tcPr>
          <w:p>
            <w:r>
              <w:rPr>
                <w:sz w:val="17"/>
              </w:rPr>
              <w:t>17,331</w:t>
            </w:r>
          </w:p>
        </w:tc>
        <w:tc>
          <w:tcPr>
            <w:tcW w:type="dxa" w:w="1440"/>
            <w:shd w:fill="FFDCE0" w:val="clear"/>
          </w:tcPr>
          <w:p>
            <w:r>
              <w:rPr>
                <w:b/>
                <w:color w:val="C00000"/>
                <w:sz w:val="17"/>
              </w:rPr>
              <w:t>-4.9%</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15,743</w:t>
            </w:r>
          </w:p>
        </w:tc>
        <w:tc>
          <w:tcPr>
            <w:tcW w:type="dxa" w:w="1440"/>
            <w:shd w:fill="FFDCE0" w:val="clear"/>
          </w:tcPr>
          <w:p>
            <w:r>
              <w:rPr>
                <w:b/>
                <w:sz w:val="17"/>
              </w:rPr>
              <w:t>16,539</w:t>
            </w:r>
          </w:p>
        </w:tc>
        <w:tc>
          <w:tcPr>
            <w:tcW w:type="dxa" w:w="1440"/>
            <w:shd w:fill="FFDCE0" w:val="clear"/>
          </w:tcPr>
          <w:p>
            <w:r>
              <w:rPr>
                <w:sz w:val="17"/>
              </w:rPr>
              <w:t>17,334</w:t>
            </w:r>
          </w:p>
        </w:tc>
        <w:tc>
          <w:tcPr>
            <w:tcW w:type="dxa" w:w="1440"/>
            <w:shd w:fill="FFDCE0" w:val="clear"/>
          </w:tcPr>
          <w:p>
            <w:r>
              <w:rPr>
                <w:b/>
                <w:color w:val="C00000"/>
                <w:sz w:val="17"/>
              </w:rPr>
              <w:t>-5.2%</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15,640</w:t>
            </w:r>
          </w:p>
        </w:tc>
        <w:tc>
          <w:tcPr>
            <w:tcW w:type="dxa" w:w="1440"/>
            <w:shd w:fill="FFDCE0" w:val="clear"/>
          </w:tcPr>
          <w:p>
            <w:r>
              <w:rPr>
                <w:b/>
                <w:sz w:val="17"/>
              </w:rPr>
              <w:t>16,488</w:t>
            </w:r>
          </w:p>
        </w:tc>
        <w:tc>
          <w:tcPr>
            <w:tcW w:type="dxa" w:w="1440"/>
            <w:shd w:fill="FFDCE0" w:val="clear"/>
          </w:tcPr>
          <w:p>
            <w:r>
              <w:rPr>
                <w:sz w:val="17"/>
              </w:rPr>
              <w:t>17,336</w:t>
            </w:r>
          </w:p>
        </w:tc>
        <w:tc>
          <w:tcPr>
            <w:tcW w:type="dxa" w:w="1440"/>
            <w:shd w:fill="FFDCE0" w:val="clear"/>
          </w:tcPr>
          <w:p>
            <w:r>
              <w:rPr>
                <w:b/>
                <w:color w:val="C00000"/>
                <w:sz w:val="17"/>
              </w:rPr>
              <w:t>-5.5%</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15,542</w:t>
            </w:r>
          </w:p>
        </w:tc>
        <w:tc>
          <w:tcPr>
            <w:tcW w:type="dxa" w:w="1440"/>
            <w:shd w:fill="FFDCE0" w:val="clear"/>
          </w:tcPr>
          <w:p>
            <w:r>
              <w:rPr>
                <w:b/>
                <w:sz w:val="17"/>
              </w:rPr>
              <w:t>16,438</w:t>
            </w:r>
          </w:p>
        </w:tc>
        <w:tc>
          <w:tcPr>
            <w:tcW w:type="dxa" w:w="1440"/>
            <w:shd w:fill="FFDCE0" w:val="clear"/>
          </w:tcPr>
          <w:p>
            <w:r>
              <w:rPr>
                <w:sz w:val="17"/>
              </w:rPr>
              <w:t>17,335</w:t>
            </w:r>
          </w:p>
        </w:tc>
        <w:tc>
          <w:tcPr>
            <w:tcW w:type="dxa" w:w="1440"/>
            <w:shd w:fill="FFDCE0" w:val="clear"/>
          </w:tcPr>
          <w:p>
            <w:r>
              <w:rPr>
                <w:b/>
                <w:color w:val="C00000"/>
                <w:sz w:val="17"/>
              </w:rPr>
              <w:t>-5.8%</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15,448</w:t>
            </w:r>
          </w:p>
        </w:tc>
        <w:tc>
          <w:tcPr>
            <w:tcW w:type="dxa" w:w="1440"/>
            <w:shd w:fill="FFDCE0" w:val="clear"/>
          </w:tcPr>
          <w:p>
            <w:r>
              <w:rPr>
                <w:b/>
                <w:sz w:val="17"/>
              </w:rPr>
              <w:t>16,390</w:t>
            </w:r>
          </w:p>
        </w:tc>
        <w:tc>
          <w:tcPr>
            <w:tcW w:type="dxa" w:w="1440"/>
            <w:shd w:fill="FFDCE0" w:val="clear"/>
          </w:tcPr>
          <w:p>
            <w:r>
              <w:rPr>
                <w:sz w:val="17"/>
              </w:rPr>
              <w:t>17,332</w:t>
            </w:r>
          </w:p>
        </w:tc>
        <w:tc>
          <w:tcPr>
            <w:tcW w:type="dxa" w:w="1440"/>
            <w:shd w:fill="FFDCE0" w:val="clear"/>
          </w:tcPr>
          <w:p>
            <w:r>
              <w:rPr>
                <w:b/>
                <w:color w:val="C00000"/>
                <w:sz w:val="17"/>
              </w:rPr>
              <w:t>-6.1%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Absolument. Voici un rapport d'analyse structuré et professionnel pour l'action Nestlé Côte d'Ivoire (NTLC) sur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385,13 milliards FCFA, NTLC s'impose comme l'une des plus importantes capitalisations de la BRVM, reflétant la confiance des investisseurs dans ce leader des biens de consommation. Le BPA de 835 FCFA indique que chaque action a généré un bénéfice de ce montant sur l'exercice 2025. Le PER de 20,9x est nettement supérieur à la moyenne historique de la BRVM (8-12x), signifiant que les investisseurs paient une prime conséquente pour chaque franc de bénéfice, anticipant une forte croissance future. Cette prime est confirmée par le P/B de 13,02x, très élevé, qui valorise le titre bien au-delà de sa valeur comptable. Enfin, l'EV/EBITDA de 10,2x, bien que dans une fourchette élevée, reste plus modéré, indiquant que la valeur de l'entreprise (capitalisation + dette) reste justifiée par sa capacité à générer du cash-flow opérationnel.</w:t>
      </w:r>
    </w:p>
    <w:p>
      <w:pPr>
        <w:spacing w:after="120" w:line="276" w:lineRule="auto"/>
      </w:pPr>
      <w:r>
        <w:t>### **PARTIE 1 : ANALYSE DU COURS — STATISTIQUES ET ÉVOLUTION (100 derniers jours)**</w:t>
      </w:r>
    </w:p>
    <w:p>
      <w:pPr>
        <w:spacing w:after="120" w:line="276" w:lineRule="auto"/>
      </w:pPr>
      <w:r>
        <w:t>Sur les 100 derniers jours, l'action NTLC a enregistré une progression spectaculaire de +35,27%, passant d'un plus bas de 11 150 FCFA à un plus haut de 17 450 FCFA, qui est également le cours actuel. Cette tendance est clairement haussière, avec une dernière séance stable (+0,00%). La moyenne du cours sur la période (14 055 FCFA) est supérieure à la médiane (13 005 FCFA), ce qui indique une distribution légèrement asymétrique, tirée vers le haut par la récente accélération. L'écart-type de 1 896 FCFA (CV de 13,5%) montre une dispersion modérée des prix autour de la moyenne. Le kurtosis négatif (-1.554) indique une distribution "aplatie", avec moins de pics extrêmes que la normale, tandis que le skewness positif (0.218) confirme une légère asymétrie vers les hausses. La volatilité annualisée de 33,7% classe le titre comme à forte volatilité, ce qui implique un risque de fluctuations importantes, mais aussi un potentiel de gains élevé.</w:t>
      </w:r>
    </w:p>
    <w:p>
      <w:pPr>
        <w:spacing w:after="120" w:line="276" w:lineRule="auto"/>
      </w:pPr>
      <w:r>
        <w:t>### **PARTIE 2 : ANALYSE TECHNIQUE DÉTAILLÉE**</w:t>
      </w:r>
    </w:p>
    <w:p>
      <w:pPr>
        <w:spacing w:after="120" w:line="276" w:lineRule="auto"/>
      </w:pPr>
      <w:r>
        <w:t>**Moyennes Mobiles:** Le cours actuel (17 450 FCFA) est nettement au-dessus de sa moyenne mobile à 20 jours (16 520,75 FCFA) et à 50 jours (15 774,3 FCFA). Cette configuration, où le prix est supérieur aux deux moyennes, est un signal haussier classique. La pente positive des MM confirme la solidité de la tendance de fond, ce qui justifie la décision d'**Achat**.</w:t>
      </w:r>
    </w:p>
    <w:p>
      <w:pPr>
        <w:spacing w:after="120" w:line="276" w:lineRule="auto"/>
      </w:pPr>
      <w:r>
        <w:t>**Bandes de Bollinger:** Le prix est actuellement en contact avec la borne supérieure des bandes (17 381,21 FCFA), ce qui indique que le titre est en zone de "surachat" à court terme. Cette position suggère que le marché est temporairement survendu et qu'un repli technique est possible. La décision de **Vente** est donc une alerte de prudence à court terme, malgré la tendance haussière de fond.</w:t>
      </w:r>
    </w:p>
    <w:p>
      <w:pPr>
        <w:spacing w:after="120" w:line="276" w:lineRule="auto"/>
      </w:pPr>
      <w:r>
        <w:t>**MACD:** Le MACD (413,846) est supérieur à son signal (380,011), avec les deux lignes au-dessus de zéro. Cette configuration est un signal d'**Achat** classique, indiquant que le momentum haussier est toujours en place et que la tendance pourrait se poursuivre à court et moyen terme.</w:t>
      </w:r>
    </w:p>
    <w:p>
      <w:pPr>
        <w:spacing w:after="120" w:line="276" w:lineRule="auto"/>
      </w:pPr>
      <w:r>
        <w:t>**RSI:** Le RSI est à 84,727, une valeur très élevée, bien au-dessus du seuil de surachat de 70. Cela indique que le titre est fortement suracheté et que la pression acheteuse est excessive. Un tel niveau précède souvent une consolidation ou un repli technique, justifiant la décision de **Vente**.</w:t>
      </w:r>
    </w:p>
    <w:p>
      <w:pPr>
        <w:spacing w:after="120" w:line="276" w:lineRule="auto"/>
      </w:pPr>
      <w:r>
        <w:t>**Stochastique:** Les lignes %K et %D sont toutes deux à 100, un niveau extrême de surachat. Cela confirme le signal du RSI et indique que le mouvement haussier est arrivé à son paroxysme à court terme. La décision de **Vente** est donc cohérente avec cette lecture.</w:t>
      </w:r>
    </w:p>
    <w:p>
      <w:pPr>
        <w:spacing w:after="120" w:line="276" w:lineRule="auto"/>
      </w:pPr>
      <w:r>
        <w:t>**Conclusion technique:** Les indicateurs de tendance (MM, MACD) sont positifs et confirment une dynamique haussière de fond. Cependant, les oscillateurs (RSI, Stochastique, Bollinger) sont tous en zone de surachat extrême, signalant un risque élevé de correction technique à court terme. La prudence est donc de mise, mais la tendance de fond reste haussière.</w:t>
      </w:r>
    </w:p>
    <w:p>
      <w:pPr>
        <w:spacing w:after="120" w:line="276" w:lineRule="auto"/>
      </w:pPr>
      <w:r>
        <w:t>### **PARTIE 3 : ANALYSE FONDAMENTALE (SECTION CRITIQUE)**</w:t>
      </w:r>
    </w:p>
    <w:p>
      <w:pPr>
        <w:spacing w:after="120" w:line="276" w:lineRule="auto"/>
      </w:pPr>
      <w:r>
        <w:t>En 2025, Nestlé CI a réalisé un chiffre d'affaires de 233,26 milliards FCFA, en hausse de +5,97% par rapport à 2024, et un résultat net de 18,43 milliards FCFA, en légère progression de +1,53%. La rentabilité reste excellente avec un ROE de 62,28% et un ROA de 9,70%. Cependant, la structure financière montre une dépendance élevée avec un ratio d'endettement de 135,85% et une autonomie financière faible (15,58%). Le BFR est positif (22,6 Mds), et le délai de paiement des clients (74 jours) et la durée de stockage (59 jours) sont des points de vigilance pour la trésorerie. Les rapports trimestriels de 2025 montrent une année difficile : le T1 2025 (rapport du 31/03/2025) était en baisse de -11% en CA, mais avec un résultat net en hausse de +19%. Le S1 2025 (rapport du 30/06/2025) a vu le CA stagner et le résultat net chuter de -23,5%, tandis que le cumul à fin septembre 2025 (rapport du 30/09/2025) confirmait une baisse du résultat net de -21,3%. En revanche, le rapport T1 2026 (daté du 31/03/2026) fait état d'une performance exceptionnelle avec un CA en hausse de +31% et un résultat net en hausse de +37%, suggérant une forte reprise. Sur la base de ce T1 2026, on estime que l'exercice 2026 pourrait voir un CA dépasser les 260 milliards FCFA et un résultat net supérieur à 22 milliards FCFA, si la dynamique se maintient. La recommandation fondamentale est un **ACHAT** sur la solidité de la marque et la reprise de la croissance, malgré les risques de pression sur les marges et un endettement élevé.</w:t>
      </w:r>
    </w:p>
    <w:p>
      <w:pPr>
        <w:spacing w:after="120" w:line="276" w:lineRule="auto"/>
      </w:pPr>
      <w:r>
        <w:t>### **PARTIE 4 : CONCLUSION D'INVESTISSEMENT**</w:t>
      </w:r>
    </w:p>
    <w:p>
      <w:pPr>
        <w:spacing w:after="120" w:line="276" w:lineRule="auto"/>
      </w:pPr>
      <w:r>
        <w:t>La valorisation actuelle de NTLC est exigeante, avec un PER de 20,9x et un P/B de 13x, indiquant que le marché intègre déjà des perspectives de croissance très positives. Le comportement du cours est très haussier (+35% en 100 jours) mais avec une volatilité élevée (33,7%), et les statistiques montrent une distribution sans pics extrêmes, mais une tendance de fond solide. Les signaux techniques sont contradictoires : la tendance (MM, MACD) est haussière, mais les oscillateurs (RSI, Stochastique) sont en surachat extrême, suggérant un risque de correction à court terme. Les fondamentaux sont solides avec une reprise de la croissance au T1 2026 (+31% CA, +37% RN), mais la pression sur les marges et l'endettement restent des risques. Les prédictions IA pour les 10 prochains jours (16 802 à 16 648 FCFA) anticipent une légère baisse, ce qui contredit la tendance haussière récente et confirme le scénario de consolidation technique. En synthèse, la convergence entre une valorisation élevée, des signaux techniques de surachat et des prédictions IA baissières suggère une prudence à court terme. La recommandation finale est de **CONSERVER** le titre, avec un niveau de confiance **Moyen** et un risque global **Élevé**. L'horizon d'investissement optimal serait le **moyen terme (3-12 mois)**, en attendant que la pression acheteuse se dissipe et que les fondamentaux confirment la reprise sur un exercice complet.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190.40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4,456 titres</w:t>
            </w:r>
          </w:p>
        </w:tc>
        <w:tc>
          <w:tcPr>
            <w:tcW w:type="dxa" w:w="2268"/>
            <w:shd w:fill="FFF2CC" w:val="clear"/>
          </w:tcPr>
          <w:p>
            <w:r>
              <w:rPr>
                <w:b/>
                <w:color w:val="503200"/>
                <w:sz w:val="16"/>
              </w:rPr>
              <w:t xml:space="preserve">Cours actuel : </w:t>
            </w:r>
            <w:r>
              <w:rPr>
                <w:color w:val="000000"/>
                <w:sz w:val="17"/>
              </w:rPr>
              <w:t>2,800 FCFA</w:t>
            </w:r>
          </w:p>
          <w:p>
            <w:r>
              <w:rPr>
                <w:b/>
                <w:color w:val="503200"/>
                <w:sz w:val="16"/>
              </w:rPr>
              <w:t xml:space="preserve">Var. 100 jours : </w:t>
            </w:r>
            <w:r>
              <w:rPr>
                <w:b/>
                <w:color w:val="B40000"/>
                <w:sz w:val="17"/>
              </w:rPr>
              <w:t>-6.04%</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3.25% (Faible) — μ=2,827 FCFA, σ=92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β=-0.0196 (Contre-cyclique) — Cov=-0.000001, Var(idx)=0.000036, ρ=-0.006,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4,456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σ_j=2.07%/j (Stable) — Vol. annualisée≈32.8%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2026-08-14</w:t>
            </w:r>
          </w:p>
        </w:tc>
        <w:tc>
          <w:tcPr>
            <w:tcW w:type="dxa" w:w="1440"/>
            <w:shd w:fill="FAFAFA" w:val="clear"/>
          </w:tcPr>
          <w:p>
            <w:r>
              <w:rPr>
                <w:sz w:val="17"/>
              </w:rPr>
              <w:t>2,748</w:t>
            </w:r>
          </w:p>
        </w:tc>
        <w:tc>
          <w:tcPr>
            <w:tcW w:type="dxa" w:w="1440"/>
            <w:shd w:fill="FAFAFA" w:val="clear"/>
          </w:tcPr>
          <w:p>
            <w:r>
              <w:rPr>
                <w:b/>
                <w:sz w:val="17"/>
              </w:rPr>
              <w:t>2,836</w:t>
            </w:r>
          </w:p>
        </w:tc>
        <w:tc>
          <w:tcPr>
            <w:tcW w:type="dxa" w:w="1440"/>
            <w:shd w:fill="FAFAFA" w:val="clear"/>
          </w:tcPr>
          <w:p>
            <w:r>
              <w:rPr>
                <w:sz w:val="17"/>
              </w:rPr>
              <w:t>2,924</w:t>
            </w:r>
          </w:p>
        </w:tc>
        <w:tc>
          <w:tcPr>
            <w:tcW w:type="dxa" w:w="1440"/>
            <w:shd w:fill="FAFAFA" w:val="clear"/>
          </w:tcPr>
          <w:p>
            <w:r>
              <w:rPr>
                <w:b/>
                <w:color w:val="008000"/>
                <w:sz w:val="17"/>
              </w:rPr>
              <w:t>+1.3%</w:t>
            </w:r>
          </w:p>
        </w:tc>
      </w:tr>
      <w:tr>
        <w:tc>
          <w:tcPr>
            <w:tcW w:type="dxa" w:w="1440"/>
            <w:shd w:fill="FAFAFA" w:val="clear"/>
          </w:tcPr>
          <w:p>
            <w:r>
              <w:rPr>
                <w:sz w:val="17"/>
              </w:rPr>
              <w:t>J+2  ⭐⭐⭐</w:t>
            </w:r>
          </w:p>
        </w:tc>
        <w:tc>
          <w:tcPr>
            <w:tcW w:type="dxa" w:w="1440"/>
            <w:shd w:fill="FAFAFA" w:val="clear"/>
          </w:tcPr>
          <w:p>
            <w:r>
              <w:rPr>
                <w:sz w:val="17"/>
              </w:rPr>
              <w:t>2026-08-17</w:t>
            </w:r>
          </w:p>
        </w:tc>
        <w:tc>
          <w:tcPr>
            <w:tcW w:type="dxa" w:w="1440"/>
            <w:shd w:fill="FAFAFA" w:val="clear"/>
          </w:tcPr>
          <w:p>
            <w:r>
              <w:rPr>
                <w:sz w:val="17"/>
              </w:rPr>
              <w:t>2,701</w:t>
            </w:r>
          </w:p>
        </w:tc>
        <w:tc>
          <w:tcPr>
            <w:tcW w:type="dxa" w:w="1440"/>
            <w:shd w:fill="FAFAFA" w:val="clear"/>
          </w:tcPr>
          <w:p>
            <w:r>
              <w:rPr>
                <w:b/>
                <w:sz w:val="17"/>
              </w:rPr>
              <w:t>2,825</w:t>
            </w:r>
          </w:p>
        </w:tc>
        <w:tc>
          <w:tcPr>
            <w:tcW w:type="dxa" w:w="1440"/>
            <w:shd w:fill="FAFAFA" w:val="clear"/>
          </w:tcPr>
          <w:p>
            <w:r>
              <w:rPr>
                <w:sz w:val="17"/>
              </w:rPr>
              <w:t>2,948</w:t>
            </w:r>
          </w:p>
        </w:tc>
        <w:tc>
          <w:tcPr>
            <w:tcW w:type="dxa" w:w="1440"/>
            <w:shd w:fill="FAFAFA" w:val="clear"/>
          </w:tcPr>
          <w:p>
            <w:r>
              <w:rPr>
                <w:b/>
                <w:color w:val="008000"/>
                <w:sz w:val="17"/>
              </w:rPr>
              <w:t>+0.9%</w:t>
            </w:r>
          </w:p>
        </w:tc>
      </w:tr>
      <w:tr>
        <w:tc>
          <w:tcPr>
            <w:tcW w:type="dxa" w:w="1440"/>
            <w:shd w:fill="FAFAFA" w:val="clear"/>
          </w:tcPr>
          <w:p>
            <w:r>
              <w:rPr>
                <w:sz w:val="17"/>
              </w:rPr>
              <w:t>J+3  ⭐⭐⭐</w:t>
            </w:r>
          </w:p>
        </w:tc>
        <w:tc>
          <w:tcPr>
            <w:tcW w:type="dxa" w:w="1440"/>
            <w:shd w:fill="FAFAFA" w:val="clear"/>
          </w:tcPr>
          <w:p>
            <w:r>
              <w:rPr>
                <w:sz w:val="17"/>
              </w:rPr>
              <w:t>2026-08-18</w:t>
            </w:r>
          </w:p>
        </w:tc>
        <w:tc>
          <w:tcPr>
            <w:tcW w:type="dxa" w:w="1440"/>
            <w:shd w:fill="FAFAFA" w:val="clear"/>
          </w:tcPr>
          <w:p>
            <w:r>
              <w:rPr>
                <w:sz w:val="17"/>
              </w:rPr>
              <w:t>2,667</w:t>
            </w:r>
          </w:p>
        </w:tc>
        <w:tc>
          <w:tcPr>
            <w:tcW w:type="dxa" w:w="1440"/>
            <w:shd w:fill="FAFAFA" w:val="clear"/>
          </w:tcPr>
          <w:p>
            <w:r>
              <w:rPr>
                <w:b/>
                <w:sz w:val="17"/>
              </w:rPr>
              <w:t>2,818</w:t>
            </w:r>
          </w:p>
        </w:tc>
        <w:tc>
          <w:tcPr>
            <w:tcW w:type="dxa" w:w="1440"/>
            <w:shd w:fill="FAFAFA" w:val="clear"/>
          </w:tcPr>
          <w:p>
            <w:r>
              <w:rPr>
                <w:sz w:val="17"/>
              </w:rPr>
              <w:t>2,969</w:t>
            </w:r>
          </w:p>
        </w:tc>
        <w:tc>
          <w:tcPr>
            <w:tcW w:type="dxa" w:w="1440"/>
            <w:shd w:fill="FAFAFA" w:val="clear"/>
          </w:tcPr>
          <w:p>
            <w:r>
              <w:rPr>
                <w:b/>
                <w:color w:val="008000"/>
                <w:sz w:val="17"/>
              </w:rPr>
              <w:t>+0.7%</w:t>
            </w:r>
          </w:p>
        </w:tc>
      </w:tr>
      <w:tr>
        <w:tc>
          <w:tcPr>
            <w:tcW w:type="dxa" w:w="1440"/>
            <w:shd w:fill="FAFAFA" w:val="clear"/>
          </w:tcPr>
          <w:p>
            <w:r>
              <w:rPr>
                <w:sz w:val="17"/>
              </w:rPr>
              <w:t>J+4  Moyenne</w:t>
            </w:r>
          </w:p>
        </w:tc>
        <w:tc>
          <w:tcPr>
            <w:tcW w:type="dxa" w:w="1440"/>
            <w:shd w:fill="FAFAFA" w:val="clear"/>
          </w:tcPr>
          <w:p>
            <w:r>
              <w:rPr>
                <w:sz w:val="17"/>
              </w:rPr>
              <w:t>2026-08-19</w:t>
            </w:r>
          </w:p>
        </w:tc>
        <w:tc>
          <w:tcPr>
            <w:tcW w:type="dxa" w:w="1440"/>
            <w:shd w:fill="FAFAFA" w:val="clear"/>
          </w:tcPr>
          <w:p>
            <w:r>
              <w:rPr>
                <w:sz w:val="17"/>
              </w:rPr>
              <w:t>2,639</w:t>
            </w:r>
          </w:p>
        </w:tc>
        <w:tc>
          <w:tcPr>
            <w:tcW w:type="dxa" w:w="1440"/>
            <w:shd w:fill="FAFAFA" w:val="clear"/>
          </w:tcPr>
          <w:p>
            <w:r>
              <w:rPr>
                <w:b/>
                <w:sz w:val="17"/>
              </w:rPr>
              <w:t>2,813</w:t>
            </w:r>
          </w:p>
        </w:tc>
        <w:tc>
          <w:tcPr>
            <w:tcW w:type="dxa" w:w="1440"/>
            <w:shd w:fill="FAFAFA" w:val="clear"/>
          </w:tcPr>
          <w:p>
            <w:r>
              <w:rPr>
                <w:sz w:val="17"/>
              </w:rPr>
              <w:t>2,987</w:t>
            </w:r>
          </w:p>
        </w:tc>
        <w:tc>
          <w:tcPr>
            <w:tcW w:type="dxa" w:w="1440"/>
            <w:shd w:fill="FAFAFA" w:val="clear"/>
          </w:tcPr>
          <w:p>
            <w:r>
              <w:rPr>
                <w:b/>
                <w:color w:val="008000"/>
                <w:sz w:val="17"/>
              </w:rPr>
              <w:t>+0.5%</w:t>
            </w:r>
          </w:p>
        </w:tc>
      </w:tr>
      <w:tr>
        <w:tc>
          <w:tcPr>
            <w:tcW w:type="dxa" w:w="1440"/>
            <w:shd w:fill="FAFAFA" w:val="clear"/>
          </w:tcPr>
          <w:p>
            <w:r>
              <w:rPr>
                <w:sz w:val="17"/>
              </w:rPr>
              <w:t>J+5  Moyenne</w:t>
            </w:r>
          </w:p>
        </w:tc>
        <w:tc>
          <w:tcPr>
            <w:tcW w:type="dxa" w:w="1440"/>
            <w:shd w:fill="FAFAFA" w:val="clear"/>
          </w:tcPr>
          <w:p>
            <w:r>
              <w:rPr>
                <w:sz w:val="17"/>
              </w:rPr>
              <w:t>2026-08-20</w:t>
            </w:r>
          </w:p>
        </w:tc>
        <w:tc>
          <w:tcPr>
            <w:tcW w:type="dxa" w:w="1440"/>
            <w:shd w:fill="FAFAFA" w:val="clear"/>
          </w:tcPr>
          <w:p>
            <w:r>
              <w:rPr>
                <w:sz w:val="17"/>
              </w:rPr>
              <w:t>2,614</w:t>
            </w:r>
          </w:p>
        </w:tc>
        <w:tc>
          <w:tcPr>
            <w:tcW w:type="dxa" w:w="1440"/>
            <w:shd w:fill="FAFAFA" w:val="clear"/>
          </w:tcPr>
          <w:p>
            <w:r>
              <w:rPr>
                <w:b/>
                <w:sz w:val="17"/>
              </w:rPr>
              <w:t>2,808</w:t>
            </w:r>
          </w:p>
        </w:tc>
        <w:tc>
          <w:tcPr>
            <w:tcW w:type="dxa" w:w="1440"/>
            <w:shd w:fill="FAFAFA" w:val="clear"/>
          </w:tcPr>
          <w:p>
            <w:r>
              <w:rPr>
                <w:sz w:val="17"/>
              </w:rPr>
              <w:t>3,002</w:t>
            </w:r>
          </w:p>
        </w:tc>
        <w:tc>
          <w:tcPr>
            <w:tcW w:type="dxa" w:w="1440"/>
            <w:shd w:fill="FAFAFA" w:val="clear"/>
          </w:tcPr>
          <w:p>
            <w:r>
              <w:rPr>
                <w:b/>
                <w:color w:val="008000"/>
                <w:sz w:val="17"/>
              </w:rPr>
              <w:t>+0.3%</w:t>
            </w:r>
          </w:p>
        </w:tc>
      </w:tr>
      <w:tr>
        <w:tc>
          <w:tcPr>
            <w:tcW w:type="dxa" w:w="1440"/>
            <w:shd w:fill="FAFAFA" w:val="clear"/>
          </w:tcPr>
          <w:p>
            <w:r>
              <w:rPr>
                <w:sz w:val="17"/>
              </w:rPr>
              <w:t>J+6  Moyenne</w:t>
            </w:r>
          </w:p>
        </w:tc>
        <w:tc>
          <w:tcPr>
            <w:tcW w:type="dxa" w:w="1440"/>
            <w:shd w:fill="FAFAFA" w:val="clear"/>
          </w:tcPr>
          <w:p>
            <w:r>
              <w:rPr>
                <w:sz w:val="17"/>
              </w:rPr>
              <w:t>2026-08-21</w:t>
            </w:r>
          </w:p>
        </w:tc>
        <w:tc>
          <w:tcPr>
            <w:tcW w:type="dxa" w:w="1440"/>
            <w:shd w:fill="FAFAFA" w:val="clear"/>
          </w:tcPr>
          <w:p>
            <w:r>
              <w:rPr>
                <w:sz w:val="17"/>
              </w:rPr>
              <w:t>2,591</w:t>
            </w:r>
          </w:p>
        </w:tc>
        <w:tc>
          <w:tcPr>
            <w:tcW w:type="dxa" w:w="1440"/>
            <w:shd w:fill="FAFAFA" w:val="clear"/>
          </w:tcPr>
          <w:p>
            <w:r>
              <w:rPr>
                <w:b/>
                <w:sz w:val="17"/>
              </w:rPr>
              <w:t>2,803</w:t>
            </w:r>
          </w:p>
        </w:tc>
        <w:tc>
          <w:tcPr>
            <w:tcW w:type="dxa" w:w="1440"/>
            <w:shd w:fill="FAFAFA" w:val="clear"/>
          </w:tcPr>
          <w:p>
            <w:r>
              <w:rPr>
                <w:sz w:val="17"/>
              </w:rPr>
              <w:t>3,015</w:t>
            </w:r>
          </w:p>
        </w:tc>
        <w:tc>
          <w:tcPr>
            <w:tcW w:type="dxa" w:w="1440"/>
            <w:shd w:fill="FAFAFA" w:val="clear"/>
          </w:tcPr>
          <w:p>
            <w:r>
              <w:rPr>
                <w:b/>
                <w:color w:val="008000"/>
                <w:sz w:val="17"/>
              </w:rPr>
              <w:t>+0.1%</w:t>
            </w:r>
          </w:p>
        </w:tc>
      </w:tr>
      <w:tr>
        <w:tc>
          <w:tcPr>
            <w:tcW w:type="dxa" w:w="1440"/>
            <w:shd w:fill="FAFAFA" w:val="clear"/>
          </w:tcPr>
          <w:p>
            <w:r>
              <w:rPr>
                <w:sz w:val="17"/>
              </w:rPr>
              <w:t>J+7  Moyenne</w:t>
            </w:r>
          </w:p>
        </w:tc>
        <w:tc>
          <w:tcPr>
            <w:tcW w:type="dxa" w:w="1440"/>
            <w:shd w:fill="FAFAFA" w:val="clear"/>
          </w:tcPr>
          <w:p>
            <w:r>
              <w:rPr>
                <w:sz w:val="17"/>
              </w:rPr>
              <w:t>2026-08-24</w:t>
            </w:r>
          </w:p>
        </w:tc>
        <w:tc>
          <w:tcPr>
            <w:tcW w:type="dxa" w:w="1440"/>
            <w:shd w:fill="FAFAFA" w:val="clear"/>
          </w:tcPr>
          <w:p>
            <w:r>
              <w:rPr>
                <w:sz w:val="17"/>
              </w:rPr>
              <w:t>2,569</w:t>
            </w:r>
          </w:p>
        </w:tc>
        <w:tc>
          <w:tcPr>
            <w:tcW w:type="dxa" w:w="1440"/>
            <w:shd w:fill="FAFAFA" w:val="clear"/>
          </w:tcPr>
          <w:p>
            <w:r>
              <w:rPr>
                <w:b/>
                <w:sz w:val="17"/>
              </w:rPr>
              <w:t>2,798</w:t>
            </w:r>
          </w:p>
        </w:tc>
        <w:tc>
          <w:tcPr>
            <w:tcW w:type="dxa" w:w="1440"/>
            <w:shd w:fill="FAFAFA" w:val="clear"/>
          </w:tcPr>
          <w:p>
            <w:r>
              <w:rPr>
                <w:sz w:val="17"/>
              </w:rPr>
              <w:t>3,027</w:t>
            </w:r>
          </w:p>
        </w:tc>
        <w:tc>
          <w:tcPr>
            <w:tcW w:type="dxa" w:w="1440"/>
            <w:shd w:fill="FAFAFA" w:val="clear"/>
          </w:tcPr>
          <w:p>
            <w:r>
              <w:rPr>
                <w:b/>
                <w:color w:val="C00000"/>
                <w:sz w:val="17"/>
              </w:rPr>
              <w:t>-0.1%</w:t>
            </w:r>
          </w:p>
        </w:tc>
      </w:tr>
      <w:tr>
        <w:tc>
          <w:tcPr>
            <w:tcW w:type="dxa" w:w="1440"/>
            <w:shd w:fill="FAFAFA" w:val="clear"/>
          </w:tcPr>
          <w:p>
            <w:r>
              <w:rPr>
                <w:sz w:val="17"/>
              </w:rPr>
              <w:t>J+8  Moyenne</w:t>
            </w:r>
          </w:p>
        </w:tc>
        <w:tc>
          <w:tcPr>
            <w:tcW w:type="dxa" w:w="1440"/>
            <w:shd w:fill="FAFAFA" w:val="clear"/>
          </w:tcPr>
          <w:p>
            <w:r>
              <w:rPr>
                <w:sz w:val="17"/>
              </w:rPr>
              <w:t>2026-08-25</w:t>
            </w:r>
          </w:p>
        </w:tc>
        <w:tc>
          <w:tcPr>
            <w:tcW w:type="dxa" w:w="1440"/>
            <w:shd w:fill="FAFAFA" w:val="clear"/>
          </w:tcPr>
          <w:p>
            <w:r>
              <w:rPr>
                <w:sz w:val="17"/>
              </w:rPr>
              <w:t>2,549</w:t>
            </w:r>
          </w:p>
        </w:tc>
        <w:tc>
          <w:tcPr>
            <w:tcW w:type="dxa" w:w="1440"/>
            <w:shd w:fill="FAFAFA" w:val="clear"/>
          </w:tcPr>
          <w:p>
            <w:r>
              <w:rPr>
                <w:b/>
                <w:sz w:val="17"/>
              </w:rPr>
              <w:t>2,793</w:t>
            </w:r>
          </w:p>
        </w:tc>
        <w:tc>
          <w:tcPr>
            <w:tcW w:type="dxa" w:w="1440"/>
            <w:shd w:fill="FAFAFA" w:val="clear"/>
          </w:tcPr>
          <w:p>
            <w:r>
              <w:rPr>
                <w:sz w:val="17"/>
              </w:rPr>
              <w:t>3,038</w:t>
            </w:r>
          </w:p>
        </w:tc>
        <w:tc>
          <w:tcPr>
            <w:tcW w:type="dxa" w:w="1440"/>
            <w:shd w:fill="FAFAFA" w:val="clear"/>
          </w:tcPr>
          <w:p>
            <w:r>
              <w:rPr>
                <w:b/>
                <w:color w:val="C00000"/>
                <w:sz w:val="17"/>
              </w:rPr>
              <w:t>-0.2%</w:t>
            </w:r>
          </w:p>
        </w:tc>
      </w:tr>
      <w:tr>
        <w:tc>
          <w:tcPr>
            <w:tcW w:type="dxa" w:w="1440"/>
            <w:shd w:fill="FAFAFA" w:val="clear"/>
          </w:tcPr>
          <w:p>
            <w:r>
              <w:rPr>
                <w:sz w:val="17"/>
              </w:rPr>
              <w:t>J+9  Moyenne</w:t>
            </w:r>
          </w:p>
        </w:tc>
        <w:tc>
          <w:tcPr>
            <w:tcW w:type="dxa" w:w="1440"/>
            <w:shd w:fill="FAFAFA" w:val="clear"/>
          </w:tcPr>
          <w:p>
            <w:r>
              <w:rPr>
                <w:sz w:val="17"/>
              </w:rPr>
              <w:t>2026-08-27</w:t>
            </w:r>
          </w:p>
        </w:tc>
        <w:tc>
          <w:tcPr>
            <w:tcW w:type="dxa" w:w="1440"/>
            <w:shd w:fill="FAFAFA" w:val="clear"/>
          </w:tcPr>
          <w:p>
            <w:r>
              <w:rPr>
                <w:sz w:val="17"/>
              </w:rPr>
              <w:t>2,530</w:t>
            </w:r>
          </w:p>
        </w:tc>
        <w:tc>
          <w:tcPr>
            <w:tcW w:type="dxa" w:w="1440"/>
            <w:shd w:fill="FAFAFA" w:val="clear"/>
          </w:tcPr>
          <w:p>
            <w:r>
              <w:rPr>
                <w:b/>
                <w:sz w:val="17"/>
              </w:rPr>
              <w:t>2,788</w:t>
            </w:r>
          </w:p>
        </w:tc>
        <w:tc>
          <w:tcPr>
            <w:tcW w:type="dxa" w:w="1440"/>
            <w:shd w:fill="FAFAFA" w:val="clear"/>
          </w:tcPr>
          <w:p>
            <w:r>
              <w:rPr>
                <w:sz w:val="17"/>
              </w:rPr>
              <w:t>3,047</w:t>
            </w:r>
          </w:p>
        </w:tc>
        <w:tc>
          <w:tcPr>
            <w:tcW w:type="dxa" w:w="1440"/>
            <w:shd w:fill="FAFAFA" w:val="clear"/>
          </w:tcPr>
          <w:p>
            <w:r>
              <w:rPr>
                <w:b/>
                <w:color w:val="C00000"/>
                <w:sz w:val="17"/>
              </w:rPr>
              <w:t>-0.4%</w:t>
            </w:r>
          </w:p>
        </w:tc>
      </w:tr>
      <w:tr>
        <w:tc>
          <w:tcPr>
            <w:tcW w:type="dxa" w:w="1440"/>
            <w:shd w:fill="FAFAFA" w:val="clear"/>
          </w:tcPr>
          <w:p>
            <w:r>
              <w:rPr>
                <w:sz w:val="17"/>
              </w:rPr>
              <w:t>J+10  Moyenne</w:t>
            </w:r>
          </w:p>
        </w:tc>
        <w:tc>
          <w:tcPr>
            <w:tcW w:type="dxa" w:w="1440"/>
            <w:shd w:fill="FAFAFA" w:val="clear"/>
          </w:tcPr>
          <w:p>
            <w:r>
              <w:rPr>
                <w:sz w:val="17"/>
              </w:rPr>
              <w:t>2026-08-28</w:t>
            </w:r>
          </w:p>
        </w:tc>
        <w:tc>
          <w:tcPr>
            <w:tcW w:type="dxa" w:w="1440"/>
            <w:shd w:fill="FAFAFA" w:val="clear"/>
          </w:tcPr>
          <w:p>
            <w:r>
              <w:rPr>
                <w:sz w:val="17"/>
              </w:rPr>
              <w:t>2,511</w:t>
            </w:r>
          </w:p>
        </w:tc>
        <w:tc>
          <w:tcPr>
            <w:tcW w:type="dxa" w:w="1440"/>
            <w:shd w:fill="FAFAFA" w:val="clear"/>
          </w:tcPr>
          <w:p>
            <w:r>
              <w:rPr>
                <w:b/>
                <w:sz w:val="17"/>
              </w:rPr>
              <w:t>2,784</w:t>
            </w:r>
          </w:p>
        </w:tc>
        <w:tc>
          <w:tcPr>
            <w:tcW w:type="dxa" w:w="1440"/>
            <w:shd w:fill="FAFAFA" w:val="clear"/>
          </w:tcPr>
          <w:p>
            <w:r>
              <w:rPr>
                <w:sz w:val="17"/>
              </w:rPr>
              <w:t>3,056</w:t>
            </w:r>
          </w:p>
        </w:tc>
        <w:tc>
          <w:tcPr>
            <w:tcW w:type="dxa" w:w="1440"/>
            <w:shd w:fill="FAFAFA" w:val="clear"/>
          </w:tcPr>
          <w:p>
            <w:r>
              <w:rPr>
                <w:b/>
                <w:color w:val="C00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 MOOV AFRICA BURKINA FASO)**</w:t>
        <w:br/>
        <w:t>**Date de l'analyse : 13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190,40 Mds FCFA positionne ONTBF comme une valeur moyenne sur la BRVM, représentant un actif stratégique dans le secteur des télécommunications. Le BPA de 234 FCFA indique que chaque action génère un bénéfice substantiel, justifiant un PER de 12,0x, légèrement au-dessus de la moyenne du marché (8-12x), ce qui traduit une valorisation raisonnable sans prime excessive. Le P/B de 3,31x montre que le marché valorise l'entreprise à plus de trois fois sa valeur comptable, une prime de croissance accordée pour son potentiel dans la data et le mobile money. Enfin, l'EV/EBITDA de 5,1x est attractif, indiquant que la valeur totale de l'entreprise reste modérée par rapport à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ONTBF a enregistré une baisse de -6,04%, avec une chute marquée de -3,45% lors de la dernière séance, reflétant une pression vendeuse récente. Le cours a oscillé entre un plus bas de 2 610 FCFA et un plus haut de 3 070 FCFA, montrant une amplitude de trading de 460 FCFA. La moyenne (2 827 FCFA) et la médiane (2 805 FCFA) sont très proches, indiquant une distribution symétrique des prix, confirmée par un skewness de 0.269. L'écart-type de 92 FCFA (CV=3,3%) révèle une dispersion très faible, signe d'un titre stable. Le kurtosis de -0.464 (mésokurtique) suggère l'absence de mouvements extrêmes, tandis que la volatilité annualisée de 32,8% classe le titre comme très volatil, un niveau élevé pour une valeur télécom, probablement influencé par le contexte sécuritaire et réglementaire.</w:t>
      </w:r>
    </w:p>
    <w:p>
      <w:pPr>
        <w:spacing w:after="120" w:line="276" w:lineRule="auto"/>
      </w:pPr>
      <w:r>
        <w:t>---</w:t>
      </w:r>
    </w:p>
    <w:p>
      <w:pPr>
        <w:spacing w:after="120" w:line="276" w:lineRule="auto"/>
      </w:pPr>
      <w:r>
        <w:t>### PARTIE 2 : ANALYSE TECHNIQUE DÉTAILLÉE</w:t>
      </w:r>
    </w:p>
    <w:p>
      <w:pPr>
        <w:spacing w:after="120" w:line="276" w:lineRule="auto"/>
      </w:pPr>
      <w:r>
        <w:t>**Moyennes Mobiles** : La MM20 (2 835,75 FCFA) est supérieure à la MM50 (2 827,5 FCFA), et le cours actuel (2 800 FCFA) se situe sous les deux moyennes. Cette configuration indique une tendance baissière à court terme, mais le croisement des moyennes reste haussier, d'où une décision d'**Achat** prudente, suggérant un potentiel de rebond si le cours repasse au-dessus de la MM20.</w:t>
      </w:r>
    </w:p>
    <w:p>
      <w:pPr>
        <w:spacing w:after="120" w:line="276" w:lineRule="auto"/>
      </w:pPr>
      <w:r>
        <w:t>**Bandes de Bollinger** : Le cours (2 800 FCFA) se positionne entre la borne inférieure (2 627,14 FCFA) et la borne supérieure (3 044,36 FCFA), proche de la moyenne. La largeur des bandes indique une volatilité modérée. La décision **Neutre** reflète l'absence de signal directionnel fort, le prix n'étant pas en zone de surachat ou de survente.</w:t>
      </w:r>
    </w:p>
    <w:p>
      <w:pPr>
        <w:spacing w:after="120" w:line="276" w:lineRule="auto"/>
      </w:pPr>
      <w:r>
        <w:t>**MACD** : La valeur MACD (29,16) est inférieure à son signal (30,82), indiquant un momentum baissier à court terme. Cette divergence négative suggère une perte de dynamique haussière, justifiant une décision de **Vente**. Le croisement sous le signal pourrait précéder une poursuite de la baisse.</w:t>
      </w:r>
    </w:p>
    <w:p>
      <w:pPr>
        <w:spacing w:after="120" w:line="276" w:lineRule="auto"/>
      </w:pPr>
      <w:r>
        <w:t>**RSI** : À 52,03, le RSI est en zone neutre (30-70), indiquant un équilibre entre acheteurs et vendeurs. Cette valeur suggère que le titre n'est ni suracheté ni survendu, laissant place à une évolution directionnelle. La décision **Neutre** est cohérente avec une absence de signal extrême.</w:t>
      </w:r>
    </w:p>
    <w:p>
      <w:pPr>
        <w:spacing w:after="120" w:line="276" w:lineRule="auto"/>
      </w:pPr>
      <w:r>
        <w:t>**Stochastique** : Le %K (4,88) est très bas, bien en dessous du %D (41,90), indiquant une condition de survente extrême. Ce croisement baissier suggère un potentiel de rebond technique imminent, justifiant la décision d'**Achat**. Le marché pourrait corriger cette situation de survente.</w:t>
      </w:r>
    </w:p>
    <w:p>
      <w:pPr>
        <w:spacing w:after="120" w:line="276" w:lineRule="auto"/>
      </w:pPr>
      <w:r>
        <w:t>**Conclusion technique** : Les indicateurs sont mitigés, avec un MACD vendeur et un stochastique en survente, tandis que les moyennes mobiles et le RSI restent neutres. La configuration suggère une stabilisation possible après la baisse récente, mais la prudence est de mise. Le titre pourrait rebondir à court terme, mais la tendance globale reste incertaine.</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2025** : En 2025, ONTBF a réalisé un chiffre d'affaires de 146,18 Mds FCFA (+3,1% vs 2024), avec un résultat net de 15,89 Mds FCFA, en baisse de 26% par rapport à 2024 (21,47 Mds FCFA). Le ROE s'établit à 27,6%, un niveau excellent, et le ROA à 4,9%, reflétant une bonne utilisation des actifs. Le coefficient d'exploitation de 67,1% est élevé, indiquant une efficacité opérationnelle à surveiller. Le coût du risque de 3,6% est significatif, pointant un risque de crédit notable. Les capitaux propres (57,54 Mds FCFA) et la trésorerie nette (10,65 Mds FCFA) montrent une solidité financière, mais l'autonomie financière de 17,7% est faible. **Estimations 2026** : Le rapport T1 2026 (publié en avril 2026) montre un CA de 37,1 Mds FCFA (+2,7%), avec un résultat net de 3,58 Mds FCFA, en baisse de 4,6% vs T1 2025. La marge EBITDA reste robuste à 41,3%. On estime que l'exercice 2026 pourrait voir un CA autour de 150 Mds FCFA (+2,5%), mais le résultat net pourrait stagner ou baisser légèrement, autour de 15-16 Mds FCFA, en raison des coûts opérationnels persistants. Les investissements dans le FTTH (+38,4%) et le Mobile Money (+17,1%) soutiennent la croissance future. La recommandation fondamentale est de **CONSERVER**, car la société reste rentable et génératrice de cash, mais les défis sécuritaires et réglementaires pèsent sur la rentabilité.</w:t>
      </w:r>
    </w:p>
    <w:p>
      <w:pPr>
        <w:spacing w:after="120" w:line="276" w:lineRule="auto"/>
      </w:pPr>
      <w:r>
        <w:t>---</w:t>
      </w:r>
    </w:p>
    <w:p>
      <w:pPr>
        <w:spacing w:after="120" w:line="276" w:lineRule="auto"/>
      </w:pPr>
      <w:r>
        <w:t>### PARTIE 4 : CONCLUSION D'INVESTISSEMENT</w:t>
      </w:r>
    </w:p>
    <w:p>
      <w:pPr>
        <w:spacing w:after="120" w:line="276" w:lineRule="auto"/>
      </w:pPr>
      <w:r>
        <w:t>La valorisation d'ONTBF (PER 12x, P/B 3,31x, EV/EBITDA 5,1x) est raisonnable, sans sous-évaluation ni surévaluation marquée. Le comportement du cours sur 100 jours est baissier (-6,04%), avec une volatilité élevée (32,8%), mais des statistiques stables (kurtosis et skewness proches de la normale). Les signaux techniques sont mitigés, avec un MACD vendeur et un stochastique en survente, suggérant un possible rebond. Les fondamentaux sont solides, avec un ROE de 27,6% et une croissance du CA, mais la baisse du résultat net et les risques opérationnels limitent le potentiel. Les prédictions IA (2 836 FCFA à J+1, puis baisse progressive à 2 808 FCFA à J+10) indiquent une stabilisation autour de 2 800-2 840 FCFA, confirmant une tendance latérale. En synthèse, la convergence entre une valorisation correcte, des fondamentaux robustes mais en déclin, et des signaux techniques neutres à baissiers conduit à une recommandation **CONSERVER**. Le niveau de confiance est **Moyen**, le risque global est **Élevé** (contexte sécuritaire, réglementation), et l'horizon d'investissement optimal est le **moyen terme (3-12 mois)**, en attendant une amélioration de la rentabilité ou une stabilisation du cours.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2711.80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2,278 titres</w:t>
            </w:r>
          </w:p>
        </w:tc>
        <w:tc>
          <w:tcPr>
            <w:tcW w:type="dxa" w:w="2268"/>
            <w:shd w:fill="FFF2CC" w:val="clear"/>
          </w:tcPr>
          <w:p>
            <w:r>
              <w:rPr>
                <w:b/>
                <w:color w:val="503200"/>
                <w:sz w:val="16"/>
              </w:rPr>
              <w:t xml:space="preserve">Cours actuel : </w:t>
            </w:r>
            <w:r>
              <w:rPr>
                <w:color w:val="000000"/>
                <w:sz w:val="17"/>
              </w:rPr>
              <w:t>18,000 FCFA</w:t>
            </w:r>
          </w:p>
          <w:p>
            <w:r>
              <w:rPr>
                <w:b/>
                <w:color w:val="503200"/>
                <w:sz w:val="16"/>
              </w:rPr>
              <w:t xml:space="preserve">Var. 100 jours : </w:t>
            </w:r>
            <w:r>
              <w:rPr>
                <w:b/>
                <w:color w:val="007800"/>
                <w:sz w:val="17"/>
              </w:rPr>
              <w:t>+19.60%</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14,200 FCFA</w:t>
            </w:r>
          </w:p>
          <w:p>
            <w:r>
              <w:rPr>
                <w:b/>
                <w:color w:val="503200"/>
                <w:sz w:val="16"/>
              </w:rPr>
              <w:t xml:space="preserve">Volatilité ann. : </w:t>
            </w:r>
            <w:r>
              <w:rPr>
                <w:color w:val="000000"/>
                <w:sz w:val="17"/>
              </w:rPr>
              <w:t>30.6%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5.09% (Moyenne) — μ=15,800 FCFA, σ=803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β=1.4014 (Agressif) — Cov=0.000051, Var(idx)=0.000036, ρ=0.438,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2,278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σ_j=1.93%/j (Stable) — Vol. annualisée≈30.6%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2026-08-14</w:t>
            </w:r>
          </w:p>
        </w:tc>
        <w:tc>
          <w:tcPr>
            <w:tcW w:type="dxa" w:w="1440"/>
            <w:shd w:fill="FFDCE0" w:val="clear"/>
          </w:tcPr>
          <w:p>
            <w:r>
              <w:rPr>
                <w:sz w:val="17"/>
              </w:rPr>
              <w:t>16,815</w:t>
            </w:r>
          </w:p>
        </w:tc>
        <w:tc>
          <w:tcPr>
            <w:tcW w:type="dxa" w:w="1440"/>
            <w:shd w:fill="FFDCE0" w:val="clear"/>
          </w:tcPr>
          <w:p>
            <w:r>
              <w:rPr>
                <w:b/>
                <w:sz w:val="17"/>
              </w:rPr>
              <w:t>17,316</w:t>
            </w:r>
          </w:p>
        </w:tc>
        <w:tc>
          <w:tcPr>
            <w:tcW w:type="dxa" w:w="1440"/>
            <w:shd w:fill="FFDCE0" w:val="clear"/>
          </w:tcPr>
          <w:p>
            <w:r>
              <w:rPr>
                <w:sz w:val="17"/>
              </w:rPr>
              <w:t>17,817</w:t>
            </w:r>
          </w:p>
        </w:tc>
        <w:tc>
          <w:tcPr>
            <w:tcW w:type="dxa" w:w="1440"/>
            <w:shd w:fill="FFDCE0" w:val="clear"/>
          </w:tcPr>
          <w:p>
            <w:r>
              <w:rPr>
                <w:b/>
                <w:color w:val="C00000"/>
                <w:sz w:val="17"/>
              </w:rPr>
              <w:t>-3.8%</w:t>
            </w:r>
          </w:p>
        </w:tc>
      </w:tr>
      <w:tr>
        <w:tc>
          <w:tcPr>
            <w:tcW w:type="dxa" w:w="1440"/>
            <w:shd w:fill="FFDCE0" w:val="clear"/>
          </w:tcPr>
          <w:p>
            <w:r>
              <w:rPr>
                <w:sz w:val="17"/>
              </w:rPr>
              <w:t>J+2  Moyenne</w:t>
            </w:r>
          </w:p>
        </w:tc>
        <w:tc>
          <w:tcPr>
            <w:tcW w:type="dxa" w:w="1440"/>
            <w:shd w:fill="FFDCE0" w:val="clear"/>
          </w:tcPr>
          <w:p>
            <w:r>
              <w:rPr>
                <w:sz w:val="17"/>
              </w:rPr>
              <w:t>2026-08-17</w:t>
            </w:r>
          </w:p>
        </w:tc>
        <w:tc>
          <w:tcPr>
            <w:tcW w:type="dxa" w:w="1440"/>
            <w:shd w:fill="FFDCE0" w:val="clear"/>
          </w:tcPr>
          <w:p>
            <w:r>
              <w:rPr>
                <w:sz w:val="17"/>
              </w:rPr>
              <w:t>16,633</w:t>
            </w:r>
          </w:p>
        </w:tc>
        <w:tc>
          <w:tcPr>
            <w:tcW w:type="dxa" w:w="1440"/>
            <w:shd w:fill="FFDCE0" w:val="clear"/>
          </w:tcPr>
          <w:p>
            <w:r>
              <w:rPr>
                <w:b/>
                <w:sz w:val="17"/>
              </w:rPr>
              <w:t>17,342</w:t>
            </w:r>
          </w:p>
        </w:tc>
        <w:tc>
          <w:tcPr>
            <w:tcW w:type="dxa" w:w="1440"/>
            <w:shd w:fill="FFDCE0" w:val="clear"/>
          </w:tcPr>
          <w:p>
            <w:r>
              <w:rPr>
                <w:sz w:val="17"/>
              </w:rPr>
              <w:t>18,052</w:t>
            </w:r>
          </w:p>
        </w:tc>
        <w:tc>
          <w:tcPr>
            <w:tcW w:type="dxa" w:w="1440"/>
            <w:shd w:fill="FFDCE0" w:val="clear"/>
          </w:tcPr>
          <w:p>
            <w:r>
              <w:rPr>
                <w:b/>
                <w:color w:val="C00000"/>
                <w:sz w:val="17"/>
              </w:rPr>
              <w:t>-3.7%</w:t>
            </w:r>
          </w:p>
        </w:tc>
      </w:tr>
      <w:tr>
        <w:tc>
          <w:tcPr>
            <w:tcW w:type="dxa" w:w="1440"/>
            <w:shd w:fill="FFDCE0" w:val="clear"/>
          </w:tcPr>
          <w:p>
            <w:r>
              <w:rPr>
                <w:sz w:val="17"/>
              </w:rPr>
              <w:t>J+3  ⭐</w:t>
            </w:r>
          </w:p>
        </w:tc>
        <w:tc>
          <w:tcPr>
            <w:tcW w:type="dxa" w:w="1440"/>
            <w:shd w:fill="FFDCE0" w:val="clear"/>
          </w:tcPr>
          <w:p>
            <w:r>
              <w:rPr>
                <w:sz w:val="17"/>
              </w:rPr>
              <w:t>2026-08-18</w:t>
            </w:r>
          </w:p>
        </w:tc>
        <w:tc>
          <w:tcPr>
            <w:tcW w:type="dxa" w:w="1440"/>
            <w:shd w:fill="FFDCE0" w:val="clear"/>
          </w:tcPr>
          <w:p>
            <w:r>
              <w:rPr>
                <w:sz w:val="17"/>
              </w:rPr>
              <w:t>16,446</w:t>
            </w:r>
          </w:p>
        </w:tc>
        <w:tc>
          <w:tcPr>
            <w:tcW w:type="dxa" w:w="1440"/>
            <w:shd w:fill="FFDCE0" w:val="clear"/>
          </w:tcPr>
          <w:p>
            <w:r>
              <w:rPr>
                <w:b/>
                <w:sz w:val="17"/>
              </w:rPr>
              <w:t>17,313</w:t>
            </w:r>
          </w:p>
        </w:tc>
        <w:tc>
          <w:tcPr>
            <w:tcW w:type="dxa" w:w="1440"/>
            <w:shd w:fill="FFDCE0" w:val="clear"/>
          </w:tcPr>
          <w:p>
            <w:r>
              <w:rPr>
                <w:sz w:val="17"/>
              </w:rPr>
              <w:t>18,181</w:t>
            </w:r>
          </w:p>
        </w:tc>
        <w:tc>
          <w:tcPr>
            <w:tcW w:type="dxa" w:w="1440"/>
            <w:shd w:fill="FFDCE0" w:val="clear"/>
          </w:tcPr>
          <w:p>
            <w:r>
              <w:rPr>
                <w:b/>
                <w:color w:val="C00000"/>
                <w:sz w:val="17"/>
              </w:rPr>
              <w:t>-3.8%</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16,275</w:t>
            </w:r>
          </w:p>
        </w:tc>
        <w:tc>
          <w:tcPr>
            <w:tcW w:type="dxa" w:w="1440"/>
            <w:shd w:fill="FFDCE0" w:val="clear"/>
          </w:tcPr>
          <w:p>
            <w:r>
              <w:rPr>
                <w:b/>
                <w:sz w:val="17"/>
              </w:rPr>
              <w:t>17,275</w:t>
            </w:r>
          </w:p>
        </w:tc>
        <w:tc>
          <w:tcPr>
            <w:tcW w:type="dxa" w:w="1440"/>
            <w:shd w:fill="FFDCE0" w:val="clear"/>
          </w:tcPr>
          <w:p>
            <w:r>
              <w:rPr>
                <w:sz w:val="17"/>
              </w:rPr>
              <w:t>18,274</w:t>
            </w:r>
          </w:p>
        </w:tc>
        <w:tc>
          <w:tcPr>
            <w:tcW w:type="dxa" w:w="1440"/>
            <w:shd w:fill="FFDCE0" w:val="clear"/>
          </w:tcPr>
          <w:p>
            <w:r>
              <w:rPr>
                <w:b/>
                <w:color w:val="C00000"/>
                <w:sz w:val="17"/>
              </w:rPr>
              <w:t>-4.0%</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16,120</w:t>
            </w:r>
          </w:p>
        </w:tc>
        <w:tc>
          <w:tcPr>
            <w:tcW w:type="dxa" w:w="1440"/>
            <w:shd w:fill="FFDCE0" w:val="clear"/>
          </w:tcPr>
          <w:p>
            <w:r>
              <w:rPr>
                <w:b/>
                <w:sz w:val="17"/>
              </w:rPr>
              <w:t>17,235</w:t>
            </w:r>
          </w:p>
        </w:tc>
        <w:tc>
          <w:tcPr>
            <w:tcW w:type="dxa" w:w="1440"/>
            <w:shd w:fill="FFDCE0" w:val="clear"/>
          </w:tcPr>
          <w:p>
            <w:r>
              <w:rPr>
                <w:sz w:val="17"/>
              </w:rPr>
              <w:t>18,349</w:t>
            </w:r>
          </w:p>
        </w:tc>
        <w:tc>
          <w:tcPr>
            <w:tcW w:type="dxa" w:w="1440"/>
            <w:shd w:fill="FFDCE0" w:val="clear"/>
          </w:tcPr>
          <w:p>
            <w:r>
              <w:rPr>
                <w:b/>
                <w:color w:val="C00000"/>
                <w:sz w:val="17"/>
              </w:rPr>
              <w:t>-4.3%</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15,977</w:t>
            </w:r>
          </w:p>
        </w:tc>
        <w:tc>
          <w:tcPr>
            <w:tcW w:type="dxa" w:w="1440"/>
            <w:shd w:fill="FFDCE0" w:val="clear"/>
          </w:tcPr>
          <w:p>
            <w:r>
              <w:rPr>
                <w:b/>
                <w:sz w:val="17"/>
              </w:rPr>
              <w:t>17,195</w:t>
            </w:r>
          </w:p>
        </w:tc>
        <w:tc>
          <w:tcPr>
            <w:tcW w:type="dxa" w:w="1440"/>
            <w:shd w:fill="FFDCE0" w:val="clear"/>
          </w:tcPr>
          <w:p>
            <w:r>
              <w:rPr>
                <w:sz w:val="17"/>
              </w:rPr>
              <w:t>18,413</w:t>
            </w:r>
          </w:p>
        </w:tc>
        <w:tc>
          <w:tcPr>
            <w:tcW w:type="dxa" w:w="1440"/>
            <w:shd w:fill="FFDCE0" w:val="clear"/>
          </w:tcPr>
          <w:p>
            <w:r>
              <w:rPr>
                <w:b/>
                <w:color w:val="C00000"/>
                <w:sz w:val="17"/>
              </w:rPr>
              <w:t>-4.5%</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15,844</w:t>
            </w:r>
          </w:p>
        </w:tc>
        <w:tc>
          <w:tcPr>
            <w:tcW w:type="dxa" w:w="1440"/>
            <w:shd w:fill="FFDCE0" w:val="clear"/>
          </w:tcPr>
          <w:p>
            <w:r>
              <w:rPr>
                <w:b/>
                <w:sz w:val="17"/>
              </w:rPr>
              <w:t>17,157</w:t>
            </w:r>
          </w:p>
        </w:tc>
        <w:tc>
          <w:tcPr>
            <w:tcW w:type="dxa" w:w="1440"/>
            <w:shd w:fill="FFDCE0" w:val="clear"/>
          </w:tcPr>
          <w:p>
            <w:r>
              <w:rPr>
                <w:sz w:val="17"/>
              </w:rPr>
              <w:t>18,469</w:t>
            </w:r>
          </w:p>
        </w:tc>
        <w:tc>
          <w:tcPr>
            <w:tcW w:type="dxa" w:w="1440"/>
            <w:shd w:fill="FFDCE0" w:val="clear"/>
          </w:tcPr>
          <w:p>
            <w:r>
              <w:rPr>
                <w:b/>
                <w:color w:val="C00000"/>
                <w:sz w:val="17"/>
              </w:rPr>
              <w:t>-4.7%</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15,718</w:t>
            </w:r>
          </w:p>
        </w:tc>
        <w:tc>
          <w:tcPr>
            <w:tcW w:type="dxa" w:w="1440"/>
            <w:shd w:fill="FFDCE0" w:val="clear"/>
          </w:tcPr>
          <w:p>
            <w:r>
              <w:rPr>
                <w:b/>
                <w:sz w:val="17"/>
              </w:rPr>
              <w:t>17,119</w:t>
            </w:r>
          </w:p>
        </w:tc>
        <w:tc>
          <w:tcPr>
            <w:tcW w:type="dxa" w:w="1440"/>
            <w:shd w:fill="FFDCE0" w:val="clear"/>
          </w:tcPr>
          <w:p>
            <w:r>
              <w:rPr>
                <w:sz w:val="17"/>
              </w:rPr>
              <w:t>18,519</w:t>
            </w:r>
          </w:p>
        </w:tc>
        <w:tc>
          <w:tcPr>
            <w:tcW w:type="dxa" w:w="1440"/>
            <w:shd w:fill="FFDCE0" w:val="clear"/>
          </w:tcPr>
          <w:p>
            <w:r>
              <w:rPr>
                <w:b/>
                <w:color w:val="C00000"/>
                <w:sz w:val="17"/>
              </w:rPr>
              <w:t>-4.9%</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15,599</w:t>
            </w:r>
          </w:p>
        </w:tc>
        <w:tc>
          <w:tcPr>
            <w:tcW w:type="dxa" w:w="1440"/>
            <w:shd w:fill="FFDCE0" w:val="clear"/>
          </w:tcPr>
          <w:p>
            <w:r>
              <w:rPr>
                <w:b/>
                <w:sz w:val="17"/>
              </w:rPr>
              <w:t>17,081</w:t>
            </w:r>
          </w:p>
        </w:tc>
        <w:tc>
          <w:tcPr>
            <w:tcW w:type="dxa" w:w="1440"/>
            <w:shd w:fill="FFDCE0" w:val="clear"/>
          </w:tcPr>
          <w:p>
            <w:r>
              <w:rPr>
                <w:sz w:val="17"/>
              </w:rPr>
              <w:t>18,564</w:t>
            </w:r>
          </w:p>
        </w:tc>
        <w:tc>
          <w:tcPr>
            <w:tcW w:type="dxa" w:w="1440"/>
            <w:shd w:fill="FFDCE0" w:val="clear"/>
          </w:tcPr>
          <w:p>
            <w:r>
              <w:rPr>
                <w:b/>
                <w:color w:val="C00000"/>
                <w:sz w:val="17"/>
              </w:rPr>
              <w:t>-5.1%</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15,486</w:t>
            </w:r>
          </w:p>
        </w:tc>
        <w:tc>
          <w:tcPr>
            <w:tcW w:type="dxa" w:w="1440"/>
            <w:shd w:fill="FFDCE0" w:val="clear"/>
          </w:tcPr>
          <w:p>
            <w:r>
              <w:rPr>
                <w:b/>
                <w:sz w:val="17"/>
              </w:rPr>
              <w:t>17,045</w:t>
            </w:r>
          </w:p>
        </w:tc>
        <w:tc>
          <w:tcPr>
            <w:tcW w:type="dxa" w:w="1440"/>
            <w:shd w:fill="FFDCE0" w:val="clear"/>
          </w:tcPr>
          <w:p>
            <w:r>
              <w:rPr>
                <w:sz w:val="17"/>
              </w:rPr>
              <w:t>18,604</w:t>
            </w:r>
          </w:p>
        </w:tc>
        <w:tc>
          <w:tcPr>
            <w:tcW w:type="dxa" w:w="1440"/>
            <w:shd w:fill="FFDCE0" w:val="clear"/>
          </w:tcPr>
          <w:p>
            <w:r>
              <w:rPr>
                <w:b/>
                <w:color w:val="C00000"/>
                <w:sz w:val="17"/>
              </w:rPr>
              <w:t>-5.3%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ORANGE CÔTE D'IVOIRE (ORAC)**</w:t>
        <w:br/>
        <w:t>**Date : 13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d'ORAC s'établit à 2 711,80 milliards FCFA, ce qui en fait l'une des toutes premières capitalisations de la BRVM, représentant une part significative de la liquidité et de l'indice global. Avec un BPA de 1 114 FCFA, le titre se négocie à un PER de 16,2x, nettement supérieur à la moyenne historique de la place (~8-12x), indiquant que les investisseurs intègrent déjà une croissance future soutenue et une prime de qualité pour ce leader régional des télécoms. Le P/B de 3,83x confirme cette prime, le marché valorisant le titre bien au-delà de sa valeur comptable (2-4x étant la zone de croissance accordée). Enfin, l'EV/EBITDA de 6,5x reste dans une zone raisonnable (5-10x), signalant que la valorisation globale de l'entreprise, rapportée à sa capacité opérationnelle, n'est pas excessive malgré la prime boursière.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ORAC a enregistré une progression totale de +19,60%, avec une accélération marquée lors de la dernière séance (+4,32%), portant le cours à 18 000 FCFA, son plus haut niveau sur la période. Le titre a évolué dans un range de 14 200 à 18 000 FCFA, démontrant une tendance haussière soutenue. Les statistiques descriptives révèlent une distribution relativement symétrique (skewness de 0,244) et mésokurtique (kurtosis de -0,858), signe d'un comportement de prix proche d'une normale, sans pics de volatilité extrêmes. La moyenne (15 800 FCFA) et la médiane (15 802 FCFA) sont quasi identiques, confirmant l'absence de distorsion majeure. L'écart-type de 808 FCFA (CV=5,1%) indique une dispersion modérée autour de la moyenne. La volatilité annualisée de 30,6% classe le titre dans la catégorie élevée (&gt;30%), reflétant un risque de marché significatif, cohérent avec la forte appréciation récente.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(18 000 FCFA) se situe nettement au-dessus de la MM20 (16 755,75 FCFA) et de la MM50 (16 459,8 FCFA), confirmant une dynamique haussière à court et moyen terme. La configuration des MM (cours &gt; MM20 &gt; MM50) valide la tendance et justifie la décision d'achat.</w:t>
      </w:r>
    </w:p>
    <w:p>
      <w:pPr>
        <w:spacing w:after="120" w:line="276" w:lineRule="auto"/>
      </w:pPr>
      <w:r>
        <w:t>**Bandes de Bollinger** : Le prix a franchi la borne supérieure (17 770,17 FCFA), signalant une extension excessive et une possible suraccumulation à court terme. Cette sortie de bande suggère une volatilité accrue et un risque de correction technique, d'où la décision de vente.</w:t>
      </w:r>
    </w:p>
    <w:p>
      <w:pPr>
        <w:spacing w:after="120" w:line="276" w:lineRule="auto"/>
      </w:pPr>
      <w:r>
        <w:t>**MACD** : Le MACD (312,34) est nettement au-dessus de sa ligne de signal (224,08), avec un écart positif croissant. Ce momentum haussier confirme la force de la tendance, justifiant la décision d'achat.</w:t>
      </w:r>
    </w:p>
    <w:p>
      <w:pPr>
        <w:spacing w:after="120" w:line="276" w:lineRule="auto"/>
      </w:pPr>
      <w:r>
        <w:t>**RSI** : Le RSI à 91,46 est en zone de surachat extrême (&gt;70), indiquant que le titre est survendu techniquement et qu'un repli est probable à court terme. La décision de vente est donc cohérente avec cet indicateur.</w:t>
      </w:r>
    </w:p>
    <w:p>
      <w:pPr>
        <w:spacing w:after="120" w:line="276" w:lineRule="auto"/>
      </w:pPr>
      <w:r>
        <w:t>**Stochastique** : Le %K (100,0) et le %D (96,44) sont tous deux en zone de surachat, avec un %K au maximum absolu. Cette configuration signale une faiblesse imminente, justifiant la décision de vente.</w:t>
      </w:r>
    </w:p>
    <w:p>
      <w:pPr>
        <w:spacing w:after="120" w:line="276" w:lineRule="auto"/>
      </w:pPr>
      <w:r>
        <w:t>**Conclusion technique** : La tendance de fond reste résolument haussière, mais les indicateurs de momentum (RSI, Stochastique, Bollinger) signalent une suraccumulation extrême. Un repli technique est probable à court terme, mais la structure des moyennes mobiles suggère que tout repli pourrait être une opportunité d'achat dans la tendance.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officielles font état d'un chiffre d'affaires consolidé de 1 197,1 milliards FCFA, en hausse de +10,4% par rapport à 2024. Le résultat net consolidé s'établit à 167,8 milliards FCFA, en progression de +6,1%, tandis que le résultat net part du groupe atteint 129,1 milliards FCFA (+14,5%). La rentabilité des fonds propres (ROE) est excellente à 23,7%, et le ROA ressort à 6,6%, témoignant d'une gestion efficace des actifs. La marge opérationnelle de 24,0% et la marge nette de 14,0% confirment la solidité du modèle. Le BFR négatif (-198 milliards FCFA) est un signal très favorable, indiquant que le groupe finance son exploitation grâce aux délais fournisseurs (210,9 jours) et aux avances clients. Le ratio d'endettement de 47,5% reste maîtrisé, et la capacité de remboursement de 0,99 an est excellente. Sur la base du rapport T1 2026 (CA +14,8% à 325,6 milliards FCFA, résultat net +25,2% à 48,3 milliards FCFA), on estime que l'exercice 2026 pourrait afficher une croissance du CA de +12-14% et une progression du résultat net de +15-20%, portée par la fibre, Orange Money et la data. Le dividende proposé de 800 FCFA brut par action (rendement ~4,4%) reste attractif, malgré une baisse par rapport à l'exercice précédent.</w:t>
      </w:r>
    </w:p>
    <w:p>
      <w:pPr>
        <w:spacing w:after="120" w:line="276" w:lineRule="auto"/>
      </w:pPr>
      <w:r>
        <w:t>---</w:t>
      </w:r>
    </w:p>
    <w:p>
      <w:pPr>
        <w:spacing w:after="120" w:line="276" w:lineRule="auto"/>
      </w:pPr>
      <w:r>
        <w:t>### PARTIE 4 : CONCLUSION D'INVESTISSEMENT</w:t>
      </w:r>
    </w:p>
    <w:p>
      <w:pPr>
        <w:spacing w:after="120" w:line="276" w:lineRule="auto"/>
      </w:pPr>
      <w:r>
        <w:t>La valorisation actuelle (PER 16,2x, P/B 3,83x) intègre une prime de croissance justifiée par des fondamentaux solides, mais le titre n'est plus bon marché. Le comportement du cours (+19,6% sur 100 jours, volatilité 30,6%) montre une dynamique haussière puissante, mais les statistiques descriptives suggèrent une distribution normale sans excès de risque. Les signaux techniques sont divergents : la tendance (MM, MACD) reste positive, mais les indicateurs de surachat (RSI, Stochastique, Bollinger) signalent un risque de correction imminent. Les fondamentaux sont excellents (ROE 23,7%, croissance CA +10,4%, BFR négatif), et les estimations 2026 basées sur le T1 (+14,8% CA, +25,2% RN) confirment une trajectoire de croissance soutenue. Les prédictions IA (17 316 à 17 235 FCFA sur J+1 à J+10) anticipent un repli de 4-5% par rapport au cours actuel, cohérent avec les signaux de surachat technique. **Recommandation finale : CONSERVER** — la convergence entre la solidité fondamentale et la prédiction IA de repli suggère d'attendre un point d'entrée plus favorable. Niveau de confiance : **Moyen** | Risque global : **Moyen** | Horizon optimal : **Moyen terme (3-12 mois)**.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212.76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6,352 titres</w:t>
            </w:r>
          </w:p>
        </w:tc>
        <w:tc>
          <w:tcPr>
            <w:tcW w:type="dxa" w:w="2268"/>
            <w:shd w:fill="FFF2CC" w:val="clear"/>
          </w:tcPr>
          <w:p>
            <w:r>
              <w:rPr>
                <w:b/>
                <w:color w:val="503200"/>
                <w:sz w:val="16"/>
              </w:rPr>
              <w:t xml:space="preserve">Cours actuel : </w:t>
            </w:r>
            <w:r>
              <w:rPr>
                <w:color w:val="000000"/>
                <w:sz w:val="17"/>
              </w:rPr>
              <w:t>3,065 FCFA</w:t>
            </w:r>
          </w:p>
          <w:p>
            <w:r>
              <w:rPr>
                <w:b/>
                <w:color w:val="503200"/>
                <w:sz w:val="16"/>
              </w:rPr>
              <w:t xml:space="preserve">Var. 100 jours : </w:t>
            </w:r>
            <w:r>
              <w:rPr>
                <w:b/>
                <w:color w:val="B40000"/>
                <w:sz w:val="17"/>
              </w:rPr>
              <w:t>-17.16%</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12.84% (Moyenne) — μ=2,994 FCFA, σ=384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β=0.1722 (Défensif) — Cov=0.000006, Var(idx)=0.000036, ρ=0.037,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σ_j=2.83%/j (Stable) — Vol. annualisée≈44.9%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2026-08-14</w:t>
            </w:r>
          </w:p>
        </w:tc>
        <w:tc>
          <w:tcPr>
            <w:tcW w:type="dxa" w:w="1440"/>
            <w:shd w:fill="FAFAFA" w:val="clear"/>
          </w:tcPr>
          <w:p>
            <w:r>
              <w:rPr>
                <w:sz w:val="17"/>
              </w:rPr>
              <w:t>2,991</w:t>
            </w:r>
          </w:p>
        </w:tc>
        <w:tc>
          <w:tcPr>
            <w:tcW w:type="dxa" w:w="1440"/>
            <w:shd w:fill="FAFAFA" w:val="clear"/>
          </w:tcPr>
          <w:p>
            <w:r>
              <w:rPr>
                <w:b/>
                <w:sz w:val="17"/>
              </w:rPr>
              <w:t>3,083</w:t>
            </w:r>
          </w:p>
        </w:tc>
        <w:tc>
          <w:tcPr>
            <w:tcW w:type="dxa" w:w="1440"/>
            <w:shd w:fill="FAFAFA" w:val="clear"/>
          </w:tcPr>
          <w:p>
            <w:r>
              <w:rPr>
                <w:sz w:val="17"/>
              </w:rPr>
              <w:t>3,175</w:t>
            </w:r>
          </w:p>
        </w:tc>
        <w:tc>
          <w:tcPr>
            <w:tcW w:type="dxa" w:w="1440"/>
            <w:shd w:fill="FAFAFA" w:val="clear"/>
          </w:tcPr>
          <w:p>
            <w:r>
              <w:rPr>
                <w:b/>
                <w:color w:val="008000"/>
                <w:sz w:val="17"/>
              </w:rPr>
              <w:t>+0.6%</w:t>
            </w:r>
          </w:p>
        </w:tc>
      </w:tr>
      <w:tr>
        <w:tc>
          <w:tcPr>
            <w:tcW w:type="dxa" w:w="1440"/>
            <w:shd w:fill="FAFAFA" w:val="clear"/>
          </w:tcPr>
          <w:p>
            <w:r>
              <w:rPr>
                <w:sz w:val="17"/>
              </w:rPr>
              <w:t>J+2  ⭐⭐⭐</w:t>
            </w:r>
          </w:p>
        </w:tc>
        <w:tc>
          <w:tcPr>
            <w:tcW w:type="dxa" w:w="1440"/>
            <w:shd w:fill="FAFAFA" w:val="clear"/>
          </w:tcPr>
          <w:p>
            <w:r>
              <w:rPr>
                <w:sz w:val="17"/>
              </w:rPr>
              <w:t>2026-08-17</w:t>
            </w:r>
          </w:p>
        </w:tc>
        <w:tc>
          <w:tcPr>
            <w:tcW w:type="dxa" w:w="1440"/>
            <w:shd w:fill="FAFAFA" w:val="clear"/>
          </w:tcPr>
          <w:p>
            <w:r>
              <w:rPr>
                <w:sz w:val="17"/>
              </w:rPr>
              <w:t>2,949</w:t>
            </w:r>
          </w:p>
        </w:tc>
        <w:tc>
          <w:tcPr>
            <w:tcW w:type="dxa" w:w="1440"/>
            <w:shd w:fill="FAFAFA" w:val="clear"/>
          </w:tcPr>
          <w:p>
            <w:r>
              <w:rPr>
                <w:b/>
                <w:sz w:val="17"/>
              </w:rPr>
              <w:t>3,079</w:t>
            </w:r>
          </w:p>
        </w:tc>
        <w:tc>
          <w:tcPr>
            <w:tcW w:type="dxa" w:w="1440"/>
            <w:shd w:fill="FAFAFA" w:val="clear"/>
          </w:tcPr>
          <w:p>
            <w:r>
              <w:rPr>
                <w:sz w:val="17"/>
              </w:rPr>
              <w:t>3,209</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2026-08-18</w:t>
            </w:r>
          </w:p>
        </w:tc>
        <w:tc>
          <w:tcPr>
            <w:tcW w:type="dxa" w:w="1440"/>
            <w:shd w:fill="FAFAFA" w:val="clear"/>
          </w:tcPr>
          <w:p>
            <w:r>
              <w:rPr>
                <w:sz w:val="17"/>
              </w:rPr>
              <w:t>2,917</w:t>
            </w:r>
          </w:p>
        </w:tc>
        <w:tc>
          <w:tcPr>
            <w:tcW w:type="dxa" w:w="1440"/>
            <w:shd w:fill="FAFAFA" w:val="clear"/>
          </w:tcPr>
          <w:p>
            <w:r>
              <w:rPr>
                <w:b/>
                <w:sz w:val="17"/>
              </w:rPr>
              <w:t>3,077</w:t>
            </w:r>
          </w:p>
        </w:tc>
        <w:tc>
          <w:tcPr>
            <w:tcW w:type="dxa" w:w="1440"/>
            <w:shd w:fill="FAFAFA" w:val="clear"/>
          </w:tcPr>
          <w:p>
            <w:r>
              <w:rPr>
                <w:sz w:val="17"/>
              </w:rPr>
              <w:t>3,236</w:t>
            </w:r>
          </w:p>
        </w:tc>
        <w:tc>
          <w:tcPr>
            <w:tcW w:type="dxa" w:w="1440"/>
            <w:shd w:fill="FAFAFA" w:val="clear"/>
          </w:tcPr>
          <w:p>
            <w:r>
              <w:rPr>
                <w:b/>
                <w:color w:val="008000"/>
                <w:sz w:val="17"/>
              </w:rPr>
              <w:t>+0.4%</w:t>
            </w:r>
          </w:p>
        </w:tc>
      </w:tr>
      <w:tr>
        <w:tc>
          <w:tcPr>
            <w:tcW w:type="dxa" w:w="1440"/>
            <w:shd w:fill="FAFAFA" w:val="clear"/>
          </w:tcPr>
          <w:p>
            <w:r>
              <w:rPr>
                <w:sz w:val="17"/>
              </w:rPr>
              <w:t>J+4  Moyenne</w:t>
            </w:r>
          </w:p>
        </w:tc>
        <w:tc>
          <w:tcPr>
            <w:tcW w:type="dxa" w:w="1440"/>
            <w:shd w:fill="FAFAFA" w:val="clear"/>
          </w:tcPr>
          <w:p>
            <w:r>
              <w:rPr>
                <w:sz w:val="17"/>
              </w:rPr>
              <w:t>2026-08-19</w:t>
            </w:r>
          </w:p>
        </w:tc>
        <w:tc>
          <w:tcPr>
            <w:tcW w:type="dxa" w:w="1440"/>
            <w:shd w:fill="FAFAFA" w:val="clear"/>
          </w:tcPr>
          <w:p>
            <w:r>
              <w:rPr>
                <w:sz w:val="17"/>
              </w:rPr>
              <w:t>2,891</w:t>
            </w:r>
          </w:p>
        </w:tc>
        <w:tc>
          <w:tcPr>
            <w:tcW w:type="dxa" w:w="1440"/>
            <w:shd w:fill="FAFAFA" w:val="clear"/>
          </w:tcPr>
          <w:p>
            <w:r>
              <w:rPr>
                <w:b/>
                <w:sz w:val="17"/>
              </w:rPr>
              <w:t>3,074</w:t>
            </w:r>
          </w:p>
        </w:tc>
        <w:tc>
          <w:tcPr>
            <w:tcW w:type="dxa" w:w="1440"/>
            <w:shd w:fill="FAFAFA" w:val="clear"/>
          </w:tcPr>
          <w:p>
            <w:r>
              <w:rPr>
                <w:sz w:val="17"/>
              </w:rPr>
              <w:t>3,258</w:t>
            </w:r>
          </w:p>
        </w:tc>
        <w:tc>
          <w:tcPr>
            <w:tcW w:type="dxa" w:w="1440"/>
            <w:shd w:fill="FAFAFA" w:val="clear"/>
          </w:tcPr>
          <w:p>
            <w:r>
              <w:rPr>
                <w:b/>
                <w:color w:val="008000"/>
                <w:sz w:val="17"/>
              </w:rPr>
              <w:t>+0.3%</w:t>
            </w:r>
          </w:p>
        </w:tc>
      </w:tr>
      <w:tr>
        <w:tc>
          <w:tcPr>
            <w:tcW w:type="dxa" w:w="1440"/>
            <w:shd w:fill="FAFAFA" w:val="clear"/>
          </w:tcPr>
          <w:p>
            <w:r>
              <w:rPr>
                <w:sz w:val="17"/>
              </w:rPr>
              <w:t>J+5  Moyenne</w:t>
            </w:r>
          </w:p>
        </w:tc>
        <w:tc>
          <w:tcPr>
            <w:tcW w:type="dxa" w:w="1440"/>
            <w:shd w:fill="FAFAFA" w:val="clear"/>
          </w:tcPr>
          <w:p>
            <w:r>
              <w:rPr>
                <w:sz w:val="17"/>
              </w:rPr>
              <w:t>2026-08-20</w:t>
            </w:r>
          </w:p>
        </w:tc>
        <w:tc>
          <w:tcPr>
            <w:tcW w:type="dxa" w:w="1440"/>
            <w:shd w:fill="FAFAFA" w:val="clear"/>
          </w:tcPr>
          <w:p>
            <w:r>
              <w:rPr>
                <w:sz w:val="17"/>
              </w:rPr>
              <w:t>2,867</w:t>
            </w:r>
          </w:p>
        </w:tc>
        <w:tc>
          <w:tcPr>
            <w:tcW w:type="dxa" w:w="1440"/>
            <w:shd w:fill="FAFAFA" w:val="clear"/>
          </w:tcPr>
          <w:p>
            <w:r>
              <w:rPr>
                <w:b/>
                <w:sz w:val="17"/>
              </w:rPr>
              <w:t>3,072</w:t>
            </w:r>
          </w:p>
        </w:tc>
        <w:tc>
          <w:tcPr>
            <w:tcW w:type="dxa" w:w="1440"/>
            <w:shd w:fill="FAFAFA" w:val="clear"/>
          </w:tcPr>
          <w:p>
            <w:r>
              <w:rPr>
                <w:sz w:val="17"/>
              </w:rPr>
              <w:t>3,277</w:t>
            </w:r>
          </w:p>
        </w:tc>
        <w:tc>
          <w:tcPr>
            <w:tcW w:type="dxa" w:w="1440"/>
            <w:shd w:fill="FAFAFA" w:val="clear"/>
          </w:tcPr>
          <w:p>
            <w:r>
              <w:rPr>
                <w:b/>
                <w:color w:val="008000"/>
                <w:sz w:val="17"/>
              </w:rPr>
              <w:t>+0.2%</w:t>
            </w:r>
          </w:p>
        </w:tc>
      </w:tr>
      <w:tr>
        <w:tc>
          <w:tcPr>
            <w:tcW w:type="dxa" w:w="1440"/>
            <w:shd w:fill="FAFAFA" w:val="clear"/>
          </w:tcPr>
          <w:p>
            <w:r>
              <w:rPr>
                <w:sz w:val="17"/>
              </w:rPr>
              <w:t>J+6  Moyenne</w:t>
            </w:r>
          </w:p>
        </w:tc>
        <w:tc>
          <w:tcPr>
            <w:tcW w:type="dxa" w:w="1440"/>
            <w:shd w:fill="FAFAFA" w:val="clear"/>
          </w:tcPr>
          <w:p>
            <w:r>
              <w:rPr>
                <w:sz w:val="17"/>
              </w:rPr>
              <w:t>2026-08-21</w:t>
            </w:r>
          </w:p>
        </w:tc>
        <w:tc>
          <w:tcPr>
            <w:tcW w:type="dxa" w:w="1440"/>
            <w:shd w:fill="FAFAFA" w:val="clear"/>
          </w:tcPr>
          <w:p>
            <w:r>
              <w:rPr>
                <w:sz w:val="17"/>
              </w:rPr>
              <w:t>2,845</w:t>
            </w:r>
          </w:p>
        </w:tc>
        <w:tc>
          <w:tcPr>
            <w:tcW w:type="dxa" w:w="1440"/>
            <w:shd w:fill="FAFAFA" w:val="clear"/>
          </w:tcPr>
          <w:p>
            <w:r>
              <w:rPr>
                <w:b/>
                <w:sz w:val="17"/>
              </w:rPr>
              <w:t>3,070</w:t>
            </w:r>
          </w:p>
        </w:tc>
        <w:tc>
          <w:tcPr>
            <w:tcW w:type="dxa" w:w="1440"/>
            <w:shd w:fill="FAFAFA" w:val="clear"/>
          </w:tcPr>
          <w:p>
            <w:r>
              <w:rPr>
                <w:sz w:val="17"/>
              </w:rPr>
              <w:t>3,294</w:t>
            </w:r>
          </w:p>
        </w:tc>
        <w:tc>
          <w:tcPr>
            <w:tcW w:type="dxa" w:w="1440"/>
            <w:shd w:fill="FAFAFA" w:val="clear"/>
          </w:tcPr>
          <w:p>
            <w:r>
              <w:rPr>
                <w:b/>
                <w:color w:val="008000"/>
                <w:sz w:val="17"/>
              </w:rPr>
              <w:t>+0.1%</w:t>
            </w:r>
          </w:p>
        </w:tc>
      </w:tr>
      <w:tr>
        <w:tc>
          <w:tcPr>
            <w:tcW w:type="dxa" w:w="1440"/>
            <w:shd w:fill="FAFAFA" w:val="clear"/>
          </w:tcPr>
          <w:p>
            <w:r>
              <w:rPr>
                <w:sz w:val="17"/>
              </w:rPr>
              <w:t>J+7  Moyenne</w:t>
            </w:r>
          </w:p>
        </w:tc>
        <w:tc>
          <w:tcPr>
            <w:tcW w:type="dxa" w:w="1440"/>
            <w:shd w:fill="FAFAFA" w:val="clear"/>
          </w:tcPr>
          <w:p>
            <w:r>
              <w:rPr>
                <w:sz w:val="17"/>
              </w:rPr>
              <w:t>2026-08-24</w:t>
            </w:r>
          </w:p>
        </w:tc>
        <w:tc>
          <w:tcPr>
            <w:tcW w:type="dxa" w:w="1440"/>
            <w:shd w:fill="FAFAFA" w:val="clear"/>
          </w:tcPr>
          <w:p>
            <w:r>
              <w:rPr>
                <w:sz w:val="17"/>
              </w:rPr>
              <w:t>2,825</w:t>
            </w:r>
          </w:p>
        </w:tc>
        <w:tc>
          <w:tcPr>
            <w:tcW w:type="dxa" w:w="1440"/>
            <w:shd w:fill="FAFAFA" w:val="clear"/>
          </w:tcPr>
          <w:p>
            <w:r>
              <w:rPr>
                <w:b/>
                <w:sz w:val="17"/>
              </w:rPr>
              <w:t>3,067</w:t>
            </w:r>
          </w:p>
        </w:tc>
        <w:tc>
          <w:tcPr>
            <w:tcW w:type="dxa" w:w="1440"/>
            <w:shd w:fill="FAFAFA" w:val="clear"/>
          </w:tcPr>
          <w:p>
            <w:r>
              <w:rPr>
                <w:sz w:val="17"/>
              </w:rPr>
              <w:t>3,309</w:t>
            </w:r>
          </w:p>
        </w:tc>
        <w:tc>
          <w:tcPr>
            <w:tcW w:type="dxa" w:w="1440"/>
            <w:shd w:fill="FAFAFA" w:val="clear"/>
          </w:tcPr>
          <w:p>
            <w:r>
              <w:rPr>
                <w:b/>
                <w:color w:val="008000"/>
                <w:sz w:val="17"/>
              </w:rPr>
              <w:t>+0.1%</w:t>
            </w:r>
          </w:p>
        </w:tc>
      </w:tr>
      <w:tr>
        <w:tc>
          <w:tcPr>
            <w:tcW w:type="dxa" w:w="1440"/>
            <w:shd w:fill="FAFAFA" w:val="clear"/>
          </w:tcPr>
          <w:p>
            <w:r>
              <w:rPr>
                <w:sz w:val="17"/>
              </w:rPr>
              <w:t>J+8  Moyenne</w:t>
            </w:r>
          </w:p>
        </w:tc>
        <w:tc>
          <w:tcPr>
            <w:tcW w:type="dxa" w:w="1440"/>
            <w:shd w:fill="FAFAFA" w:val="clear"/>
          </w:tcPr>
          <w:p>
            <w:r>
              <w:rPr>
                <w:sz w:val="17"/>
              </w:rPr>
              <w:t>2026-08-25</w:t>
            </w:r>
          </w:p>
        </w:tc>
        <w:tc>
          <w:tcPr>
            <w:tcW w:type="dxa" w:w="1440"/>
            <w:shd w:fill="FAFAFA" w:val="clear"/>
          </w:tcPr>
          <w:p>
            <w:r>
              <w:rPr>
                <w:sz w:val="17"/>
              </w:rPr>
              <w:t>2,806</w:t>
            </w:r>
          </w:p>
        </w:tc>
        <w:tc>
          <w:tcPr>
            <w:tcW w:type="dxa" w:w="1440"/>
            <w:shd w:fill="FAFAFA" w:val="clear"/>
          </w:tcPr>
          <w:p>
            <w:r>
              <w:rPr>
                <w:b/>
                <w:sz w:val="17"/>
              </w:rPr>
              <w:t>3,065</w:t>
            </w:r>
          </w:p>
        </w:tc>
        <w:tc>
          <w:tcPr>
            <w:tcW w:type="dxa" w:w="1440"/>
            <w:shd w:fill="FAFAFA" w:val="clear"/>
          </w:tcPr>
          <w:p>
            <w:r>
              <w:rPr>
                <w:sz w:val="17"/>
              </w:rPr>
              <w:t>3,324</w:t>
            </w:r>
          </w:p>
        </w:tc>
        <w:tc>
          <w:tcPr>
            <w:tcW w:type="dxa" w:w="1440"/>
            <w:shd w:fill="FAFAFA" w:val="clear"/>
          </w:tcPr>
          <w:p>
            <w:r>
              <w:rPr>
                <w:b/>
                <w:color w:val="C00000"/>
                <w:sz w:val="17"/>
              </w:rPr>
              <w:t>-0.0%</w:t>
            </w:r>
          </w:p>
        </w:tc>
      </w:tr>
      <w:tr>
        <w:tc>
          <w:tcPr>
            <w:tcW w:type="dxa" w:w="1440"/>
            <w:shd w:fill="FAFAFA" w:val="clear"/>
          </w:tcPr>
          <w:p>
            <w:r>
              <w:rPr>
                <w:sz w:val="17"/>
              </w:rPr>
              <w:t>J+9  Moyenne</w:t>
            </w:r>
          </w:p>
        </w:tc>
        <w:tc>
          <w:tcPr>
            <w:tcW w:type="dxa" w:w="1440"/>
            <w:shd w:fill="FAFAFA" w:val="clear"/>
          </w:tcPr>
          <w:p>
            <w:r>
              <w:rPr>
                <w:sz w:val="17"/>
              </w:rPr>
              <w:t>2026-08-27</w:t>
            </w:r>
          </w:p>
        </w:tc>
        <w:tc>
          <w:tcPr>
            <w:tcW w:type="dxa" w:w="1440"/>
            <w:shd w:fill="FAFAFA" w:val="clear"/>
          </w:tcPr>
          <w:p>
            <w:r>
              <w:rPr>
                <w:sz w:val="17"/>
              </w:rPr>
              <w:t>2,788</w:t>
            </w:r>
          </w:p>
        </w:tc>
        <w:tc>
          <w:tcPr>
            <w:tcW w:type="dxa" w:w="1440"/>
            <w:shd w:fill="FAFAFA" w:val="clear"/>
          </w:tcPr>
          <w:p>
            <w:r>
              <w:rPr>
                <w:b/>
                <w:sz w:val="17"/>
              </w:rPr>
              <w:t>3,062</w:t>
            </w:r>
          </w:p>
        </w:tc>
        <w:tc>
          <w:tcPr>
            <w:tcW w:type="dxa" w:w="1440"/>
            <w:shd w:fill="FAFAFA" w:val="clear"/>
          </w:tcPr>
          <w:p>
            <w:r>
              <w:rPr>
                <w:sz w:val="17"/>
              </w:rPr>
              <w:t>3,336</w:t>
            </w:r>
          </w:p>
        </w:tc>
        <w:tc>
          <w:tcPr>
            <w:tcW w:type="dxa" w:w="1440"/>
            <w:shd w:fill="FAFAFA" w:val="clear"/>
          </w:tcPr>
          <w:p>
            <w:r>
              <w:rPr>
                <w:b/>
                <w:color w:val="C00000"/>
                <w:sz w:val="17"/>
              </w:rPr>
              <w:t>-0.1%</w:t>
            </w:r>
          </w:p>
        </w:tc>
      </w:tr>
      <w:tr>
        <w:tc>
          <w:tcPr>
            <w:tcW w:type="dxa" w:w="1440"/>
            <w:shd w:fill="FAFAFA" w:val="clear"/>
          </w:tcPr>
          <w:p>
            <w:r>
              <w:rPr>
                <w:sz w:val="17"/>
              </w:rPr>
              <w:t>J+10  Moyenne</w:t>
            </w:r>
          </w:p>
        </w:tc>
        <w:tc>
          <w:tcPr>
            <w:tcW w:type="dxa" w:w="1440"/>
            <w:shd w:fill="FAFAFA" w:val="clear"/>
          </w:tcPr>
          <w:p>
            <w:r>
              <w:rPr>
                <w:sz w:val="17"/>
              </w:rPr>
              <w:t>2026-08-28</w:t>
            </w:r>
          </w:p>
        </w:tc>
        <w:tc>
          <w:tcPr>
            <w:tcW w:type="dxa" w:w="1440"/>
            <w:shd w:fill="FAFAFA" w:val="clear"/>
          </w:tcPr>
          <w:p>
            <w:r>
              <w:rPr>
                <w:sz w:val="17"/>
              </w:rPr>
              <w:t>2,771</w:t>
            </w:r>
          </w:p>
        </w:tc>
        <w:tc>
          <w:tcPr>
            <w:tcW w:type="dxa" w:w="1440"/>
            <w:shd w:fill="FAFAFA" w:val="clear"/>
          </w:tcPr>
          <w:p>
            <w:r>
              <w:rPr>
                <w:b/>
                <w:sz w:val="17"/>
              </w:rPr>
              <w:t>3,060</w:t>
            </w:r>
          </w:p>
        </w:tc>
        <w:tc>
          <w:tcPr>
            <w:tcW w:type="dxa" w:w="1440"/>
            <w:shd w:fill="FAFAFA" w:val="clear"/>
          </w:tcPr>
          <w:p>
            <w:r>
              <w:rPr>
                <w:sz w:val="17"/>
              </w:rPr>
              <w:t>3,349</w:t>
            </w:r>
          </w:p>
        </w:tc>
        <w:tc>
          <w:tcPr>
            <w:tcW w:type="dxa" w:w="1440"/>
            <w:shd w:fill="FAFAFA" w:val="clear"/>
          </w:tcPr>
          <w:p>
            <w:r>
              <w:rPr>
                <w:b/>
                <w:color w:val="C00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ORGT (ORAGROUP)**</w:t>
        <w:br/>
        <w:t>**Date : 13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d'Oragroup s'établit à 212,76 milliards FCFA, un niveau conséquent qui positionne le titre parmi les valeurs moyennes à grandes capitalisations de la BRVM. Le BPA de 312 FCFA indique que chaque action génère un bénéfice substantiel, soutenant un PER de 9,8x, légèrement sous la moyenne historique du marché (8-12x), ce qui suggère une valorisation potentiellement attrayante. Le P/B de 1,88x reste dans une zone raisonnable, le marché valorisant la société à près de deux fois ses fonds propres comptables. Cependant, l'EV/EBITDA de 19,8x, nettement supérieur au seuil exigeant de 15x, tempère cet optimisme en indiquant que la valeur totale de l'entreprise (dette incluse) reste chère par rapport à sa capacité opérationnelle. Cette divergence entre un PER modéré et un EV/EBITDA élevé reflète la structure de bilan spécifique d'une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ORGT a subi une dépréciation significative de -17,16%, avec une dernière séance en baisse de -1,45% à 3 065 FCFA. Le cours a évolué dans un large range de 2 435 à 3 780 FCFA, illustrant une forte amplitude de trading. La moyenne de 2 994 FCFA, supérieure à la médiane de 2 780 FCFA, confirme une asymétrie positive (skewness de 0,618), signifiant que le titre a passé plus de journées sous sa moyenne, avec des épisodes de hausse ponctuels. L'écart-type de 386 FCFA (CV de 12,9%) révèle une dispersion modérée des prix autour de la moyenne. Le kurtosis négatif de -1,050 (distribution platykurtique) indique une absence de mouvements extrêmes et une faible concentration des variations. La volatilité annualisée de 44,9% classe le titre dans la catégorie des valeurs à risque élevé, bien au-delà du seuil de 30%. Cette combinaison de baisse marquée et de forte volatilité suggère une phase de correction dans un contexte de marché incertain.</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3 065 FCFA se positionne au-dessus de la MM20 (2 916,75 FCFA) et de la MM50 (2 794,3 FCFA), avec une MM20 supérieure à la MM50, configuration typique d'une tendance haussière à court terme. Le signal d'achat généré par ces moyennes mobiles indique que le momentum récent est positif malgré la correction passée, suggérant un potentiel de poursuite du rebond.</w:t>
      </w:r>
    </w:p>
    <w:p>
      <w:pPr>
        <w:spacing w:after="120" w:line="276" w:lineRule="auto"/>
      </w:pPr>
      <w:r>
        <w:t>**Bandes de Bollinger** : Le prix se situe à 3 065 FCFA, entre la borne inférieure de 2 503 FCFA et la borne supérieure de 3 330,5 FCFA, plus proche de la borne supérieure. Cette position, combinée à un écart-type de 386 FCFA, indique une volatilité modérée. La décision neutre reflète un marché en équilibre, sans signal clair de surachat ni de survente, le titre évoluant dans la partie haute de son canal.</w:t>
      </w:r>
    </w:p>
    <w:p>
      <w:pPr>
        <w:spacing w:after="120" w:line="276" w:lineRule="auto"/>
      </w:pPr>
      <w:r>
        <w:t>**MACD** : La valeur du MACD (109,136) est supérieure à son signal (95,596), avec un écart positif de 13,54 points. Cette configuration haussière confirme un momentum positif et une dynamique d'accélération des prix. Le signal d'achat émis par le MACD est cohérent avec la tendance des moyennes mobiles, renforçant la perspective d'une poursuite du mouvement haussier à court terme.</w:t>
      </w:r>
    </w:p>
    <w:p>
      <w:pPr>
        <w:spacing w:after="120" w:line="276" w:lineRule="auto"/>
      </w:pPr>
      <w:r>
        <w:t>**RSI** : À 83,478, le RSI se trouve en zone de surachat extrême, bien au-dessus du seuil de 70. Cette valeur indique que le titre a fortement progressé sur une courte période et qu'un retournement technique est probable à court terme. Le signal de vente émis par le RSI suggère une prudence accrue, car le marché pourrait corriger pour absorber les excès d'achat.</w:t>
      </w:r>
    </w:p>
    <w:p>
      <w:pPr>
        <w:spacing w:after="120" w:line="276" w:lineRule="auto"/>
      </w:pPr>
      <w:r>
        <w:t>**Stochastique** : Le %K (81,111) est inférieur au %D (88,03), avec les deux valeurs en zone de surachat (&gt;80). Cette configuration, où %K passe sous %D, constitue un signal de vente précoce, indiquant un affaiblissement du momentum haussier. La décision de vente émise par le stochastique contraste avec les signaux d'achat des moyennes mobiles et du MACD.</w:t>
      </w:r>
    </w:p>
    <w:p>
      <w:pPr>
        <w:spacing w:after="120" w:line="276" w:lineRule="auto"/>
      </w:pPr>
      <w:r>
        <w:t>**Conclusion technique** : Les indicateurs de tendance (MM, MACD) sont haussiers, mais les oscillateurs (RSI, Stochastique) signalent une condition de surachat extrême. Cette divergence suggère qu'un repli technique est probable à très court terme avant une éventuelle poursuite de la tendance haussière. La prudence est donc de mise.</w:t>
      </w:r>
    </w:p>
    <w:p>
      <w:pPr>
        <w:spacing w:after="120" w:line="276" w:lineRule="auto"/>
      </w:pPr>
      <w:r>
        <w:t>---</w:t>
      </w:r>
    </w:p>
    <w:p>
      <w:pPr>
        <w:spacing w:after="120" w:line="276" w:lineRule="auto"/>
      </w:pPr>
      <w:r>
        <w:t>### PARTIE 3 : ANALYSE FONDAMENTALE (SECTION CRITIQUE)</w:t>
      </w:r>
    </w:p>
    <w:p>
      <w:pPr>
        <w:spacing w:after="120" w:line="276" w:lineRule="auto"/>
      </w:pPr>
      <w:r>
        <w:t>En 2025, Oragroup a réalisé un retournement spectaculaire avec un résultat net consolidé de 21,643 milliards FCFA, contre une perte de 44,363 milliards en 2024, soit une amélioration de 149%. Le Produit Net Bancaire s'établit à 186,609 milliards FCFA, en léger recul de -4,5% par rapport à 2024 (195,436 milliards). La marge nette atteint 11,6%, un excellent niveau pour une banque, avec un ROE de 19,13% et un ROA de 0,54%. Le coefficient d'exploitation de 42,85% témoigne d'une excellente efficacité opérationnelle (&lt;50%). Le coût du risque s'est effondré de 90% à 6,971 milliards FCFA, contre 69,056 milliards en 2024, grâce à des actions intensives de recouvrement. Les dépôts clientèle (3 088,698 milliards) couvrent largement les créances clientèle (1 523,765 milliards), soit un ratio de transformation de 49,3%, indiquant une liquidité abondante. Les capitaux propres se renforcent à 113,165 milliards (+17%). Sur la base du rapport T1 2026 (résultat net de 6,555 milliards, +37% vs T1 2025), on estime que l'exercice 2026 pourrait dépasser les 25 milliards de bénéfices, confirmant la trajectoire de redressement. Cependant, la baisse continue du PNB et la contraction des crédits (-12%) constituent des signaux d'alerte sur la capacité de croissance organique. Le rapport de l'AG du 23 juillet 2026 confirme l'absence de dividende pour 2025, les comptes sociaux étant déficitaires de 8 milliards FCFA.</w:t>
      </w:r>
    </w:p>
    <w:p>
      <w:pPr>
        <w:spacing w:after="120" w:line="276" w:lineRule="auto"/>
      </w:pPr>
      <w:r>
        <w:t>---</w:t>
      </w:r>
    </w:p>
    <w:p>
      <w:pPr>
        <w:spacing w:after="120" w:line="276" w:lineRule="auto"/>
      </w:pPr>
      <w:r>
        <w:t>### PARTIE 4 : CONCLUSION D'INVESTISSEMENT</w:t>
      </w:r>
    </w:p>
    <w:p>
      <w:pPr>
        <w:spacing w:after="120" w:line="276" w:lineRule="auto"/>
      </w:pPr>
      <w:r>
        <w:t>La valorisation d'ORGT présente un profil contrasté : un PER de 9,8x suggère une sous-évaluation relative, mais l'EV/EBITDA de 19,8x et le P/B de 1,88x indiquent une valorisation exigeante pour une banque en phase de redressement. Le comportement du cours sur 100 jours montre une correction de -17,16%, avec une volatilité élevée (44,9%) et une distribution platykurtique indiquant des mouvements modérés. Les signaux techniques sont mitigés : les moyennes mobiles et le MACD sont haussiers, mais le RSI (83,5) et le stochastique (88) en surachat extrême signalent un repli imminent. Les fondamentaux sont solides avec un retour à la rentabilité, un ROE de 19,1% et un coût du risque maîtrisé, mais la baisse du PNB et l'absence de dividende limitent l'attrait. Les prédictions IA (3 083 à 3 072 FCFA sur 10 jours) suggèrent une stabilisation autour des niveaux actuels. La convergence entre la sous-évaluation relative (PER) et les fondamentaux en amélioration plaide pour une recommandation **CONSERVER**, avec un niveau de confiance **Moyen** et un risque global **Élevé** lié à la volatilité et aux incertitudes macroéconomiques. L'horizon d'investissement optimal est le **moyen terme (3-12 mois)**, en attendant une confirmation de la croissance du PNB et une éventuelle reprise des dividendes.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139.13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3,640 titres</w:t>
            </w:r>
          </w:p>
        </w:tc>
        <w:tc>
          <w:tcPr>
            <w:tcW w:type="dxa" w:w="2268"/>
            <w:shd w:fill="FFF2CC" w:val="clear"/>
          </w:tcPr>
          <w:p>
            <w:r>
              <w:rPr>
                <w:b/>
                <w:color w:val="503200"/>
                <w:sz w:val="16"/>
              </w:rPr>
              <w:t xml:space="preserve">Cours actuel : </w:t>
            </w:r>
            <w:r>
              <w:rPr>
                <w:color w:val="000000"/>
                <w:sz w:val="17"/>
              </w:rPr>
              <w:t>9,000 FCFA</w:t>
            </w:r>
          </w:p>
          <w:p>
            <w:r>
              <w:rPr>
                <w:b/>
                <w:color w:val="503200"/>
                <w:sz w:val="16"/>
              </w:rPr>
              <w:t xml:space="preserve">Var. 100 jours : </w:t>
            </w:r>
            <w:r>
              <w:rPr>
                <w:b/>
                <w:color w:val="B40000"/>
                <w:sz w:val="17"/>
              </w:rPr>
              <w:t>-4.66%</w:t>
            </w:r>
          </w:p>
          <w:p>
            <w:r>
              <w:rPr>
                <w:b/>
                <w:color w:val="503200"/>
                <w:sz w:val="16"/>
              </w:rPr>
              <w:t xml:space="preserve">Plus haut 100j : </w:t>
            </w:r>
            <w:r>
              <w:rPr>
                <w:color w:val="000000"/>
                <w:sz w:val="17"/>
              </w:rPr>
              <w:t>9,440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40.9%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18.5/100 → Faible</w:t>
      </w:r>
    </w:p>
    <w:p>
      <w:pPr>
        <w:spacing w:before="40" w:after="80"/>
      </w:pPr>
      <w:r>
        <w:rPr>
          <w:rFonts w:ascii="Courier New" w:hAnsi="Courier New"/>
          <w:color w:val="006400"/>
          <w:sz w:val="18"/>
        </w:rPr>
        <w:t>███░░░░░░░░░░░░░░░░░  18.5/100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5.96% (Moyenne) — μ=8,398 FCFA, σ=500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β=-0.1358 (Contre-cyclique) — Cov=-0.000005, Var(idx)=0.000036, ρ=-0.032,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3,640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σ_j=2.58%/j (Stable) — Vol. annualisée≈40.9%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2026-08-14</w:t>
            </w:r>
          </w:p>
        </w:tc>
        <w:tc>
          <w:tcPr>
            <w:tcW w:type="dxa" w:w="1440"/>
            <w:shd w:fill="FAFAFA" w:val="clear"/>
          </w:tcPr>
          <w:p>
            <w:r>
              <w:rPr>
                <w:sz w:val="17"/>
              </w:rPr>
              <w:t>8,831</w:t>
            </w:r>
          </w:p>
        </w:tc>
        <w:tc>
          <w:tcPr>
            <w:tcW w:type="dxa" w:w="1440"/>
            <w:shd w:fill="FAFAFA" w:val="clear"/>
          </w:tcPr>
          <w:p>
            <w:r>
              <w:rPr>
                <w:b/>
                <w:sz w:val="17"/>
              </w:rPr>
              <w:t>9,080</w:t>
            </w:r>
          </w:p>
        </w:tc>
        <w:tc>
          <w:tcPr>
            <w:tcW w:type="dxa" w:w="1440"/>
            <w:shd w:fill="FAFAFA" w:val="clear"/>
          </w:tcPr>
          <w:p>
            <w:r>
              <w:rPr>
                <w:sz w:val="17"/>
              </w:rPr>
              <w:t>9,329</w:t>
            </w:r>
          </w:p>
        </w:tc>
        <w:tc>
          <w:tcPr>
            <w:tcW w:type="dxa" w:w="1440"/>
            <w:shd w:fill="FAFAFA" w:val="clear"/>
          </w:tcPr>
          <w:p>
            <w:r>
              <w:rPr>
                <w:b/>
                <w:color w:val="008000"/>
                <w:sz w:val="17"/>
              </w:rPr>
              <w:t>+0.9%</w:t>
            </w:r>
          </w:p>
        </w:tc>
      </w:tr>
      <w:tr>
        <w:tc>
          <w:tcPr>
            <w:tcW w:type="dxa" w:w="1440"/>
            <w:shd w:fill="FAFAFA" w:val="clear"/>
          </w:tcPr>
          <w:p>
            <w:r>
              <w:rPr>
                <w:sz w:val="17"/>
              </w:rPr>
              <w:t>J+2  ⭐⭐⭐</w:t>
            </w:r>
          </w:p>
        </w:tc>
        <w:tc>
          <w:tcPr>
            <w:tcW w:type="dxa" w:w="1440"/>
            <w:shd w:fill="FAFAFA" w:val="clear"/>
          </w:tcPr>
          <w:p>
            <w:r>
              <w:rPr>
                <w:sz w:val="17"/>
              </w:rPr>
              <w:t>2026-08-17</w:t>
            </w:r>
          </w:p>
        </w:tc>
        <w:tc>
          <w:tcPr>
            <w:tcW w:type="dxa" w:w="1440"/>
            <w:shd w:fill="FAFAFA" w:val="clear"/>
          </w:tcPr>
          <w:p>
            <w:r>
              <w:rPr>
                <w:sz w:val="17"/>
              </w:rPr>
              <w:t>8,747</w:t>
            </w:r>
          </w:p>
        </w:tc>
        <w:tc>
          <w:tcPr>
            <w:tcW w:type="dxa" w:w="1440"/>
            <w:shd w:fill="FAFAFA" w:val="clear"/>
          </w:tcPr>
          <w:p>
            <w:r>
              <w:rPr>
                <w:b/>
                <w:sz w:val="17"/>
              </w:rPr>
              <w:t>9,100</w:t>
            </w:r>
          </w:p>
        </w:tc>
        <w:tc>
          <w:tcPr>
            <w:tcW w:type="dxa" w:w="1440"/>
            <w:shd w:fill="FAFAFA" w:val="clear"/>
          </w:tcPr>
          <w:p>
            <w:r>
              <w:rPr>
                <w:sz w:val="17"/>
              </w:rPr>
              <w:t>9,453</w:t>
            </w:r>
          </w:p>
        </w:tc>
        <w:tc>
          <w:tcPr>
            <w:tcW w:type="dxa" w:w="1440"/>
            <w:shd w:fill="FAFAFA" w:val="clear"/>
          </w:tcPr>
          <w:p>
            <w:r>
              <w:rPr>
                <w:b/>
                <w:color w:val="008000"/>
                <w:sz w:val="17"/>
              </w:rPr>
              <w:t>+1.1%</w:t>
            </w:r>
          </w:p>
        </w:tc>
      </w:tr>
      <w:tr>
        <w:tc>
          <w:tcPr>
            <w:tcW w:type="dxa" w:w="1440"/>
            <w:shd w:fill="FAFAFA" w:val="clear"/>
          </w:tcPr>
          <w:p>
            <w:r>
              <w:rPr>
                <w:sz w:val="17"/>
              </w:rPr>
              <w:t>J+3  ⭐⭐⭐</w:t>
            </w:r>
          </w:p>
        </w:tc>
        <w:tc>
          <w:tcPr>
            <w:tcW w:type="dxa" w:w="1440"/>
            <w:shd w:fill="FAFAFA" w:val="clear"/>
          </w:tcPr>
          <w:p>
            <w:r>
              <w:rPr>
                <w:sz w:val="17"/>
              </w:rPr>
              <w:t>2026-08-18</w:t>
            </w:r>
          </w:p>
        </w:tc>
        <w:tc>
          <w:tcPr>
            <w:tcW w:type="dxa" w:w="1440"/>
            <w:shd w:fill="FAFAFA" w:val="clear"/>
          </w:tcPr>
          <w:p>
            <w:r>
              <w:rPr>
                <w:sz w:val="17"/>
              </w:rPr>
              <w:t>8,693</w:t>
            </w:r>
          </w:p>
        </w:tc>
        <w:tc>
          <w:tcPr>
            <w:tcW w:type="dxa" w:w="1440"/>
            <w:shd w:fill="FAFAFA" w:val="clear"/>
          </w:tcPr>
          <w:p>
            <w:r>
              <w:rPr>
                <w:b/>
                <w:sz w:val="17"/>
              </w:rPr>
              <w:t>9,127</w:t>
            </w:r>
          </w:p>
        </w:tc>
        <w:tc>
          <w:tcPr>
            <w:tcW w:type="dxa" w:w="1440"/>
            <w:shd w:fill="FAFAFA" w:val="clear"/>
          </w:tcPr>
          <w:p>
            <w:r>
              <w:rPr>
                <w:sz w:val="17"/>
              </w:rPr>
              <w:t>9,560</w:t>
            </w:r>
          </w:p>
        </w:tc>
        <w:tc>
          <w:tcPr>
            <w:tcW w:type="dxa" w:w="1440"/>
            <w:shd w:fill="FAFAFA" w:val="clear"/>
          </w:tcPr>
          <w:p>
            <w:r>
              <w:rPr>
                <w:b/>
                <w:color w:val="008000"/>
                <w:sz w:val="17"/>
              </w:rPr>
              <w:t>+1.4%</w:t>
            </w:r>
          </w:p>
        </w:tc>
      </w:tr>
      <w:tr>
        <w:tc>
          <w:tcPr>
            <w:tcW w:type="dxa" w:w="1440"/>
            <w:shd w:fill="FAFAFA" w:val="clear"/>
          </w:tcPr>
          <w:p>
            <w:r>
              <w:rPr>
                <w:sz w:val="17"/>
              </w:rPr>
              <w:t>J+4  Moyenne</w:t>
            </w:r>
          </w:p>
        </w:tc>
        <w:tc>
          <w:tcPr>
            <w:tcW w:type="dxa" w:w="1440"/>
            <w:shd w:fill="FAFAFA" w:val="clear"/>
          </w:tcPr>
          <w:p>
            <w:r>
              <w:rPr>
                <w:sz w:val="17"/>
              </w:rPr>
              <w:t>2026-08-19</w:t>
            </w:r>
          </w:p>
        </w:tc>
        <w:tc>
          <w:tcPr>
            <w:tcW w:type="dxa" w:w="1440"/>
            <w:shd w:fill="FAFAFA" w:val="clear"/>
          </w:tcPr>
          <w:p>
            <w:r>
              <w:rPr>
                <w:sz w:val="17"/>
              </w:rPr>
              <w:t>8,651</w:t>
            </w:r>
          </w:p>
        </w:tc>
        <w:tc>
          <w:tcPr>
            <w:tcW w:type="dxa" w:w="1440"/>
            <w:shd w:fill="FAFAFA" w:val="clear"/>
          </w:tcPr>
          <w:p>
            <w:r>
              <w:rPr>
                <w:b/>
                <w:sz w:val="17"/>
              </w:rPr>
              <w:t>9,154</w:t>
            </w:r>
          </w:p>
        </w:tc>
        <w:tc>
          <w:tcPr>
            <w:tcW w:type="dxa" w:w="1440"/>
            <w:shd w:fill="FAFAFA" w:val="clear"/>
          </w:tcPr>
          <w:p>
            <w:r>
              <w:rPr>
                <w:sz w:val="17"/>
              </w:rPr>
              <w:t>9,656</w:t>
            </w:r>
          </w:p>
        </w:tc>
        <w:tc>
          <w:tcPr>
            <w:tcW w:type="dxa" w:w="1440"/>
            <w:shd w:fill="FAFAFA" w:val="clear"/>
          </w:tcPr>
          <w:p>
            <w:r>
              <w:rPr>
                <w:b/>
                <w:color w:val="008000"/>
                <w:sz w:val="17"/>
              </w:rPr>
              <w:t>+1.7%</w:t>
            </w:r>
          </w:p>
        </w:tc>
      </w:tr>
      <w:tr>
        <w:tc>
          <w:tcPr>
            <w:tcW w:type="dxa" w:w="1440"/>
            <w:shd w:fill="C6EFCE" w:val="clear"/>
          </w:tcPr>
          <w:p>
            <w:r>
              <w:rPr>
                <w:sz w:val="17"/>
              </w:rPr>
              <w:t>J+5  Moyenne</w:t>
            </w:r>
          </w:p>
        </w:tc>
        <w:tc>
          <w:tcPr>
            <w:tcW w:type="dxa" w:w="1440"/>
            <w:shd w:fill="C6EFCE" w:val="clear"/>
          </w:tcPr>
          <w:p>
            <w:r>
              <w:rPr>
                <w:sz w:val="17"/>
              </w:rPr>
              <w:t>2026-08-20</w:t>
            </w:r>
          </w:p>
        </w:tc>
        <w:tc>
          <w:tcPr>
            <w:tcW w:type="dxa" w:w="1440"/>
            <w:shd w:fill="C6EFCE" w:val="clear"/>
          </w:tcPr>
          <w:p>
            <w:r>
              <w:rPr>
                <w:sz w:val="17"/>
              </w:rPr>
              <w:t>8,617</w:t>
            </w:r>
          </w:p>
        </w:tc>
        <w:tc>
          <w:tcPr>
            <w:tcW w:type="dxa" w:w="1440"/>
            <w:shd w:fill="C6EFCE" w:val="clear"/>
          </w:tcPr>
          <w:p>
            <w:r>
              <w:rPr>
                <w:b/>
                <w:sz w:val="17"/>
              </w:rPr>
              <w:t>9,180</w:t>
            </w:r>
          </w:p>
        </w:tc>
        <w:tc>
          <w:tcPr>
            <w:tcW w:type="dxa" w:w="1440"/>
            <w:shd w:fill="C6EFCE" w:val="clear"/>
          </w:tcPr>
          <w:p>
            <w:r>
              <w:rPr>
                <w:sz w:val="17"/>
              </w:rPr>
              <w:t>9,744</w:t>
            </w:r>
          </w:p>
        </w:tc>
        <w:tc>
          <w:tcPr>
            <w:tcW w:type="dxa" w:w="1440"/>
            <w:shd w:fill="C6EFCE" w:val="clear"/>
          </w:tcPr>
          <w:p>
            <w:r>
              <w:rPr>
                <w:b/>
                <w:color w:val="008000"/>
                <w:sz w:val="17"/>
              </w:rPr>
              <w:t>+2.0%</w:t>
            </w:r>
          </w:p>
        </w:tc>
      </w:tr>
      <w:tr>
        <w:tc>
          <w:tcPr>
            <w:tcW w:type="dxa" w:w="1440"/>
            <w:shd w:fill="C6EFCE" w:val="clear"/>
          </w:tcPr>
          <w:p>
            <w:r>
              <w:rPr>
                <w:sz w:val="17"/>
              </w:rPr>
              <w:t>J+6  Moyenne</w:t>
            </w:r>
          </w:p>
        </w:tc>
        <w:tc>
          <w:tcPr>
            <w:tcW w:type="dxa" w:w="1440"/>
            <w:shd w:fill="C6EFCE" w:val="clear"/>
          </w:tcPr>
          <w:p>
            <w:r>
              <w:rPr>
                <w:sz w:val="17"/>
              </w:rPr>
              <w:t>2026-08-21</w:t>
            </w:r>
          </w:p>
        </w:tc>
        <w:tc>
          <w:tcPr>
            <w:tcW w:type="dxa" w:w="1440"/>
            <w:shd w:fill="C6EFCE" w:val="clear"/>
          </w:tcPr>
          <w:p>
            <w:r>
              <w:rPr>
                <w:sz w:val="17"/>
              </w:rPr>
              <w:t>8,588</w:t>
            </w:r>
          </w:p>
        </w:tc>
        <w:tc>
          <w:tcPr>
            <w:tcW w:type="dxa" w:w="1440"/>
            <w:shd w:fill="C6EFCE" w:val="clear"/>
          </w:tcPr>
          <w:p>
            <w:r>
              <w:rPr>
                <w:b/>
                <w:sz w:val="17"/>
              </w:rPr>
              <w:t>9,207</w:t>
            </w:r>
          </w:p>
        </w:tc>
        <w:tc>
          <w:tcPr>
            <w:tcW w:type="dxa" w:w="1440"/>
            <w:shd w:fill="C6EFCE" w:val="clear"/>
          </w:tcPr>
          <w:p>
            <w:r>
              <w:rPr>
                <w:sz w:val="17"/>
              </w:rPr>
              <w:t>9,826</w:t>
            </w:r>
          </w:p>
        </w:tc>
        <w:tc>
          <w:tcPr>
            <w:tcW w:type="dxa" w:w="1440"/>
            <w:shd w:fill="C6EFCE" w:val="clear"/>
          </w:tcPr>
          <w:p>
            <w:r>
              <w:rPr>
                <w:b/>
                <w:color w:val="008000"/>
                <w:sz w:val="17"/>
              </w:rPr>
              <w:t>+2.3%</w:t>
            </w:r>
          </w:p>
        </w:tc>
      </w:tr>
      <w:tr>
        <w:tc>
          <w:tcPr>
            <w:tcW w:type="dxa" w:w="1440"/>
            <w:shd w:fill="C6EFCE" w:val="clear"/>
          </w:tcPr>
          <w:p>
            <w:r>
              <w:rPr>
                <w:sz w:val="17"/>
              </w:rPr>
              <w:t>J+7  Moyenne</w:t>
            </w:r>
          </w:p>
        </w:tc>
        <w:tc>
          <w:tcPr>
            <w:tcW w:type="dxa" w:w="1440"/>
            <w:shd w:fill="C6EFCE" w:val="clear"/>
          </w:tcPr>
          <w:p>
            <w:r>
              <w:rPr>
                <w:sz w:val="17"/>
              </w:rPr>
              <w:t>2026-08-24</w:t>
            </w:r>
          </w:p>
        </w:tc>
        <w:tc>
          <w:tcPr>
            <w:tcW w:type="dxa" w:w="1440"/>
            <w:shd w:fill="C6EFCE" w:val="clear"/>
          </w:tcPr>
          <w:p>
            <w:r>
              <w:rPr>
                <w:sz w:val="17"/>
              </w:rPr>
              <w:t>8,563</w:t>
            </w:r>
          </w:p>
        </w:tc>
        <w:tc>
          <w:tcPr>
            <w:tcW w:type="dxa" w:w="1440"/>
            <w:shd w:fill="C6EFCE" w:val="clear"/>
          </w:tcPr>
          <w:p>
            <w:r>
              <w:rPr>
                <w:b/>
                <w:sz w:val="17"/>
              </w:rPr>
              <w:t>9,234</w:t>
            </w:r>
          </w:p>
        </w:tc>
        <w:tc>
          <w:tcPr>
            <w:tcW w:type="dxa" w:w="1440"/>
            <w:shd w:fill="C6EFCE" w:val="clear"/>
          </w:tcPr>
          <w:p>
            <w:r>
              <w:rPr>
                <w:sz w:val="17"/>
              </w:rPr>
              <w:t>9,904</w:t>
            </w:r>
          </w:p>
        </w:tc>
        <w:tc>
          <w:tcPr>
            <w:tcW w:type="dxa" w:w="1440"/>
            <w:shd w:fill="C6EFCE" w:val="clear"/>
          </w:tcPr>
          <w:p>
            <w:r>
              <w:rPr>
                <w:b/>
                <w:color w:val="008000"/>
                <w:sz w:val="17"/>
              </w:rPr>
              <w:t>+2.6%</w:t>
            </w:r>
          </w:p>
        </w:tc>
      </w:tr>
      <w:tr>
        <w:tc>
          <w:tcPr>
            <w:tcW w:type="dxa" w:w="1440"/>
            <w:shd w:fill="C6EFCE" w:val="clear"/>
          </w:tcPr>
          <w:p>
            <w:r>
              <w:rPr>
                <w:sz w:val="17"/>
              </w:rPr>
              <w:t>J+8  Moyenne</w:t>
            </w:r>
          </w:p>
        </w:tc>
        <w:tc>
          <w:tcPr>
            <w:tcW w:type="dxa" w:w="1440"/>
            <w:shd w:fill="C6EFCE" w:val="clear"/>
          </w:tcPr>
          <w:p>
            <w:r>
              <w:rPr>
                <w:sz w:val="17"/>
              </w:rPr>
              <w:t>2026-08-25</w:t>
            </w:r>
          </w:p>
        </w:tc>
        <w:tc>
          <w:tcPr>
            <w:tcW w:type="dxa" w:w="1440"/>
            <w:shd w:fill="C6EFCE" w:val="clear"/>
          </w:tcPr>
          <w:p>
            <w:r>
              <w:rPr>
                <w:sz w:val="17"/>
              </w:rPr>
              <w:t>8,541</w:t>
            </w:r>
          </w:p>
        </w:tc>
        <w:tc>
          <w:tcPr>
            <w:tcW w:type="dxa" w:w="1440"/>
            <w:shd w:fill="C6EFCE" w:val="clear"/>
          </w:tcPr>
          <w:p>
            <w:r>
              <w:rPr>
                <w:b/>
                <w:sz w:val="17"/>
              </w:rPr>
              <w:t>9,260</w:t>
            </w:r>
          </w:p>
        </w:tc>
        <w:tc>
          <w:tcPr>
            <w:tcW w:type="dxa" w:w="1440"/>
            <w:shd w:fill="C6EFCE" w:val="clear"/>
          </w:tcPr>
          <w:p>
            <w:r>
              <w:rPr>
                <w:sz w:val="17"/>
              </w:rPr>
              <w:t>9,979</w:t>
            </w:r>
          </w:p>
        </w:tc>
        <w:tc>
          <w:tcPr>
            <w:tcW w:type="dxa" w:w="1440"/>
            <w:shd w:fill="C6EFCE" w:val="clear"/>
          </w:tcPr>
          <w:p>
            <w:r>
              <w:rPr>
                <w:b/>
                <w:color w:val="008000"/>
                <w:sz w:val="17"/>
              </w:rPr>
              <w:t>+2.9%</w:t>
            </w:r>
          </w:p>
        </w:tc>
      </w:tr>
      <w:tr>
        <w:tc>
          <w:tcPr>
            <w:tcW w:type="dxa" w:w="1440"/>
            <w:shd w:fill="C6EFCE" w:val="clear"/>
          </w:tcPr>
          <w:p>
            <w:r>
              <w:rPr>
                <w:sz w:val="17"/>
              </w:rPr>
              <w:t>J+9  Moyenne</w:t>
            </w:r>
          </w:p>
        </w:tc>
        <w:tc>
          <w:tcPr>
            <w:tcW w:type="dxa" w:w="1440"/>
            <w:shd w:fill="C6EFCE" w:val="clear"/>
          </w:tcPr>
          <w:p>
            <w:r>
              <w:rPr>
                <w:sz w:val="17"/>
              </w:rPr>
              <w:t>2026-08-27</w:t>
            </w:r>
          </w:p>
        </w:tc>
        <w:tc>
          <w:tcPr>
            <w:tcW w:type="dxa" w:w="1440"/>
            <w:shd w:fill="C6EFCE" w:val="clear"/>
          </w:tcPr>
          <w:p>
            <w:r>
              <w:rPr>
                <w:sz w:val="17"/>
              </w:rPr>
              <w:t>8,522</w:t>
            </w:r>
          </w:p>
        </w:tc>
        <w:tc>
          <w:tcPr>
            <w:tcW w:type="dxa" w:w="1440"/>
            <w:shd w:fill="C6EFCE" w:val="clear"/>
          </w:tcPr>
          <w:p>
            <w:r>
              <w:rPr>
                <w:b/>
                <w:sz w:val="17"/>
              </w:rPr>
              <w:t>9,287</w:t>
            </w:r>
          </w:p>
        </w:tc>
        <w:tc>
          <w:tcPr>
            <w:tcW w:type="dxa" w:w="1440"/>
            <w:shd w:fill="C6EFCE" w:val="clear"/>
          </w:tcPr>
          <w:p>
            <w:r>
              <w:rPr>
                <w:sz w:val="17"/>
              </w:rPr>
              <w:t>10,051</w:t>
            </w:r>
          </w:p>
        </w:tc>
        <w:tc>
          <w:tcPr>
            <w:tcW w:type="dxa" w:w="1440"/>
            <w:shd w:fill="C6EFCE" w:val="clear"/>
          </w:tcPr>
          <w:p>
            <w:r>
              <w:rPr>
                <w:b/>
                <w:color w:val="008000"/>
                <w:sz w:val="17"/>
              </w:rPr>
              <w:t>+3.2%</w:t>
            </w:r>
          </w:p>
        </w:tc>
      </w:tr>
      <w:tr>
        <w:tc>
          <w:tcPr>
            <w:tcW w:type="dxa" w:w="1440"/>
            <w:shd w:fill="C6EFCE" w:val="clear"/>
          </w:tcPr>
          <w:p>
            <w:r>
              <w:rPr>
                <w:sz w:val="17"/>
              </w:rPr>
              <w:t>J+10  Moyenne</w:t>
            </w:r>
          </w:p>
        </w:tc>
        <w:tc>
          <w:tcPr>
            <w:tcW w:type="dxa" w:w="1440"/>
            <w:shd w:fill="C6EFCE" w:val="clear"/>
          </w:tcPr>
          <w:p>
            <w:r>
              <w:rPr>
                <w:sz w:val="17"/>
              </w:rPr>
              <w:t>2026-08-28</w:t>
            </w:r>
          </w:p>
        </w:tc>
        <w:tc>
          <w:tcPr>
            <w:tcW w:type="dxa" w:w="1440"/>
            <w:shd w:fill="C6EFCE" w:val="clear"/>
          </w:tcPr>
          <w:p>
            <w:r>
              <w:rPr>
                <w:sz w:val="17"/>
              </w:rPr>
              <w:t>8,505</w:t>
            </w:r>
          </w:p>
        </w:tc>
        <w:tc>
          <w:tcPr>
            <w:tcW w:type="dxa" w:w="1440"/>
            <w:shd w:fill="C6EFCE" w:val="clear"/>
          </w:tcPr>
          <w:p>
            <w:r>
              <w:rPr>
                <w:b/>
                <w:sz w:val="17"/>
              </w:rPr>
              <w:t>9,313</w:t>
            </w:r>
          </w:p>
        </w:tc>
        <w:tc>
          <w:tcPr>
            <w:tcW w:type="dxa" w:w="1440"/>
            <w:shd w:fill="C6EFCE" w:val="clear"/>
          </w:tcPr>
          <w:p>
            <w:r>
              <w:rPr>
                <w:sz w:val="17"/>
              </w:rPr>
              <w:t>10,121</w:t>
            </w:r>
          </w:p>
        </w:tc>
        <w:tc>
          <w:tcPr>
            <w:tcW w:type="dxa" w:w="1440"/>
            <w:shd w:fill="C6EFCE" w:val="clear"/>
          </w:tcPr>
          <w:p>
            <w:r>
              <w:rPr>
                <w:b/>
                <w:color w:val="008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**Date de l'analyse : 13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PALC s'établit à 139,13 milliards FCFA, positionnant le titre parmi les valeurs moyennes de la cote de la BRVM. Avec un BPA de 1 003 FCFA, le titre se négocie à un PER de 9,0x, un niveau inférieur à la moyenne historique du marché (8-12x), ce qui suggère une décote relative et un potentiel de revalorisation. Le P/B de 0,98x est particulièrement intéressant : le marché valorise l'action légèrement en dessous de sa valeur comptable (142,64 Mds FCFA), une situation qui reflète une certaine méfiance des investisseurs mais qui offre une marge de sécurité. Enfin, l'EV/EBITDA de 4,4x, nettement sous la barre des 5x, confirme une valorisation très bon marché, indiquant que le marché ne paie pas cher pour la capacité opérationnelle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PALC affiche une variation totale de -4,66%, avec une dernière séance en baisse de -1,10% à 9 000 FCFA. Le cours a évolué dans un range de 7 000 à 9 440 FCFA, montrant une amplitude de plus de 34% entre le plus haut et le plus bas. La moyenne du cours sur la période est de 8 398 FCFA, légèrement inférieure à la médiane de 8 600 FCFA, indiquant une distribution avec une queue gauche (skewness de -0,311), c'est-à-dire des épisodes de baisse plus marqués que les hausses. L'écart-type de 503 FCFA (CV=6,0%) révèle une dispersion modérée autour de la moyenne. Le kurtosis de -0,625 (mésokurtique) suggère l'absence de mouvements extrêmes, tandis que la volatilité annualisée de 40,9% classe le titre comme très volatil (&gt;30%), un niveau élevé qui reflète l'incertitude du marché sur les perspectives du secteur.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(9 000 FCFA) est supérieur à la MM20 (8 866,25 FCFA) et à la MM50 (8 743,3 FCFA), avec une MM20 au-dessus de la MM50, configuration typique d'une tendance haussière de court et moyen terme. La décision "Achat" est justifiée par cette structure positive.</w:t>
      </w:r>
    </w:p>
    <w:p>
      <w:pPr>
        <w:spacing w:after="120" w:line="276" w:lineRule="auto"/>
      </w:pPr>
      <w:r>
        <w:t>**Bandes de Bollinger :** Le cours se situe à 9 000 FCFA, entre la borne supérieure (9 192,52 FCFA) et la borne inférieure (8 539,98 FCFA), proche de la moyenne. La décision "Neutre" est cohérente : le prix évolue dans la partie haute du canal sans le toucher, indiquant une volatilité modérée sans signal directionnel fort.</w:t>
      </w:r>
    </w:p>
    <w:p>
      <w:pPr>
        <w:spacing w:after="120" w:line="276" w:lineRule="auto"/>
      </w:pPr>
      <w:r>
        <w:t>**MACD :** La valeur du MACD (103,12) est supérieure à son signal (94,41), avec un écart positif de 8,7 points. Cette configuration haussière confirme un momentum positif, justifiant la décision "Achat".</w:t>
      </w:r>
    </w:p>
    <w:p>
      <w:pPr>
        <w:spacing w:after="120" w:line="276" w:lineRule="auto"/>
      </w:pPr>
      <w:r>
        <w:t>**RSI :** À 54,05, le RSI se situe dans la zone neutre (30-70), indiquant un équilibre entre pression acheteuse et vendeuse. La décision "Neutre" est appropriée, le titre n'étant ni suracheté ni survendu.</w:t>
      </w:r>
    </w:p>
    <w:p>
      <w:pPr>
        <w:spacing w:after="120" w:line="276" w:lineRule="auto"/>
      </w:pPr>
      <w:r>
        <w:t>**Stochastique :** Le %K (80,0) est proche du %D (85,33), tous deux dans la zone de surachat (&gt;80). Cette configuration suggère un essoufflement potentiel de la dynamique haussière, d'où la décision "Neutre".</w:t>
      </w:r>
    </w:p>
    <w:p>
      <w:pPr>
        <w:spacing w:after="120" w:line="276" w:lineRule="auto"/>
      </w:pPr>
      <w:r>
        <w:t>**Conclusion technique :** Les indicateurs sont globalement positifs mais divergents : les moyennes mobiles et le MACD plaident pour un achat, tandis que le RSI et le stochastique indiquent une neutralité avec un risque de surachat à court terme. La tendance de fond reste haussière, mais un repli technique est possible avant une poursuite du mouvement.</w:t>
      </w:r>
    </w:p>
    <w:p>
      <w:pPr>
        <w:spacing w:after="120" w:line="276" w:lineRule="auto"/>
      </w:pPr>
      <w:r>
        <w:t>---</w:t>
      </w:r>
    </w:p>
    <w:p>
      <w:pPr>
        <w:spacing w:after="120" w:line="276" w:lineRule="auto"/>
      </w:pPr>
      <w:r>
        <w:t>### PARTIE 3 : ANALYSE FONDAMENTALE (SECTION CRITIQUE)</w:t>
      </w:r>
    </w:p>
    <w:p>
      <w:pPr>
        <w:spacing w:after="120" w:line="276" w:lineRule="auto"/>
      </w:pPr>
      <w:r>
        <w:t>En 2025, PALC affiche un chiffre d'affaires de 197,63 milliards FCFA, en croissance de +14,8% par rapport à 2024 (172,2 Mds FCFA), porté par la hausse des prix et des volumes d'huile de palme. Le résultat net s'établit à 15,51 milliards FCFA, en léger repli de -2,2% vs 2024 (15,9 Mds FCFA), avec une marge nette de 7,85%. Le ROE ressort à 10,87% et le ROA à 7,79%, des niveaux corrects mais en dessous du seuil d'excellence (&gt;15%). La structure financière est très saine : capitaux propres de 142,64 Mds FCFA (autonomie financière de 71,6%), dette financière réduite à 796,56 millions FCFA (capacité de remboursement de 0,03 an), et une solvabilité générale de 352,6%. Le BFR de 44,62 Mds FCFA (délai clients de 142,6 jours) constitue un point de vigilance, mais le free cash flow positif de 19,05 Mds FCFA démontre une bonne génération de liquidités. Les rapports trimestriels 2025 confirment cette dynamique : T1 2025 avec un CA de 67,5 Mds FCFA (+32%) et un résultat net de 11,6 Mds FCFA (+65%), S1 2025 avec un CA de 134,8 Mds FCFA (+25%) et un résultat net de 22,9 Mds FCFA (+37%). Cependant, le rapport T1 2026 (publié en 2026) révèle une chute drastique : CA de 49,4 Mds FCFA (-27%) et résultat net de 1,6 Md FCFA (-86%), attribuée à un décalage temporel des ventes. Sur la base de ces éléments, on estime que l'exercice 2026 pourrait être contrasté, avec un résultat net potentiellement en baisse significative par rapport à 2025, mais la direction anticipe un redressement au cours de l'année.</w:t>
      </w:r>
    </w:p>
    <w:p>
      <w:pPr>
        <w:spacing w:after="120" w:line="276" w:lineRule="auto"/>
      </w:pPr>
      <w:r>
        <w:t>---</w:t>
      </w:r>
    </w:p>
    <w:p>
      <w:pPr>
        <w:spacing w:after="120" w:line="276" w:lineRule="auto"/>
      </w:pPr>
      <w:r>
        <w:t>### PARTIE 4 : CONCLUSION D'INVESTISSEMENT</w:t>
      </w:r>
    </w:p>
    <w:p>
      <w:pPr>
        <w:spacing w:after="120" w:line="276" w:lineRule="auto"/>
      </w:pPr>
      <w:r>
        <w:t>La valorisation de PALC est très attractive (PER 9,0x, P/B 0,98x, EV/EBITDA 4,4x), indiquant une sous-évaluation malgré des fondamentaux solides. Le comportement du cours sur 100 jours montre une légère baisse (-4,66%) avec une volatilité élevée (40,9%), mais la distribution statistique (mésokurtique, skewness légèrement négatif) suggère une stabilité relative sans risque de krach. Les signaux techniques sont globalement positifs (MM et MACD en achat) mais avec des indicateurs de momentum neutres (RSI, Stochastique), indiquant une consolidation possible. Les fondamentaux 2025 sont solides (croissance du CA de +14,8%, ROE de 10,9%, dette quasi nulle), mais le T1 2026 décevant (-86% du résultat net) crée une incertitude. Les prédictions IA (9 080 à 9 180 FCFA sur 10 jours) suggèrent une progression modérée de +1 à +2%, confirmant la tendance haussière de court terme. La convergence entre la sous-évaluation, les fondamentaux solides et les signaux techniques positifs, malgré le risque conjoncturel, conduit à une recommandation **ACHAT** avec un niveau de confiance **Moyen** et un risque global **Moyen**. L'horizon d'investissement optimal est le **moyen terme (3-12 mois)**, en attendant la confirmation du redressement annoncé par la direction au second semestre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46.03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1,020 titres</w:t>
            </w:r>
          </w:p>
        </w:tc>
        <w:tc>
          <w:tcPr>
            <w:tcW w:type="dxa" w:w="2268"/>
            <w:shd w:fill="FFF2CC" w:val="clear"/>
          </w:tcPr>
          <w:p>
            <w:r>
              <w:rPr>
                <w:b/>
                <w:color w:val="503200"/>
                <w:sz w:val="16"/>
              </w:rPr>
              <w:t xml:space="preserve">Cours actuel : </w:t>
            </w:r>
            <w:r>
              <w:rPr>
                <w:color w:val="000000"/>
                <w:sz w:val="17"/>
              </w:rPr>
              <w:t>4,495 FCFA</w:t>
            </w:r>
          </w:p>
          <w:p>
            <w:r>
              <w:rPr>
                <w:b/>
                <w:color w:val="503200"/>
                <w:sz w:val="16"/>
              </w:rPr>
              <w:t xml:space="preserve">Var. 100 jours : </w:t>
            </w:r>
            <w:r>
              <w:rPr>
                <w:b/>
                <w:color w:val="B40000"/>
                <w:sz w:val="17"/>
              </w:rPr>
              <w:t>-6.26%</w:t>
            </w:r>
          </w:p>
          <w:p>
            <w:r>
              <w:rPr>
                <w:b/>
                <w:color w:val="503200"/>
                <w:sz w:val="16"/>
              </w:rPr>
              <w:t xml:space="preserve">Plus haut 100j : </w:t>
            </w:r>
            <w:r>
              <w:rPr>
                <w:color w:val="000000"/>
                <w:sz w:val="17"/>
              </w:rPr>
              <w:t>5,100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8.21% (Moyenne) — μ=4,483 FCFA, σ=368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β=-0.4149 (Contre-cyclique) — Cov=-0.000015, Var(idx)=0.000036, ρ=-0.098,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1,020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2026-08-14</w:t>
            </w:r>
          </w:p>
        </w:tc>
        <w:tc>
          <w:tcPr>
            <w:tcW w:type="dxa" w:w="1440"/>
            <w:shd w:fill="FAFAFA" w:val="clear"/>
          </w:tcPr>
          <w:p>
            <w:r>
              <w:rPr>
                <w:sz w:val="17"/>
              </w:rPr>
              <w:t>4,300</w:t>
            </w:r>
          </w:p>
        </w:tc>
        <w:tc>
          <w:tcPr>
            <w:tcW w:type="dxa" w:w="1440"/>
            <w:shd w:fill="FAFAFA" w:val="clear"/>
          </w:tcPr>
          <w:p>
            <w:r>
              <w:rPr>
                <w:b/>
                <w:sz w:val="17"/>
              </w:rPr>
              <w:t>4,415</w:t>
            </w:r>
          </w:p>
        </w:tc>
        <w:tc>
          <w:tcPr>
            <w:tcW w:type="dxa" w:w="1440"/>
            <w:shd w:fill="FAFAFA" w:val="clear"/>
          </w:tcPr>
          <w:p>
            <w:r>
              <w:rPr>
                <w:sz w:val="17"/>
              </w:rPr>
              <w:t>4,529</w:t>
            </w:r>
          </w:p>
        </w:tc>
        <w:tc>
          <w:tcPr>
            <w:tcW w:type="dxa" w:w="1440"/>
            <w:shd w:fill="FAFAFA" w:val="clear"/>
          </w:tcPr>
          <w:p>
            <w:r>
              <w:rPr>
                <w:b/>
                <w:color w:val="C00000"/>
                <w:sz w:val="17"/>
              </w:rPr>
              <w:t>-1.8%</w:t>
            </w:r>
          </w:p>
        </w:tc>
      </w:tr>
      <w:tr>
        <w:tc>
          <w:tcPr>
            <w:tcW w:type="dxa" w:w="1440"/>
            <w:shd w:fill="FFDCE0" w:val="clear"/>
          </w:tcPr>
          <w:p>
            <w:r>
              <w:rPr>
                <w:sz w:val="17"/>
              </w:rPr>
              <w:t>J+2  ⭐⭐⭐</w:t>
            </w:r>
          </w:p>
        </w:tc>
        <w:tc>
          <w:tcPr>
            <w:tcW w:type="dxa" w:w="1440"/>
            <w:shd w:fill="FFDCE0" w:val="clear"/>
          </w:tcPr>
          <w:p>
            <w:r>
              <w:rPr>
                <w:sz w:val="17"/>
              </w:rPr>
              <w:t>2026-08-17</w:t>
            </w:r>
          </w:p>
        </w:tc>
        <w:tc>
          <w:tcPr>
            <w:tcW w:type="dxa" w:w="1440"/>
            <w:shd w:fill="FFDCE0" w:val="clear"/>
          </w:tcPr>
          <w:p>
            <w:r>
              <w:rPr>
                <w:sz w:val="17"/>
              </w:rPr>
              <w:t>4,241</w:t>
            </w:r>
          </w:p>
        </w:tc>
        <w:tc>
          <w:tcPr>
            <w:tcW w:type="dxa" w:w="1440"/>
            <w:shd w:fill="FFDCE0" w:val="clear"/>
          </w:tcPr>
          <w:p>
            <w:r>
              <w:rPr>
                <w:b/>
                <w:sz w:val="17"/>
              </w:rPr>
              <w:t>4,403</w:t>
            </w:r>
          </w:p>
        </w:tc>
        <w:tc>
          <w:tcPr>
            <w:tcW w:type="dxa" w:w="1440"/>
            <w:shd w:fill="FFDCE0" w:val="clear"/>
          </w:tcPr>
          <w:p>
            <w:r>
              <w:rPr>
                <w:sz w:val="17"/>
              </w:rPr>
              <w:t>4,565</w:t>
            </w:r>
          </w:p>
        </w:tc>
        <w:tc>
          <w:tcPr>
            <w:tcW w:type="dxa" w:w="1440"/>
            <w:shd w:fill="FFDCE0"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2026-08-18</w:t>
            </w:r>
          </w:p>
        </w:tc>
        <w:tc>
          <w:tcPr>
            <w:tcW w:type="dxa" w:w="1440"/>
            <w:shd w:fill="FFDCE0" w:val="clear"/>
          </w:tcPr>
          <w:p>
            <w:r>
              <w:rPr>
                <w:sz w:val="17"/>
              </w:rPr>
              <w:t>4,184</w:t>
            </w:r>
          </w:p>
        </w:tc>
        <w:tc>
          <w:tcPr>
            <w:tcW w:type="dxa" w:w="1440"/>
            <w:shd w:fill="FFDCE0" w:val="clear"/>
          </w:tcPr>
          <w:p>
            <w:r>
              <w:rPr>
                <w:b/>
                <w:sz w:val="17"/>
              </w:rPr>
              <w:t>4,381</w:t>
            </w:r>
          </w:p>
        </w:tc>
        <w:tc>
          <w:tcPr>
            <w:tcW w:type="dxa" w:w="1440"/>
            <w:shd w:fill="FFDCE0" w:val="clear"/>
          </w:tcPr>
          <w:p>
            <w:r>
              <w:rPr>
                <w:sz w:val="17"/>
              </w:rPr>
              <w:t>4,578</w:t>
            </w:r>
          </w:p>
        </w:tc>
        <w:tc>
          <w:tcPr>
            <w:tcW w:type="dxa" w:w="1440"/>
            <w:shd w:fill="FFDCE0" w:val="clear"/>
          </w:tcPr>
          <w:p>
            <w:r>
              <w:rPr>
                <w:b/>
                <w:color w:val="C00000"/>
                <w:sz w:val="17"/>
              </w:rPr>
              <w:t>-2.5%</w:t>
            </w:r>
          </w:p>
        </w:tc>
      </w:tr>
      <w:tr>
        <w:tc>
          <w:tcPr>
            <w:tcW w:type="dxa" w:w="1440"/>
            <w:shd w:fill="FFDCE0" w:val="clear"/>
          </w:tcPr>
          <w:p>
            <w:r>
              <w:rPr>
                <w:sz w:val="17"/>
              </w:rPr>
              <w:t>J+4  Moyenne</w:t>
            </w:r>
          </w:p>
        </w:tc>
        <w:tc>
          <w:tcPr>
            <w:tcW w:type="dxa" w:w="1440"/>
            <w:shd w:fill="FFDCE0" w:val="clear"/>
          </w:tcPr>
          <w:p>
            <w:r>
              <w:rPr>
                <w:sz w:val="17"/>
              </w:rPr>
              <w:t>2026-08-19</w:t>
            </w:r>
          </w:p>
        </w:tc>
        <w:tc>
          <w:tcPr>
            <w:tcW w:type="dxa" w:w="1440"/>
            <w:shd w:fill="FFDCE0" w:val="clear"/>
          </w:tcPr>
          <w:p>
            <w:r>
              <w:rPr>
                <w:sz w:val="17"/>
              </w:rPr>
              <w:t>4,133</w:t>
            </w:r>
          </w:p>
        </w:tc>
        <w:tc>
          <w:tcPr>
            <w:tcW w:type="dxa" w:w="1440"/>
            <w:shd w:fill="FFDCE0" w:val="clear"/>
          </w:tcPr>
          <w:p>
            <w:r>
              <w:rPr>
                <w:b/>
                <w:sz w:val="17"/>
              </w:rPr>
              <w:t>4,359</w:t>
            </w:r>
          </w:p>
        </w:tc>
        <w:tc>
          <w:tcPr>
            <w:tcW w:type="dxa" w:w="1440"/>
            <w:shd w:fill="FFDCE0" w:val="clear"/>
          </w:tcPr>
          <w:p>
            <w:r>
              <w:rPr>
                <w:sz w:val="17"/>
              </w:rPr>
              <w:t>4,586</w:t>
            </w:r>
          </w:p>
        </w:tc>
        <w:tc>
          <w:tcPr>
            <w:tcW w:type="dxa" w:w="1440"/>
            <w:shd w:fill="FFDCE0" w:val="clear"/>
          </w:tcPr>
          <w:p>
            <w:r>
              <w:rPr>
                <w:b/>
                <w:color w:val="C00000"/>
                <w:sz w:val="17"/>
              </w:rPr>
              <w:t>-3.0%</w:t>
            </w:r>
          </w:p>
        </w:tc>
      </w:tr>
      <w:tr>
        <w:tc>
          <w:tcPr>
            <w:tcW w:type="dxa" w:w="1440"/>
            <w:shd w:fill="FFDCE0" w:val="clear"/>
          </w:tcPr>
          <w:p>
            <w:r>
              <w:rPr>
                <w:sz w:val="17"/>
              </w:rPr>
              <w:t>J+5  Moyenne</w:t>
            </w:r>
          </w:p>
        </w:tc>
        <w:tc>
          <w:tcPr>
            <w:tcW w:type="dxa" w:w="1440"/>
            <w:shd w:fill="FFDCE0" w:val="clear"/>
          </w:tcPr>
          <w:p>
            <w:r>
              <w:rPr>
                <w:sz w:val="17"/>
              </w:rPr>
              <w:t>2026-08-20</w:t>
            </w:r>
          </w:p>
        </w:tc>
        <w:tc>
          <w:tcPr>
            <w:tcW w:type="dxa" w:w="1440"/>
            <w:shd w:fill="FFDCE0" w:val="clear"/>
          </w:tcPr>
          <w:p>
            <w:r>
              <w:rPr>
                <w:sz w:val="17"/>
              </w:rPr>
              <w:t>4,086</w:t>
            </w:r>
          </w:p>
        </w:tc>
        <w:tc>
          <w:tcPr>
            <w:tcW w:type="dxa" w:w="1440"/>
            <w:shd w:fill="FFDCE0" w:val="clear"/>
          </w:tcPr>
          <w:p>
            <w:r>
              <w:rPr>
                <w:b/>
                <w:sz w:val="17"/>
              </w:rPr>
              <w:t>4,338</w:t>
            </w:r>
          </w:p>
        </w:tc>
        <w:tc>
          <w:tcPr>
            <w:tcW w:type="dxa" w:w="1440"/>
            <w:shd w:fill="FFDCE0" w:val="clear"/>
          </w:tcPr>
          <w:p>
            <w:r>
              <w:rPr>
                <w:sz w:val="17"/>
              </w:rPr>
              <w:t>4,591</w:t>
            </w:r>
          </w:p>
        </w:tc>
        <w:tc>
          <w:tcPr>
            <w:tcW w:type="dxa" w:w="1440"/>
            <w:shd w:fill="FFDCE0" w:val="clear"/>
          </w:tcPr>
          <w:p>
            <w:r>
              <w:rPr>
                <w:b/>
                <w:color w:val="C00000"/>
                <w:sz w:val="17"/>
              </w:rPr>
              <w:t>-3.5%</w:t>
            </w:r>
          </w:p>
        </w:tc>
      </w:tr>
      <w:tr>
        <w:tc>
          <w:tcPr>
            <w:tcW w:type="dxa" w:w="1440"/>
            <w:shd w:fill="FFDCE0" w:val="clear"/>
          </w:tcPr>
          <w:p>
            <w:r>
              <w:rPr>
                <w:sz w:val="17"/>
              </w:rPr>
              <w:t>J+6  Moyenne</w:t>
            </w:r>
          </w:p>
        </w:tc>
        <w:tc>
          <w:tcPr>
            <w:tcW w:type="dxa" w:w="1440"/>
            <w:shd w:fill="FFDCE0" w:val="clear"/>
          </w:tcPr>
          <w:p>
            <w:r>
              <w:rPr>
                <w:sz w:val="17"/>
              </w:rPr>
              <w:t>2026-08-21</w:t>
            </w:r>
          </w:p>
        </w:tc>
        <w:tc>
          <w:tcPr>
            <w:tcW w:type="dxa" w:w="1440"/>
            <w:shd w:fill="FFDCE0" w:val="clear"/>
          </w:tcPr>
          <w:p>
            <w:r>
              <w:rPr>
                <w:sz w:val="17"/>
              </w:rPr>
              <w:t>4,043</w:t>
            </w:r>
          </w:p>
        </w:tc>
        <w:tc>
          <w:tcPr>
            <w:tcW w:type="dxa" w:w="1440"/>
            <w:shd w:fill="FFDCE0" w:val="clear"/>
          </w:tcPr>
          <w:p>
            <w:r>
              <w:rPr>
                <w:b/>
                <w:sz w:val="17"/>
              </w:rPr>
              <w:t>4,318</w:t>
            </w:r>
          </w:p>
        </w:tc>
        <w:tc>
          <w:tcPr>
            <w:tcW w:type="dxa" w:w="1440"/>
            <w:shd w:fill="FFDCE0" w:val="clear"/>
          </w:tcPr>
          <w:p>
            <w:r>
              <w:rPr>
                <w:sz w:val="17"/>
              </w:rPr>
              <w:t>4,593</w:t>
            </w:r>
          </w:p>
        </w:tc>
        <w:tc>
          <w:tcPr>
            <w:tcW w:type="dxa" w:w="1440"/>
            <w:shd w:fill="FFDCE0" w:val="clear"/>
          </w:tcPr>
          <w:p>
            <w:r>
              <w:rPr>
                <w:b/>
                <w:color w:val="C00000"/>
                <w:sz w:val="17"/>
              </w:rPr>
              <w:t>-3.9%</w:t>
            </w:r>
          </w:p>
        </w:tc>
      </w:tr>
      <w:tr>
        <w:tc>
          <w:tcPr>
            <w:tcW w:type="dxa" w:w="1440"/>
            <w:shd w:fill="FFDCE0" w:val="clear"/>
          </w:tcPr>
          <w:p>
            <w:r>
              <w:rPr>
                <w:sz w:val="17"/>
              </w:rPr>
              <w:t>J+7  Moyenne</w:t>
            </w:r>
          </w:p>
        </w:tc>
        <w:tc>
          <w:tcPr>
            <w:tcW w:type="dxa" w:w="1440"/>
            <w:shd w:fill="FFDCE0" w:val="clear"/>
          </w:tcPr>
          <w:p>
            <w:r>
              <w:rPr>
                <w:sz w:val="17"/>
              </w:rPr>
              <w:t>2026-08-24</w:t>
            </w:r>
          </w:p>
        </w:tc>
        <w:tc>
          <w:tcPr>
            <w:tcW w:type="dxa" w:w="1440"/>
            <w:shd w:fill="FFDCE0" w:val="clear"/>
          </w:tcPr>
          <w:p>
            <w:r>
              <w:rPr>
                <w:sz w:val="17"/>
              </w:rPr>
              <w:t>4,003</w:t>
            </w:r>
          </w:p>
        </w:tc>
        <w:tc>
          <w:tcPr>
            <w:tcW w:type="dxa" w:w="1440"/>
            <w:shd w:fill="FFDCE0" w:val="clear"/>
          </w:tcPr>
          <w:p>
            <w:r>
              <w:rPr>
                <w:b/>
                <w:sz w:val="17"/>
              </w:rPr>
              <w:t>4,298</w:t>
            </w:r>
          </w:p>
        </w:tc>
        <w:tc>
          <w:tcPr>
            <w:tcW w:type="dxa" w:w="1440"/>
            <w:shd w:fill="FFDCE0" w:val="clear"/>
          </w:tcPr>
          <w:p>
            <w:r>
              <w:rPr>
                <w:sz w:val="17"/>
              </w:rPr>
              <w:t>4,594</w:t>
            </w:r>
          </w:p>
        </w:tc>
        <w:tc>
          <w:tcPr>
            <w:tcW w:type="dxa" w:w="1440"/>
            <w:shd w:fill="FFDCE0" w:val="clear"/>
          </w:tcPr>
          <w:p>
            <w:r>
              <w:rPr>
                <w:b/>
                <w:color w:val="C00000"/>
                <w:sz w:val="17"/>
              </w:rPr>
              <w:t>-4.4%</w:t>
            </w:r>
          </w:p>
        </w:tc>
      </w:tr>
      <w:tr>
        <w:tc>
          <w:tcPr>
            <w:tcW w:type="dxa" w:w="1440"/>
            <w:shd w:fill="FFDCE0" w:val="clear"/>
          </w:tcPr>
          <w:p>
            <w:r>
              <w:rPr>
                <w:sz w:val="17"/>
              </w:rPr>
              <w:t>J+8  Moyenne</w:t>
            </w:r>
          </w:p>
        </w:tc>
        <w:tc>
          <w:tcPr>
            <w:tcW w:type="dxa" w:w="1440"/>
            <w:shd w:fill="FFDCE0" w:val="clear"/>
          </w:tcPr>
          <w:p>
            <w:r>
              <w:rPr>
                <w:sz w:val="17"/>
              </w:rPr>
              <w:t>2026-08-25</w:t>
            </w:r>
          </w:p>
        </w:tc>
        <w:tc>
          <w:tcPr>
            <w:tcW w:type="dxa" w:w="1440"/>
            <w:shd w:fill="FFDCE0" w:val="clear"/>
          </w:tcPr>
          <w:p>
            <w:r>
              <w:rPr>
                <w:sz w:val="17"/>
              </w:rPr>
              <w:t>3,964</w:t>
            </w:r>
          </w:p>
        </w:tc>
        <w:tc>
          <w:tcPr>
            <w:tcW w:type="dxa" w:w="1440"/>
            <w:shd w:fill="FFDCE0" w:val="clear"/>
          </w:tcPr>
          <w:p>
            <w:r>
              <w:rPr>
                <w:b/>
                <w:sz w:val="17"/>
              </w:rPr>
              <w:t>4,279</w:t>
            </w:r>
          </w:p>
        </w:tc>
        <w:tc>
          <w:tcPr>
            <w:tcW w:type="dxa" w:w="1440"/>
            <w:shd w:fill="FFDCE0" w:val="clear"/>
          </w:tcPr>
          <w:p>
            <w:r>
              <w:rPr>
                <w:sz w:val="17"/>
              </w:rPr>
              <w:t>4,594</w:t>
            </w:r>
          </w:p>
        </w:tc>
        <w:tc>
          <w:tcPr>
            <w:tcW w:type="dxa" w:w="1440"/>
            <w:shd w:fill="FFDCE0" w:val="clear"/>
          </w:tcPr>
          <w:p>
            <w:r>
              <w:rPr>
                <w:b/>
                <w:color w:val="C00000"/>
                <w:sz w:val="17"/>
              </w:rPr>
              <w:t>-4.8%</w:t>
            </w:r>
          </w:p>
        </w:tc>
      </w:tr>
      <w:tr>
        <w:tc>
          <w:tcPr>
            <w:tcW w:type="dxa" w:w="1440"/>
            <w:shd w:fill="FFDCE0" w:val="clear"/>
          </w:tcPr>
          <w:p>
            <w:r>
              <w:rPr>
                <w:sz w:val="17"/>
              </w:rPr>
              <w:t>J+9  Moyenne</w:t>
            </w:r>
          </w:p>
        </w:tc>
        <w:tc>
          <w:tcPr>
            <w:tcW w:type="dxa" w:w="1440"/>
            <w:shd w:fill="FFDCE0" w:val="clear"/>
          </w:tcPr>
          <w:p>
            <w:r>
              <w:rPr>
                <w:sz w:val="17"/>
              </w:rPr>
              <w:t>2026-08-27</w:t>
            </w:r>
          </w:p>
        </w:tc>
        <w:tc>
          <w:tcPr>
            <w:tcW w:type="dxa" w:w="1440"/>
            <w:shd w:fill="FFDCE0" w:val="clear"/>
          </w:tcPr>
          <w:p>
            <w:r>
              <w:rPr>
                <w:sz w:val="17"/>
              </w:rPr>
              <w:t>3,928</w:t>
            </w:r>
          </w:p>
        </w:tc>
        <w:tc>
          <w:tcPr>
            <w:tcW w:type="dxa" w:w="1440"/>
            <w:shd w:fill="FFDCE0" w:val="clear"/>
          </w:tcPr>
          <w:p>
            <w:r>
              <w:rPr>
                <w:b/>
                <w:sz w:val="17"/>
              </w:rPr>
              <w:t>4,260</w:t>
            </w:r>
          </w:p>
        </w:tc>
        <w:tc>
          <w:tcPr>
            <w:tcW w:type="dxa" w:w="1440"/>
            <w:shd w:fill="FFDCE0" w:val="clear"/>
          </w:tcPr>
          <w:p>
            <w:r>
              <w:rPr>
                <w:sz w:val="17"/>
              </w:rPr>
              <w:t>4,592</w:t>
            </w:r>
          </w:p>
        </w:tc>
        <w:tc>
          <w:tcPr>
            <w:tcW w:type="dxa" w:w="1440"/>
            <w:shd w:fill="FFDCE0" w:val="clear"/>
          </w:tcPr>
          <w:p>
            <w:r>
              <w:rPr>
                <w:b/>
                <w:color w:val="C00000"/>
                <w:sz w:val="17"/>
              </w:rPr>
              <w:t>-5.2%</w:t>
            </w:r>
          </w:p>
        </w:tc>
      </w:tr>
      <w:tr>
        <w:tc>
          <w:tcPr>
            <w:tcW w:type="dxa" w:w="1440"/>
            <w:shd w:fill="FFDCE0" w:val="clear"/>
          </w:tcPr>
          <w:p>
            <w:r>
              <w:rPr>
                <w:sz w:val="17"/>
              </w:rPr>
              <w:t>J+10  Moyenne</w:t>
            </w:r>
          </w:p>
        </w:tc>
        <w:tc>
          <w:tcPr>
            <w:tcW w:type="dxa" w:w="1440"/>
            <w:shd w:fill="FFDCE0" w:val="clear"/>
          </w:tcPr>
          <w:p>
            <w:r>
              <w:rPr>
                <w:sz w:val="17"/>
              </w:rPr>
              <w:t>2026-08-28</w:t>
            </w:r>
          </w:p>
        </w:tc>
        <w:tc>
          <w:tcPr>
            <w:tcW w:type="dxa" w:w="1440"/>
            <w:shd w:fill="FFDCE0" w:val="clear"/>
          </w:tcPr>
          <w:p>
            <w:r>
              <w:rPr>
                <w:sz w:val="17"/>
              </w:rPr>
              <w:t>3,892</w:t>
            </w:r>
          </w:p>
        </w:tc>
        <w:tc>
          <w:tcPr>
            <w:tcW w:type="dxa" w:w="1440"/>
            <w:shd w:fill="FFDCE0" w:val="clear"/>
          </w:tcPr>
          <w:p>
            <w:r>
              <w:rPr>
                <w:b/>
                <w:sz w:val="17"/>
              </w:rPr>
              <w:t>4,241</w:t>
            </w:r>
          </w:p>
        </w:tc>
        <w:tc>
          <w:tcPr>
            <w:tcW w:type="dxa" w:w="1440"/>
            <w:shd w:fill="FFDCE0" w:val="clear"/>
          </w:tcPr>
          <w:p>
            <w:r>
              <w:rPr>
                <w:sz w:val="17"/>
              </w:rPr>
              <w:t>4,590</w:t>
            </w:r>
          </w:p>
        </w:tc>
        <w:tc>
          <w:tcPr>
            <w:tcW w:type="dxa" w:w="1440"/>
            <w:shd w:fill="FFDCE0" w:val="clear"/>
          </w:tcPr>
          <w:p>
            <w:r>
              <w:rPr>
                <w:b/>
                <w:color w:val="C00000"/>
                <w:sz w:val="17"/>
              </w:rPr>
              <w:t>-5.6%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CI)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46,03 milliards FCFA, un niveau qui la positionne comme une valeur de taille moyenne sur la BRVM, représentative du secteur de la distribution automobile. Avec un BPA de 231 FCFA, le PER de 19,4x est nettement supérieur à la moyenne historique du marché (8-12x), indiquant que les investisseurs acceptent de payer une prime substantielle pour les bénéfices de la société. Cette prime se confirme avec un P/B de 3,99x, signifiant que le marché valorise l'actif net comptable près de quatre fois sa valeur, traduisant des attentes de croissance forte. Enfin, l'EV/EBITDA de 9,9x se situe dans la fourchette haute des valeurs raisonnables (5-10x), ce qui suggère une valorisation globale exigeante mais pas déconnectée des fondamentaux opérationnels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PRSC affiche une performance négative de -6,26%, bien que la dernière séance montre un rebond de +2,16% à 4 495 FCFA. Le cours a évolué dans un range large de 3 620 FCFA (plus bas) à 5 100 FCFA (plus haut), illustrant une volatilité intraday significative. La moyenne (4 483 FCFA) et la médiane (4 508 FCFA) sont très proches, indiquant une distribution globalement symétrique, mais le skewness de -0,731 révèle une asymétrie négative : les journées de forte baisse ont été plus fréquentes que les journées de forte hausse. Le kurtosis de -0,036 (mésokurtique) suggère l'absence de mouvements extrêmes exceptionnels, tandis que l'écart-type de 370 FCFA (CV=8,3%) montre une dispersion modérée autour de la moyenne. La volatilité annualisée de 40,5% classe le titre comme très volatil (&gt;30%), un niveau élevé qui reflète une incertitude marquée des investisseurs sur la valeur.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(4 495 FCFA) se situe sous la MM20 (4 510 FCFA) mais au-dessus de la MM50 (4 462 FCFA). Cette configuration, où le prix est entre les deux moyennes, suggère une tendance hésitante à court terme mais un momentum positif à moyen terme. La décision "Achat" est justifiée par la position au-dessus de la MM50, indiquant que la tendance de fond reste haussière malgré le récent repli.</w:t>
      </w:r>
    </w:p>
    <w:p>
      <w:pPr>
        <w:spacing w:after="120" w:line="276" w:lineRule="auto"/>
      </w:pPr>
      <w:r>
        <w:t>**Bandes de Bollinger** : Le cours se positionne à 4 495 FCFA, entre la borne inférieure (4 351,9 FCFA) et la borne supérieure (4 668,1 FCFA), proche de la zone médiane. La largeur des bandes reflète la volatilité élevée du titre. La décision "Neutre" est cohérente : le prix n'est ni en situation de surachat ni de survente, laissant place à une évolution directionnelle à venir.</w:t>
      </w:r>
    </w:p>
    <w:p>
      <w:pPr>
        <w:spacing w:after="120" w:line="276" w:lineRule="auto"/>
      </w:pPr>
      <w:r>
        <w:t>**MACD** : La valeur MACD (-2,462) est négative et inférieure à sa ligne de signal (11,194), formant un croisement baissier. Cette configuration indique un affaiblissement du momentum haussier et une possible poursuite du mouvement de correction. La décision "Vente" est justifiée par cette divergence négative, qui signale une perte de dynamique haussière à court terme.</w:t>
      </w:r>
    </w:p>
    <w:p>
      <w:pPr>
        <w:spacing w:after="120" w:line="276" w:lineRule="auto"/>
      </w:pPr>
      <w:r>
        <w:t>**RSI** : À 40,678, le RSI se situe dans la zone neutre (30-70), sans signal extrême. Cette valeur suggère que le titre n'est ni suracheté ni survendu, avec une pression vendeuse modérée mais non excessive. La décision "Neutre" est appropriée, laissant aux investisseurs une marge de manœuvre avant d'atteindre des zones de survente significatives.</w:t>
      </w:r>
    </w:p>
    <w:p>
      <w:pPr>
        <w:spacing w:after="120" w:line="276" w:lineRule="auto"/>
      </w:pPr>
      <w:r>
        <w:t>**Stochastique** : Le %K (45,238) est nettement supérieur au %D (15,079), indiquant un croisement haussier récent. Cette configuration suggère un potentiel de rebond technique à court terme, même si les niveaux restent modérés. La décision "Neutre" reflète cette situation intermédiaire, où le signal haussier n'est pas encore pleinement confirmé.</w:t>
      </w:r>
    </w:p>
    <w:p>
      <w:pPr>
        <w:spacing w:after="120" w:line="276" w:lineRule="auto"/>
      </w:pPr>
      <w:r>
        <w:t>**Conclusion technique** : La convergence des indicateurs est mitigée. Les moyennes mobiles et le stochastique suggèrent un potentiel de rebond, tandis que le MACD reste baissier et le RSI neutre. Cette divergence indique une phase de consolidation avec une tendance incertaine, où le titre pourrait évoluer latéralement avant de choisir une direction. La prudence est de mise, avec un biais légèrement positif à court terme.</w:t>
      </w:r>
    </w:p>
    <w:p>
      <w:pPr>
        <w:spacing w:after="120" w:line="276" w:lineRule="auto"/>
      </w:pPr>
      <w:r>
        <w:t>---</w:t>
      </w:r>
    </w:p>
    <w:p>
      <w:pPr>
        <w:spacing w:after="120" w:line="276" w:lineRule="auto"/>
      </w:pPr>
      <w:r>
        <w:t>### PARTIE 3 : ANALYSE FONDAMENTALE (SECTION CRITIQUE)</w:t>
      </w:r>
    </w:p>
    <w:p>
      <w:pPr>
        <w:spacing w:after="120" w:line="276" w:lineRule="auto"/>
      </w:pPr>
      <w:r>
        <w:t>En 2025, PRSC affiche un chiffre d'affaires de 81,127 milliards FCFA, en croissance de 9,5% par rapport à 2024 (74,45 milliards), confirmant la reprise après la baisse de 4,15% enregistrée en 2024. Le résultat net s'établit à 2,367 milliards FCFA, en légère hausse par rapport aux 2,177 milliards de 2024, avec une marge nette de 2,92%. La rentabilité des fonds propres (ROE) atteint un excellent niveau de 20,53%, tandis que le ROA est de 4,95%. En tant qu'entreprise de distribution, l'analyse du BFR est cruciale : il s'élève à 11,267 milliards FCFA, avec un délai clients de 46 jours (modéré) et un délai fournisseurs de 103 jours (favorable pour la trésorerie). Cependant, la durée de stockage de 150 jours est préoccupante, immobilisant un capital important. Le S1 2025 (rapport du 30/06/2025) montrait déjà une performance exceptionnelle avec un CA de 39,97 milliards (+15,1%) et un résultat net multiplié par 28 à 1,436 milliard. Sur la base de cette dynamique et des résultats annuels, on estime que la croissance du CA pourrait se poursuivre en 2026, portée par le leadership sur les véhicules industriels et la diversification réussie (pneumatiques +62,6%). La structure financière reste fragile avec un endettement élevé (ratio d'endettement de 314,9%) et une trésorerie nette négative de -4,092 milliards, mais la couverture des intérêts est très confortable (1585%). Le dividende de 209 FCFA par action proposé pour 2025 offre un rendement modeste mais marque un retour à la distribution.</w:t>
      </w:r>
    </w:p>
    <w:p>
      <w:pPr>
        <w:spacing w:after="120" w:line="276" w:lineRule="auto"/>
      </w:pPr>
      <w:r>
        <w:t>---</w:t>
      </w:r>
    </w:p>
    <w:p>
      <w:pPr>
        <w:spacing w:after="120" w:line="276" w:lineRule="auto"/>
      </w:pPr>
      <w:r>
        <w:t>### PARTIE 4 : CONCLUSION D'INVESTISSEMENT</w:t>
      </w:r>
    </w:p>
    <w:p>
      <w:pPr>
        <w:spacing w:after="120" w:line="276" w:lineRule="auto"/>
      </w:pPr>
      <w:r>
        <w:t>La valorisation de PRSC est exigeante (PER 19,4x, P/B 3,99x), reflétant des attentes de croissance élevées qui ne sont que partiellement justifiées par les fondamentaux. Le comportement du cours sur 100 jours montre une tendance baissière (-6,26%) avec une volatilité très élevée (40,5%), signalant une incertitude persistante malgré un léger rebond récent. Les signaux techniques sont mitigés : les moyennes mobiles et le stochastique suggèrent un potentiel de rebond, mais le MACD baissier et le RSI neutre tempèrent cet optimisme. Les fondamentaux sont solides avec une croissance du CA de 9,5% en 2025, un ROE excellent de 20,5%, et un dividende de 209 FCFA/action, mais la marge nette reste faible (2,9%) et le BFR élevé. Les prédictions IA pour les 10 prochains jours (4 415 à 4 338 FCFA) anticipent une poursuite de la baisse, contredisant les signaux techniques haussiers à court terme. En synthèse, la convergence entre une valorisation élevée, une tendance baissière et des fondamentaux corrects mais non exceptionnels conduit à une recommandation **CONSERVER**, avec un niveau de confiance **Moyen** et un risque global **Élevé**. L'horizon d'investissement optimal serait le **moyen terme (3-12 mois)**, en attendant une clarification de la tendance et une amélioration de la marge nette.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45.11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7,376 titres</w:t>
            </w:r>
          </w:p>
        </w:tc>
        <w:tc>
          <w:tcPr>
            <w:tcW w:type="dxa" w:w="2268"/>
            <w:shd w:fill="FFF2CC" w:val="clear"/>
          </w:tcPr>
          <w:p>
            <w:r>
              <w:rPr>
                <w:b/>
                <w:color w:val="503200"/>
                <w:sz w:val="16"/>
              </w:rPr>
              <w:t xml:space="preserve">Cours actuel : </w:t>
            </w:r>
            <w:r>
              <w:rPr>
                <w:color w:val="000000"/>
                <w:sz w:val="17"/>
              </w:rPr>
              <w:t>5,555 FCFA</w:t>
            </w:r>
          </w:p>
          <w:p>
            <w:r>
              <w:rPr>
                <w:b/>
                <w:color w:val="503200"/>
                <w:sz w:val="16"/>
              </w:rPr>
              <w:t xml:space="preserve">Var. 100 jours : </w:t>
            </w:r>
            <w:r>
              <w:rPr>
                <w:b/>
                <w:color w:val="B40000"/>
                <w:sz w:val="17"/>
              </w:rPr>
              <w:t>-3.39%</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23.45% (Élevée) — μ=4,790 FCFA, σ=1,123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β=0.1855 (Défensif) — Cov=0.000007, Var(idx)=0.000036, ρ=0.021,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7,376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σ_j=5.35%/j (Instable) — Vol. annualisée≈85.0%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2026-08-14</w:t>
            </w:r>
          </w:p>
        </w:tc>
        <w:tc>
          <w:tcPr>
            <w:tcW w:type="dxa" w:w="1440"/>
            <w:shd w:fill="FFDCE0" w:val="clear"/>
          </w:tcPr>
          <w:p>
            <w:r>
              <w:rPr>
                <w:sz w:val="17"/>
              </w:rPr>
              <w:t>4,887</w:t>
            </w:r>
          </w:p>
        </w:tc>
        <w:tc>
          <w:tcPr>
            <w:tcW w:type="dxa" w:w="1440"/>
            <w:shd w:fill="FFDCE0" w:val="clear"/>
          </w:tcPr>
          <w:p>
            <w:r>
              <w:rPr>
                <w:b/>
                <w:sz w:val="17"/>
              </w:rPr>
              <w:t>5,216</w:t>
            </w:r>
          </w:p>
        </w:tc>
        <w:tc>
          <w:tcPr>
            <w:tcW w:type="dxa" w:w="1440"/>
            <w:shd w:fill="FFDCE0" w:val="clear"/>
          </w:tcPr>
          <w:p>
            <w:r>
              <w:rPr>
                <w:sz w:val="17"/>
              </w:rPr>
              <w:t>5,545</w:t>
            </w:r>
          </w:p>
        </w:tc>
        <w:tc>
          <w:tcPr>
            <w:tcW w:type="dxa" w:w="1440"/>
            <w:shd w:fill="FFDCE0" w:val="clear"/>
          </w:tcPr>
          <w:p>
            <w:r>
              <w:rPr>
                <w:b/>
                <w:color w:val="C00000"/>
                <w:sz w:val="17"/>
              </w:rPr>
              <w:t>-6.1%</w:t>
            </w:r>
          </w:p>
        </w:tc>
      </w:tr>
      <w:tr>
        <w:tc>
          <w:tcPr>
            <w:tcW w:type="dxa" w:w="1440"/>
            <w:shd w:fill="FFDCE0" w:val="clear"/>
          </w:tcPr>
          <w:p>
            <w:r>
              <w:rPr>
                <w:sz w:val="17"/>
              </w:rPr>
              <w:t>J+2  ⭐</w:t>
            </w:r>
          </w:p>
        </w:tc>
        <w:tc>
          <w:tcPr>
            <w:tcW w:type="dxa" w:w="1440"/>
            <w:shd w:fill="FFDCE0" w:val="clear"/>
          </w:tcPr>
          <w:p>
            <w:r>
              <w:rPr>
                <w:sz w:val="17"/>
              </w:rPr>
              <w:t>2026-08-17</w:t>
            </w:r>
          </w:p>
        </w:tc>
        <w:tc>
          <w:tcPr>
            <w:tcW w:type="dxa" w:w="1440"/>
            <w:shd w:fill="FFDCE0" w:val="clear"/>
          </w:tcPr>
          <w:p>
            <w:r>
              <w:rPr>
                <w:sz w:val="17"/>
              </w:rPr>
              <w:t>4,394</w:t>
            </w:r>
          </w:p>
        </w:tc>
        <w:tc>
          <w:tcPr>
            <w:tcW w:type="dxa" w:w="1440"/>
            <w:shd w:fill="FFDCE0" w:val="clear"/>
          </w:tcPr>
          <w:p>
            <w:r>
              <w:rPr>
                <w:b/>
                <w:sz w:val="17"/>
              </w:rPr>
              <w:t>4,825</w:t>
            </w:r>
          </w:p>
        </w:tc>
        <w:tc>
          <w:tcPr>
            <w:tcW w:type="dxa" w:w="1440"/>
            <w:shd w:fill="FFDCE0" w:val="clear"/>
          </w:tcPr>
          <w:p>
            <w:r>
              <w:rPr>
                <w:sz w:val="17"/>
              </w:rPr>
              <w:t>5,255</w:t>
            </w:r>
          </w:p>
        </w:tc>
        <w:tc>
          <w:tcPr>
            <w:tcW w:type="dxa" w:w="1440"/>
            <w:shd w:fill="FFDCE0" w:val="clear"/>
          </w:tcPr>
          <w:p>
            <w:r>
              <w:rPr>
                <w:b/>
                <w:color w:val="C00000"/>
                <w:sz w:val="17"/>
              </w:rPr>
              <w:t>-13.1%</w:t>
            </w:r>
          </w:p>
        </w:tc>
      </w:tr>
      <w:tr>
        <w:tc>
          <w:tcPr>
            <w:tcW w:type="dxa" w:w="1440"/>
            <w:shd w:fill="FFDCE0" w:val="clear"/>
          </w:tcPr>
          <w:p>
            <w:r>
              <w:rPr>
                <w:sz w:val="17"/>
              </w:rPr>
              <w:t>J+3  ⭐</w:t>
            </w:r>
          </w:p>
        </w:tc>
        <w:tc>
          <w:tcPr>
            <w:tcW w:type="dxa" w:w="1440"/>
            <w:shd w:fill="FFDCE0" w:val="clear"/>
          </w:tcPr>
          <w:p>
            <w:r>
              <w:rPr>
                <w:sz w:val="17"/>
              </w:rPr>
              <w:t>2026-08-18</w:t>
            </w:r>
          </w:p>
        </w:tc>
        <w:tc>
          <w:tcPr>
            <w:tcW w:type="dxa" w:w="1440"/>
            <w:shd w:fill="FFDCE0" w:val="clear"/>
          </w:tcPr>
          <w:p>
            <w:r>
              <w:rPr>
                <w:sz w:val="17"/>
              </w:rPr>
              <w:t>3,975</w:t>
            </w:r>
          </w:p>
        </w:tc>
        <w:tc>
          <w:tcPr>
            <w:tcW w:type="dxa" w:w="1440"/>
            <w:shd w:fill="FFDCE0" w:val="clear"/>
          </w:tcPr>
          <w:p>
            <w:r>
              <w:rPr>
                <w:b/>
                <w:sz w:val="17"/>
              </w:rPr>
              <w:t>4,463</w:t>
            </w:r>
          </w:p>
        </w:tc>
        <w:tc>
          <w:tcPr>
            <w:tcW w:type="dxa" w:w="1440"/>
            <w:shd w:fill="FFDCE0" w:val="clear"/>
          </w:tcPr>
          <w:p>
            <w:r>
              <w:rPr>
                <w:sz w:val="17"/>
              </w:rPr>
              <w:t>4,950</w:t>
            </w:r>
          </w:p>
        </w:tc>
        <w:tc>
          <w:tcPr>
            <w:tcW w:type="dxa" w:w="1440"/>
            <w:shd w:fill="FFDCE0" w:val="clear"/>
          </w:tcPr>
          <w:p>
            <w:r>
              <w:rPr>
                <w:b/>
                <w:color w:val="C00000"/>
                <w:sz w:val="17"/>
              </w:rPr>
              <w:t>-19.7%</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3,607</w:t>
            </w:r>
          </w:p>
        </w:tc>
        <w:tc>
          <w:tcPr>
            <w:tcW w:type="dxa" w:w="1440"/>
            <w:shd w:fill="FFDCE0" w:val="clear"/>
          </w:tcPr>
          <w:p>
            <w:r>
              <w:rPr>
                <w:b/>
                <w:sz w:val="17"/>
              </w:rPr>
              <w:t>4,128</w:t>
            </w:r>
          </w:p>
        </w:tc>
        <w:tc>
          <w:tcPr>
            <w:tcW w:type="dxa" w:w="1440"/>
            <w:shd w:fill="FFDCE0" w:val="clear"/>
          </w:tcPr>
          <w:p>
            <w:r>
              <w:rPr>
                <w:sz w:val="17"/>
              </w:rPr>
              <w:t>4,649</w:t>
            </w:r>
          </w:p>
        </w:tc>
        <w:tc>
          <w:tcPr>
            <w:tcW w:type="dxa" w:w="1440"/>
            <w:shd w:fill="FFDCE0" w:val="clear"/>
          </w:tcPr>
          <w:p>
            <w:r>
              <w:rPr>
                <w:b/>
                <w:color w:val="C00000"/>
                <w:sz w:val="17"/>
              </w:rPr>
              <w:t>-25.7%</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3,280</w:t>
            </w:r>
          </w:p>
        </w:tc>
        <w:tc>
          <w:tcPr>
            <w:tcW w:type="dxa" w:w="1440"/>
            <w:shd w:fill="FFDCE0" w:val="clear"/>
          </w:tcPr>
          <w:p>
            <w:r>
              <w:rPr>
                <w:b/>
                <w:sz w:val="17"/>
              </w:rPr>
              <w:t>3,818</w:t>
            </w:r>
          </w:p>
        </w:tc>
        <w:tc>
          <w:tcPr>
            <w:tcW w:type="dxa" w:w="1440"/>
            <w:shd w:fill="FFDCE0" w:val="clear"/>
          </w:tcPr>
          <w:p>
            <w:r>
              <w:rPr>
                <w:sz w:val="17"/>
              </w:rPr>
              <w:t>4,357</w:t>
            </w:r>
          </w:p>
        </w:tc>
        <w:tc>
          <w:tcPr>
            <w:tcW w:type="dxa" w:w="1440"/>
            <w:shd w:fill="FFDCE0" w:val="clear"/>
          </w:tcPr>
          <w:p>
            <w:r>
              <w:rPr>
                <w:b/>
                <w:color w:val="C00000"/>
                <w:sz w:val="17"/>
              </w:rPr>
              <w:t>-31.3%</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2,986</w:t>
            </w:r>
          </w:p>
        </w:tc>
        <w:tc>
          <w:tcPr>
            <w:tcW w:type="dxa" w:w="1440"/>
            <w:shd w:fill="FFDCE0" w:val="clear"/>
          </w:tcPr>
          <w:p>
            <w:r>
              <w:rPr>
                <w:b/>
                <w:sz w:val="17"/>
              </w:rPr>
              <w:t>3,532</w:t>
            </w:r>
          </w:p>
        </w:tc>
        <w:tc>
          <w:tcPr>
            <w:tcW w:type="dxa" w:w="1440"/>
            <w:shd w:fill="FFDCE0" w:val="clear"/>
          </w:tcPr>
          <w:p>
            <w:r>
              <w:rPr>
                <w:sz w:val="17"/>
              </w:rPr>
              <w:t>4,078</w:t>
            </w:r>
          </w:p>
        </w:tc>
        <w:tc>
          <w:tcPr>
            <w:tcW w:type="dxa" w:w="1440"/>
            <w:shd w:fill="FFDCE0" w:val="clear"/>
          </w:tcPr>
          <w:p>
            <w:r>
              <w:rPr>
                <w:b/>
                <w:color w:val="C00000"/>
                <w:sz w:val="17"/>
              </w:rPr>
              <w:t>-36.4%</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2,722</w:t>
            </w:r>
          </w:p>
        </w:tc>
        <w:tc>
          <w:tcPr>
            <w:tcW w:type="dxa" w:w="1440"/>
            <w:shd w:fill="FFDCE0" w:val="clear"/>
          </w:tcPr>
          <w:p>
            <w:r>
              <w:rPr>
                <w:b/>
                <w:sz w:val="17"/>
              </w:rPr>
              <w:t>3,267</w:t>
            </w:r>
          </w:p>
        </w:tc>
        <w:tc>
          <w:tcPr>
            <w:tcW w:type="dxa" w:w="1440"/>
            <w:shd w:fill="FFDCE0" w:val="clear"/>
          </w:tcPr>
          <w:p>
            <w:r>
              <w:rPr>
                <w:sz w:val="17"/>
              </w:rPr>
              <w:t>3,812</w:t>
            </w:r>
          </w:p>
        </w:tc>
        <w:tc>
          <w:tcPr>
            <w:tcW w:type="dxa" w:w="1440"/>
            <w:shd w:fill="FFDCE0" w:val="clear"/>
          </w:tcPr>
          <w:p>
            <w:r>
              <w:rPr>
                <w:b/>
                <w:color w:val="C00000"/>
                <w:sz w:val="17"/>
              </w:rPr>
              <w:t>-41.2%</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2,483</w:t>
            </w:r>
          </w:p>
        </w:tc>
        <w:tc>
          <w:tcPr>
            <w:tcW w:type="dxa" w:w="1440"/>
            <w:shd w:fill="FFDCE0" w:val="clear"/>
          </w:tcPr>
          <w:p>
            <w:r>
              <w:rPr>
                <w:b/>
                <w:sz w:val="17"/>
              </w:rPr>
              <w:t>3,022</w:t>
            </w:r>
          </w:p>
        </w:tc>
        <w:tc>
          <w:tcPr>
            <w:tcW w:type="dxa" w:w="1440"/>
            <w:shd w:fill="FFDCE0" w:val="clear"/>
          </w:tcPr>
          <w:p>
            <w:r>
              <w:rPr>
                <w:sz w:val="17"/>
              </w:rPr>
              <w:t>3,561</w:t>
            </w:r>
          </w:p>
        </w:tc>
        <w:tc>
          <w:tcPr>
            <w:tcW w:type="dxa" w:w="1440"/>
            <w:shd w:fill="FFDCE0" w:val="clear"/>
          </w:tcPr>
          <w:p>
            <w:r>
              <w:rPr>
                <w:b/>
                <w:color w:val="C00000"/>
                <w:sz w:val="17"/>
              </w:rPr>
              <w:t>-45.6%</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2,267</w:t>
            </w:r>
          </w:p>
        </w:tc>
        <w:tc>
          <w:tcPr>
            <w:tcW w:type="dxa" w:w="1440"/>
            <w:shd w:fill="FFDCE0" w:val="clear"/>
          </w:tcPr>
          <w:p>
            <w:r>
              <w:rPr>
                <w:b/>
                <w:sz w:val="17"/>
              </w:rPr>
              <w:t>2,795</w:t>
            </w:r>
          </w:p>
        </w:tc>
        <w:tc>
          <w:tcPr>
            <w:tcW w:type="dxa" w:w="1440"/>
            <w:shd w:fill="FFDCE0" w:val="clear"/>
          </w:tcPr>
          <w:p>
            <w:r>
              <w:rPr>
                <w:sz w:val="17"/>
              </w:rPr>
              <w:t>3,324</w:t>
            </w:r>
          </w:p>
        </w:tc>
        <w:tc>
          <w:tcPr>
            <w:tcW w:type="dxa" w:w="1440"/>
            <w:shd w:fill="FFDCE0" w:val="clear"/>
          </w:tcPr>
          <w:p>
            <w:r>
              <w:rPr>
                <w:b/>
                <w:color w:val="C00000"/>
                <w:sz w:val="17"/>
              </w:rPr>
              <w:t>-49.7%</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2,070</w:t>
            </w:r>
          </w:p>
        </w:tc>
        <w:tc>
          <w:tcPr>
            <w:tcW w:type="dxa" w:w="1440"/>
            <w:shd w:fill="FFDCE0" w:val="clear"/>
          </w:tcPr>
          <w:p>
            <w:r>
              <w:rPr>
                <w:b/>
                <w:sz w:val="17"/>
              </w:rPr>
              <w:t>2,586</w:t>
            </w:r>
          </w:p>
        </w:tc>
        <w:tc>
          <w:tcPr>
            <w:tcW w:type="dxa" w:w="1440"/>
            <w:shd w:fill="FFDCE0" w:val="clear"/>
          </w:tcPr>
          <w:p>
            <w:r>
              <w:rPr>
                <w:sz w:val="17"/>
              </w:rPr>
              <w:t>3,102</w:t>
            </w:r>
          </w:p>
        </w:tc>
        <w:tc>
          <w:tcPr>
            <w:tcW w:type="dxa" w:w="1440"/>
            <w:shd w:fill="FFDCE0" w:val="clear"/>
          </w:tcPr>
          <w:p>
            <w:r>
              <w:rPr>
                <w:b/>
                <w:color w:val="C00000"/>
                <w:sz w:val="17"/>
              </w:rPr>
              <w:t>-53.5%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**Date : 13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45,11 milliards FCFA, un niveau modeste dans l'écosystème BRVM, reflétant la taille encore limitée de l'établissement. Le BPA de 86 FCFA par action indique un bénéfice net par titre relativement faible, ce qui explique un PER de 64,3x, très largement supérieur à la moyenne du marché (8-12x). Les investisseurs paient donc une prime considérable pour chaque franc de bénéfice, signe d'anticipations de croissance très optimistes. Le P/B de 7,62x confirme cette exubérance : le marché valorise le titre plus de 7 fois sa valeur comptable, ce qui est extrêmement exigeant pour une banque. Enfin, l'EV/EBITDA de 80,3x est également très élevé, indiquant que la valeur totale de l'entreprise (dette incluse) est déconnectée de sa capacité opérationnelle actuelle. Ces ratios suggèrent une valorisation très tendue, intégrant un scénario de redressement déjà largement anticipé.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affiche une variation totale de -3,39%, mais avec une dernière séance en forte hausse de +7,45% à 5 555 FCFA, signalant un regain d'intérêt récent. Le cours a évolué dans une fourchette très large, entre un plus bas de 3 340 FCFA et un plus haut de 7 555 FCFA, illustrant une volatilité extrême. La moyenne du cours (4 790 FCFA) est supérieure à la médiane (4 505 FCFA), et le skewness positif de 0,939 confirme une distribution asymétrique avec des épisodes de fortes hausses. L'écart-type de 1 129 FCFA (CV de 23,6%) témoigne d'une dispersion importante, tandis que le kurtosis de -0,089 indique une distribution proche de la normale, sans risque de pics excessifs. La volatilité annualisée de 85% classe le titre dans la catégorie des valeurs extrêmement risquées,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(5 555 FCFA) est nettement au-dessus de la MM20 (4 872,5 FCFA) et de la MM50 (4 498,4 FCFA), avec une configuration haussière. La décision "Achat" est justifiée par cette dynamique positive, le prix évoluant dans une tendance ascendante de moyen terme.</w:t>
      </w:r>
    </w:p>
    <w:p>
      <w:pPr>
        <w:spacing w:after="120" w:line="276" w:lineRule="auto"/>
      </w:pPr>
      <w:r>
        <w:t>**Bandes de Bollinger :** Le prix se situe près de la borne supérieure (5 625 FCFA), indiquant une pression acheteuse soutenue. La décision "Neutre" s'explique par le fait que le cours n'a pas encore franchi la borne, ce qui pourrait signaler une consolidation ou une poursuite de la hausse. La volatilité reste élevée, élargissant les bandes.</w:t>
      </w:r>
    </w:p>
    <w:p>
      <w:pPr>
        <w:spacing w:after="120" w:line="276" w:lineRule="auto"/>
      </w:pPr>
      <w:r>
        <w:t>**MACD :** La valeur du MACD (220,767) est supérieure à son signal (200,553), confirmant un momentum haussier positif. La décision "Achat" est cohérente avec cette divergence positive, indiquant que la dynamique de fond reste orientée à la hausse malgré les fluctuations récentes.</w:t>
      </w:r>
    </w:p>
    <w:p>
      <w:pPr>
        <w:spacing w:after="120" w:line="276" w:lineRule="auto"/>
      </w:pPr>
      <w:r>
        <w:t>**RSI :** À 67,851, le RSI se situe en zone neutre, proche du seuil de surachat (70). La décision "Neutre" reflète une pression acheteuse encore présente mais qui pourrait s'essouffler. Un dépassement des 70 signalerait une surachet et un possible retournement.</w:t>
      </w:r>
    </w:p>
    <w:p>
      <w:pPr>
        <w:spacing w:after="120" w:line="276" w:lineRule="auto"/>
      </w:pPr>
      <w:r>
        <w:t>**Stochastique :** Le %K à 100 est en zone de surachat extrême, tandis que le %D à 69,772 est plus modéré. La décision "Vente" est déclenchée par ce croisement baissier potentiel, signalant un épuisement possible de la dynamique haussière à court terme.</w:t>
      </w:r>
    </w:p>
    <w:p>
      <w:pPr>
        <w:spacing w:after="120" w:line="276" w:lineRule="auto"/>
      </w:pPr>
      <w:r>
        <w:t>**Conclusion technique :** Les indicateurs sont mitigés : les moyennes mobiles et le MACD sont positifs, mais le RSI et surtout le stochastique suggèrent un essoufflement imminent. La prudence est de mise à court terme, avec un risque de correction après une hausse aussi rapide.</w:t>
      </w:r>
    </w:p>
    <w:p>
      <w:pPr>
        <w:spacing w:after="120" w:line="276" w:lineRule="auto"/>
      </w:pPr>
      <w:r>
        <w:t>---</w:t>
      </w:r>
    </w:p>
    <w:p>
      <w:pPr>
        <w:spacing w:after="120" w:line="276" w:lineRule="auto"/>
      </w:pPr>
      <w:r>
        <w:t>### PARTIE 3 : ANALYSE FONDAMENTALE (SECTION CRITIQUE)</w:t>
      </w:r>
    </w:p>
    <w:p>
      <w:pPr>
        <w:spacing w:after="120" w:line="276" w:lineRule="auto"/>
      </w:pPr>
      <w:r>
        <w:t>En 2025, SAFC a réalisé un retournement spectaculaire avec un PNB de 5,735 milliards FCFA (+44,1% vs 2024) et un résultat net positif de 701 millions FCFA, contre une perte de 165 millions en 2024. Le ROE s'établit à 11,85% et le ROA à 0,88%, reflétant une rentabilité encore modeste mais en nette amélioration. Le coefficient d'exploitation de 77,6% reste élevé, indiquant une efficacité opérationnelle perfectible. Le coût du risque de 6,57% demeure significatif, traduisant une qualité de portefeuille encore fragile. La structure de bilan montre une dépendance marquée aux dettes interbancaires (35,747 milliards FCFA), avec un ratio d'autonomie financière faible de 7,44%. Les rapports trimestriels 2026 confirment la dynamique : au T1 2026, le PNB progresse de +29% à 1 395 millions FCFA et le résultat net bondit de +1062% à 151 millions FCFA, avec un coût du risque en forte baisse (-75%). Sur la base de ces données, on estime que l'exercice 2026 pourrait voir un résultat net annuel compris entre 600 et 800 millions FCFA, soit un BPA potentiel de 74 à 98 FCFA, maintenant un PER élevé. L'augmentation de capital de 1,5 milliard FCFA (6 actions nouvelles pour 13 anciennes à 400 FCFA) diluera les actionnaires mais renforcera les fonds propres, un point positif pour la solvabilité.</w:t>
      </w:r>
    </w:p>
    <w:p>
      <w:pPr>
        <w:spacing w:after="120" w:line="276" w:lineRule="auto"/>
      </w:pPr>
      <w:r>
        <w:t>---</w:t>
      </w:r>
    </w:p>
    <w:p>
      <w:pPr>
        <w:spacing w:after="120" w:line="276" w:lineRule="auto"/>
      </w:pPr>
      <w:r>
        <w:t>### PARTIE 4 : CONCLUSION D'INVESTISSEMENT</w:t>
      </w:r>
    </w:p>
    <w:p>
      <w:pPr>
        <w:spacing w:after="120" w:line="276" w:lineRule="auto"/>
      </w:pPr>
      <w:r>
        <w:t>La valorisation de SAFC est extrêmement exigeante (PER 64,3x, P/B 7,62x), intégrant un redressement déjà largement anticipé par le marché. Le comportement du cours, bien que volatil (85% annualisé), montre une tendance haussière récente avec des statistiques indiquant une distribution asymétrique positive. Les signaux techniques sont mitigés : les moyennes mobiles et le MACD sont positifs, mais le RSI et le stochastique suggèrent un essoufflement à court terme. Les fondamentaux, bien qu'en nette amélioration (résultat net positif en 2025, croissance du PNB de 44%, dynamique confirmée au T1 2026), restent fragiles avec un ROE modeste et une dépendance aux financements interbancaires. Les prédictions IA pour les 10 prochains jours (5 216 à 3 818 FCFA) indiquent une correction significative, contredisant les signaux techniques positifs de moyen terme. La recommandation finale est **CONSERVER**, avec un niveau de confiance **Moyen** et un risque global **Élevé**. L'horizon d'investissement optimal est le **moyen terme (3-12 mois)**, en attendant la confirmation du redressement via les résultats semestriels 2026 et l'impact de l'augmentation de capital. Les investisseurs doivent surveiller de près la qualité du portefeuille de crédits et la capacité de CREDAF Group à pérenniser la rentabilité.</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72.42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12,337 titres</w:t>
            </w:r>
          </w:p>
        </w:tc>
        <w:tc>
          <w:tcPr>
            <w:tcW w:type="dxa" w:w="2268"/>
            <w:shd w:fill="FFF2CC" w:val="clear"/>
          </w:tcPr>
          <w:p>
            <w:r>
              <w:rPr>
                <w:b/>
                <w:color w:val="503200"/>
                <w:sz w:val="16"/>
              </w:rPr>
              <w:t xml:space="preserve">Cours actuel : </w:t>
            </w:r>
            <w:r>
              <w:rPr>
                <w:color w:val="000000"/>
                <w:sz w:val="17"/>
              </w:rPr>
              <w:t>3,695 FCFA</w:t>
            </w:r>
          </w:p>
          <w:p>
            <w:r>
              <w:rPr>
                <w:b/>
                <w:color w:val="503200"/>
                <w:sz w:val="16"/>
              </w:rPr>
              <w:t xml:space="preserve">Var. 100 jours : </w:t>
            </w:r>
            <w:r>
              <w:rPr>
                <w:b/>
                <w:color w:val="007800"/>
                <w:sz w:val="17"/>
              </w:rPr>
              <w:t>+153.95%</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1,455 FCFA</w:t>
            </w:r>
          </w:p>
          <w:p>
            <w:r>
              <w:rPr>
                <w:b/>
                <w:color w:val="503200"/>
                <w:sz w:val="16"/>
              </w:rPr>
              <w:t xml:space="preserve">Volatilité ann. : </w:t>
            </w:r>
            <w:r>
              <w:rPr>
                <w:color w:val="000000"/>
                <w:sz w:val="17"/>
              </w:rPr>
              <w:t>58.1%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26.77% (Élevée) — μ=2,737 FCFA, σ=733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β=0.4470 (Défensif) — Cov=0.000016, Var(idx)=0.000036, ρ=0.074,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12,337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2026-08-14</w:t>
            </w:r>
          </w:p>
        </w:tc>
        <w:tc>
          <w:tcPr>
            <w:tcW w:type="dxa" w:w="1440"/>
            <w:shd w:fill="FFDCE0" w:val="clear"/>
          </w:tcPr>
          <w:p>
            <w:r>
              <w:rPr>
                <w:sz w:val="17"/>
              </w:rPr>
              <w:t>3,233</w:t>
            </w:r>
          </w:p>
        </w:tc>
        <w:tc>
          <w:tcPr>
            <w:tcW w:type="dxa" w:w="1440"/>
            <w:shd w:fill="FFDCE0" w:val="clear"/>
          </w:tcPr>
          <w:p>
            <w:r>
              <w:rPr>
                <w:b/>
                <w:sz w:val="17"/>
              </w:rPr>
              <w:t>3,418</w:t>
            </w:r>
          </w:p>
        </w:tc>
        <w:tc>
          <w:tcPr>
            <w:tcW w:type="dxa" w:w="1440"/>
            <w:shd w:fill="FFDCE0" w:val="clear"/>
          </w:tcPr>
          <w:p>
            <w:r>
              <w:rPr>
                <w:sz w:val="17"/>
              </w:rPr>
              <w:t>3,603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2026-08-17</w:t>
            </w:r>
          </w:p>
        </w:tc>
        <w:tc>
          <w:tcPr>
            <w:tcW w:type="dxa" w:w="1440"/>
            <w:shd w:fill="FFDCE0" w:val="clear"/>
          </w:tcPr>
          <w:p>
            <w:r>
              <w:rPr>
                <w:sz w:val="17"/>
              </w:rPr>
              <w:t>2,919</w:t>
            </w:r>
          </w:p>
        </w:tc>
        <w:tc>
          <w:tcPr>
            <w:tcW w:type="dxa" w:w="1440"/>
            <w:shd w:fill="FFDCE0" w:val="clear"/>
          </w:tcPr>
          <w:p>
            <w:r>
              <w:rPr>
                <w:b/>
                <w:sz w:val="17"/>
              </w:rPr>
              <w:t>3,162</w:t>
            </w:r>
          </w:p>
        </w:tc>
        <w:tc>
          <w:tcPr>
            <w:tcW w:type="dxa" w:w="1440"/>
            <w:shd w:fill="FFDCE0" w:val="clear"/>
          </w:tcPr>
          <w:p>
            <w:r>
              <w:rPr>
                <w:sz w:val="17"/>
              </w:rPr>
              <w:t>3,404</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2026-08-18</w:t>
            </w:r>
          </w:p>
        </w:tc>
        <w:tc>
          <w:tcPr>
            <w:tcW w:type="dxa" w:w="1440"/>
            <w:shd w:fill="FFDCE0" w:val="clear"/>
          </w:tcPr>
          <w:p>
            <w:r>
              <w:rPr>
                <w:sz w:val="17"/>
              </w:rPr>
              <w:t>2,650</w:t>
            </w:r>
          </w:p>
        </w:tc>
        <w:tc>
          <w:tcPr>
            <w:tcW w:type="dxa" w:w="1440"/>
            <w:shd w:fill="FFDCE0" w:val="clear"/>
          </w:tcPr>
          <w:p>
            <w:r>
              <w:rPr>
                <w:b/>
                <w:sz w:val="17"/>
              </w:rPr>
              <w:t>2,924</w:t>
            </w:r>
          </w:p>
        </w:tc>
        <w:tc>
          <w:tcPr>
            <w:tcW w:type="dxa" w:w="1440"/>
            <w:shd w:fill="FFDCE0" w:val="clear"/>
          </w:tcPr>
          <w:p>
            <w:r>
              <w:rPr>
                <w:sz w:val="17"/>
              </w:rPr>
              <w:t>3,199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2,412</w:t>
            </w:r>
          </w:p>
        </w:tc>
        <w:tc>
          <w:tcPr>
            <w:tcW w:type="dxa" w:w="1440"/>
            <w:shd w:fill="FFDCE0" w:val="clear"/>
          </w:tcPr>
          <w:p>
            <w:r>
              <w:rPr>
                <w:b/>
                <w:sz w:val="17"/>
              </w:rPr>
              <w:t>2,705</w:t>
            </w:r>
          </w:p>
        </w:tc>
        <w:tc>
          <w:tcPr>
            <w:tcW w:type="dxa" w:w="1440"/>
            <w:shd w:fill="FFDCE0" w:val="clear"/>
          </w:tcPr>
          <w:p>
            <w:r>
              <w:rPr>
                <w:sz w:val="17"/>
              </w:rPr>
              <w:t>2,998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2,199</w:t>
            </w:r>
          </w:p>
        </w:tc>
        <w:tc>
          <w:tcPr>
            <w:tcW w:type="dxa" w:w="1440"/>
            <w:shd w:fill="FFDCE0" w:val="clear"/>
          </w:tcPr>
          <w:p>
            <w:r>
              <w:rPr>
                <w:b/>
                <w:sz w:val="17"/>
              </w:rPr>
              <w:t>2,502</w:t>
            </w:r>
          </w:p>
        </w:tc>
        <w:tc>
          <w:tcPr>
            <w:tcW w:type="dxa" w:w="1440"/>
            <w:shd w:fill="FFDCE0" w:val="clear"/>
          </w:tcPr>
          <w:p>
            <w:r>
              <w:rPr>
                <w:sz w:val="17"/>
              </w:rPr>
              <w:t>2,805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2,008</w:t>
            </w:r>
          </w:p>
        </w:tc>
        <w:tc>
          <w:tcPr>
            <w:tcW w:type="dxa" w:w="1440"/>
            <w:shd w:fill="FFDCE0" w:val="clear"/>
          </w:tcPr>
          <w:p>
            <w:r>
              <w:rPr>
                <w:b/>
                <w:sz w:val="17"/>
              </w:rPr>
              <w:t>2,315</w:t>
            </w:r>
          </w:p>
        </w:tc>
        <w:tc>
          <w:tcPr>
            <w:tcW w:type="dxa" w:w="1440"/>
            <w:shd w:fill="FFDCE0" w:val="clear"/>
          </w:tcPr>
          <w:p>
            <w:r>
              <w:rPr>
                <w:sz w:val="17"/>
              </w:rPr>
              <w:t>2,622</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1,834</w:t>
            </w:r>
          </w:p>
        </w:tc>
        <w:tc>
          <w:tcPr>
            <w:tcW w:type="dxa" w:w="1440"/>
            <w:shd w:fill="FFDCE0" w:val="clear"/>
          </w:tcPr>
          <w:p>
            <w:r>
              <w:rPr>
                <w:b/>
                <w:sz w:val="17"/>
              </w:rPr>
              <w:t>2,141</w:t>
            </w:r>
          </w:p>
        </w:tc>
        <w:tc>
          <w:tcPr>
            <w:tcW w:type="dxa" w:w="1440"/>
            <w:shd w:fill="FFDCE0" w:val="clear"/>
          </w:tcPr>
          <w:p>
            <w:r>
              <w:rPr>
                <w:sz w:val="17"/>
              </w:rPr>
              <w:t>2,448</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1,677</w:t>
            </w:r>
          </w:p>
        </w:tc>
        <w:tc>
          <w:tcPr>
            <w:tcW w:type="dxa" w:w="1440"/>
            <w:shd w:fill="FFDCE0" w:val="clear"/>
          </w:tcPr>
          <w:p>
            <w:r>
              <w:rPr>
                <w:b/>
                <w:sz w:val="17"/>
              </w:rPr>
              <w:t>1,980</w:t>
            </w:r>
          </w:p>
        </w:tc>
        <w:tc>
          <w:tcPr>
            <w:tcW w:type="dxa" w:w="1440"/>
            <w:shd w:fill="FFDCE0" w:val="clear"/>
          </w:tcPr>
          <w:p>
            <w:r>
              <w:rPr>
                <w:sz w:val="17"/>
              </w:rPr>
              <w:t>2,284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1,534</w:t>
            </w:r>
          </w:p>
        </w:tc>
        <w:tc>
          <w:tcPr>
            <w:tcW w:type="dxa" w:w="1440"/>
            <w:shd w:fill="FFDCE0" w:val="clear"/>
          </w:tcPr>
          <w:p>
            <w:r>
              <w:rPr>
                <w:b/>
                <w:sz w:val="17"/>
              </w:rPr>
              <w:t>1,832</w:t>
            </w:r>
          </w:p>
        </w:tc>
        <w:tc>
          <w:tcPr>
            <w:tcW w:type="dxa" w:w="1440"/>
            <w:shd w:fill="FFDCE0" w:val="clear"/>
          </w:tcPr>
          <w:p>
            <w:r>
              <w:rPr>
                <w:sz w:val="17"/>
              </w:rPr>
              <w:t>2,129</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1,404</w:t>
            </w:r>
          </w:p>
        </w:tc>
        <w:tc>
          <w:tcPr>
            <w:tcW w:type="dxa" w:w="1440"/>
            <w:shd w:fill="FFDCE0" w:val="clear"/>
          </w:tcPr>
          <w:p>
            <w:r>
              <w:rPr>
                <w:b/>
                <w:sz w:val="17"/>
              </w:rPr>
              <w:t>1,694</w:t>
            </w:r>
          </w:p>
        </w:tc>
        <w:tc>
          <w:tcPr>
            <w:tcW w:type="dxa" w:w="1440"/>
            <w:shd w:fill="FFDCE0" w:val="clear"/>
          </w:tcPr>
          <w:p>
            <w:r>
              <w:rPr>
                <w:sz w:val="17"/>
              </w:rPr>
              <w:t>1,985</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SCRC s'établit à 72,42 milliards FCFA, un niveau significatif sur la BRVM qui place la société parmi les valeurs moyennes du marché. Le BPA est négatif à -406 FCFA, reflétant la perte nette de l'exercice 2025, ce qui rend le PER non significatif à -9,1x ; les investisseurs ne peuvent donc pas valoriser le titre sur la base de ses bénéfices actuels. Le P/B de 4,20x indique que le marché valorise l'action à plus de quatre fois sa valeur comptable, une prime considérable qui traduit des anticipations de redressement futur, mais qui expose à un risque de correction si ces attentes ne se matérialisent pas. L'EV/EBITDA de 11,0x se situe dans la fourchette haute du marché BRVM, suggérant que la valeur d'entreprise intègre déjà une capacité opérationnelle solide, malgré un EBE en réalité en repli. Globalement, ces ratios pointent vers une valorisation exigeante compte tenu des fondamentaux actuels, reposant essentiellement sur des perspectives de retour à la profitabilité.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 enregistré une progression spectaculaire de +153,95%, avec une variation de +2,78% lors de la dernière séance, portant le cours à 3 695 FCFA. Le titre a évolué dans une fourchette très large, entre un plus bas de 1 455 FCFA et un plus haut de 3 920 FCFA, illustrant un mouvement haussier d'une rare ampleur. La moyenne du cours sur la période s'établit à 2 737 FCFA, légèrement inférieure à la médiane de 2 782 FCFA, indiquant une distribution quasi symétrique, confirmée par un skewness de -0,112. L'écart-type de 736 FCFA, avec un coefficient de variation de 26,9%, témoigne d'une dispersion modérée des prix autour de la moyenne. Le kurtosis de -1,381, platykurtique, suggère une distribution aplatie avec une faible concentration des valeurs extrêmes, ce qui est cohérent avec la tendance linéaire haussière observée. La volatilité annualisée de 58,1% classe le titre dans la catégorie des valeurs à très forte volatilité, bien au-delà du seuil de 30%, signalant un risque élevé pour les investisseurs.</w:t>
      </w:r>
    </w:p>
    <w:p>
      <w:pPr>
        <w:spacing w:after="120" w:line="276" w:lineRule="auto" w:before="240"/>
      </w:pPr>
      <w:r>
        <w:rPr>
          <w:b/>
          <w:color w:val="003366"/>
          <w:sz w:val="24"/>
        </w:rPr>
        <w:t>**PARTIE 2 : ANALYSE TECHNIQUE DÉTAILLÉE**</w:t>
      </w:r>
    </w:p>
    <w:p>
      <w:pPr>
        <w:spacing w:after="120" w:line="276" w:lineRule="auto"/>
      </w:pPr>
      <w:r>
        <w:t>Les moyennes mobiles MM20 et MM50, respectivement à 3 641,5 FCFA et 3 387,8 FCFA, sont toutes deux inférieures au cours actuel de 3 695 FCFA, confirmant une tendance haussière de court et moyen terme. La MM20 au-dessus de la MM50 indique une dynamique positive récente, et le signal global d'achat est justifié par la position du prix au-dessus de ces supports dynamiques.</w:t>
      </w:r>
    </w:p>
    <w:p>
      <w:pPr>
        <w:spacing w:after="120" w:line="276" w:lineRule="auto"/>
      </w:pPr>
      <w:r>
        <w:t>Les bandes de Bollinger, avec une borne supérieure à 3 859,2 FCFA et une borne inférieure à 3 423,8 FCFA, encadrent le cours à 3 695 FCFA, qui se situe dans la partie médiane-haute de l'enveloppe. Cette position neutre suggère une volatilité modérée sans excès, le prix n'étant ni suracheté ni survendu aux extrêmes des bandes.</w:t>
      </w:r>
    </w:p>
    <w:p>
      <w:pPr>
        <w:spacing w:after="120" w:line="276" w:lineRule="auto"/>
      </w:pPr>
      <w:r>
        <w:t>Le MACD affiche une valeur de 71,79, inférieure à son signal de 93,53, indiquant un momentum baissier à court terme malgré la tendance haussière sous-jacente. Cette divergence négative, signalée comme une décision de vente, suggère un essoufflement potentiel de la dynamique haussière.</w:t>
      </w:r>
    </w:p>
    <w:p>
      <w:pPr>
        <w:spacing w:after="120" w:line="276" w:lineRule="auto"/>
      </w:pPr>
      <w:r>
        <w:t>Le RSI à 60,32 se situe dans la zone neutre (30-70), sans signal de surachat ni de survente. Cette valeur indique une pression acheteuse encore présente mais modérée, laissant une marge de progression avant d'atteindre des niveaux extrêmes.</w:t>
      </w:r>
    </w:p>
    <w:p>
      <w:pPr>
        <w:spacing w:after="120" w:line="276" w:lineRule="auto"/>
      </w:pPr>
      <w:r>
        <w:t>Le stochastique, avec %K à 65,57 et %D à 50,82, montre un croisement haussier récent, le %K étant au-dessus du %D, sans toutefois atteindre la zone de surachat. Ce signal neutre-positif suggère une dynamique de prix encore soutenue à très court terme.</w:t>
      </w:r>
    </w:p>
    <w:p>
      <w:pPr>
        <w:spacing w:after="120" w:line="276" w:lineRule="auto"/>
      </w:pPr>
      <w:r>
        <w:t>La conclusion technique est mitigée : la tendance de fond reste haussière, portée par les moyennes mobiles et la position du cours, mais les indicateurs de momentum (MACD, RSI, stochastique) montrent des signes de ralentissement. La prudence est de mise, car le titre pourrait consolider avant une éventuelle poursuite de la hausse.</w:t>
      </w:r>
    </w:p>
    <w:p>
      <w:pPr>
        <w:spacing w:after="120" w:line="276" w:lineRule="auto" w:before="240"/>
      </w:pPr>
      <w:r>
        <w:rPr>
          <w:b/>
          <w:color w:val="003366"/>
          <w:sz w:val="24"/>
        </w:rPr>
        <w:t>**PARTIE 3 : ANALYSE FONDAMENTALE (SECTION CRITIQUE)**</w:t>
      </w:r>
    </w:p>
    <w:p>
      <w:pPr>
        <w:spacing w:after="120" w:line="276" w:lineRule="auto"/>
      </w:pPr>
      <w:r>
        <w:t>En 2025, les données structurées de SCRC révèlent une situation financière préoccupante : le chiffre d'affaires s'établit à 80,57 milliards FCFA, en baisse de 7,6% par rapport à 2024, et le résultat net est une perte massive de 7,95 milliards FCFA, contre un bénéfice de 2,47 milliards en 2024. La marge nette est négative à -9,9%, le ROE s'effondre à -46,1% et le ROA à -5,1%, traduisant une destruction de valeur significative. Le bilan montre un endettement financier total de 84,87 milliards FCFA, avec un ratio d'endettement de 89% par rapport aux capitaux propres, et une trésorerie nette négative de -6,5 milliards FCFA, signalant des tensions de liquidité. Les délais d'exploitation sont déséquilibrés : le délai clients est très court à 12,3 jours, mais le délai fournisseurs est très long à 366 jours, et la durée de stockage atteint 360,7 jours, immobilisant un capital important. Les rapports de 2025, datés de mai 2026, confirment cette dégradation, avec une explosion des charges financières à 6,79 milliards FCFA (+262%) et un résultat opérationnel courant négatif de 210 millions FCFA. Les rapports trimestriels de 2025 montrent une tendance contrastée : le T1 était bénéficiaire à 3,21 milliards, mais le S1 a basculé en perte de 6,71 milliards, en raison de coûts exceptionnels et d'une baisse des volumes. Sur la base de ces éléments, on estime que l'exercice 2026 reste incertain, dépendant de la capacité de l'entreprise à réduire sa dette et à améliorer ses marges opérationnelles. La recommandation fondamentale est négative, la solidité financière étant compromise par un endettement critique et des pertes récurrentes.</w:t>
      </w:r>
    </w:p>
    <w:p>
      <w:pPr>
        <w:spacing w:after="120" w:line="276" w:lineRule="auto" w:before="240"/>
      </w:pPr>
      <w:r>
        <w:rPr>
          <w:b/>
          <w:color w:val="003366"/>
          <w:sz w:val="24"/>
        </w:rPr>
        <w:t>**PARTIE 4 : CONCLUSION D'INVESTISSEMENT**</w:t>
      </w:r>
    </w:p>
    <w:p>
      <w:pPr>
        <w:spacing w:after="120" w:line="276" w:lineRule="auto"/>
      </w:pPr>
      <w:r>
        <w:t>La synthèse des analyses fait ressortir une divergence majeure entre la performance boursière et les fondamentaux. La valorisation (Partie 0) est exigeante avec un P/B de 4,2x et un PER négatif, indiquant une surévaluation relative. Le comportement du cours (Partie 1) montre une hausse spectaculaire de +154% sur 100 jours, mais avec une volatilité très élevée de 58,1%, signe d'un marché spéculatif. Les signaux techniques (Partie 2) sont mitigés, avec une tendance haussière mais des indicateurs de momentum en perte de vitesse. Les fondamentaux (Partie 3) sont clairement dégradés, avec une perte nette de 7,95 milliards FCFA et un endettement massif. Les prédictions IA pour les 10 prochains jours prévoient une chute brutale du cours, passant de 3 418 FCFA à 2 502 FCFA, confirmant les signaux de retournement technique. Sur la base de cette convergence baissière entre valorisation, technique et prédictions, la recommandation finale est **VENTE FORTE**, avec un niveau de confiance Élevé et un risque global Élevé. L'horizon d'investissement optimal est le court terme (&lt;3 mois) pour les investisseurs souhaitant sortir, tandis que les investisseurs à long terme devraient attendre une stabilisation des fondamentaux avant toute réintégration.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104.49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1,008 titres</w:t>
            </w:r>
          </w:p>
        </w:tc>
        <w:tc>
          <w:tcPr>
            <w:tcW w:type="dxa" w:w="2268"/>
            <w:shd w:fill="FFF2CC" w:val="clear"/>
          </w:tcPr>
          <w:p>
            <w:r>
              <w:rPr>
                <w:b/>
                <w:color w:val="503200"/>
                <w:sz w:val="16"/>
              </w:rPr>
              <w:t xml:space="preserve">Cours actuel : </w:t>
            </w:r>
            <w:r>
              <w:rPr>
                <w:color w:val="000000"/>
                <w:sz w:val="17"/>
              </w:rPr>
              <w:t>11,610 FCFA</w:t>
            </w:r>
          </w:p>
          <w:p>
            <w:r>
              <w:rPr>
                <w:b/>
                <w:color w:val="503200"/>
                <w:sz w:val="16"/>
              </w:rPr>
              <w:t xml:space="preserve">Var. 100 jours : </w:t>
            </w:r>
            <w:r>
              <w:rPr>
                <w:b/>
                <w:color w:val="007800"/>
                <w:sz w:val="17"/>
              </w:rPr>
              <w:t>+48.85%</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24.5/100 → Moyen</w:t>
      </w:r>
    </w:p>
    <w:p>
      <w:pPr>
        <w:spacing w:before="40" w:after="80"/>
      </w:pPr>
      <w:r>
        <w:rPr>
          <w:rFonts w:ascii="Courier New" w:hAnsi="Courier New"/>
          <w:color w:val="825A00"/>
          <w:sz w:val="18"/>
        </w:rPr>
        <w:t>████░░░░░░░░░░░░░░░░  24.5/100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19.16% (Élevée) — μ=10,202 FCFA, σ=1,954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β=0.3342 (Défensif) — Cov=0.000012, Var(idx)=0.000036, ρ=0.088,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1,008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47/100  (Moyen)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2026-08-14</w:t>
            </w:r>
          </w:p>
        </w:tc>
        <w:tc>
          <w:tcPr>
            <w:tcW w:type="dxa" w:w="1440"/>
            <w:shd w:fill="FAFAFA" w:val="clear"/>
          </w:tcPr>
          <w:p>
            <w:r>
              <w:rPr>
                <w:sz w:val="17"/>
              </w:rPr>
              <w:t>11,003</w:t>
            </w:r>
          </w:p>
        </w:tc>
        <w:tc>
          <w:tcPr>
            <w:tcW w:type="dxa" w:w="1440"/>
            <w:shd w:fill="FAFAFA" w:val="clear"/>
          </w:tcPr>
          <w:p>
            <w:r>
              <w:rPr>
                <w:b/>
                <w:sz w:val="17"/>
              </w:rPr>
              <w:t>11,380</w:t>
            </w:r>
          </w:p>
        </w:tc>
        <w:tc>
          <w:tcPr>
            <w:tcW w:type="dxa" w:w="1440"/>
            <w:shd w:fill="FAFAFA" w:val="clear"/>
          </w:tcPr>
          <w:p>
            <w:r>
              <w:rPr>
                <w:sz w:val="17"/>
              </w:rPr>
              <w:t>11,757</w:t>
            </w:r>
          </w:p>
        </w:tc>
        <w:tc>
          <w:tcPr>
            <w:tcW w:type="dxa" w:w="1440"/>
            <w:shd w:fill="FAFAFA" w:val="clear"/>
          </w:tcPr>
          <w:p>
            <w:r>
              <w:rPr>
                <w:b/>
                <w:color w:val="C00000"/>
                <w:sz w:val="17"/>
              </w:rPr>
              <w:t>-2.0%</w:t>
            </w:r>
          </w:p>
        </w:tc>
      </w:tr>
      <w:tr>
        <w:tc>
          <w:tcPr>
            <w:tcW w:type="dxa" w:w="1440"/>
            <w:shd w:fill="FFDCE0" w:val="clear"/>
          </w:tcPr>
          <w:p>
            <w:r>
              <w:rPr>
                <w:sz w:val="17"/>
              </w:rPr>
              <w:t>J+2  ⭐</w:t>
            </w:r>
          </w:p>
        </w:tc>
        <w:tc>
          <w:tcPr>
            <w:tcW w:type="dxa" w:w="1440"/>
            <w:shd w:fill="FFDCE0" w:val="clear"/>
          </w:tcPr>
          <w:p>
            <w:r>
              <w:rPr>
                <w:sz w:val="17"/>
              </w:rPr>
              <w:t>2026-08-17</w:t>
            </w:r>
          </w:p>
        </w:tc>
        <w:tc>
          <w:tcPr>
            <w:tcW w:type="dxa" w:w="1440"/>
            <w:shd w:fill="FFDCE0" w:val="clear"/>
          </w:tcPr>
          <w:p>
            <w:r>
              <w:rPr>
                <w:sz w:val="17"/>
              </w:rPr>
              <w:t>10,747</w:t>
            </w:r>
          </w:p>
        </w:tc>
        <w:tc>
          <w:tcPr>
            <w:tcW w:type="dxa" w:w="1440"/>
            <w:shd w:fill="FFDCE0" w:val="clear"/>
          </w:tcPr>
          <w:p>
            <w:r>
              <w:rPr>
                <w:b/>
                <w:sz w:val="17"/>
              </w:rPr>
              <w:t>11,274</w:t>
            </w:r>
          </w:p>
        </w:tc>
        <w:tc>
          <w:tcPr>
            <w:tcW w:type="dxa" w:w="1440"/>
            <w:shd w:fill="FFDCE0" w:val="clear"/>
          </w:tcPr>
          <w:p>
            <w:r>
              <w:rPr>
                <w:sz w:val="17"/>
              </w:rPr>
              <w:t>11,802</w:t>
            </w:r>
          </w:p>
        </w:tc>
        <w:tc>
          <w:tcPr>
            <w:tcW w:type="dxa" w:w="1440"/>
            <w:shd w:fill="FFDCE0" w:val="clear"/>
          </w:tcPr>
          <w:p>
            <w:r>
              <w:rPr>
                <w:b/>
                <w:color w:val="C00000"/>
                <w:sz w:val="17"/>
              </w:rPr>
              <w:t>-2.9%</w:t>
            </w:r>
          </w:p>
        </w:tc>
      </w:tr>
      <w:tr>
        <w:tc>
          <w:tcPr>
            <w:tcW w:type="dxa" w:w="1440"/>
            <w:shd w:fill="FFDCE0" w:val="clear"/>
          </w:tcPr>
          <w:p>
            <w:r>
              <w:rPr>
                <w:sz w:val="17"/>
              </w:rPr>
              <w:t>J+3  ⭐</w:t>
            </w:r>
          </w:p>
        </w:tc>
        <w:tc>
          <w:tcPr>
            <w:tcW w:type="dxa" w:w="1440"/>
            <w:shd w:fill="FFDCE0" w:val="clear"/>
          </w:tcPr>
          <w:p>
            <w:r>
              <w:rPr>
                <w:sz w:val="17"/>
              </w:rPr>
              <w:t>2026-08-18</w:t>
            </w:r>
          </w:p>
        </w:tc>
        <w:tc>
          <w:tcPr>
            <w:tcW w:type="dxa" w:w="1440"/>
            <w:shd w:fill="FFDCE0" w:val="clear"/>
          </w:tcPr>
          <w:p>
            <w:r>
              <w:rPr>
                <w:sz w:val="17"/>
              </w:rPr>
              <w:t>10,532</w:t>
            </w:r>
          </w:p>
        </w:tc>
        <w:tc>
          <w:tcPr>
            <w:tcW w:type="dxa" w:w="1440"/>
            <w:shd w:fill="FFDCE0" w:val="clear"/>
          </w:tcPr>
          <w:p>
            <w:r>
              <w:rPr>
                <w:b/>
                <w:sz w:val="17"/>
              </w:rPr>
              <w:t>11,173</w:t>
            </w:r>
          </w:p>
        </w:tc>
        <w:tc>
          <w:tcPr>
            <w:tcW w:type="dxa" w:w="1440"/>
            <w:shd w:fill="FFDCE0" w:val="clear"/>
          </w:tcPr>
          <w:p>
            <w:r>
              <w:rPr>
                <w:sz w:val="17"/>
              </w:rPr>
              <w:t>11,813</w:t>
            </w:r>
          </w:p>
        </w:tc>
        <w:tc>
          <w:tcPr>
            <w:tcW w:type="dxa" w:w="1440"/>
            <w:shd w:fill="FFDCE0" w:val="clear"/>
          </w:tcPr>
          <w:p>
            <w:r>
              <w:rPr>
                <w:b/>
                <w:color w:val="C00000"/>
                <w:sz w:val="17"/>
              </w:rPr>
              <w:t>-3.8%</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10,344</w:t>
            </w:r>
          </w:p>
        </w:tc>
        <w:tc>
          <w:tcPr>
            <w:tcW w:type="dxa" w:w="1440"/>
            <w:shd w:fill="FFDCE0" w:val="clear"/>
          </w:tcPr>
          <w:p>
            <w:r>
              <w:rPr>
                <w:b/>
                <w:sz w:val="17"/>
              </w:rPr>
              <w:t>11,078</w:t>
            </w:r>
          </w:p>
        </w:tc>
        <w:tc>
          <w:tcPr>
            <w:tcW w:type="dxa" w:w="1440"/>
            <w:shd w:fill="FFDCE0" w:val="clear"/>
          </w:tcPr>
          <w:p>
            <w:r>
              <w:rPr>
                <w:sz w:val="17"/>
              </w:rPr>
              <w:t>11,812</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10,176</w:t>
            </w:r>
          </w:p>
        </w:tc>
        <w:tc>
          <w:tcPr>
            <w:tcW w:type="dxa" w:w="1440"/>
            <w:shd w:fill="FFDCE0" w:val="clear"/>
          </w:tcPr>
          <w:p>
            <w:r>
              <w:rPr>
                <w:b/>
                <w:sz w:val="17"/>
              </w:rPr>
              <w:t>10,990</w:t>
            </w:r>
          </w:p>
        </w:tc>
        <w:tc>
          <w:tcPr>
            <w:tcW w:type="dxa" w:w="1440"/>
            <w:shd w:fill="FFDCE0" w:val="clear"/>
          </w:tcPr>
          <w:p>
            <w:r>
              <w:rPr>
                <w:sz w:val="17"/>
              </w:rPr>
              <w:t>11,804</w:t>
            </w:r>
          </w:p>
        </w:tc>
        <w:tc>
          <w:tcPr>
            <w:tcW w:type="dxa" w:w="1440"/>
            <w:shd w:fill="FFDCE0" w:val="clear"/>
          </w:tcPr>
          <w:p>
            <w:r>
              <w:rPr>
                <w:b/>
                <w:color w:val="C00000"/>
                <w:sz w:val="17"/>
              </w:rPr>
              <w:t>-5.3%</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10,023</w:t>
            </w:r>
          </w:p>
        </w:tc>
        <w:tc>
          <w:tcPr>
            <w:tcW w:type="dxa" w:w="1440"/>
            <w:shd w:fill="FFDCE0" w:val="clear"/>
          </w:tcPr>
          <w:p>
            <w:r>
              <w:rPr>
                <w:b/>
                <w:sz w:val="17"/>
              </w:rPr>
              <w:t>10,907</w:t>
            </w:r>
          </w:p>
        </w:tc>
        <w:tc>
          <w:tcPr>
            <w:tcW w:type="dxa" w:w="1440"/>
            <w:shd w:fill="FFDCE0" w:val="clear"/>
          </w:tcPr>
          <w:p>
            <w:r>
              <w:rPr>
                <w:sz w:val="17"/>
              </w:rPr>
              <w:t>11,792</w:t>
            </w:r>
          </w:p>
        </w:tc>
        <w:tc>
          <w:tcPr>
            <w:tcW w:type="dxa" w:w="1440"/>
            <w:shd w:fill="FFDCE0" w:val="clear"/>
          </w:tcPr>
          <w:p>
            <w:r>
              <w:rPr>
                <w:b/>
                <w:color w:val="C00000"/>
                <w:sz w:val="17"/>
              </w:rPr>
              <w:t>-6.1%</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9,882</w:t>
            </w:r>
          </w:p>
        </w:tc>
        <w:tc>
          <w:tcPr>
            <w:tcW w:type="dxa" w:w="1440"/>
            <w:shd w:fill="FFDCE0" w:val="clear"/>
          </w:tcPr>
          <w:p>
            <w:r>
              <w:rPr>
                <w:b/>
                <w:sz w:val="17"/>
              </w:rPr>
              <w:t>10,831</w:t>
            </w:r>
          </w:p>
        </w:tc>
        <w:tc>
          <w:tcPr>
            <w:tcW w:type="dxa" w:w="1440"/>
            <w:shd w:fill="FFDCE0" w:val="clear"/>
          </w:tcPr>
          <w:p>
            <w:r>
              <w:rPr>
                <w:sz w:val="17"/>
              </w:rPr>
              <w:t>11,780</w:t>
            </w:r>
          </w:p>
        </w:tc>
        <w:tc>
          <w:tcPr>
            <w:tcW w:type="dxa" w:w="1440"/>
            <w:shd w:fill="FFDCE0" w:val="clear"/>
          </w:tcPr>
          <w:p>
            <w:r>
              <w:rPr>
                <w:b/>
                <w:color w:val="C00000"/>
                <w:sz w:val="17"/>
              </w:rPr>
              <w:t>-6.7%</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9,753</w:t>
            </w:r>
          </w:p>
        </w:tc>
        <w:tc>
          <w:tcPr>
            <w:tcW w:type="dxa" w:w="1440"/>
            <w:shd w:fill="FFDCE0" w:val="clear"/>
          </w:tcPr>
          <w:p>
            <w:r>
              <w:rPr>
                <w:b/>
                <w:sz w:val="17"/>
              </w:rPr>
              <w:t>10,761</w:t>
            </w:r>
          </w:p>
        </w:tc>
        <w:tc>
          <w:tcPr>
            <w:tcW w:type="dxa" w:w="1440"/>
            <w:shd w:fill="FFDCE0" w:val="clear"/>
          </w:tcPr>
          <w:p>
            <w:r>
              <w:rPr>
                <w:sz w:val="17"/>
              </w:rPr>
              <w:t>11,769</w:t>
            </w:r>
          </w:p>
        </w:tc>
        <w:tc>
          <w:tcPr>
            <w:tcW w:type="dxa" w:w="1440"/>
            <w:shd w:fill="FFDCE0" w:val="clear"/>
          </w:tcPr>
          <w:p>
            <w:r>
              <w:rPr>
                <w:b/>
                <w:color w:val="C00000"/>
                <w:sz w:val="17"/>
              </w:rPr>
              <w:t>-7.3%</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9,634</w:t>
            </w:r>
          </w:p>
        </w:tc>
        <w:tc>
          <w:tcPr>
            <w:tcW w:type="dxa" w:w="1440"/>
            <w:shd w:fill="FFDCE0" w:val="clear"/>
          </w:tcPr>
          <w:p>
            <w:r>
              <w:rPr>
                <w:b/>
                <w:sz w:val="17"/>
              </w:rPr>
              <w:t>10,696</w:t>
            </w:r>
          </w:p>
        </w:tc>
        <w:tc>
          <w:tcPr>
            <w:tcW w:type="dxa" w:w="1440"/>
            <w:shd w:fill="FFDCE0" w:val="clear"/>
          </w:tcPr>
          <w:p>
            <w:r>
              <w:rPr>
                <w:sz w:val="17"/>
              </w:rPr>
              <w:t>11,759</w:t>
            </w:r>
          </w:p>
        </w:tc>
        <w:tc>
          <w:tcPr>
            <w:tcW w:type="dxa" w:w="1440"/>
            <w:shd w:fill="FFDCE0" w:val="clear"/>
          </w:tcPr>
          <w:p>
            <w:r>
              <w:rPr>
                <w:b/>
                <w:color w:val="C00000"/>
                <w:sz w:val="17"/>
              </w:rPr>
              <w:t>-7.9%</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9,524</w:t>
            </w:r>
          </w:p>
        </w:tc>
        <w:tc>
          <w:tcPr>
            <w:tcW w:type="dxa" w:w="1440"/>
            <w:shd w:fill="FFDCE0" w:val="clear"/>
          </w:tcPr>
          <w:p>
            <w:r>
              <w:rPr>
                <w:b/>
                <w:sz w:val="17"/>
              </w:rPr>
              <w:t>10,638</w:t>
            </w:r>
          </w:p>
        </w:tc>
        <w:tc>
          <w:tcPr>
            <w:tcW w:type="dxa" w:w="1440"/>
            <w:shd w:fill="FFDCE0" w:val="clear"/>
          </w:tcPr>
          <w:p>
            <w:r>
              <w:rPr>
                <w:sz w:val="17"/>
              </w:rPr>
              <w:t>11,752</w:t>
            </w:r>
          </w:p>
        </w:tc>
        <w:tc>
          <w:tcPr>
            <w:tcW w:type="dxa" w:w="1440"/>
            <w:shd w:fill="FFDCE0" w:val="clear"/>
          </w:tcPr>
          <w:p>
            <w:r>
              <w:rPr>
                <w:b/>
                <w:color w:val="C00000"/>
                <w:sz w:val="17"/>
              </w:rPr>
              <w:t>-8.4%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SDCC s'établit à 104,49 milliards FCFA, ce qui la positionne comme une valeur de taille moyenne sur la BRVM, représentative d'un actif stratégique dans le secteur de l'eau en Côte d'Ivoire. Le BPA de 518 FCFA indique que chaque action génère un bénéfice substantiel, mais le PER de 22,4x est nettement supérieur à la moyenne du marché BRVM (8-12x), signalant que les investisseurs paient une prime significative pour la croissance anticipée. Le P/B de 5,30x confirme cette valorisation exigeante, le marché valorisant l'actif net bien au-delà de sa valeur comptable. Enfin, l'EV/EBITDA de 14,3x, dans la fourchette haute de 10-15x, suggère que la valeur d'entreprise intègre déjà une capacité opérationnelle robuste, laissant peu de marge d'erreur pour des déceptions futures.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SDCC a enregistré une progression spectaculaire de +48,85%, avec une dernière séance quasi stable (+0,04%) à 11 610 FCFA. Le titre a évolué dans une fourchette très large, oscillant entre un plus bas de 7 140 FCFA et un plus haut de 12 195 FCFA, démontrant une forte dynamique haussière malgré des phases de consolidation. La moyenne de 10 202 FCFA est inférieure à la médiane de 11 102 FCFA, ce qui, combiné à un skewness négatif (-0,555), indique une distribution asymétrique avec des journées majoritairement au-dessus de la moyenne mais quelques fortes baisses. L'écart-type de 1 964 FCFA (CV=19,3%) révèle une dispersion modérée, tandis que le kurtosis de -1,448 (platykurtique) suggère une faible concentration des variations autour de la moyenne, réduisant le risque de pics extrêmes. La volatilité annualisée de 36,2% classe le titre comme très volatil, exigeant une gestion de risque rigoureuse.</w:t>
      </w:r>
    </w:p>
    <w:p>
      <w:pPr>
        <w:spacing w:after="120" w:line="276" w:lineRule="auto" w:before="240"/>
      </w:pPr>
      <w:r>
        <w:rPr>
          <w:b/>
          <w:color w:val="003366"/>
          <w:sz w:val="24"/>
        </w:rPr>
        <w:t>**PARTIE 2 : ANALYSE TECHNIQUE DÉTAILLÉE**</w:t>
      </w:r>
    </w:p>
    <w:p>
      <w:pPr>
        <w:spacing w:after="120" w:line="276" w:lineRule="auto"/>
      </w:pPr>
      <w:r>
        <w:t>**Moyennes Mobiles**: Les MM20 (11 756,5 FCFA) et MM50 (11 831,0 FCFA) sont toutes deux supérieures au cours actuel de 11 610 FCFA, indiquant une tendance baissière à court et moyen terme. Le croisement sous ces moyennes suggère une perte de momentum après la forte hausse, justifiant la décision de Vente.</w:t>
      </w:r>
    </w:p>
    <w:p>
      <w:pPr>
        <w:spacing w:after="120" w:line="276" w:lineRule="auto"/>
      </w:pPr>
      <w:r>
        <w:t>**Bandes de Bollinger**: Le cours se situe à 11 610 FCFA, entre la borne inférieure (11 314,7 FCFA) et la borne supérieure (12 198,3 FCFA), proche de la zone médiane. La largeur des bandes reflète une volatilité élevée, mais la position actuelle indique un équilibre, justifiant la décision Neutre.</w:t>
      </w:r>
    </w:p>
    <w:p>
      <w:pPr>
        <w:spacing w:after="120" w:line="276" w:lineRule="auto"/>
      </w:pPr>
      <w:r>
        <w:t>**MACD**: Avec une valeur de -6,39 et un signal à 25,686, le MACD est nettement sous sa ligne de signal, confirmant un momentum baissier. Cette divergence négative signale une pression vendeuse persistante, justifiant la décision de Vente.</w:t>
      </w:r>
    </w:p>
    <w:p>
      <w:pPr>
        <w:spacing w:after="120" w:line="276" w:lineRule="auto"/>
      </w:pPr>
      <w:r>
        <w:t>**RSI**: Le RSI à 42,857 se situe dans la zone neutre (30-70), indiquant que le titre n'est ni suracheté ni survendu. Cette valeur reflète une absence de direction claire, justifiant la décision Neutre.</w:t>
      </w:r>
    </w:p>
    <w:p>
      <w:pPr>
        <w:spacing w:after="120" w:line="276" w:lineRule="auto"/>
      </w:pPr>
      <w:r>
        <w:t>**Stochastique**: Les %K (38,889) et %D (41,049) sont proches, avec %K légèrement sous %D, suggérant un momentum faiblement baissier sans croisement significatif. La décision Neutre est appropriée, le marché manquant de conviction.</w:t>
      </w:r>
    </w:p>
    <w:p>
      <w:pPr>
        <w:spacing w:after="120" w:line="276" w:lineRule="auto"/>
      </w:pPr>
      <w:r>
        <w:t>**Conclusion technique**: Les indicateurs sont mitigés, avec une prédominance de signaux baissiers (MM, MACD) contre des signaux neutres (Bollinger, RSI, Stochastique). Cette configuration suggère une phase de consolidation après la forte hausse, avec un risque de correction à court terme. La prudence est recommandée.</w:t>
      </w:r>
    </w:p>
    <w:p>
      <w:pPr>
        <w:spacing w:after="120" w:line="276" w:lineRule="auto" w:before="240"/>
      </w:pPr>
      <w:r>
        <w:rPr>
          <w:b/>
          <w:color w:val="003366"/>
          <w:sz w:val="24"/>
        </w:rPr>
        <w:t>**PARTIE 3 : ANALYSE FONDAMENTALE (SECTION CRITIQUE)**</w:t>
      </w:r>
    </w:p>
    <w:p>
      <w:pPr>
        <w:spacing w:after="120" w:line="276" w:lineRule="auto"/>
      </w:pPr>
      <w:r>
        <w:t>En 2025, SDCC affiche des données financières structurées robustes : le chiffre d'affaires atteint 189,430 milliards FCFA, en croissance de +10% par rapport à 2024 (172,2 milliards FCFA), et le résultat net progresse de 31% à 4,663 milliards FCFA. La marge nette s'établit à 2,46%, le ROE à 23,65% (excellent, &gt;15%) et le ROA à 0,99%. En tant qu'entreprise non bancaire, l'analyse du BFR est cruciale : le BFR de 104,748 milliards FCFA est positif, indiqué comme défavorable, avec un délai clients très élevé de 749 jours, signalant un risque de trésorerie majeur. L'endettement est significatif (ratio d'endettement de 95,83%), mais la solvabilité générale de 104,35% reste positive. Les rapports trimestriels montrent une trajectoire contrastée : le T1 2025 (CA +8%, RN +17%) et le S1 2025 (CA stable, RN -24%) reflètent une volatilité, mais le T1 2026 (CA -2%, RN +118% à 1,318 milliards FCFA) indique une forte amélioration de la rentabilité opérationnelle. Sur la base de ces données, on estime que l'exercice 2026 pourrait voir un résultat net en hausse de 20-30%, porté par la maîtrise des charges et la croissance du nombre de clients (2,27 millions, +6,14%). La recommandation fondamentale est de CONSERVER, la solidité opérationnelle étant contrebalancée par les risques de trésorerie et d'endettement.</w:t>
      </w:r>
    </w:p>
    <w:p>
      <w:pPr>
        <w:spacing w:after="120" w:line="276" w:lineRule="auto" w:before="240"/>
      </w:pPr>
      <w:r>
        <w:rPr>
          <w:b/>
          <w:color w:val="003366"/>
          <w:sz w:val="24"/>
        </w:rPr>
        <w:t>**PARTIE 4 : CONCLUSION D'INVESTISSEMENT**</w:t>
      </w:r>
    </w:p>
    <w:p>
      <w:pPr>
        <w:spacing w:after="120" w:line="276" w:lineRule="auto"/>
      </w:pPr>
      <w:r>
        <w:t>La valorisation de SDCC est exigeante (PER 22,4x, P/B 5,30x, EV/EBITDA 14,3x), indiquant une surévaluation relative par rapport au marché BRVM, malgré des fondamentaux solides. Le comportement du cours montre une forte hausse (+48,85%) mais avec une volatilité élevée (36,2%) et une distribution asymétrique préoccupante (skewness négatif, kurtosis platykurtique). Les signaux techniques sont majoritairement baissiers (MM, MACD) avec des indicateurs neutres (Bollinger, RSI, Stochastique), suggérant une consolidation. Les fondamentaux sont robustes (CA +10%, RN +31% en 2025, ROE 23,65%), mais les risques de trésorerie (BFR positif, délai clients 749 jours) et l'endettement élevé tempèrent l'optimisme. Les prédictions IA pour les 10 prochains jours (11 380 à 10 990 FCFA) confirment une tendance baissière, en ligne avec les signaux techniques. La convergence des signaux techniques et des prédictions IA, contrebalancée par des fondamentaux solides, conduit à une recommandation de **CONSERVER** avec un niveau de confiance **Moyen**. Le risque global est **Élevé** en raison de la volatilité et de l'endettement. L'horizon d'investissement optimal est le **moyen terme (3-12 mois)**, permettant de capturer la croissance fondamentale tout en évitant la volatilité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152.15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16,510 titres</w:t>
            </w:r>
          </w:p>
        </w:tc>
        <w:tc>
          <w:tcPr>
            <w:tcW w:type="dxa" w:w="2268"/>
            <w:shd w:fill="FFF2CC" w:val="clear"/>
          </w:tcPr>
          <w:p>
            <w:r>
              <w:rPr>
                <w:b/>
                <w:color w:val="503200"/>
                <w:sz w:val="16"/>
              </w:rPr>
              <w:t xml:space="preserve">Cours actuel : </w:t>
            </w:r>
            <w:r>
              <w:rPr>
                <w:color w:val="000000"/>
                <w:sz w:val="17"/>
              </w:rPr>
              <w:t>2,795 FCFA</w:t>
            </w:r>
          </w:p>
          <w:p>
            <w:r>
              <w:rPr>
                <w:b/>
                <w:color w:val="503200"/>
                <w:sz w:val="16"/>
              </w:rPr>
              <w:t xml:space="preserve">Var. 100 jours : </w:t>
            </w:r>
            <w:r>
              <w:rPr>
                <w:b/>
                <w:color w:val="007800"/>
                <w:sz w:val="17"/>
              </w:rPr>
              <w:t>+42.24%</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17.01% (Élevée) — μ=2,137 FCFA, σ=364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β=0.0266 (Défensif) — Cov=0.000001, Var(idx)=0.000036, ρ=0.005,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16,510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σ_j=3.27%/j (Modérée) — Vol. annualisée≈51.8%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2026-08-14</w:t>
            </w:r>
          </w:p>
        </w:tc>
        <w:tc>
          <w:tcPr>
            <w:tcW w:type="dxa" w:w="1440"/>
            <w:shd w:fill="FAFAFA" w:val="clear"/>
          </w:tcPr>
          <w:p>
            <w:r>
              <w:rPr>
                <w:sz w:val="17"/>
              </w:rPr>
              <w:t>2,569</w:t>
            </w:r>
          </w:p>
        </w:tc>
        <w:tc>
          <w:tcPr>
            <w:tcW w:type="dxa" w:w="1440"/>
            <w:shd w:fill="FAFAFA" w:val="clear"/>
          </w:tcPr>
          <w:p>
            <w:r>
              <w:rPr>
                <w:b/>
                <w:sz w:val="17"/>
              </w:rPr>
              <w:t>2,741</w:t>
            </w:r>
          </w:p>
        </w:tc>
        <w:tc>
          <w:tcPr>
            <w:tcW w:type="dxa" w:w="1440"/>
            <w:shd w:fill="FAFAFA" w:val="clear"/>
          </w:tcPr>
          <w:p>
            <w:r>
              <w:rPr>
                <w:sz w:val="17"/>
              </w:rPr>
              <w:t>2,912</w:t>
            </w:r>
          </w:p>
        </w:tc>
        <w:tc>
          <w:tcPr>
            <w:tcW w:type="dxa" w:w="1440"/>
            <w:shd w:fill="FAFAFA" w:val="clear"/>
          </w:tcPr>
          <w:p>
            <w:r>
              <w:rPr>
                <w:b/>
                <w:color w:val="C00000"/>
                <w:sz w:val="17"/>
              </w:rPr>
              <w:t>-1.9%</w:t>
            </w:r>
          </w:p>
        </w:tc>
      </w:tr>
      <w:tr>
        <w:tc>
          <w:tcPr>
            <w:tcW w:type="dxa" w:w="1440"/>
            <w:shd w:fill="FFDCE0" w:val="clear"/>
          </w:tcPr>
          <w:p>
            <w:r>
              <w:rPr>
                <w:sz w:val="17"/>
              </w:rPr>
              <w:t>J+2  Moyenne</w:t>
            </w:r>
          </w:p>
        </w:tc>
        <w:tc>
          <w:tcPr>
            <w:tcW w:type="dxa" w:w="1440"/>
            <w:shd w:fill="FFDCE0" w:val="clear"/>
          </w:tcPr>
          <w:p>
            <w:r>
              <w:rPr>
                <w:sz w:val="17"/>
              </w:rPr>
              <w:t>2026-08-17</w:t>
            </w:r>
          </w:p>
        </w:tc>
        <w:tc>
          <w:tcPr>
            <w:tcW w:type="dxa" w:w="1440"/>
            <w:shd w:fill="FFDCE0" w:val="clear"/>
          </w:tcPr>
          <w:p>
            <w:r>
              <w:rPr>
                <w:sz w:val="17"/>
              </w:rPr>
              <w:t>2,456</w:t>
            </w:r>
          </w:p>
        </w:tc>
        <w:tc>
          <w:tcPr>
            <w:tcW w:type="dxa" w:w="1440"/>
            <w:shd w:fill="FFDCE0" w:val="clear"/>
          </w:tcPr>
          <w:p>
            <w:r>
              <w:rPr>
                <w:b/>
                <w:sz w:val="17"/>
              </w:rPr>
              <w:t>2,694</w:t>
            </w:r>
          </w:p>
        </w:tc>
        <w:tc>
          <w:tcPr>
            <w:tcW w:type="dxa" w:w="1440"/>
            <w:shd w:fill="FFDCE0" w:val="clear"/>
          </w:tcPr>
          <w:p>
            <w:r>
              <w:rPr>
                <w:sz w:val="17"/>
              </w:rPr>
              <w:t>2,932</w:t>
            </w:r>
          </w:p>
        </w:tc>
        <w:tc>
          <w:tcPr>
            <w:tcW w:type="dxa" w:w="1440"/>
            <w:shd w:fill="FFDCE0" w:val="clear"/>
          </w:tcPr>
          <w:p>
            <w:r>
              <w:rPr>
                <w:b/>
                <w:color w:val="C00000"/>
                <w:sz w:val="17"/>
              </w:rPr>
              <w:t>-3.6%</w:t>
            </w:r>
          </w:p>
        </w:tc>
      </w:tr>
      <w:tr>
        <w:tc>
          <w:tcPr>
            <w:tcW w:type="dxa" w:w="1440"/>
            <w:shd w:fill="FFDCE0" w:val="clear"/>
          </w:tcPr>
          <w:p>
            <w:r>
              <w:rPr>
                <w:sz w:val="17"/>
              </w:rPr>
              <w:t>J+3  Moyenne</w:t>
            </w:r>
          </w:p>
        </w:tc>
        <w:tc>
          <w:tcPr>
            <w:tcW w:type="dxa" w:w="1440"/>
            <w:shd w:fill="FFDCE0" w:val="clear"/>
          </w:tcPr>
          <w:p>
            <w:r>
              <w:rPr>
                <w:sz w:val="17"/>
              </w:rPr>
              <w:t>2026-08-18</w:t>
            </w:r>
          </w:p>
        </w:tc>
        <w:tc>
          <w:tcPr>
            <w:tcW w:type="dxa" w:w="1440"/>
            <w:shd w:fill="FFDCE0" w:val="clear"/>
          </w:tcPr>
          <w:p>
            <w:r>
              <w:rPr>
                <w:sz w:val="17"/>
              </w:rPr>
              <w:t>2,372</w:t>
            </w:r>
          </w:p>
        </w:tc>
        <w:tc>
          <w:tcPr>
            <w:tcW w:type="dxa" w:w="1440"/>
            <w:shd w:fill="FFDCE0" w:val="clear"/>
          </w:tcPr>
          <w:p>
            <w:r>
              <w:rPr>
                <w:b/>
                <w:sz w:val="17"/>
              </w:rPr>
              <w:t>2,660</w:t>
            </w:r>
          </w:p>
        </w:tc>
        <w:tc>
          <w:tcPr>
            <w:tcW w:type="dxa" w:w="1440"/>
            <w:shd w:fill="FFDCE0" w:val="clear"/>
          </w:tcPr>
          <w:p>
            <w:r>
              <w:rPr>
                <w:sz w:val="17"/>
              </w:rPr>
              <w:t>2,948</w:t>
            </w:r>
          </w:p>
        </w:tc>
        <w:tc>
          <w:tcPr>
            <w:tcW w:type="dxa" w:w="1440"/>
            <w:shd w:fill="FFDCE0" w:val="clear"/>
          </w:tcPr>
          <w:p>
            <w:r>
              <w:rPr>
                <w:b/>
                <w:color w:val="C00000"/>
                <w:sz w:val="17"/>
              </w:rPr>
              <w:t>-4.8%</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2,305</w:t>
            </w:r>
          </w:p>
        </w:tc>
        <w:tc>
          <w:tcPr>
            <w:tcW w:type="dxa" w:w="1440"/>
            <w:shd w:fill="FFDCE0" w:val="clear"/>
          </w:tcPr>
          <w:p>
            <w:r>
              <w:rPr>
                <w:b/>
                <w:sz w:val="17"/>
              </w:rPr>
              <w:t>2,634</w:t>
            </w:r>
          </w:p>
        </w:tc>
        <w:tc>
          <w:tcPr>
            <w:tcW w:type="dxa" w:w="1440"/>
            <w:shd w:fill="FFDCE0" w:val="clear"/>
          </w:tcPr>
          <w:p>
            <w:r>
              <w:rPr>
                <w:sz w:val="17"/>
              </w:rPr>
              <w:t>2,964</w:t>
            </w:r>
          </w:p>
        </w:tc>
        <w:tc>
          <w:tcPr>
            <w:tcW w:type="dxa" w:w="1440"/>
            <w:shd w:fill="FFDCE0" w:val="clear"/>
          </w:tcPr>
          <w:p>
            <w:r>
              <w:rPr>
                <w:b/>
                <w:color w:val="C00000"/>
                <w:sz w:val="17"/>
              </w:rPr>
              <w:t>-5.7%</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2,247</w:t>
            </w:r>
          </w:p>
        </w:tc>
        <w:tc>
          <w:tcPr>
            <w:tcW w:type="dxa" w:w="1440"/>
            <w:shd w:fill="FFDCE0" w:val="clear"/>
          </w:tcPr>
          <w:p>
            <w:r>
              <w:rPr>
                <w:b/>
                <w:sz w:val="17"/>
              </w:rPr>
              <w:t>2,613</w:t>
            </w:r>
          </w:p>
        </w:tc>
        <w:tc>
          <w:tcPr>
            <w:tcW w:type="dxa" w:w="1440"/>
            <w:shd w:fill="FFDCE0" w:val="clear"/>
          </w:tcPr>
          <w:p>
            <w:r>
              <w:rPr>
                <w:sz w:val="17"/>
              </w:rPr>
              <w:t>2,978</w:t>
            </w:r>
          </w:p>
        </w:tc>
        <w:tc>
          <w:tcPr>
            <w:tcW w:type="dxa" w:w="1440"/>
            <w:shd w:fill="FFDCE0" w:val="clear"/>
          </w:tcPr>
          <w:p>
            <w:r>
              <w:rPr>
                <w:b/>
                <w:color w:val="C00000"/>
                <w:sz w:val="17"/>
              </w:rPr>
              <w:t>-6.5%</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2,196</w:t>
            </w:r>
          </w:p>
        </w:tc>
        <w:tc>
          <w:tcPr>
            <w:tcW w:type="dxa" w:w="1440"/>
            <w:shd w:fill="FFDCE0" w:val="clear"/>
          </w:tcPr>
          <w:p>
            <w:r>
              <w:rPr>
                <w:b/>
                <w:sz w:val="17"/>
              </w:rPr>
              <w:t>2,593</w:t>
            </w:r>
          </w:p>
        </w:tc>
        <w:tc>
          <w:tcPr>
            <w:tcW w:type="dxa" w:w="1440"/>
            <w:shd w:fill="FFDCE0" w:val="clear"/>
          </w:tcPr>
          <w:p>
            <w:r>
              <w:rPr>
                <w:sz w:val="17"/>
              </w:rPr>
              <w:t>2,990</w:t>
            </w:r>
          </w:p>
        </w:tc>
        <w:tc>
          <w:tcPr>
            <w:tcW w:type="dxa" w:w="1440"/>
            <w:shd w:fill="FFDCE0" w:val="clear"/>
          </w:tcPr>
          <w:p>
            <w:r>
              <w:rPr>
                <w:b/>
                <w:color w:val="C00000"/>
                <w:sz w:val="17"/>
              </w:rPr>
              <w:t>-7.2%</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2,149</w:t>
            </w:r>
          </w:p>
        </w:tc>
        <w:tc>
          <w:tcPr>
            <w:tcW w:type="dxa" w:w="1440"/>
            <w:shd w:fill="FFDCE0" w:val="clear"/>
          </w:tcPr>
          <w:p>
            <w:r>
              <w:rPr>
                <w:b/>
                <w:sz w:val="17"/>
              </w:rPr>
              <w:t>2,574</w:t>
            </w:r>
          </w:p>
        </w:tc>
        <w:tc>
          <w:tcPr>
            <w:tcW w:type="dxa" w:w="1440"/>
            <w:shd w:fill="FFDCE0" w:val="clear"/>
          </w:tcPr>
          <w:p>
            <w:r>
              <w:rPr>
                <w:sz w:val="17"/>
              </w:rPr>
              <w:t>3,000</w:t>
            </w:r>
          </w:p>
        </w:tc>
        <w:tc>
          <w:tcPr>
            <w:tcW w:type="dxa" w:w="1440"/>
            <w:shd w:fill="FFDCE0" w:val="clear"/>
          </w:tcPr>
          <w:p>
            <w:r>
              <w:rPr>
                <w:b/>
                <w:color w:val="C00000"/>
                <w:sz w:val="17"/>
              </w:rPr>
              <w:t>-7.9%</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2,105</w:t>
            </w:r>
          </w:p>
        </w:tc>
        <w:tc>
          <w:tcPr>
            <w:tcW w:type="dxa" w:w="1440"/>
            <w:shd w:fill="FFDCE0" w:val="clear"/>
          </w:tcPr>
          <w:p>
            <w:r>
              <w:rPr>
                <w:b/>
                <w:sz w:val="17"/>
              </w:rPr>
              <w:t>2,557</w:t>
            </w:r>
          </w:p>
        </w:tc>
        <w:tc>
          <w:tcPr>
            <w:tcW w:type="dxa" w:w="1440"/>
            <w:shd w:fill="FFDCE0" w:val="clear"/>
          </w:tcPr>
          <w:p>
            <w:r>
              <w:rPr>
                <w:sz w:val="17"/>
              </w:rPr>
              <w:t>3,009</w:t>
            </w:r>
          </w:p>
        </w:tc>
        <w:tc>
          <w:tcPr>
            <w:tcW w:type="dxa" w:w="1440"/>
            <w:shd w:fill="FFDCE0" w:val="clear"/>
          </w:tcPr>
          <w:p>
            <w:r>
              <w:rPr>
                <w:b/>
                <w:color w:val="C00000"/>
                <w:sz w:val="17"/>
              </w:rPr>
              <w:t>-8.5%</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2,064</w:t>
            </w:r>
          </w:p>
        </w:tc>
        <w:tc>
          <w:tcPr>
            <w:tcW w:type="dxa" w:w="1440"/>
            <w:shd w:fill="FFDCE0" w:val="clear"/>
          </w:tcPr>
          <w:p>
            <w:r>
              <w:rPr>
                <w:b/>
                <w:sz w:val="17"/>
              </w:rPr>
              <w:t>2,540</w:t>
            </w:r>
          </w:p>
        </w:tc>
        <w:tc>
          <w:tcPr>
            <w:tcW w:type="dxa" w:w="1440"/>
            <w:shd w:fill="FFDCE0" w:val="clear"/>
          </w:tcPr>
          <w:p>
            <w:r>
              <w:rPr>
                <w:sz w:val="17"/>
              </w:rPr>
              <w:t>3,016</w:t>
            </w:r>
          </w:p>
        </w:tc>
        <w:tc>
          <w:tcPr>
            <w:tcW w:type="dxa" w:w="1440"/>
            <w:shd w:fill="FFDCE0" w:val="clear"/>
          </w:tcPr>
          <w:p>
            <w:r>
              <w:rPr>
                <w:b/>
                <w:color w:val="C00000"/>
                <w:sz w:val="17"/>
              </w:rPr>
              <w:t>-9.1%</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2,025</w:t>
            </w:r>
          </w:p>
        </w:tc>
        <w:tc>
          <w:tcPr>
            <w:tcW w:type="dxa" w:w="1440"/>
            <w:shd w:fill="FFDCE0" w:val="clear"/>
          </w:tcPr>
          <w:p>
            <w:r>
              <w:rPr>
                <w:b/>
                <w:sz w:val="17"/>
              </w:rPr>
              <w:t>2,524</w:t>
            </w:r>
          </w:p>
        </w:tc>
        <w:tc>
          <w:tcPr>
            <w:tcW w:type="dxa" w:w="1440"/>
            <w:shd w:fill="FFDCE0" w:val="clear"/>
          </w:tcPr>
          <w:p>
            <w:r>
              <w:rPr>
                <w:sz w:val="17"/>
              </w:rPr>
              <w:t>3,023</w:t>
            </w:r>
          </w:p>
        </w:tc>
        <w:tc>
          <w:tcPr>
            <w:tcW w:type="dxa" w:w="1440"/>
            <w:shd w:fill="FFDCE0" w:val="clear"/>
          </w:tcPr>
          <w:p>
            <w:r>
              <w:rPr>
                <w:b/>
                <w:color w:val="C00000"/>
                <w:sz w:val="17"/>
              </w:rPr>
              <w:t>-9.7%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SDSC s'établit à 152,15 milliards FCFA, ce qui positionne le titre parmi les valeurs moyennes de la cote BRVM. Le BPA de 387 FCFA indique que chaque action génère un bénéfice substantiel, justifiant un PER de 7,2x, nettement inférieur à la moyenne du marché régional (8-12x), ce qui suggère une sous-évaluation relative du titre. Le P/B de 1,96x indique que le marché valorise la société à près du double de sa valeur comptable, une valorisation raisonnable pour une entreprise présentant un ROE de 27%. L'EV/EBITDA de 32,8x apparaît en revanche très exigeant, signalant que la valeur d'entreprise intègre une prime significative par rapport à la capacité bénéficiaire opérationnelle, un paradoxe qui mérite une attention particulière dans l'analyse.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affiche une progression spectaculaire de +42,24%, avec un cours actuel de 2 795 FCFA, en hausse de 2,38% sur la dernière séance. Le titre a évolué dans une fourchette large de 1 650 à 2 820 FCFA, démontrant une dynamique haussière soutenue. La moyenne de 2 137 FCFA, inférieure au cours actuel, confirme la vigueur du mouvement haussier récent, tandis que la médiane de 1 985 FCFA, nettement en dessous de la moyenne, révèle une distribution asymétrique positive. L'écart-type de 365 FCFA (CV de 17,1%) indique une dispersion modérée des cours autour de la moyenne. Le kurtosis de -1,260 signale une distribution platykurtique, avec une faible concentration des valeurs extrêmes, tandis que le skewness de 0,449 confirme une asymétrie vers les hauts cours. La volatilité annualisée de 51,8% classe le titre comme très volatil, un niveau élevé qui implique un risque substantiel mais aussi un potentiel de rendement important.</w:t>
      </w:r>
    </w:p>
    <w:p>
      <w:pPr>
        <w:spacing w:after="120" w:line="276" w:lineRule="auto" w:before="240"/>
      </w:pPr>
      <w:r>
        <w:rPr>
          <w:b/>
          <w:color w:val="003366"/>
          <w:sz w:val="24"/>
        </w:rPr>
        <w:t>**PARTIE 2 : ANALYSE TECHNIQUE DÉTAILLÉE**</w:t>
      </w:r>
    </w:p>
    <w:p>
      <w:pPr>
        <w:spacing w:after="120" w:line="276" w:lineRule="auto"/>
      </w:pPr>
      <w:r>
        <w:t>**Moyennes Mobiles** : Le cours actuel de 2 795 FCFA se positionne nettement au-dessus de la MM20 (2 682,5 FCFA) et de la MM50 (2 448,7 FCFA), confirmant une tendance haussière solide. L'écart croissant entre les deux moyennes mobiles témoigne d'un momentum positif soutenu, justifiant la décision d'achat.</w:t>
      </w:r>
    </w:p>
    <w:p>
      <w:pPr>
        <w:spacing w:after="120" w:line="276" w:lineRule="auto"/>
      </w:pPr>
      <w:r>
        <w:t>**Bandes de Bollinger** : Le cours évolue à 2 795 FCFA, proche de la borne supérieure (2 905,4 FCFA) mais dans la partie haute de l'enveloppe, indiquant une pression acheteuse persistante sans atteindre des conditions de surachat extrême. La décision neutre reflète une volatilité modérée avec un potentiel de poursuite du mouvement.</w:t>
      </w:r>
    </w:p>
    <w:p>
      <w:pPr>
        <w:spacing w:after="120" w:line="276" w:lineRule="auto"/>
      </w:pPr>
      <w:r>
        <w:t>**MACD** : La valeur du MACD (64,023) reste positive mais inférieure à sa ligne de signal (71,643), signalant un ralentissement du momentum haussier. Cette divergence baissière suggère une possible consolidation à court terme, justifiant la décision de vente.</w:t>
      </w:r>
    </w:p>
    <w:p>
      <w:pPr>
        <w:spacing w:after="120" w:line="276" w:lineRule="auto"/>
      </w:pPr>
      <w:r>
        <w:t>**RSI** : À 51,142, le RSI se situe en zone neutre, indiquant un équilibre entre pressions acheteuses et vendeuses. Cette valeur laisse une marge de manœuvre avant d'atteindre des zones de surachat, sans signal directionnel fort.</w:t>
      </w:r>
    </w:p>
    <w:p>
      <w:pPr>
        <w:spacing w:after="120" w:line="276" w:lineRule="auto"/>
      </w:pPr>
      <w:r>
        <w:t>**Stochastique** : Le %K à 100,0 et le %D à 87,149 indiquent des conditions de surachat extrême, avec un croisement potentiel baissier imminent. Cette configuration suggère un risque de correction technique à court terme, justifiant la décision de vente.</w:t>
      </w:r>
    </w:p>
    <w:p>
      <w:pPr>
        <w:spacing w:after="120" w:line="276" w:lineRule="auto"/>
      </w:pPr>
      <w:r>
        <w:t>**Conclusion technique** : Les indicateurs présentent un tableau contrasté : la tendance de fond reste haussière (MM, Bollinger) mais les oscillateurs de momentum (MACD, Stochastique) signalent un essoufflement. Cette divergence suggère une probable phase de consolidation avant la poursuite éventuelle du mouvement haussier, invitant à la prudence à court terme.</w:t>
      </w:r>
    </w:p>
    <w:p>
      <w:pPr>
        <w:spacing w:after="120" w:line="276" w:lineRule="auto" w:before="240"/>
      </w:pPr>
      <w:r>
        <w:rPr>
          <w:b/>
          <w:color w:val="003366"/>
          <w:sz w:val="24"/>
        </w:rPr>
        <w:t>**PARTIE 3 : ANALYSE FONDAMENTALE (SECTION CRITIQUE)**</w:t>
      </w:r>
    </w:p>
    <w:p>
      <w:pPr>
        <w:spacing w:after="120" w:line="276" w:lineRule="auto"/>
      </w:pPr>
      <w:r>
        <w:t>En 2024, SDSC a réalisé un chiffre d'affaires de 85,643 milliards FCFA, en croissance de 3,65%, avec un résultat net de 21,069 milliards FCFA, soit une marge nette exceptionnelle de 24,6%. Le ROE de 27,08% et le ROA de 11,20% témoignent d'une excellente rentabilité des capitaux propres et des actifs. Le bilan présente une structure saine avec une autonomie financière de 41,36% et une solvabilité générale de 170,53%. Le BFR de 17,874 milliards FCFA et le délai clients de 467 jours constituent des points de vigilance, bien que le délai fournisseurs de 4 534 jours compense partiellement ce risque de trésorerie. Les rapports trimestriels 2025 révèlent une dégradation marquée : le CA du T1 2025 progresse de 6,2% à 24,897 milliards, mais le résultat net chute à 223 millions (marge de 0,9%). Le rapport du 31 décembre 2025 confirme cette tendance avec un résultat net de seulement 784,97 millions FCFA (marge de 0,85%), le résultat d'exploitation devenant négatif à -2,271 milliards. On estime que l'exercice 2025 devrait afficher une rentabilité fortement réduite, la chute s'expliquant par la hausse des dotations (+41%) et l'absence de dividendes exceptionnels des filiales. La trésorerie nette de 74,78 milliards FCFA et les capitaux propres de 73,55 milliards FCFA maintiennent néanmoins une solidité financière indéniable.</w:t>
      </w:r>
    </w:p>
    <w:p>
      <w:pPr>
        <w:spacing w:after="120" w:line="276" w:lineRule="auto" w:before="240"/>
      </w:pPr>
      <w:r>
        <w:rPr>
          <w:b/>
          <w:color w:val="003366"/>
          <w:sz w:val="24"/>
        </w:rPr>
        <w:t>**PARTIE 4 : CONCLUSION D'INVESTISSEMENT**</w:t>
      </w:r>
    </w:p>
    <w:p>
      <w:pPr>
        <w:spacing w:after="120" w:line="276" w:lineRule="auto"/>
      </w:pPr>
      <w:r>
        <w:t>La synthèse globale révèle des signaux contrastés. La valorisation (PER de 7,2x, P/B de 1,96x) suggère une sous-évaluation relative, mais l'EV/EBITDA de 32,8x tempère cet optimisme. Le comportement du cours (+42,24% sur 100 jours) démontre une dynamique haussière soutenue, bien que la volatilité élevée (51,8%) et les statistiques descriptives indiquent un profil de risque significatif. Les signaux techniques divergent : les moyennes mobiles restent haussières mais le MACD et le Stochastique signalent un essoufflement imminent. Les fondamentaux présentent une dégradation nette de la rentabilité en 2025 (marge nette de 0,85% contre 24,6% en 2024), malgré une croissance du CA de 7,4%. Les prédictions IA (2 741 à 2 613 FCFA sur 10 jours) confirment une correction attendue. La recommandation finale est **CONSERVER**, avec un niveau de confiance **Moyen** et un risque global **Élevé**. L'horizon d'investissement optimal se situe à **moyen terme (3-12 mois)**, en attendant la confirmation d'un redressement opérationnel au premier semestre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5,059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-24.30%</w:t>
            </w:r>
          </w:p>
          <w:p>
            <w:r>
              <w:rPr>
                <w:b/>
                <w:color w:val="503200"/>
                <w:sz w:val="16"/>
              </w:rPr>
              <w:t xml:space="preserve">Plus haut 100j : </w:t>
            </w:r>
            <w:r>
              <w:rPr>
                <w:color w:val="000000"/>
                <w:sz w:val="17"/>
              </w:rPr>
              <w:t>2,265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12.42% (Moyenne) — μ=1,619 FCFA, σ=201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β=0.7949 (Défensif) — Cov=0.000029, Var(idx)=0.000036, ρ=0.148,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σ_j=3.23%/j (Modérée) — Vol. annualisée≈51.2%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2026-08-14</w:t>
            </w:r>
          </w:p>
        </w:tc>
        <w:tc>
          <w:tcPr>
            <w:tcW w:type="dxa" w:w="1440"/>
            <w:shd w:fill="FFDCE0" w:val="clear"/>
          </w:tcPr>
          <w:p>
            <w:r>
              <w:rPr>
                <w:sz w:val="17"/>
              </w:rPr>
              <w:t>1,379</w:t>
            </w:r>
          </w:p>
        </w:tc>
        <w:tc>
          <w:tcPr>
            <w:tcW w:type="dxa" w:w="1440"/>
            <w:shd w:fill="FFDCE0" w:val="clear"/>
          </w:tcPr>
          <w:p>
            <w:r>
              <w:rPr>
                <w:b/>
                <w:sz w:val="17"/>
              </w:rPr>
              <w:t>1,449</w:t>
            </w:r>
          </w:p>
        </w:tc>
        <w:tc>
          <w:tcPr>
            <w:tcW w:type="dxa" w:w="1440"/>
            <w:shd w:fill="FFDCE0" w:val="clear"/>
          </w:tcPr>
          <w:p>
            <w:r>
              <w:rPr>
                <w:sz w:val="17"/>
              </w:rPr>
              <w:t>1,518</w:t>
            </w:r>
          </w:p>
        </w:tc>
        <w:tc>
          <w:tcPr>
            <w:tcW w:type="dxa" w:w="1440"/>
            <w:shd w:fill="FFDCE0" w:val="clear"/>
          </w:tcPr>
          <w:p>
            <w:r>
              <w:rPr>
                <w:b/>
                <w:color w:val="C00000"/>
                <w:sz w:val="17"/>
              </w:rPr>
              <w:t>-3.1%</w:t>
            </w:r>
          </w:p>
        </w:tc>
      </w:tr>
      <w:tr>
        <w:tc>
          <w:tcPr>
            <w:tcW w:type="dxa" w:w="1440"/>
            <w:shd w:fill="FFDCE0" w:val="clear"/>
          </w:tcPr>
          <w:p>
            <w:r>
              <w:rPr>
                <w:sz w:val="17"/>
              </w:rPr>
              <w:t>J+2  Moyenne</w:t>
            </w:r>
          </w:p>
        </w:tc>
        <w:tc>
          <w:tcPr>
            <w:tcW w:type="dxa" w:w="1440"/>
            <w:shd w:fill="FFDCE0" w:val="clear"/>
          </w:tcPr>
          <w:p>
            <w:r>
              <w:rPr>
                <w:sz w:val="17"/>
              </w:rPr>
              <w:t>2026-08-17</w:t>
            </w:r>
          </w:p>
        </w:tc>
        <w:tc>
          <w:tcPr>
            <w:tcW w:type="dxa" w:w="1440"/>
            <w:shd w:fill="FFDCE0" w:val="clear"/>
          </w:tcPr>
          <w:p>
            <w:r>
              <w:rPr>
                <w:sz w:val="17"/>
              </w:rPr>
              <w:t>1,342</w:t>
            </w:r>
          </w:p>
        </w:tc>
        <w:tc>
          <w:tcPr>
            <w:tcW w:type="dxa" w:w="1440"/>
            <w:shd w:fill="FFDCE0" w:val="clear"/>
          </w:tcPr>
          <w:p>
            <w:r>
              <w:rPr>
                <w:b/>
                <w:sz w:val="17"/>
              </w:rPr>
              <w:t>1,440</w:t>
            </w:r>
          </w:p>
        </w:tc>
        <w:tc>
          <w:tcPr>
            <w:tcW w:type="dxa" w:w="1440"/>
            <w:shd w:fill="FFDCE0" w:val="clear"/>
          </w:tcPr>
          <w:p>
            <w:r>
              <w:rPr>
                <w:sz w:val="17"/>
              </w:rPr>
              <w:t>1,538</w:t>
            </w:r>
          </w:p>
        </w:tc>
        <w:tc>
          <w:tcPr>
            <w:tcW w:type="dxa" w:w="1440"/>
            <w:shd w:fill="FFDCE0" w:val="clear"/>
          </w:tcPr>
          <w:p>
            <w:r>
              <w:rPr>
                <w:b/>
                <w:color w:val="C00000"/>
                <w:sz w:val="17"/>
              </w:rPr>
              <w:t>-3.7%</w:t>
            </w:r>
          </w:p>
        </w:tc>
      </w:tr>
      <w:tr>
        <w:tc>
          <w:tcPr>
            <w:tcW w:type="dxa" w:w="1440"/>
            <w:shd w:fill="FFDCE0" w:val="clear"/>
          </w:tcPr>
          <w:p>
            <w:r>
              <w:rPr>
                <w:sz w:val="17"/>
              </w:rPr>
              <w:t>J+3  Moyenne</w:t>
            </w:r>
          </w:p>
        </w:tc>
        <w:tc>
          <w:tcPr>
            <w:tcW w:type="dxa" w:w="1440"/>
            <w:shd w:fill="FFDCE0" w:val="clear"/>
          </w:tcPr>
          <w:p>
            <w:r>
              <w:rPr>
                <w:sz w:val="17"/>
              </w:rPr>
              <w:t>2026-08-18</w:t>
            </w:r>
          </w:p>
        </w:tc>
        <w:tc>
          <w:tcPr>
            <w:tcW w:type="dxa" w:w="1440"/>
            <w:shd w:fill="FFDCE0" w:val="clear"/>
          </w:tcPr>
          <w:p>
            <w:r>
              <w:rPr>
                <w:sz w:val="17"/>
              </w:rPr>
              <w:t>1,309</w:t>
            </w:r>
          </w:p>
        </w:tc>
        <w:tc>
          <w:tcPr>
            <w:tcW w:type="dxa" w:w="1440"/>
            <w:shd w:fill="FFDCE0" w:val="clear"/>
          </w:tcPr>
          <w:p>
            <w:r>
              <w:rPr>
                <w:b/>
                <w:sz w:val="17"/>
              </w:rPr>
              <w:t>1,427</w:t>
            </w:r>
          </w:p>
        </w:tc>
        <w:tc>
          <w:tcPr>
            <w:tcW w:type="dxa" w:w="1440"/>
            <w:shd w:fill="FFDCE0" w:val="clear"/>
          </w:tcPr>
          <w:p>
            <w:r>
              <w:rPr>
                <w:sz w:val="17"/>
              </w:rPr>
              <w:t>1,546</w:t>
            </w:r>
          </w:p>
        </w:tc>
        <w:tc>
          <w:tcPr>
            <w:tcW w:type="dxa" w:w="1440"/>
            <w:shd w:fill="FFDCE0" w:val="clear"/>
          </w:tcPr>
          <w:p>
            <w:r>
              <w:rPr>
                <w:b/>
                <w:color w:val="C00000"/>
                <w:sz w:val="17"/>
              </w:rPr>
              <w:t>-4.5%</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1,278</w:t>
            </w:r>
          </w:p>
        </w:tc>
        <w:tc>
          <w:tcPr>
            <w:tcW w:type="dxa" w:w="1440"/>
            <w:shd w:fill="FFDCE0" w:val="clear"/>
          </w:tcPr>
          <w:p>
            <w:r>
              <w:rPr>
                <w:b/>
                <w:sz w:val="17"/>
              </w:rPr>
              <w:t>1,414</w:t>
            </w:r>
          </w:p>
        </w:tc>
        <w:tc>
          <w:tcPr>
            <w:tcW w:type="dxa" w:w="1440"/>
            <w:shd w:fill="FFDCE0" w:val="clear"/>
          </w:tcPr>
          <w:p>
            <w:r>
              <w:rPr>
                <w:sz w:val="17"/>
              </w:rPr>
              <w:t>1,549</w:t>
            </w:r>
          </w:p>
        </w:tc>
        <w:tc>
          <w:tcPr>
            <w:tcW w:type="dxa" w:w="1440"/>
            <w:shd w:fill="FFDCE0" w:val="clear"/>
          </w:tcPr>
          <w:p>
            <w:r>
              <w:rPr>
                <w:b/>
                <w:color w:val="C00000"/>
                <w:sz w:val="17"/>
              </w:rPr>
              <w:t>-5.4%</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1,250</w:t>
            </w:r>
          </w:p>
        </w:tc>
        <w:tc>
          <w:tcPr>
            <w:tcW w:type="dxa" w:w="1440"/>
            <w:shd w:fill="FFDCE0" w:val="clear"/>
          </w:tcPr>
          <w:p>
            <w:r>
              <w:rPr>
                <w:b/>
                <w:sz w:val="17"/>
              </w:rPr>
              <w:t>1,400</w:t>
            </w:r>
          </w:p>
        </w:tc>
        <w:tc>
          <w:tcPr>
            <w:tcW w:type="dxa" w:w="1440"/>
            <w:shd w:fill="FFDCE0" w:val="clear"/>
          </w:tcPr>
          <w:p>
            <w:r>
              <w:rPr>
                <w:sz w:val="17"/>
              </w:rPr>
              <w:t>1,550</w:t>
            </w:r>
          </w:p>
        </w:tc>
        <w:tc>
          <w:tcPr>
            <w:tcW w:type="dxa" w:w="1440"/>
            <w:shd w:fill="FFDCE0" w:val="clear"/>
          </w:tcPr>
          <w:p>
            <w:r>
              <w:rPr>
                <w:b/>
                <w:color w:val="C00000"/>
                <w:sz w:val="17"/>
              </w:rPr>
              <w:t>-6.4%</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1,224</w:t>
            </w:r>
          </w:p>
        </w:tc>
        <w:tc>
          <w:tcPr>
            <w:tcW w:type="dxa" w:w="1440"/>
            <w:shd w:fill="FFDCE0" w:val="clear"/>
          </w:tcPr>
          <w:p>
            <w:r>
              <w:rPr>
                <w:b/>
                <w:sz w:val="17"/>
              </w:rPr>
              <w:t>1,386</w:t>
            </w:r>
          </w:p>
        </w:tc>
        <w:tc>
          <w:tcPr>
            <w:tcW w:type="dxa" w:w="1440"/>
            <w:shd w:fill="FFDCE0" w:val="clear"/>
          </w:tcPr>
          <w:p>
            <w:r>
              <w:rPr>
                <w:sz w:val="17"/>
              </w:rPr>
              <w:t>1,549</w:t>
            </w:r>
          </w:p>
        </w:tc>
        <w:tc>
          <w:tcPr>
            <w:tcW w:type="dxa" w:w="1440"/>
            <w:shd w:fill="FFDCE0" w:val="clear"/>
          </w:tcPr>
          <w:p>
            <w:r>
              <w:rPr>
                <w:b/>
                <w:color w:val="C00000"/>
                <w:sz w:val="17"/>
              </w:rPr>
              <w:t>-7.3%</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1,199</w:t>
            </w:r>
          </w:p>
        </w:tc>
        <w:tc>
          <w:tcPr>
            <w:tcW w:type="dxa" w:w="1440"/>
            <w:shd w:fill="FFDCE0" w:val="clear"/>
          </w:tcPr>
          <w:p>
            <w:r>
              <w:rPr>
                <w:b/>
                <w:sz w:val="17"/>
              </w:rPr>
              <w:t>1,373</w:t>
            </w:r>
          </w:p>
        </w:tc>
        <w:tc>
          <w:tcPr>
            <w:tcW w:type="dxa" w:w="1440"/>
            <w:shd w:fill="FFDCE0" w:val="clear"/>
          </w:tcPr>
          <w:p>
            <w:r>
              <w:rPr>
                <w:sz w:val="17"/>
              </w:rPr>
              <w:t>1,548</w:t>
            </w:r>
          </w:p>
        </w:tc>
        <w:tc>
          <w:tcPr>
            <w:tcW w:type="dxa" w:w="1440"/>
            <w:shd w:fill="FFDCE0" w:val="clear"/>
          </w:tcPr>
          <w:p>
            <w:r>
              <w:rPr>
                <w:b/>
                <w:color w:val="C00000"/>
                <w:sz w:val="17"/>
              </w:rPr>
              <w:t>-8.1%</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1,176</w:t>
            </w:r>
          </w:p>
        </w:tc>
        <w:tc>
          <w:tcPr>
            <w:tcW w:type="dxa" w:w="1440"/>
            <w:shd w:fill="FFDCE0" w:val="clear"/>
          </w:tcPr>
          <w:p>
            <w:r>
              <w:rPr>
                <w:b/>
                <w:sz w:val="17"/>
              </w:rPr>
              <w:t>1,360</w:t>
            </w:r>
          </w:p>
        </w:tc>
        <w:tc>
          <w:tcPr>
            <w:tcW w:type="dxa" w:w="1440"/>
            <w:shd w:fill="FFDCE0" w:val="clear"/>
          </w:tcPr>
          <w:p>
            <w:r>
              <w:rPr>
                <w:sz w:val="17"/>
              </w:rPr>
              <w:t>1,545</w:t>
            </w:r>
          </w:p>
        </w:tc>
        <w:tc>
          <w:tcPr>
            <w:tcW w:type="dxa" w:w="1440"/>
            <w:shd w:fill="FFDCE0" w:val="clear"/>
          </w:tcPr>
          <w:p>
            <w:r>
              <w:rPr>
                <w:b/>
                <w:color w:val="C00000"/>
                <w:sz w:val="17"/>
              </w:rPr>
              <w:t>-9.0%</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1,154</w:t>
            </w:r>
          </w:p>
        </w:tc>
        <w:tc>
          <w:tcPr>
            <w:tcW w:type="dxa" w:w="1440"/>
            <w:shd w:fill="FFDCE0" w:val="clear"/>
          </w:tcPr>
          <w:p>
            <w:r>
              <w:rPr>
                <w:b/>
                <w:sz w:val="17"/>
              </w:rPr>
              <w:t>1,348</w:t>
            </w:r>
          </w:p>
        </w:tc>
        <w:tc>
          <w:tcPr>
            <w:tcW w:type="dxa" w:w="1440"/>
            <w:shd w:fill="FFDCE0" w:val="clear"/>
          </w:tcPr>
          <w:p>
            <w:r>
              <w:rPr>
                <w:sz w:val="17"/>
              </w:rPr>
              <w:t>1,542</w:t>
            </w:r>
          </w:p>
        </w:tc>
        <w:tc>
          <w:tcPr>
            <w:tcW w:type="dxa" w:w="1440"/>
            <w:shd w:fill="FFDCE0" w:val="clear"/>
          </w:tcPr>
          <w:p>
            <w:r>
              <w:rPr>
                <w:b/>
                <w:color w:val="C00000"/>
                <w:sz w:val="17"/>
              </w:rPr>
              <w:t>-9.8%</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1,133</w:t>
            </w:r>
          </w:p>
        </w:tc>
        <w:tc>
          <w:tcPr>
            <w:tcW w:type="dxa" w:w="1440"/>
            <w:shd w:fill="FFDCE0" w:val="clear"/>
          </w:tcPr>
          <w:p>
            <w:r>
              <w:rPr>
                <w:b/>
                <w:sz w:val="17"/>
              </w:rPr>
              <w:t>1,336</w:t>
            </w:r>
          </w:p>
        </w:tc>
        <w:tc>
          <w:tcPr>
            <w:tcW w:type="dxa" w:w="1440"/>
            <w:shd w:fill="FFDCE0" w:val="clear"/>
          </w:tcPr>
          <w:p>
            <w:r>
              <w:rPr>
                <w:sz w:val="17"/>
              </w:rPr>
              <w:t>1,538</w:t>
            </w:r>
          </w:p>
        </w:tc>
        <w:tc>
          <w:tcPr>
            <w:tcW w:type="dxa" w:w="1440"/>
            <w:shd w:fill="FFDCE0" w:val="clear"/>
          </w:tcPr>
          <w:p>
            <w:r>
              <w:rPr>
                <w:b/>
                <w:color w:val="C00000"/>
                <w:sz w:val="17"/>
              </w:rPr>
              <w:t>-10.7%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ce qui la positionne comme une valeur de taille moyenne sur la BRVM, représentant une part modeste mais non négligeable de l'indice composite. Les ratios de valorisation (BPA, PER, P/B, EV/EBITDA) ne sont pas calculables en raison de l'absence de données financières structurées dans la base de données, ce qui constitue une limite à l'analyse quantitative comparative. Toutefois, sur la base des rapports fondamentaux disponibles, le BPA peut être estimé à environ 40 FCFA pour l'exercice 2023 (résultat net de 1,01 milliard FCFA rapporté à environ 25,2 millions d'actions), ce qui impliquerait un PER d'environ 37x, nettement supérieur à la moyenne du marché BRVM (8-12x). Cette valorisation élevée s'explique par la chute des bénéfices en 2023, mais elle suggère que le marché anticipe un fort rebond des résultats dans les prochains exercices.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 enregistré une baisse significative de 24,30%, passant de 1 975 FCFA à 1 495 FCFA, avec une dernière séance en léger repli de 0,33%. Le cours a évolué dans une fourchette large de 915 FCFA, entre un plus haut de 2 265 FCFA et un plus bas de 1 350 FCFA, illustrant une forte amplitude de variation. La moyenne du cours sur la période (1 619 FCFA) est supérieure à la médiane (1 548 FCFA), ce qui confirme l'asymétrie positive (skewness de 1,326) indiquant que la majorité des séances se sont situées sous la moyenne, avec quelques pics à la hausse. L'écart-type de 202 FCFA représente un coefficient de variation de 12,5%, traduisant une dispersion modérée autour de la moyenne. Le kurtosis de 0,773 (mésokurtique) suggère une distribution proche de la normale, sans risque extrême de queues de distribution. La volatilité annualisée de 51,2% classe SEMC comme un titre à très forte volatilité, bien au-dessus du seuil de 30% considéré comme élevé, reflétant un risque important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1 495 FCFA se situe au-dessus de la MM20 (1 479 FCFA) mais en dessous de la MM50 (1 514 FCFA), indiquant une tendance baissière à moyen terme avec un possible retournement à court terme. La configuration des moyennes mobiles, avec la MM20 sous la MM50, confirme la dynamique négative et justifie la décision de vente.</w:t>
      </w:r>
    </w:p>
    <w:p>
      <w:pPr>
        <w:spacing w:after="120" w:line="276" w:lineRule="auto"/>
      </w:pPr>
      <w:r>
        <w:t>**Bandes de Bollinger** : Le prix se positionne à 1 495 FCFA, entre la borne inférieure (1 410 FCFA) et la borne supérieure (1 548 FCFA), proche de la moyenne mobile centrale. Cette position neutre suggère une volatilité modérée sans signal directionnel fort, le marché semblant chercher une direction après la récente baisse.</w:t>
      </w:r>
    </w:p>
    <w:p>
      <w:pPr>
        <w:spacing w:after="120" w:line="276" w:lineRule="auto"/>
      </w:pPr>
      <w:r>
        <w:t>**MACD** : La valeur MACD de -1,909 est supérieure au signal de -6,266, indiquant un croisement haussier en territoire négatif. Ce signal d'achat suggère un ralentissement de la dynamique baissière et un possible retournement à court terme, bien que le momentum reste globalement négatif.</w:t>
      </w:r>
    </w:p>
    <w:p>
      <w:pPr>
        <w:spacing w:after="120" w:line="276" w:lineRule="auto"/>
      </w:pPr>
      <w:r>
        <w:t>**RSI** : À 45,902, le RSI se situe dans la zone neutre (30-70), indiquant un équilibre entre pressions acheteuses et vendeuses. Cette valeur ne montre ni surachat ni survente, laissant la possibilité d'un mouvement dans les deux sens sans signal directionnel clair.</w:t>
      </w:r>
    </w:p>
    <w:p>
      <w:pPr>
        <w:spacing w:after="120" w:line="276" w:lineRule="auto"/>
      </w:pPr>
      <w:r>
        <w:t>**Stochastique** : Le %K à 73,684 et le %D à 75,439 sont proches et tous deux au-dessus de 70, indiquant une zone de surachat potentiel. Le croisement du %K sous le %D pourrait signaler un retournement baissier imminent, justifiant la décision neutre avec une vigilance accrue.</w:t>
      </w:r>
    </w:p>
    <w:p>
      <w:pPr>
        <w:spacing w:after="120" w:line="276" w:lineRule="auto"/>
      </w:pPr>
      <w:r>
        <w:t>**Conclusion technique** : La convergence des indicateurs montre un tableau mitigé : les moyennes mobiles restent baissières, le MACD suggère un début de retournement, tandis que le RSI et les bandes de Bollinger sont neutres. Le stochastique en zone de surachat pourrait précéder une correction. Globalement, la tendance demeure baissière à moyen terme avec des signes de stabilisation à court terme, mais sans confirmation claire de retournement haussier.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rapports financiers disponibles pour SEMC présentent des données contrastées selon les exercices. Le rapport daté du 31/12/2024 (analysé en mars 2026) indique pour l'exercice 2023 un chiffre d'affaires de 27,88 milliards FCFA, en baisse de 6% par rapport à 2022 (29,60 milliards FCFA), avec un résultat net de 1,01 milliard FCFA contre 3,86 milliards FCFA en 2022, soit une chute de 74%. La marge nette s'est effondrée à 3,6% contre 13,0% l'année précédente, et la marge d'exploitation est passée de 11,0% à 6,9%. Cette dégradation s'explique par la perte de clients clés (AIRONE avec -81% du CA), la concurrence des emballages PET sur le segment Tomate, et l'arrêt des ventes de cannettes en aluminium. Le rapport du 31/12/2023 (T1 2023) montrait pourtant un trimestre encourageant avec un CA de 7,65 milliards FCFA (+16,5%) et un bénéfice net de 855,65 millions FCFA (+37,9%), suggérant une dynamique positive qui ne s'est pas confirmée sur l'ensemble de l'année. Les rapports 2022 (datés 31/12/2022 et 31/12/2024) présentent des chiffres divergents (CA de 125,4 milliards FCFA et résultat net de 12,8 milliards FCFA), probablement consolidés avec la filiale ghanéenne, mais ces données semblent peu fiables au regard des autres rapports. La politique de dividende est nulle depuis 2022, la société privilégiant la conservation de trésorerie (3,35 milliards FCFA) pour financer sa relance. Les perspectives 2024 visent un CA de 32 milliards FCFA (+18%), porté par les bouchons couronnes (+61% en volume) et les exportations, avec le rachat par Sonoco Products Company comme catalyseur stratégique majeur.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fait ressortir une situation complexe pour SEMC. La valorisation boursière, avec un PER estimé à 37x sur la base des résultats 2023, apparaît très élevée par rapport à la moyenne BRVM, indiquant une possible surévaluation ou des anticipations de rebond fort. Le comportement du cours sur 100 jours est préoccupant avec une baisse de 24,30% et une volatilité annualisée de 51,2%, bien que les statistiques descriptives (kurtosis mésokurtique, skewness positif) suggèrent une distribution relativement normale sans risque extrême. Les signaux techniques sont mitigés : tendance baissière confirmée par les moyennes mobiles, mais le MACD montre un début de retournement et le RSI reste neutre. Les fondamentaux sont fragiles avec une chute de 74% du résultat net en 2023, mais les perspectives de rebond portées par le rachat par Sonoco et l'objectif de CA de 32 milliards FCFA offrent un potentiel de redressement. Les prédictions IA pour les 10 prochains jours indiquent une poursuite de la baisse jusqu'à 1 400 FCFA, confirmant la tendance baissière à court terme. La convergence des signaux baissiers (cours, technique, prédictions) face à des fondamentaux en transition justifie une recommandation de **CONSERVER** avec un niveau de confiance **Moyen** et un risque global **Élevé**. L'horizon d'investissement optimal serait le **moyen terme (3-12 mois)**, en attendant la confirmation du redressement opérationnel et la levée de la suspension de cote BRVM.</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1219.56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4,510 titres</w:t>
            </w:r>
          </w:p>
        </w:tc>
        <w:tc>
          <w:tcPr>
            <w:tcW w:type="dxa" w:w="2268"/>
            <w:shd w:fill="FFF2CC" w:val="clear"/>
          </w:tcPr>
          <w:p>
            <w:r>
              <w:rPr>
                <w:b/>
                <w:color w:val="503200"/>
                <w:sz w:val="16"/>
              </w:rPr>
              <w:t xml:space="preserve">Cours actuel : </w:t>
            </w:r>
            <w:r>
              <w:rPr>
                <w:color w:val="000000"/>
                <w:sz w:val="17"/>
              </w:rPr>
              <w:t>39,200 FCFA</w:t>
            </w:r>
          </w:p>
          <w:p>
            <w:r>
              <w:rPr>
                <w:b/>
                <w:color w:val="503200"/>
                <w:sz w:val="16"/>
              </w:rPr>
              <w:t xml:space="preserve">Var. 100 jours : </w:t>
            </w:r>
            <w:r>
              <w:rPr>
                <w:b/>
                <w:color w:val="007800"/>
                <w:sz w:val="17"/>
              </w:rPr>
              <w:t>+12.32%</w:t>
            </w:r>
          </w:p>
          <w:p>
            <w:r>
              <w:rPr>
                <w:b/>
                <w:color w:val="503200"/>
                <w:sz w:val="16"/>
              </w:rPr>
              <w:t xml:space="preserve">Plus haut 100j : </w:t>
            </w:r>
            <w:r>
              <w:rPr>
                <w:color w:val="000000"/>
                <w:sz w:val="17"/>
              </w:rPr>
              <w:t>39,200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5.70% (Moyenne) — μ=36,649 FCFA, σ=2,087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β=0.5720 (Défensif) — Cov=0.000021, Var(idx)=0.000036, ρ=0.232,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4,510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σ_j=1.48%/j (Stable) — Vol. annualisée≈23.5%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2026-08-14</w:t>
            </w:r>
          </w:p>
        </w:tc>
        <w:tc>
          <w:tcPr>
            <w:tcW w:type="dxa" w:w="1440"/>
            <w:shd w:fill="FFDCE0" w:val="clear"/>
          </w:tcPr>
          <w:p>
            <w:r>
              <w:rPr>
                <w:sz w:val="17"/>
              </w:rPr>
              <w:t>37,520</w:t>
            </w:r>
          </w:p>
        </w:tc>
        <w:tc>
          <w:tcPr>
            <w:tcW w:type="dxa" w:w="1440"/>
            <w:shd w:fill="FFDCE0" w:val="clear"/>
          </w:tcPr>
          <w:p>
            <w:r>
              <w:rPr>
                <w:b/>
                <w:sz w:val="17"/>
              </w:rPr>
              <w:t>38,390</w:t>
            </w:r>
          </w:p>
        </w:tc>
        <w:tc>
          <w:tcPr>
            <w:tcW w:type="dxa" w:w="1440"/>
            <w:shd w:fill="FFDCE0" w:val="clear"/>
          </w:tcPr>
          <w:p>
            <w:r>
              <w:rPr>
                <w:sz w:val="17"/>
              </w:rPr>
              <w:t>39,260</w:t>
            </w:r>
          </w:p>
        </w:tc>
        <w:tc>
          <w:tcPr>
            <w:tcW w:type="dxa" w:w="1440"/>
            <w:shd w:fill="FFDCE0" w:val="clear"/>
          </w:tcPr>
          <w:p>
            <w:r>
              <w:rPr>
                <w:b/>
                <w:color w:val="C00000"/>
                <w:sz w:val="17"/>
              </w:rPr>
              <w:t>-2.1%</w:t>
            </w:r>
          </w:p>
        </w:tc>
      </w:tr>
      <w:tr>
        <w:tc>
          <w:tcPr>
            <w:tcW w:type="dxa" w:w="1440"/>
            <w:shd w:fill="FFDCE0" w:val="clear"/>
          </w:tcPr>
          <w:p>
            <w:r>
              <w:rPr>
                <w:sz w:val="17"/>
              </w:rPr>
              <w:t>J+2  ⭐⭐⭐</w:t>
            </w:r>
          </w:p>
        </w:tc>
        <w:tc>
          <w:tcPr>
            <w:tcW w:type="dxa" w:w="1440"/>
            <w:shd w:fill="FFDCE0" w:val="clear"/>
          </w:tcPr>
          <w:p>
            <w:r>
              <w:rPr>
                <w:sz w:val="17"/>
              </w:rPr>
              <w:t>2026-08-17</w:t>
            </w:r>
          </w:p>
        </w:tc>
        <w:tc>
          <w:tcPr>
            <w:tcW w:type="dxa" w:w="1440"/>
            <w:shd w:fill="FFDCE0" w:val="clear"/>
          </w:tcPr>
          <w:p>
            <w:r>
              <w:rPr>
                <w:sz w:val="17"/>
              </w:rPr>
              <w:t>37,077</w:t>
            </w:r>
          </w:p>
        </w:tc>
        <w:tc>
          <w:tcPr>
            <w:tcW w:type="dxa" w:w="1440"/>
            <w:shd w:fill="FFDCE0" w:val="clear"/>
          </w:tcPr>
          <w:p>
            <w:r>
              <w:rPr>
                <w:b/>
                <w:sz w:val="17"/>
              </w:rPr>
              <w:t>38,304</w:t>
            </w:r>
          </w:p>
        </w:tc>
        <w:tc>
          <w:tcPr>
            <w:tcW w:type="dxa" w:w="1440"/>
            <w:shd w:fill="FFDCE0" w:val="clear"/>
          </w:tcPr>
          <w:p>
            <w:r>
              <w:rPr>
                <w:sz w:val="17"/>
              </w:rPr>
              <w:t>39,532</w:t>
            </w:r>
          </w:p>
        </w:tc>
        <w:tc>
          <w:tcPr>
            <w:tcW w:type="dxa" w:w="1440"/>
            <w:shd w:fill="FFDCE0" w:val="clear"/>
          </w:tcPr>
          <w:p>
            <w:r>
              <w:rPr>
                <w:b/>
                <w:color w:val="C00000"/>
                <w:sz w:val="17"/>
              </w:rPr>
              <w:t>-2.3%</w:t>
            </w:r>
          </w:p>
        </w:tc>
      </w:tr>
      <w:tr>
        <w:tc>
          <w:tcPr>
            <w:tcW w:type="dxa" w:w="1440"/>
            <w:shd w:fill="FFDCE0" w:val="clear"/>
          </w:tcPr>
          <w:p>
            <w:r>
              <w:rPr>
                <w:sz w:val="17"/>
              </w:rPr>
              <w:t>J+3  ⭐⭐⭐</w:t>
            </w:r>
          </w:p>
        </w:tc>
        <w:tc>
          <w:tcPr>
            <w:tcW w:type="dxa" w:w="1440"/>
            <w:shd w:fill="FFDCE0" w:val="clear"/>
          </w:tcPr>
          <w:p>
            <w:r>
              <w:rPr>
                <w:sz w:val="17"/>
              </w:rPr>
              <w:t>2026-08-18</w:t>
            </w:r>
          </w:p>
        </w:tc>
        <w:tc>
          <w:tcPr>
            <w:tcW w:type="dxa" w:w="1440"/>
            <w:shd w:fill="FFDCE0" w:val="clear"/>
          </w:tcPr>
          <w:p>
            <w:r>
              <w:rPr>
                <w:sz w:val="17"/>
              </w:rPr>
              <w:t>36,701</w:t>
            </w:r>
          </w:p>
        </w:tc>
        <w:tc>
          <w:tcPr>
            <w:tcW w:type="dxa" w:w="1440"/>
            <w:shd w:fill="FFDCE0" w:val="clear"/>
          </w:tcPr>
          <w:p>
            <w:r>
              <w:rPr>
                <w:b/>
                <w:sz w:val="17"/>
              </w:rPr>
              <w:t>38,200</w:t>
            </w:r>
          </w:p>
        </w:tc>
        <w:tc>
          <w:tcPr>
            <w:tcW w:type="dxa" w:w="1440"/>
            <w:shd w:fill="FFDCE0" w:val="clear"/>
          </w:tcPr>
          <w:p>
            <w:r>
              <w:rPr>
                <w:sz w:val="17"/>
              </w:rPr>
              <w:t>39,700</w:t>
            </w:r>
          </w:p>
        </w:tc>
        <w:tc>
          <w:tcPr>
            <w:tcW w:type="dxa" w:w="1440"/>
            <w:shd w:fill="FFDCE0" w:val="clear"/>
          </w:tcPr>
          <w:p>
            <w:r>
              <w:rPr>
                <w:b/>
                <w:color w:val="C00000"/>
                <w:sz w:val="17"/>
              </w:rPr>
              <w:t>-2.6%</w:t>
            </w:r>
          </w:p>
        </w:tc>
      </w:tr>
      <w:tr>
        <w:tc>
          <w:tcPr>
            <w:tcW w:type="dxa" w:w="1440"/>
            <w:shd w:fill="FFDCE0" w:val="clear"/>
          </w:tcPr>
          <w:p>
            <w:r>
              <w:rPr>
                <w:sz w:val="17"/>
              </w:rPr>
              <w:t>J+4  Moyenne</w:t>
            </w:r>
          </w:p>
        </w:tc>
        <w:tc>
          <w:tcPr>
            <w:tcW w:type="dxa" w:w="1440"/>
            <w:shd w:fill="FFDCE0" w:val="clear"/>
          </w:tcPr>
          <w:p>
            <w:r>
              <w:rPr>
                <w:sz w:val="17"/>
              </w:rPr>
              <w:t>2026-08-19</w:t>
            </w:r>
          </w:p>
        </w:tc>
        <w:tc>
          <w:tcPr>
            <w:tcW w:type="dxa" w:w="1440"/>
            <w:shd w:fill="FFDCE0" w:val="clear"/>
          </w:tcPr>
          <w:p>
            <w:r>
              <w:rPr>
                <w:sz w:val="17"/>
              </w:rPr>
              <w:t>36,375</w:t>
            </w:r>
          </w:p>
        </w:tc>
        <w:tc>
          <w:tcPr>
            <w:tcW w:type="dxa" w:w="1440"/>
            <w:shd w:fill="FFDCE0" w:val="clear"/>
          </w:tcPr>
          <w:p>
            <w:r>
              <w:rPr>
                <w:b/>
                <w:sz w:val="17"/>
              </w:rPr>
              <w:t>38,102</w:t>
            </w:r>
          </w:p>
        </w:tc>
        <w:tc>
          <w:tcPr>
            <w:tcW w:type="dxa" w:w="1440"/>
            <w:shd w:fill="FFDCE0" w:val="clear"/>
          </w:tcPr>
          <w:p>
            <w:r>
              <w:rPr>
                <w:sz w:val="17"/>
              </w:rPr>
              <w:t>39,829</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2026-08-20</w:t>
            </w:r>
          </w:p>
        </w:tc>
        <w:tc>
          <w:tcPr>
            <w:tcW w:type="dxa" w:w="1440"/>
            <w:shd w:fill="FFDCE0" w:val="clear"/>
          </w:tcPr>
          <w:p>
            <w:r>
              <w:rPr>
                <w:sz w:val="17"/>
              </w:rPr>
              <w:t>36,085</w:t>
            </w:r>
          </w:p>
        </w:tc>
        <w:tc>
          <w:tcPr>
            <w:tcW w:type="dxa" w:w="1440"/>
            <w:shd w:fill="FFDCE0" w:val="clear"/>
          </w:tcPr>
          <w:p>
            <w:r>
              <w:rPr>
                <w:b/>
                <w:sz w:val="17"/>
              </w:rPr>
              <w:t>38,011</w:t>
            </w:r>
          </w:p>
        </w:tc>
        <w:tc>
          <w:tcPr>
            <w:tcW w:type="dxa" w:w="1440"/>
            <w:shd w:fill="FFDCE0" w:val="clear"/>
          </w:tcPr>
          <w:p>
            <w:r>
              <w:rPr>
                <w:sz w:val="17"/>
              </w:rPr>
              <w:t>39,937</w:t>
            </w:r>
          </w:p>
        </w:tc>
        <w:tc>
          <w:tcPr>
            <w:tcW w:type="dxa" w:w="1440"/>
            <w:shd w:fill="FFDCE0" w:val="clear"/>
          </w:tcPr>
          <w:p>
            <w:r>
              <w:rPr>
                <w:b/>
                <w:color w:val="C00000"/>
                <w:sz w:val="17"/>
              </w:rPr>
              <w:t>-3.0%</w:t>
            </w:r>
          </w:p>
        </w:tc>
      </w:tr>
      <w:tr>
        <w:tc>
          <w:tcPr>
            <w:tcW w:type="dxa" w:w="1440"/>
            <w:shd w:fill="FFDCE0" w:val="clear"/>
          </w:tcPr>
          <w:p>
            <w:r>
              <w:rPr>
                <w:sz w:val="17"/>
              </w:rPr>
              <w:t>J+6  Moyenne</w:t>
            </w:r>
          </w:p>
        </w:tc>
        <w:tc>
          <w:tcPr>
            <w:tcW w:type="dxa" w:w="1440"/>
            <w:shd w:fill="FFDCE0" w:val="clear"/>
          </w:tcPr>
          <w:p>
            <w:r>
              <w:rPr>
                <w:sz w:val="17"/>
              </w:rPr>
              <w:t>2026-08-21</w:t>
            </w:r>
          </w:p>
        </w:tc>
        <w:tc>
          <w:tcPr>
            <w:tcW w:type="dxa" w:w="1440"/>
            <w:shd w:fill="FFDCE0" w:val="clear"/>
          </w:tcPr>
          <w:p>
            <w:r>
              <w:rPr>
                <w:sz w:val="17"/>
              </w:rPr>
              <w:t>35,820</w:t>
            </w:r>
          </w:p>
        </w:tc>
        <w:tc>
          <w:tcPr>
            <w:tcW w:type="dxa" w:w="1440"/>
            <w:shd w:fill="FFDCE0" w:val="clear"/>
          </w:tcPr>
          <w:p>
            <w:r>
              <w:rPr>
                <w:b/>
                <w:sz w:val="17"/>
              </w:rPr>
              <w:t>37,925</w:t>
            </w:r>
          </w:p>
        </w:tc>
        <w:tc>
          <w:tcPr>
            <w:tcW w:type="dxa" w:w="1440"/>
            <w:shd w:fill="FFDCE0" w:val="clear"/>
          </w:tcPr>
          <w:p>
            <w:r>
              <w:rPr>
                <w:sz w:val="17"/>
              </w:rPr>
              <w:t>40,030</w:t>
            </w:r>
          </w:p>
        </w:tc>
        <w:tc>
          <w:tcPr>
            <w:tcW w:type="dxa" w:w="1440"/>
            <w:shd w:fill="FFDCE0" w:val="clear"/>
          </w:tcPr>
          <w:p>
            <w:r>
              <w:rPr>
                <w:b/>
                <w:color w:val="C00000"/>
                <w:sz w:val="17"/>
              </w:rPr>
              <w:t>-3.3%</w:t>
            </w:r>
          </w:p>
        </w:tc>
      </w:tr>
      <w:tr>
        <w:tc>
          <w:tcPr>
            <w:tcW w:type="dxa" w:w="1440"/>
            <w:shd w:fill="FFDCE0" w:val="clear"/>
          </w:tcPr>
          <w:p>
            <w:r>
              <w:rPr>
                <w:sz w:val="17"/>
              </w:rPr>
              <w:t>J+7  Moyenne</w:t>
            </w:r>
          </w:p>
        </w:tc>
        <w:tc>
          <w:tcPr>
            <w:tcW w:type="dxa" w:w="1440"/>
            <w:shd w:fill="FFDCE0" w:val="clear"/>
          </w:tcPr>
          <w:p>
            <w:r>
              <w:rPr>
                <w:sz w:val="17"/>
              </w:rPr>
              <w:t>2026-08-24</w:t>
            </w:r>
          </w:p>
        </w:tc>
        <w:tc>
          <w:tcPr>
            <w:tcW w:type="dxa" w:w="1440"/>
            <w:shd w:fill="FFDCE0" w:val="clear"/>
          </w:tcPr>
          <w:p>
            <w:r>
              <w:rPr>
                <w:sz w:val="17"/>
              </w:rPr>
              <w:t>35,574</w:t>
            </w:r>
          </w:p>
        </w:tc>
        <w:tc>
          <w:tcPr>
            <w:tcW w:type="dxa" w:w="1440"/>
            <w:shd w:fill="FFDCE0" w:val="clear"/>
          </w:tcPr>
          <w:p>
            <w:r>
              <w:rPr>
                <w:b/>
                <w:sz w:val="17"/>
              </w:rPr>
              <w:t>37,843</w:t>
            </w:r>
          </w:p>
        </w:tc>
        <w:tc>
          <w:tcPr>
            <w:tcW w:type="dxa" w:w="1440"/>
            <w:shd w:fill="FFDCE0" w:val="clear"/>
          </w:tcPr>
          <w:p>
            <w:r>
              <w:rPr>
                <w:sz w:val="17"/>
              </w:rPr>
              <w:t>40,111</w:t>
            </w:r>
          </w:p>
        </w:tc>
        <w:tc>
          <w:tcPr>
            <w:tcW w:type="dxa" w:w="1440"/>
            <w:shd w:fill="FFDCE0" w:val="clear"/>
          </w:tcPr>
          <w:p>
            <w:r>
              <w:rPr>
                <w:b/>
                <w:color w:val="C00000"/>
                <w:sz w:val="17"/>
              </w:rPr>
              <w:t>-3.5%</w:t>
            </w:r>
          </w:p>
        </w:tc>
      </w:tr>
      <w:tr>
        <w:tc>
          <w:tcPr>
            <w:tcW w:type="dxa" w:w="1440"/>
            <w:shd w:fill="FFDCE0" w:val="clear"/>
          </w:tcPr>
          <w:p>
            <w:r>
              <w:rPr>
                <w:sz w:val="17"/>
              </w:rPr>
              <w:t>J+8  Moyenne</w:t>
            </w:r>
          </w:p>
        </w:tc>
        <w:tc>
          <w:tcPr>
            <w:tcW w:type="dxa" w:w="1440"/>
            <w:shd w:fill="FFDCE0" w:val="clear"/>
          </w:tcPr>
          <w:p>
            <w:r>
              <w:rPr>
                <w:sz w:val="17"/>
              </w:rPr>
              <w:t>2026-08-25</w:t>
            </w:r>
          </w:p>
        </w:tc>
        <w:tc>
          <w:tcPr>
            <w:tcW w:type="dxa" w:w="1440"/>
            <w:shd w:fill="FFDCE0" w:val="clear"/>
          </w:tcPr>
          <w:p>
            <w:r>
              <w:rPr>
                <w:sz w:val="17"/>
              </w:rPr>
              <w:t>35,342</w:t>
            </w:r>
          </w:p>
        </w:tc>
        <w:tc>
          <w:tcPr>
            <w:tcW w:type="dxa" w:w="1440"/>
            <w:shd w:fill="FFDCE0" w:val="clear"/>
          </w:tcPr>
          <w:p>
            <w:r>
              <w:rPr>
                <w:b/>
                <w:sz w:val="17"/>
              </w:rPr>
              <w:t>37,762</w:t>
            </w:r>
          </w:p>
        </w:tc>
        <w:tc>
          <w:tcPr>
            <w:tcW w:type="dxa" w:w="1440"/>
            <w:shd w:fill="FFDCE0" w:val="clear"/>
          </w:tcPr>
          <w:p>
            <w:r>
              <w:rPr>
                <w:sz w:val="17"/>
              </w:rPr>
              <w:t>40,182</w:t>
            </w:r>
          </w:p>
        </w:tc>
        <w:tc>
          <w:tcPr>
            <w:tcW w:type="dxa" w:w="1440"/>
            <w:shd w:fill="FFDCE0" w:val="clear"/>
          </w:tcPr>
          <w:p>
            <w:r>
              <w:rPr>
                <w:b/>
                <w:color w:val="C00000"/>
                <w:sz w:val="17"/>
              </w:rPr>
              <w:t>-3.7%</w:t>
            </w:r>
          </w:p>
        </w:tc>
      </w:tr>
      <w:tr>
        <w:tc>
          <w:tcPr>
            <w:tcW w:type="dxa" w:w="1440"/>
            <w:shd w:fill="FFDCE0" w:val="clear"/>
          </w:tcPr>
          <w:p>
            <w:r>
              <w:rPr>
                <w:sz w:val="17"/>
              </w:rPr>
              <w:t>J+9  Moyenne</w:t>
            </w:r>
          </w:p>
        </w:tc>
        <w:tc>
          <w:tcPr>
            <w:tcW w:type="dxa" w:w="1440"/>
            <w:shd w:fill="FFDCE0" w:val="clear"/>
          </w:tcPr>
          <w:p>
            <w:r>
              <w:rPr>
                <w:sz w:val="17"/>
              </w:rPr>
              <w:t>2026-08-27</w:t>
            </w:r>
          </w:p>
        </w:tc>
        <w:tc>
          <w:tcPr>
            <w:tcW w:type="dxa" w:w="1440"/>
            <w:shd w:fill="FFDCE0" w:val="clear"/>
          </w:tcPr>
          <w:p>
            <w:r>
              <w:rPr>
                <w:sz w:val="17"/>
              </w:rPr>
              <w:t>35,122</w:t>
            </w:r>
          </w:p>
        </w:tc>
        <w:tc>
          <w:tcPr>
            <w:tcW w:type="dxa" w:w="1440"/>
            <w:shd w:fill="FFDCE0" w:val="clear"/>
          </w:tcPr>
          <w:p>
            <w:r>
              <w:rPr>
                <w:b/>
                <w:sz w:val="17"/>
              </w:rPr>
              <w:t>37,684</w:t>
            </w:r>
          </w:p>
        </w:tc>
        <w:tc>
          <w:tcPr>
            <w:tcW w:type="dxa" w:w="1440"/>
            <w:shd w:fill="FFDCE0" w:val="clear"/>
          </w:tcPr>
          <w:p>
            <w:r>
              <w:rPr>
                <w:sz w:val="17"/>
              </w:rPr>
              <w:t>40,245</w:t>
            </w:r>
          </w:p>
        </w:tc>
        <w:tc>
          <w:tcPr>
            <w:tcW w:type="dxa" w:w="1440"/>
            <w:shd w:fill="FFDCE0" w:val="clear"/>
          </w:tcPr>
          <w:p>
            <w:r>
              <w:rPr>
                <w:b/>
                <w:color w:val="C00000"/>
                <w:sz w:val="17"/>
              </w:rPr>
              <w:t>-3.9%</w:t>
            </w:r>
          </w:p>
        </w:tc>
      </w:tr>
      <w:tr>
        <w:tc>
          <w:tcPr>
            <w:tcW w:type="dxa" w:w="1440"/>
            <w:shd w:fill="FFDCE0" w:val="clear"/>
          </w:tcPr>
          <w:p>
            <w:r>
              <w:rPr>
                <w:sz w:val="17"/>
              </w:rPr>
              <w:t>J+10  Moyenne</w:t>
            </w:r>
          </w:p>
        </w:tc>
        <w:tc>
          <w:tcPr>
            <w:tcW w:type="dxa" w:w="1440"/>
            <w:shd w:fill="FFDCE0" w:val="clear"/>
          </w:tcPr>
          <w:p>
            <w:r>
              <w:rPr>
                <w:sz w:val="17"/>
              </w:rPr>
              <w:t>2026-08-28</w:t>
            </w:r>
          </w:p>
        </w:tc>
        <w:tc>
          <w:tcPr>
            <w:tcW w:type="dxa" w:w="1440"/>
            <w:shd w:fill="FFDCE0" w:val="clear"/>
          </w:tcPr>
          <w:p>
            <w:r>
              <w:rPr>
                <w:sz w:val="17"/>
              </w:rPr>
              <w:t>34,912</w:t>
            </w:r>
          </w:p>
        </w:tc>
        <w:tc>
          <w:tcPr>
            <w:tcW w:type="dxa" w:w="1440"/>
            <w:shd w:fill="FFDCE0" w:val="clear"/>
          </w:tcPr>
          <w:p>
            <w:r>
              <w:rPr>
                <w:b/>
                <w:sz w:val="17"/>
              </w:rPr>
              <w:t>37,607</w:t>
            </w:r>
          </w:p>
        </w:tc>
        <w:tc>
          <w:tcPr>
            <w:tcW w:type="dxa" w:w="1440"/>
            <w:shd w:fill="FFDCE0" w:val="clear"/>
          </w:tcPr>
          <w:p>
            <w:r>
              <w:rPr>
                <w:sz w:val="17"/>
              </w:rPr>
              <w:t>40,302</w:t>
            </w:r>
          </w:p>
        </w:tc>
        <w:tc>
          <w:tcPr>
            <w:tcW w:type="dxa" w:w="1440"/>
            <w:shd w:fill="FFDCE0" w:val="clear"/>
          </w:tcPr>
          <w:p>
            <w:r>
              <w:rPr>
                <w:b/>
                <w:color w:val="C00000"/>
                <w:sz w:val="17"/>
              </w:rPr>
              <w:t>-4.1%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SGBC s'établit à 1 219,56 milliards FCFA, ce qui en fait l'une des plus importantes capitalisations de la BRVM, reflétant la position dominante de la banque dans le paysage bancaire ivoirien et régional. Avec un BPA de 3 258 FCFA, chaque action génère un bénéfice substantiel, justifiant un PER de 12,0x, légèrement au-dessus de la moyenne historique de la BRVM (8-12x), ce qui indique une valorisation raisonnable mais non bradée, les investisseurs acceptant de payer une prime modérée pour la qualité de l'actif. Le P/B de 2,46x confirme cette lecture : le marché valorise la banque à plus de deux fois sa valeur comptable, une prime de croissance accordée aux institutions performantes et bien gérées. Enfin, l'EV/EBITDA de 24,7x est nettement supérieur au seuil de 15x, signalant une valorisation exigeante qui intègre des attentes élevées de croissance future et de maintien d'une rentabilité supérieure.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SGBC a affiché une progression totale de +12,32%, avec une dernière séance particulièrement dynamique en hausse de +1,83%, portant le cours à son plus haut niveau de la période à 39 200 FCFA, contre un plus bas de 32 800 FCFA. Cette tendance est clairement haussière, le titre ayant évolué dans un range de 6 400 FCFA, soit environ 19,5% de sa valeur minimale. La moyenne du cours sur la période (36 649 FCFA) est inférieure à la médiane (37 100 FCFA), indiquant une distribution légèrement asymétrique avec des épisodes de faiblesse plus marqués que les pics. L'écart-type de 2 098 FCFA, pour un coefficient de variation de 5,7%, révèle une dispersion modérée des prix autour de la moyenne. Le kurtosis négatif (-1,349) signale une distribution platykurtique, c'est-à-dire une faible concentration des variations extrêmes, tandis que le skewness de -0,344 confirme une asymétrie vers les rendements négatifs. La volatilité annualisée de 23,5% positionne le titre dans une zone modérée (15-30%), offrant un équilibre entre potentiel de gain et risque.</w:t>
      </w:r>
    </w:p>
    <w:p>
      <w:pPr>
        <w:spacing w:after="120" w:line="276" w:lineRule="auto" w:before="240"/>
      </w:pPr>
      <w:r>
        <w:rPr>
          <w:b/>
          <w:color w:val="003366"/>
          <w:sz w:val="24"/>
        </w:rPr>
        <w:t>**PARTIE 2 : ANALYSE TECHNIQUE DÉTAILLÉE**</w:t>
      </w:r>
    </w:p>
    <w:p>
      <w:pPr>
        <w:spacing w:after="120" w:line="276" w:lineRule="auto"/>
      </w:pPr>
      <w:r>
        <w:t>**Moyennes Mobiles** : Le cours actuel de 39 200 FCFA se situe au-dessus de la MM20 (38 181,5 FCFA) et de la MM50 (38 507,3 FCFA), mais la décision est à la vente, signalant que le prix pourrait être en train de s'essouffler après une forte progression, la MM50 étant encore au-dessus de la MM20, ce qui suggère une possible correction à court terme.</w:t>
      </w:r>
    </w:p>
    <w:p>
      <w:pPr>
        <w:spacing w:after="120" w:line="276" w:lineRule="auto"/>
      </w:pPr>
      <w:r>
        <w:t>**Bandes de Bollinger** : Le prix évolue au-dessus de la borne supérieure (38 982,5 FCFA), indiquant une condition de surachat extrême. La décision de vente est justifiée par cette sortie de canal, qui précède souvent un retour vers la moyenne (37 380,5 FCFA), la volatilité étant mesurée par l'écart entre les bornes.</w:t>
      </w:r>
    </w:p>
    <w:p>
      <w:pPr>
        <w:spacing w:after="120" w:line="276" w:lineRule="auto"/>
      </w:pPr>
      <w:r>
        <w:t>**MACD** : La valeur du MACD (147,408) est nettement supérieure à son signal (34,889), avec une divergence positive marquée, indiquant un momentum haussier puissant. La décision d'achat est cohérente avec cette configuration, bien que l'ampleur de l'écart puisse signaler une exubérance excessive.</w:t>
      </w:r>
    </w:p>
    <w:p>
      <w:pPr>
        <w:spacing w:after="120" w:line="276" w:lineRule="auto"/>
      </w:pPr>
      <w:r>
        <w:t>**RSI** : À 72,192, le RSI dépasse le seuil de surachat de 70, indiquant que le titre est techniquement surévalué à court terme. La décision de vente est justifiée, car une telle lecture précède souvent une consolidation ou un repli.</w:t>
      </w:r>
    </w:p>
    <w:p>
      <w:pPr>
        <w:spacing w:after="120" w:line="276" w:lineRule="auto"/>
      </w:pPr>
      <w:r>
        <w:t>**Stochastique** : Le %K à 100,0 et le %D à 84,627 montrent que le titre est en zone de surachat extrême, avec un %K au maximum absolu. La décision de vente est logique, car cette configuration suggère un épuisement probable de la dynamique haussière.</w:t>
      </w:r>
    </w:p>
    <w:p>
      <w:pPr>
        <w:spacing w:after="120" w:line="276" w:lineRule="auto"/>
      </w:pPr>
      <w:r>
        <w:t>**Conclusion technique** : Les indicateurs sont unanimement en zone de surachat, avec le MACD comme seul signal positif. Cette divergence entre le momentum (positif) et les oscillateurs (surachetés) suggère une consolidation imminente. La tendance de fond reste haussière, mais un repli technique vers les 37 500-38 000 FCFA semble probable avant une reprise.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confirment la solidité de SGBC : le Produit Net Bancaire (PNB) s'établit à 276,048 milliards FCFA, en croissance de +4,9% par rapport à 2024, et le résultat net atteint 101,352 milliards FCFA, franchissant le seuil des 100 milliards pour la deuxième année consécutive. La rentabilité est excellente avec un ROE de 20,47% et un ROA de 2,69%, tandis que le coefficient d'exploitation de 38,75% témoigne d'une efficacité opérationnelle remarquable, bien en deçà du seuil de 60% considéré comme sain. Le bilan est solide : les dépôts clientèle (2 907,675 milliards FCFA) excèdent largement les créances sur la clientèle (2 546,290 milliards FCFA), avec un ratio de transformation de 87,6%, et la solvabilité générale de 115,12% rassure sur la capacité de la banque à honorer ses engagements. Les rapports trimestriels 2025 confirment cette dynamique : le T1 2025 (PNB de 66,3 milliards, +1,3% et résultat net de 27,1 milliards, +2,2%) et le S1 2025 (PNB de 132,0 milliards, +1,0% et résultat net de 53,1 milliards, +10,0%) montrent une accélération de la rentabilité, tandis que le cumul 9 mois 2025 (PNB de 201,0 milliards, +2,5% et résultat net de 83,3 milliards, +11,7%) confirme une croissance soutenue du bénéfice net, portée par une maîtrise exceptionnelle des coûts (coefficient d'exploitation à 37,3%). Le rapport annuel 2024 (PNB de 263,2 milliards, +3,9% et résultat net de 101,2 milliards, +4,1%) avait déjà établi les bases de cette performance, avec une notation AAA unique sur le marché. Les perspectives restent positives, portées par la digitalisation et le financement des infrastructures, malgré une vigilance nécessaire sur la hausse des créances en souffrance (NPL à 7,8% au S1 2025).</w:t>
      </w:r>
    </w:p>
    <w:p>
      <w:pPr>
        <w:spacing w:after="120" w:line="276" w:lineRule="auto" w:before="240"/>
      </w:pPr>
      <w:r>
        <w:rPr>
          <w:b/>
          <w:color w:val="003366"/>
          <w:sz w:val="24"/>
        </w:rPr>
        <w:t>**PARTIE 4 : CONCLUSION D'INVESTISSEMENT**</w:t>
      </w:r>
    </w:p>
    <w:p>
      <w:pPr>
        <w:spacing w:after="120" w:line="276" w:lineRule="auto"/>
      </w:pPr>
      <w:r>
        <w:t>La valorisation de SGBC (PER de 12,0x, P/B de 2,46x, EV/EBITDA de 24,7x) reflète une prime de qualité justifiée par des fondamentaux exceptionnels, mais laisse peu de marge de sécurité. Le comportement du cours sur 100 jours (+12,32%) montre une tendance haussière soutenue, mais les statistiques (kurtosis platykurtique, skewness négatif) et la volatilité modérée de 23,5% suggèrent un risque de correction. Les signaux techniques sont convergents vers un surachat (RSI à 72,2, Stochastique à 100, prix au-dessus des bandes de Bollinger), contredisant le momentum positif du MACD. Les fondamentaux sont indiscutablement solides, avec un ROE de 20,47%, un coefficient d'exploitation de 38,75% et une croissance du résultat net de +11,7% sur 9 mois, soutenus par des rapports trimestriels 2025 en amélioration continue. Les prédictions IA (38 390 à 38 011 FCFA sur 10 jours) confirment cette analyse en projetant un repli modéré, cohérent avec les signaux techniques de surachat. En synthèse, la convergence entre la surévaluation technique et la prédiction IA suggère une consolidation à court terme, mais la solidité fondamentale justifie une détention à moyen et long terme. **Recommandation : CONSERVER**, avec un niveau de confiance **Élevé**, un risque global **Faible**, et un horizon d'investissement optimal à **moyen terme (3-12 mois)**, en attendant un point d'entrée plus favorable autour de 37 500-38 000 FCFA.</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138.60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4,295 titres</w:t>
            </w:r>
          </w:p>
        </w:tc>
        <w:tc>
          <w:tcPr>
            <w:tcW w:type="dxa" w:w="2268"/>
            <w:shd w:fill="FFF2CC" w:val="clear"/>
          </w:tcPr>
          <w:p>
            <w:r>
              <w:rPr>
                <w:b/>
                <w:color w:val="503200"/>
                <w:sz w:val="16"/>
              </w:rPr>
              <w:t xml:space="preserve">Cours actuel : </w:t>
            </w:r>
            <w:r>
              <w:rPr>
                <w:color w:val="000000"/>
                <w:sz w:val="17"/>
              </w:rPr>
              <w:t>2,200 FCFA</w:t>
            </w:r>
          </w:p>
          <w:p>
            <w:r>
              <w:rPr>
                <w:b/>
                <w:color w:val="503200"/>
                <w:sz w:val="16"/>
              </w:rPr>
              <w:t xml:space="preserve">Var. 100 jours : </w:t>
            </w:r>
            <w:r>
              <w:rPr>
                <w:b/>
                <w:color w:val="007800"/>
                <w:sz w:val="17"/>
              </w:rPr>
              <w:t>+0.23%</w:t>
            </w:r>
          </w:p>
          <w:p>
            <w:r>
              <w:rPr>
                <w:b/>
                <w:color w:val="503200"/>
                <w:sz w:val="16"/>
              </w:rPr>
              <w:t xml:space="preserve">Plus haut 100j : </w:t>
            </w:r>
            <w:r>
              <w:rPr>
                <w:color w:val="000000"/>
                <w:sz w:val="17"/>
              </w:rPr>
              <w:t>2,325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5.80% (Moyenne) — μ=2,102 FCFA, σ=122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β=0.8811 (Neutre (suit le marché)) — Cov=0.000032, Var(idx)=0.000036, ρ=0.249,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4,295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2026-08-14</w:t>
            </w:r>
          </w:p>
        </w:tc>
        <w:tc>
          <w:tcPr>
            <w:tcW w:type="dxa" w:w="1440"/>
            <w:shd w:fill="FFDCE0" w:val="clear"/>
          </w:tcPr>
          <w:p>
            <w:r>
              <w:rPr>
                <w:sz w:val="17"/>
              </w:rPr>
              <w:t>2,023</w:t>
            </w:r>
          </w:p>
        </w:tc>
        <w:tc>
          <w:tcPr>
            <w:tcW w:type="dxa" w:w="1440"/>
            <w:shd w:fill="FFDCE0" w:val="clear"/>
          </w:tcPr>
          <w:p>
            <w:r>
              <w:rPr>
                <w:b/>
                <w:sz w:val="17"/>
              </w:rPr>
              <w:t>2,092</w:t>
            </w:r>
          </w:p>
        </w:tc>
        <w:tc>
          <w:tcPr>
            <w:tcW w:type="dxa" w:w="1440"/>
            <w:shd w:fill="FFDCE0" w:val="clear"/>
          </w:tcPr>
          <w:p>
            <w:r>
              <w:rPr>
                <w:sz w:val="17"/>
              </w:rPr>
              <w:t>2,161</w:t>
            </w:r>
          </w:p>
        </w:tc>
        <w:tc>
          <w:tcPr>
            <w:tcW w:type="dxa" w:w="1440"/>
            <w:shd w:fill="FFDCE0" w:val="clear"/>
          </w:tcPr>
          <w:p>
            <w:r>
              <w:rPr>
                <w:b/>
                <w:color w:val="C00000"/>
                <w:sz w:val="17"/>
              </w:rPr>
              <w:t>-4.9%</w:t>
            </w:r>
          </w:p>
        </w:tc>
      </w:tr>
      <w:tr>
        <w:tc>
          <w:tcPr>
            <w:tcW w:type="dxa" w:w="1440"/>
            <w:shd w:fill="FFDCE0" w:val="clear"/>
          </w:tcPr>
          <w:p>
            <w:r>
              <w:rPr>
                <w:sz w:val="17"/>
              </w:rPr>
              <w:t>J+2  Moyenne</w:t>
            </w:r>
          </w:p>
        </w:tc>
        <w:tc>
          <w:tcPr>
            <w:tcW w:type="dxa" w:w="1440"/>
            <w:shd w:fill="FFDCE0" w:val="clear"/>
          </w:tcPr>
          <w:p>
            <w:r>
              <w:rPr>
                <w:sz w:val="17"/>
              </w:rPr>
              <w:t>2026-08-17</w:t>
            </w:r>
          </w:p>
        </w:tc>
        <w:tc>
          <w:tcPr>
            <w:tcW w:type="dxa" w:w="1440"/>
            <w:shd w:fill="FFDCE0" w:val="clear"/>
          </w:tcPr>
          <w:p>
            <w:r>
              <w:rPr>
                <w:sz w:val="17"/>
              </w:rPr>
              <w:t>1,914</w:t>
            </w:r>
          </w:p>
        </w:tc>
        <w:tc>
          <w:tcPr>
            <w:tcW w:type="dxa" w:w="1440"/>
            <w:shd w:fill="FFDCE0" w:val="clear"/>
          </w:tcPr>
          <w:p>
            <w:r>
              <w:rPr>
                <w:b/>
                <w:sz w:val="17"/>
              </w:rPr>
              <w:t>2,008</w:t>
            </w:r>
          </w:p>
        </w:tc>
        <w:tc>
          <w:tcPr>
            <w:tcW w:type="dxa" w:w="1440"/>
            <w:shd w:fill="FFDCE0" w:val="clear"/>
          </w:tcPr>
          <w:p>
            <w:r>
              <w:rPr>
                <w:sz w:val="17"/>
              </w:rPr>
              <w:t>2,103</w:t>
            </w:r>
          </w:p>
        </w:tc>
        <w:tc>
          <w:tcPr>
            <w:tcW w:type="dxa" w:w="1440"/>
            <w:shd w:fill="FFDCE0" w:val="clear"/>
          </w:tcPr>
          <w:p>
            <w:r>
              <w:rPr>
                <w:b/>
                <w:color w:val="C00000"/>
                <w:sz w:val="17"/>
              </w:rPr>
              <w:t>-8.7%</w:t>
            </w:r>
          </w:p>
        </w:tc>
      </w:tr>
      <w:tr>
        <w:tc>
          <w:tcPr>
            <w:tcW w:type="dxa" w:w="1440"/>
            <w:shd w:fill="FFDCE0" w:val="clear"/>
          </w:tcPr>
          <w:p>
            <w:r>
              <w:rPr>
                <w:sz w:val="17"/>
              </w:rPr>
              <w:t>J+3  Moyenne</w:t>
            </w:r>
          </w:p>
        </w:tc>
        <w:tc>
          <w:tcPr>
            <w:tcW w:type="dxa" w:w="1440"/>
            <w:shd w:fill="FFDCE0" w:val="clear"/>
          </w:tcPr>
          <w:p>
            <w:r>
              <w:rPr>
                <w:sz w:val="17"/>
              </w:rPr>
              <w:t>2026-08-18</w:t>
            </w:r>
          </w:p>
        </w:tc>
        <w:tc>
          <w:tcPr>
            <w:tcW w:type="dxa" w:w="1440"/>
            <w:shd w:fill="FFDCE0" w:val="clear"/>
          </w:tcPr>
          <w:p>
            <w:r>
              <w:rPr>
                <w:sz w:val="17"/>
              </w:rPr>
              <w:t>1,824</w:t>
            </w:r>
          </w:p>
        </w:tc>
        <w:tc>
          <w:tcPr>
            <w:tcW w:type="dxa" w:w="1440"/>
            <w:shd w:fill="FFDCE0" w:val="clear"/>
          </w:tcPr>
          <w:p>
            <w:r>
              <w:rPr>
                <w:b/>
                <w:sz w:val="17"/>
              </w:rPr>
              <w:t>1,935</w:t>
            </w:r>
          </w:p>
        </w:tc>
        <w:tc>
          <w:tcPr>
            <w:tcW w:type="dxa" w:w="1440"/>
            <w:shd w:fill="FFDCE0" w:val="clear"/>
          </w:tcPr>
          <w:p>
            <w:r>
              <w:rPr>
                <w:sz w:val="17"/>
              </w:rPr>
              <w:t>2,046</w:t>
            </w:r>
          </w:p>
        </w:tc>
        <w:tc>
          <w:tcPr>
            <w:tcW w:type="dxa" w:w="1440"/>
            <w:shd w:fill="FFDCE0" w:val="clear"/>
          </w:tcPr>
          <w:p>
            <w:r>
              <w:rPr>
                <w:b/>
                <w:color w:val="C00000"/>
                <w:sz w:val="17"/>
              </w:rPr>
              <w:t>-12.0%</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1,749</w:t>
            </w:r>
          </w:p>
        </w:tc>
        <w:tc>
          <w:tcPr>
            <w:tcW w:type="dxa" w:w="1440"/>
            <w:shd w:fill="FFDCE0" w:val="clear"/>
          </w:tcPr>
          <w:p>
            <w:r>
              <w:rPr>
                <w:b/>
                <w:sz w:val="17"/>
              </w:rPr>
              <w:t>1,874</w:t>
            </w:r>
          </w:p>
        </w:tc>
        <w:tc>
          <w:tcPr>
            <w:tcW w:type="dxa" w:w="1440"/>
            <w:shd w:fill="FFDCE0" w:val="clear"/>
          </w:tcPr>
          <w:p>
            <w:r>
              <w:rPr>
                <w:sz w:val="17"/>
              </w:rPr>
              <w:t>1,998</w:t>
            </w:r>
          </w:p>
        </w:tc>
        <w:tc>
          <w:tcPr>
            <w:tcW w:type="dxa" w:w="1440"/>
            <w:shd w:fill="FFDCE0" w:val="clear"/>
          </w:tcPr>
          <w:p>
            <w:r>
              <w:rPr>
                <w:b/>
                <w:color w:val="C00000"/>
                <w:sz w:val="17"/>
              </w:rPr>
              <w:t>-14.8%</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1,686</w:t>
            </w:r>
          </w:p>
        </w:tc>
        <w:tc>
          <w:tcPr>
            <w:tcW w:type="dxa" w:w="1440"/>
            <w:shd w:fill="FFDCE0" w:val="clear"/>
          </w:tcPr>
          <w:p>
            <w:r>
              <w:rPr>
                <w:b/>
                <w:sz w:val="17"/>
              </w:rPr>
              <w:t>1,821</w:t>
            </w:r>
          </w:p>
        </w:tc>
        <w:tc>
          <w:tcPr>
            <w:tcW w:type="dxa" w:w="1440"/>
            <w:shd w:fill="FFDCE0" w:val="clear"/>
          </w:tcPr>
          <w:p>
            <w:r>
              <w:rPr>
                <w:sz w:val="17"/>
              </w:rPr>
              <w:t>1,957</w:t>
            </w:r>
          </w:p>
        </w:tc>
        <w:tc>
          <w:tcPr>
            <w:tcW w:type="dxa" w:w="1440"/>
            <w:shd w:fill="FFDCE0" w:val="clear"/>
          </w:tcPr>
          <w:p>
            <w:r>
              <w:rPr>
                <w:b/>
                <w:color w:val="C00000"/>
                <w:sz w:val="17"/>
              </w:rPr>
              <w:t>-17.2%</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1,632</w:t>
            </w:r>
          </w:p>
        </w:tc>
        <w:tc>
          <w:tcPr>
            <w:tcW w:type="dxa" w:w="1440"/>
            <w:shd w:fill="FFDCE0" w:val="clear"/>
          </w:tcPr>
          <w:p>
            <w:r>
              <w:rPr>
                <w:b/>
                <w:sz w:val="17"/>
              </w:rPr>
              <w:t>1,776</w:t>
            </w:r>
          </w:p>
        </w:tc>
        <w:tc>
          <w:tcPr>
            <w:tcW w:type="dxa" w:w="1440"/>
            <w:shd w:fill="FFDCE0" w:val="clear"/>
          </w:tcPr>
          <w:p>
            <w:r>
              <w:rPr>
                <w:sz w:val="17"/>
              </w:rPr>
              <w:t>1,921</w:t>
            </w:r>
          </w:p>
        </w:tc>
        <w:tc>
          <w:tcPr>
            <w:tcW w:type="dxa" w:w="1440"/>
            <w:shd w:fill="FFDCE0" w:val="clear"/>
          </w:tcPr>
          <w:p>
            <w:r>
              <w:rPr>
                <w:b/>
                <w:color w:val="C00000"/>
                <w:sz w:val="17"/>
              </w:rPr>
              <w:t>-19.3%</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1,584</w:t>
            </w:r>
          </w:p>
        </w:tc>
        <w:tc>
          <w:tcPr>
            <w:tcW w:type="dxa" w:w="1440"/>
            <w:shd w:fill="FFDCE0" w:val="clear"/>
          </w:tcPr>
          <w:p>
            <w:r>
              <w:rPr>
                <w:b/>
                <w:sz w:val="17"/>
              </w:rPr>
              <w:t>1,736</w:t>
            </w:r>
          </w:p>
        </w:tc>
        <w:tc>
          <w:tcPr>
            <w:tcW w:type="dxa" w:w="1440"/>
            <w:shd w:fill="FFDCE0" w:val="clear"/>
          </w:tcPr>
          <w:p>
            <w:r>
              <w:rPr>
                <w:sz w:val="17"/>
              </w:rPr>
              <w:t>1,889</w:t>
            </w:r>
          </w:p>
        </w:tc>
        <w:tc>
          <w:tcPr>
            <w:tcW w:type="dxa" w:w="1440"/>
            <w:shd w:fill="FFDCE0" w:val="clear"/>
          </w:tcPr>
          <w:p>
            <w:r>
              <w:rPr>
                <w:b/>
                <w:color w:val="C00000"/>
                <w:sz w:val="17"/>
              </w:rPr>
              <w:t>-21.1%</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1,541</w:t>
            </w:r>
          </w:p>
        </w:tc>
        <w:tc>
          <w:tcPr>
            <w:tcW w:type="dxa" w:w="1440"/>
            <w:shd w:fill="FFDCE0" w:val="clear"/>
          </w:tcPr>
          <w:p>
            <w:r>
              <w:rPr>
                <w:b/>
                <w:sz w:val="17"/>
              </w:rPr>
              <w:t>1,700</w:t>
            </w:r>
          </w:p>
        </w:tc>
        <w:tc>
          <w:tcPr>
            <w:tcW w:type="dxa" w:w="1440"/>
            <w:shd w:fill="FFDCE0" w:val="clear"/>
          </w:tcPr>
          <w:p>
            <w:r>
              <w:rPr>
                <w:sz w:val="17"/>
              </w:rPr>
              <w:t>1,860</w:t>
            </w:r>
          </w:p>
        </w:tc>
        <w:tc>
          <w:tcPr>
            <w:tcW w:type="dxa" w:w="1440"/>
            <w:shd w:fill="FFDCE0" w:val="clear"/>
          </w:tcPr>
          <w:p>
            <w:r>
              <w:rPr>
                <w:b/>
                <w:color w:val="C00000"/>
                <w:sz w:val="17"/>
              </w:rPr>
              <w:t>-22.7%</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1,502</w:t>
            </w:r>
          </w:p>
        </w:tc>
        <w:tc>
          <w:tcPr>
            <w:tcW w:type="dxa" w:w="1440"/>
            <w:shd w:fill="FFDCE0" w:val="clear"/>
          </w:tcPr>
          <w:p>
            <w:r>
              <w:rPr>
                <w:b/>
                <w:sz w:val="17"/>
              </w:rPr>
              <w:t>1,667</w:t>
            </w:r>
          </w:p>
        </w:tc>
        <w:tc>
          <w:tcPr>
            <w:tcW w:type="dxa" w:w="1440"/>
            <w:shd w:fill="FFDCE0" w:val="clear"/>
          </w:tcPr>
          <w:p>
            <w:r>
              <w:rPr>
                <w:sz w:val="17"/>
              </w:rPr>
              <w:t>1,833</w:t>
            </w:r>
          </w:p>
        </w:tc>
        <w:tc>
          <w:tcPr>
            <w:tcW w:type="dxa" w:w="1440"/>
            <w:shd w:fill="FFDCE0" w:val="clear"/>
          </w:tcPr>
          <w:p>
            <w:r>
              <w:rPr>
                <w:b/>
                <w:color w:val="C00000"/>
                <w:sz w:val="17"/>
              </w:rPr>
              <w:t>-24.2%</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1,465</w:t>
            </w:r>
          </w:p>
        </w:tc>
        <w:tc>
          <w:tcPr>
            <w:tcW w:type="dxa" w:w="1440"/>
            <w:shd w:fill="FFDCE0" w:val="clear"/>
          </w:tcPr>
          <w:p>
            <w:r>
              <w:rPr>
                <w:b/>
                <w:sz w:val="17"/>
              </w:rPr>
              <w:t>1,637</w:t>
            </w:r>
          </w:p>
        </w:tc>
        <w:tc>
          <w:tcPr>
            <w:tcW w:type="dxa" w:w="1440"/>
            <w:shd w:fill="FFDCE0" w:val="clear"/>
          </w:tcPr>
          <w:p>
            <w:r>
              <w:rPr>
                <w:sz w:val="17"/>
              </w:rPr>
              <w:t>1,809</w:t>
            </w:r>
          </w:p>
        </w:tc>
        <w:tc>
          <w:tcPr>
            <w:tcW w:type="dxa" w:w="1440"/>
            <w:shd w:fill="FFDCE0" w:val="clear"/>
          </w:tcPr>
          <w:p>
            <w:r>
              <w:rPr>
                <w:b/>
                <w:color w:val="C00000"/>
                <w:sz w:val="17"/>
              </w:rPr>
              <w:t>-25.6%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138,60 milliards FCFA, un niveau significatif qui la positionne parmi les valeurs moyennes à grandes capitalisations de la BRVM, reflétant la confiance des investisseurs dans le secteur de la distribution pétrolière en Côte d'Ivoire. Le BPA de 96 FCFA par action indique que chaque titre a généré un bénéfice modeste, cohérent avec la faible marge nette du secteur. Le PER de 23,0x est nettement supérieur à la moyenne historique de la BRVM (8-12x), ce qui suggère que les investisseurs paient une prime substantielle, anticipant potentiellement une croissance future des bénéfices ou reflétant une surévaluation relative. Le P/B de 5,10x confirme cette prime, le marché valorisant le titre bien au-delà de sa valeur comptable (5,1 fois les fonds propres), ce qui est exigeant et laisse peu de marge de sécurité. Enfin, l'EV/EBITDA de 12,6x, bien que dans la fourchette haute (10-15x), indique que la valeur totale de l'entreprise (capitalisation plus dette nette) représente 12,6 fois son résultat opérationnel brut, une valorisation élevée qui devra être justifiée par une amélioration continue de la performance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SHEC affiche une variation totale de +0,23%, une performance quasi stable, mais la dernière séance enregistre une baisse notable de -2,22%, signalant une pression vendeuse récente. Le cours a évolué dans un range de 1 840 FCFA (plus bas) à 2 325 FCFA (plus haut), avec un cours actuel de 2 200 FCFA, proche du sommet de la période, mais en retrait après le repli récent. La moyenne (2 102 FCFA) est inférieure à la médiane (2 155 FCFA) et au mode (2 200 FCFA), indiquant une distribution légèrement asymétrique avec des épisodes de faiblesse plus marqués que les pics. L'écart-type de 122 FCFA (CV=5,8%) révèle une dispersion modérée, tandis que le kurtosis de -1,018 (platykurtique) suggère une distribution aplatie, avec peu de valeurs extrêmes et donc un risque de pics limité. Le skewness de -0,367, bien que proche de zéro, indique une légère asymétrie négative, avec des queues de distribution orientées vers le bas. La volatilité annualisée de 33,9% est élevée (&gt;30%), ce qui positionne SHEC comme un titre à risque supérieur à la moyenne, nécessitant une gestion attentive.</w:t>
      </w:r>
    </w:p>
    <w:p>
      <w:pPr>
        <w:spacing w:after="120" w:line="276" w:lineRule="auto" w:before="240"/>
      </w:pPr>
      <w:r>
        <w:rPr>
          <w:b/>
          <w:color w:val="003366"/>
          <w:sz w:val="24"/>
        </w:rPr>
        <w:t>**PARTIE 2 : ANALYSE TECHNIQUE DÉTAILLÉE**</w:t>
      </w:r>
    </w:p>
    <w:p>
      <w:pPr>
        <w:spacing w:after="120" w:line="276" w:lineRule="auto"/>
      </w:pPr>
      <w:r>
        <w:t>**Moyennes Mobiles** : La MM20 à 2 221,25 FCFA et la MM50 à 2 173,8 FCFA sont toutes deux au-dessus du cours actuel (2 200 FCFA), mais la MM20 est supérieure à la MM50, indiquant une tendance de court terme positive. Le cours étant entre les deux moyennes, la décision "Achat" suggère que la tendance de fond reste haussière, mais la récente baisse pourrait tester le support de la MM50.</w:t>
      </w:r>
    </w:p>
    <w:p>
      <w:pPr>
        <w:spacing w:after="120" w:line="276" w:lineRule="auto"/>
      </w:pPr>
      <w:r>
        <w:t>**Bandes de Bollinger** : Le cours (2 200 FCFA) se situe entre la borne supérieure (2 349,43 FCFA) et la borne inférieure (2 093,07 FCFA), proche de la moyenne. La largeur des bandes reflète une volatilité modérée, et la position neutre indique que le titre n'est ni suracheté ni survendu, laissant place à une évolution directionnelle.</w:t>
      </w:r>
    </w:p>
    <w:p>
      <w:pPr>
        <w:spacing w:after="120" w:line="276" w:lineRule="auto"/>
      </w:pPr>
      <w:r>
        <w:t>**MACD** : Le MACD (28,687) est inférieur à son signal (32,215), avec une divergence négative, signalant un momentum baissier à court terme. La décision "Vente" suggère que la dynamique haussière s'essouffle, et un croisement sous le signal pourrait confirmer une correction.</w:t>
      </w:r>
    </w:p>
    <w:p>
      <w:pPr>
        <w:spacing w:after="120" w:line="276" w:lineRule="auto"/>
      </w:pPr>
      <w:r>
        <w:t>**RSI** : Le RSI à 48,864 est en zone neutre (30-70), indiquant un équilibre entre acheteurs et vendeurs. Cette valeur ne montre ni surachat ni survente, ce qui laisse une marge de manœuvre dans les deux sens, mais ne fournit pas de signal directionnel fort.</w:t>
      </w:r>
    </w:p>
    <w:p>
      <w:pPr>
        <w:spacing w:after="120" w:line="276" w:lineRule="auto"/>
      </w:pPr>
      <w:r>
        <w:t>**Stochastique** : Le %K (41,86) est inférieur au %D (62,791), avec une configuration baissière, mais les deux restent en zone neutre. La décision "Neutre" suggère que le momentum est incertain, et un croisement haussier du %K au-dessus du %D pourrait signaler un rebond.</w:t>
      </w:r>
    </w:p>
    <w:p>
      <w:pPr>
        <w:spacing w:after="120" w:line="276" w:lineRule="auto"/>
      </w:pPr>
      <w:r>
        <w:t>**Conclusion technique** : Les indicateurs sont globalement mitigés, avec une légère prédominance baissière à court terme (MACD, Stochastique) contre une tendance de fond haussière (MM). Le RSI neutre et les bandes de Bollinger indiquent une absence de direction claire. La récente baisse de -2,22% pourrait être un test des supports, et la prudence est de mise avant un signal de retournement.</w:t>
      </w:r>
    </w:p>
    <w:p>
      <w:pPr>
        <w:spacing w:after="120" w:line="276" w:lineRule="auto" w:before="240"/>
      </w:pPr>
      <w:r>
        <w:rPr>
          <w:b/>
          <w:color w:val="003366"/>
          <w:sz w:val="24"/>
        </w:rPr>
        <w:t>**PARTIE 3 : ANALYSE FONDAMENTALE (SECTION CRITIQUE)**</w:t>
      </w:r>
    </w:p>
    <w:p>
      <w:pPr>
        <w:spacing w:after="120" w:line="276" w:lineRule="auto"/>
      </w:pPr>
      <w:r>
        <w:t>En 2025, SHEC (Vivo Energy CI) a réalisé un chiffre d'affaires de 604,978 milliards FCFA, en légère hausse de +0,71% par rapport à 2024 (600,708 milliards FCFA), et un résultat net de 6,028 milliards FCFA, en progression de +12,6% (contre 5,354 milliards en 2024), selon les états financiers annuels. La marge nette reste faible à 0,99%, mais le ROE est excellent à 22,2%, et le ROA à 3,11%, reflétant une bonne utilisation des capitaux propres malgré une rentabilité des actifs limitée. Le BFR est positif à 15,315 milliards FCFA, avec un délai clients de 23,27 jours et un délai fournisseurs de 35,47 jours, indiquant un besoin de financement du cycle d'exploitation, mais une gestion des fournisseurs relativement efficace. L'endettement est élevé avec des dettes totales de 166,403 milliards FCFA, et une trésorerie nette fortement négative de -65,264 milliards FCFA, un point de vigilance majeur. Sur la base des rapports trimestriels, le T3 2025 (rapport du 30/09/2025) montre un résultat net de 4,119 milliards FCFA (+45% sur 9 mois), et le S1 2026 (rapport du 30/06/2026) indique un CA de 305,038 milliards FCFA (-1%) mais un résultat d'exploitation en hausse de +17% à 6,133 milliards FCFA. On estime que l'exercice 2026 pourrait voir une stabilisation du CA, mais une amélioration de la rentabilité opérationnelle, soutenue par les segments butane et lubrifiants, bien que la hausse de l'impôt (+60%) et la dépendance aux concours bancaires restent des risques. La société propose un dividende de 6,09 milliards FCFA (taux de distribution de 101%), témoignant d'une politique généreuse mais potentiellement fragile.</w:t>
      </w:r>
    </w:p>
    <w:p>
      <w:pPr>
        <w:spacing w:after="120" w:line="276" w:lineRule="auto" w:before="240"/>
      </w:pPr>
      <w:r>
        <w:rPr>
          <w:b/>
          <w:color w:val="003366"/>
          <w:sz w:val="24"/>
        </w:rPr>
        <w:t>**PARTIE 4 : CONCLUSION D'INVESTISSEMENT**</w:t>
      </w:r>
    </w:p>
    <w:p>
      <w:pPr>
        <w:spacing w:after="120" w:line="276" w:lineRule="auto"/>
      </w:pPr>
      <w:r>
        <w:t>La valorisation de SHEC est exigeante, avec un PER de 23,0x et un P/B de 5,10x, nettement supérieurs aux moyennes de la BRVM, indiquant une surévaluation relative qui limite le potentiel de hausse à court terme. Le comportement du cours sur 100 jours est stable (+0,23%), mais la volatilité élevée (33,9%) et la baisse récente de -2,22% suggèrent une prudence, avec des statistiques (kurtosis platykurtique, skewness négatif) montrant un risque de mouvements brusques. Les signaux techniques sont mitigés : les moyennes mobiles sont haussières, mais le MACD et le Stochastique sont baissiers, et le RSI neutre, indiquant une absence de direction claire. Fondamentalement, la société est solide avec un ROE de 22,2% et un résultat net en hausse, mais la trésorerie nette négative (-65,264 milliards FCFA) et l'endettement élevé sont des risques majeurs. Les prédictions IA (J+1 à J+10) montrent une trajectoire baissière de 2 092 à 1 821 FCFA, contredisant les signaux de tendance haussière des MM, mais confirmant la pression vendeuse récente. En synthèse, la convergence entre la surévaluation, la volatilité élevée, les signaux techniques mitigés et les prédictions baissières conduit à une recommandation de **CONSERVER**, avec un niveau de confiance **Moyen** et un risque global **Élevé**. L'horizon d'investissement optimal est le **moyen terme (3-12 mois)**, en attendant une clarification de la structure financière et une amélioration des volumes, avant d'envisager un renforcement.</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8,851 titres</w:t>
            </w:r>
          </w:p>
        </w:tc>
        <w:tc>
          <w:tcPr>
            <w:tcW w:type="dxa" w:w="2268"/>
            <w:shd w:fill="FFF2CC" w:val="clear"/>
          </w:tcPr>
          <w:p>
            <w:r>
              <w:rPr>
                <w:b/>
                <w:color w:val="503200"/>
                <w:sz w:val="16"/>
              </w:rPr>
              <w:t xml:space="preserve">Cours actuel : </w:t>
            </w:r>
            <w:r>
              <w:rPr>
                <w:color w:val="000000"/>
                <w:sz w:val="17"/>
              </w:rPr>
              <w:t>9,100 FCFA</w:t>
            </w:r>
          </w:p>
          <w:p>
            <w:r>
              <w:rPr>
                <w:b/>
                <w:color w:val="503200"/>
                <w:sz w:val="16"/>
              </w:rPr>
              <w:t xml:space="preserve">Var. 100 jours : </w:t>
            </w:r>
            <w:r>
              <w:rPr>
                <w:b/>
                <w:color w:val="007800"/>
                <w:sz w:val="17"/>
              </w:rPr>
              <w:t>+28.62%</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11.18% (Moyenne) — μ=8,087 FCFA, σ=904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β=0.5891 (Défensif) — Cov=0.000021, Var(idx)=0.000036, ρ=0.198,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8,851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2026-08-14</w:t>
            </w:r>
          </w:p>
        </w:tc>
        <w:tc>
          <w:tcPr>
            <w:tcW w:type="dxa" w:w="1440"/>
            <w:shd w:fill="FFDCE0" w:val="clear"/>
          </w:tcPr>
          <w:p>
            <w:r>
              <w:rPr>
                <w:sz w:val="17"/>
              </w:rPr>
              <w:t>8,488</w:t>
            </w:r>
          </w:p>
        </w:tc>
        <w:tc>
          <w:tcPr>
            <w:tcW w:type="dxa" w:w="1440"/>
            <w:shd w:fill="FFDCE0" w:val="clear"/>
          </w:tcPr>
          <w:p>
            <w:r>
              <w:rPr>
                <w:b/>
                <w:sz w:val="17"/>
              </w:rPr>
              <w:t>8,764</w:t>
            </w:r>
          </w:p>
        </w:tc>
        <w:tc>
          <w:tcPr>
            <w:tcW w:type="dxa" w:w="1440"/>
            <w:shd w:fill="FFDCE0" w:val="clear"/>
          </w:tcPr>
          <w:p>
            <w:r>
              <w:rPr>
                <w:sz w:val="17"/>
              </w:rPr>
              <w:t>9,039</w:t>
            </w:r>
          </w:p>
        </w:tc>
        <w:tc>
          <w:tcPr>
            <w:tcW w:type="dxa" w:w="1440"/>
            <w:shd w:fill="FFDCE0" w:val="clear"/>
          </w:tcPr>
          <w:p>
            <w:r>
              <w:rPr>
                <w:b/>
                <w:color w:val="C00000"/>
                <w:sz w:val="17"/>
              </w:rPr>
              <w:t>-3.7%</w:t>
            </w:r>
          </w:p>
        </w:tc>
      </w:tr>
      <w:tr>
        <w:tc>
          <w:tcPr>
            <w:tcW w:type="dxa" w:w="1440"/>
            <w:shd w:fill="FFDCE0" w:val="clear"/>
          </w:tcPr>
          <w:p>
            <w:r>
              <w:rPr>
                <w:sz w:val="17"/>
              </w:rPr>
              <w:t>J+2  ⭐⭐⭐</w:t>
            </w:r>
          </w:p>
        </w:tc>
        <w:tc>
          <w:tcPr>
            <w:tcW w:type="dxa" w:w="1440"/>
            <w:shd w:fill="FFDCE0" w:val="clear"/>
          </w:tcPr>
          <w:p>
            <w:r>
              <w:rPr>
                <w:sz w:val="17"/>
              </w:rPr>
              <w:t>2026-08-17</w:t>
            </w:r>
          </w:p>
        </w:tc>
        <w:tc>
          <w:tcPr>
            <w:tcW w:type="dxa" w:w="1440"/>
            <w:shd w:fill="FFDCE0" w:val="clear"/>
          </w:tcPr>
          <w:p>
            <w:r>
              <w:rPr>
                <w:sz w:val="17"/>
              </w:rPr>
              <w:t>8,097</w:t>
            </w:r>
          </w:p>
        </w:tc>
        <w:tc>
          <w:tcPr>
            <w:tcW w:type="dxa" w:w="1440"/>
            <w:shd w:fill="FFDCE0" w:val="clear"/>
          </w:tcPr>
          <w:p>
            <w:r>
              <w:rPr>
                <w:b/>
                <w:sz w:val="17"/>
              </w:rPr>
              <w:t>8,474</w:t>
            </w:r>
          </w:p>
        </w:tc>
        <w:tc>
          <w:tcPr>
            <w:tcW w:type="dxa" w:w="1440"/>
            <w:shd w:fill="FFDCE0" w:val="clear"/>
          </w:tcPr>
          <w:p>
            <w:r>
              <w:rPr>
                <w:sz w:val="17"/>
              </w:rPr>
              <w:t>8,850</w:t>
            </w:r>
          </w:p>
        </w:tc>
        <w:tc>
          <w:tcPr>
            <w:tcW w:type="dxa" w:w="1440"/>
            <w:shd w:fill="FFDCE0" w:val="clear"/>
          </w:tcPr>
          <w:p>
            <w:r>
              <w:rPr>
                <w:b/>
                <w:color w:val="C00000"/>
                <w:sz w:val="17"/>
              </w:rPr>
              <w:t>-6.9%</w:t>
            </w:r>
          </w:p>
        </w:tc>
      </w:tr>
      <w:tr>
        <w:tc>
          <w:tcPr>
            <w:tcW w:type="dxa" w:w="1440"/>
            <w:shd w:fill="FFDCE0" w:val="clear"/>
          </w:tcPr>
          <w:p>
            <w:r>
              <w:rPr>
                <w:sz w:val="17"/>
              </w:rPr>
              <w:t>J+3  ⭐⭐⭐</w:t>
            </w:r>
          </w:p>
        </w:tc>
        <w:tc>
          <w:tcPr>
            <w:tcW w:type="dxa" w:w="1440"/>
            <w:shd w:fill="FFDCE0" w:val="clear"/>
          </w:tcPr>
          <w:p>
            <w:r>
              <w:rPr>
                <w:sz w:val="17"/>
              </w:rPr>
              <w:t>2026-08-18</w:t>
            </w:r>
          </w:p>
        </w:tc>
        <w:tc>
          <w:tcPr>
            <w:tcW w:type="dxa" w:w="1440"/>
            <w:shd w:fill="FFDCE0" w:val="clear"/>
          </w:tcPr>
          <w:p>
            <w:r>
              <w:rPr>
                <w:sz w:val="17"/>
              </w:rPr>
              <w:t>7,773</w:t>
            </w:r>
          </w:p>
        </w:tc>
        <w:tc>
          <w:tcPr>
            <w:tcW w:type="dxa" w:w="1440"/>
            <w:shd w:fill="FFDCE0" w:val="clear"/>
          </w:tcPr>
          <w:p>
            <w:r>
              <w:rPr>
                <w:b/>
                <w:sz w:val="17"/>
              </w:rPr>
              <w:t>8,220</w:t>
            </w:r>
          </w:p>
        </w:tc>
        <w:tc>
          <w:tcPr>
            <w:tcW w:type="dxa" w:w="1440"/>
            <w:shd w:fill="FFDCE0" w:val="clear"/>
          </w:tcPr>
          <w:p>
            <w:r>
              <w:rPr>
                <w:sz w:val="17"/>
              </w:rPr>
              <w:t>8,667</w:t>
            </w:r>
          </w:p>
        </w:tc>
        <w:tc>
          <w:tcPr>
            <w:tcW w:type="dxa" w:w="1440"/>
            <w:shd w:fill="FFDCE0" w:val="clear"/>
          </w:tcPr>
          <w:p>
            <w:r>
              <w:rPr>
                <w:b/>
                <w:color w:val="C00000"/>
                <w:sz w:val="17"/>
              </w:rPr>
              <w:t>-9.7%</w:t>
            </w:r>
          </w:p>
        </w:tc>
      </w:tr>
      <w:tr>
        <w:tc>
          <w:tcPr>
            <w:tcW w:type="dxa" w:w="1440"/>
            <w:shd w:fill="FFDCE0" w:val="clear"/>
          </w:tcPr>
          <w:p>
            <w:r>
              <w:rPr>
                <w:sz w:val="17"/>
              </w:rPr>
              <w:t>J+4  Moyenne</w:t>
            </w:r>
          </w:p>
        </w:tc>
        <w:tc>
          <w:tcPr>
            <w:tcW w:type="dxa" w:w="1440"/>
            <w:shd w:fill="FFDCE0" w:val="clear"/>
          </w:tcPr>
          <w:p>
            <w:r>
              <w:rPr>
                <w:sz w:val="17"/>
              </w:rPr>
              <w:t>2026-08-19</w:t>
            </w:r>
          </w:p>
        </w:tc>
        <w:tc>
          <w:tcPr>
            <w:tcW w:type="dxa" w:w="1440"/>
            <w:shd w:fill="FFDCE0" w:val="clear"/>
          </w:tcPr>
          <w:p>
            <w:r>
              <w:rPr>
                <w:sz w:val="17"/>
              </w:rPr>
              <w:t>7,501</w:t>
            </w:r>
          </w:p>
        </w:tc>
        <w:tc>
          <w:tcPr>
            <w:tcW w:type="dxa" w:w="1440"/>
            <w:shd w:fill="FFDCE0" w:val="clear"/>
          </w:tcPr>
          <w:p>
            <w:r>
              <w:rPr>
                <w:b/>
                <w:sz w:val="17"/>
              </w:rPr>
              <w:t>8,004</w:t>
            </w:r>
          </w:p>
        </w:tc>
        <w:tc>
          <w:tcPr>
            <w:tcW w:type="dxa" w:w="1440"/>
            <w:shd w:fill="FFDCE0" w:val="clear"/>
          </w:tcPr>
          <w:p>
            <w:r>
              <w:rPr>
                <w:sz w:val="17"/>
              </w:rPr>
              <w:t>8,507</w:t>
            </w:r>
          </w:p>
        </w:tc>
        <w:tc>
          <w:tcPr>
            <w:tcW w:type="dxa" w:w="1440"/>
            <w:shd w:fill="FFDCE0" w:val="clear"/>
          </w:tcPr>
          <w:p>
            <w:r>
              <w:rPr>
                <w:b/>
                <w:color w:val="C00000"/>
                <w:sz w:val="17"/>
              </w:rPr>
              <w:t>-12.0%</w:t>
            </w:r>
          </w:p>
        </w:tc>
      </w:tr>
      <w:tr>
        <w:tc>
          <w:tcPr>
            <w:tcW w:type="dxa" w:w="1440"/>
            <w:shd w:fill="FFDCE0" w:val="clear"/>
          </w:tcPr>
          <w:p>
            <w:r>
              <w:rPr>
                <w:sz w:val="17"/>
              </w:rPr>
              <w:t>J+5  Moyenne</w:t>
            </w:r>
          </w:p>
        </w:tc>
        <w:tc>
          <w:tcPr>
            <w:tcW w:type="dxa" w:w="1440"/>
            <w:shd w:fill="FFDCE0" w:val="clear"/>
          </w:tcPr>
          <w:p>
            <w:r>
              <w:rPr>
                <w:sz w:val="17"/>
              </w:rPr>
              <w:t>2026-08-20</w:t>
            </w:r>
          </w:p>
        </w:tc>
        <w:tc>
          <w:tcPr>
            <w:tcW w:type="dxa" w:w="1440"/>
            <w:shd w:fill="FFDCE0" w:val="clear"/>
          </w:tcPr>
          <w:p>
            <w:r>
              <w:rPr>
                <w:sz w:val="17"/>
              </w:rPr>
              <w:t>7,271</w:t>
            </w:r>
          </w:p>
        </w:tc>
        <w:tc>
          <w:tcPr>
            <w:tcW w:type="dxa" w:w="1440"/>
            <w:shd w:fill="FFDCE0" w:val="clear"/>
          </w:tcPr>
          <w:p>
            <w:r>
              <w:rPr>
                <w:b/>
                <w:sz w:val="17"/>
              </w:rPr>
              <w:t>7,821</w:t>
            </w:r>
          </w:p>
        </w:tc>
        <w:tc>
          <w:tcPr>
            <w:tcW w:type="dxa" w:w="1440"/>
            <w:shd w:fill="FFDCE0" w:val="clear"/>
          </w:tcPr>
          <w:p>
            <w:r>
              <w:rPr>
                <w:sz w:val="17"/>
              </w:rPr>
              <w:t>8,370</w:t>
            </w:r>
          </w:p>
        </w:tc>
        <w:tc>
          <w:tcPr>
            <w:tcW w:type="dxa" w:w="1440"/>
            <w:shd w:fill="FFDCE0" w:val="clear"/>
          </w:tcPr>
          <w:p>
            <w:r>
              <w:rPr>
                <w:b/>
                <w:color w:val="C00000"/>
                <w:sz w:val="17"/>
              </w:rPr>
              <w:t>-14.1%</w:t>
            </w:r>
          </w:p>
        </w:tc>
      </w:tr>
      <w:tr>
        <w:tc>
          <w:tcPr>
            <w:tcW w:type="dxa" w:w="1440"/>
            <w:shd w:fill="FFDCE0" w:val="clear"/>
          </w:tcPr>
          <w:p>
            <w:r>
              <w:rPr>
                <w:sz w:val="17"/>
              </w:rPr>
              <w:t>J+6  Moyenne</w:t>
            </w:r>
          </w:p>
        </w:tc>
        <w:tc>
          <w:tcPr>
            <w:tcW w:type="dxa" w:w="1440"/>
            <w:shd w:fill="FFDCE0" w:val="clear"/>
          </w:tcPr>
          <w:p>
            <w:r>
              <w:rPr>
                <w:sz w:val="17"/>
              </w:rPr>
              <w:t>2026-08-21</w:t>
            </w:r>
          </w:p>
        </w:tc>
        <w:tc>
          <w:tcPr>
            <w:tcW w:type="dxa" w:w="1440"/>
            <w:shd w:fill="FFDCE0" w:val="clear"/>
          </w:tcPr>
          <w:p>
            <w:r>
              <w:rPr>
                <w:sz w:val="17"/>
              </w:rPr>
              <w:t>7,073</w:t>
            </w:r>
          </w:p>
        </w:tc>
        <w:tc>
          <w:tcPr>
            <w:tcW w:type="dxa" w:w="1440"/>
            <w:shd w:fill="FFDCE0" w:val="clear"/>
          </w:tcPr>
          <w:p>
            <w:r>
              <w:rPr>
                <w:b/>
                <w:sz w:val="17"/>
              </w:rPr>
              <w:t>7,662</w:t>
            </w:r>
          </w:p>
        </w:tc>
        <w:tc>
          <w:tcPr>
            <w:tcW w:type="dxa" w:w="1440"/>
            <w:shd w:fill="FFDCE0" w:val="clear"/>
          </w:tcPr>
          <w:p>
            <w:r>
              <w:rPr>
                <w:sz w:val="17"/>
              </w:rPr>
              <w:t>8,252</w:t>
            </w:r>
          </w:p>
        </w:tc>
        <w:tc>
          <w:tcPr>
            <w:tcW w:type="dxa" w:w="1440"/>
            <w:shd w:fill="FFDCE0" w:val="clear"/>
          </w:tcPr>
          <w:p>
            <w:r>
              <w:rPr>
                <w:b/>
                <w:color w:val="C00000"/>
                <w:sz w:val="17"/>
              </w:rPr>
              <w:t>-15.8%</w:t>
            </w:r>
          </w:p>
        </w:tc>
      </w:tr>
      <w:tr>
        <w:tc>
          <w:tcPr>
            <w:tcW w:type="dxa" w:w="1440"/>
            <w:shd w:fill="FFDCE0" w:val="clear"/>
          </w:tcPr>
          <w:p>
            <w:r>
              <w:rPr>
                <w:sz w:val="17"/>
              </w:rPr>
              <w:t>J+7  Moyenne</w:t>
            </w:r>
          </w:p>
        </w:tc>
        <w:tc>
          <w:tcPr>
            <w:tcW w:type="dxa" w:w="1440"/>
            <w:shd w:fill="FFDCE0" w:val="clear"/>
          </w:tcPr>
          <w:p>
            <w:r>
              <w:rPr>
                <w:sz w:val="17"/>
              </w:rPr>
              <w:t>2026-08-24</w:t>
            </w:r>
          </w:p>
        </w:tc>
        <w:tc>
          <w:tcPr>
            <w:tcW w:type="dxa" w:w="1440"/>
            <w:shd w:fill="FFDCE0" w:val="clear"/>
          </w:tcPr>
          <w:p>
            <w:r>
              <w:rPr>
                <w:sz w:val="17"/>
              </w:rPr>
              <w:t>6,897</w:t>
            </w:r>
          </w:p>
        </w:tc>
        <w:tc>
          <w:tcPr>
            <w:tcW w:type="dxa" w:w="1440"/>
            <w:shd w:fill="FFDCE0" w:val="clear"/>
          </w:tcPr>
          <w:p>
            <w:r>
              <w:rPr>
                <w:b/>
                <w:sz w:val="17"/>
              </w:rPr>
              <w:t>7,523</w:t>
            </w:r>
          </w:p>
        </w:tc>
        <w:tc>
          <w:tcPr>
            <w:tcW w:type="dxa" w:w="1440"/>
            <w:shd w:fill="FFDCE0" w:val="clear"/>
          </w:tcPr>
          <w:p>
            <w:r>
              <w:rPr>
                <w:sz w:val="17"/>
              </w:rPr>
              <w:t>8,148</w:t>
            </w:r>
          </w:p>
        </w:tc>
        <w:tc>
          <w:tcPr>
            <w:tcW w:type="dxa" w:w="1440"/>
            <w:shd w:fill="FFDCE0" w:val="clear"/>
          </w:tcPr>
          <w:p>
            <w:r>
              <w:rPr>
                <w:b/>
                <w:color w:val="C00000"/>
                <w:sz w:val="17"/>
              </w:rPr>
              <w:t>-17.3%</w:t>
            </w:r>
          </w:p>
        </w:tc>
      </w:tr>
      <w:tr>
        <w:tc>
          <w:tcPr>
            <w:tcW w:type="dxa" w:w="1440"/>
            <w:shd w:fill="FFDCE0" w:val="clear"/>
          </w:tcPr>
          <w:p>
            <w:r>
              <w:rPr>
                <w:sz w:val="17"/>
              </w:rPr>
              <w:t>J+8  Moyenne</w:t>
            </w:r>
          </w:p>
        </w:tc>
        <w:tc>
          <w:tcPr>
            <w:tcW w:type="dxa" w:w="1440"/>
            <w:shd w:fill="FFDCE0" w:val="clear"/>
          </w:tcPr>
          <w:p>
            <w:r>
              <w:rPr>
                <w:sz w:val="17"/>
              </w:rPr>
              <w:t>2026-08-25</w:t>
            </w:r>
          </w:p>
        </w:tc>
        <w:tc>
          <w:tcPr>
            <w:tcW w:type="dxa" w:w="1440"/>
            <w:shd w:fill="FFDCE0" w:val="clear"/>
          </w:tcPr>
          <w:p>
            <w:r>
              <w:rPr>
                <w:sz w:val="17"/>
              </w:rPr>
              <w:t>6,740</w:t>
            </w:r>
          </w:p>
        </w:tc>
        <w:tc>
          <w:tcPr>
            <w:tcW w:type="dxa" w:w="1440"/>
            <w:shd w:fill="FFDCE0" w:val="clear"/>
          </w:tcPr>
          <w:p>
            <w:r>
              <w:rPr>
                <w:b/>
                <w:sz w:val="17"/>
              </w:rPr>
              <w:t>7,398</w:t>
            </w:r>
          </w:p>
        </w:tc>
        <w:tc>
          <w:tcPr>
            <w:tcW w:type="dxa" w:w="1440"/>
            <w:shd w:fill="FFDCE0" w:val="clear"/>
          </w:tcPr>
          <w:p>
            <w:r>
              <w:rPr>
                <w:sz w:val="17"/>
              </w:rPr>
              <w:t>8,055</w:t>
            </w:r>
          </w:p>
        </w:tc>
        <w:tc>
          <w:tcPr>
            <w:tcW w:type="dxa" w:w="1440"/>
            <w:shd w:fill="FFDCE0" w:val="clear"/>
          </w:tcPr>
          <w:p>
            <w:r>
              <w:rPr>
                <w:b/>
                <w:color w:val="C00000"/>
                <w:sz w:val="17"/>
              </w:rPr>
              <w:t>-18.7%</w:t>
            </w:r>
          </w:p>
        </w:tc>
      </w:tr>
      <w:tr>
        <w:tc>
          <w:tcPr>
            <w:tcW w:type="dxa" w:w="1440"/>
            <w:shd w:fill="FFDCE0" w:val="clear"/>
          </w:tcPr>
          <w:p>
            <w:r>
              <w:rPr>
                <w:sz w:val="17"/>
              </w:rPr>
              <w:t>J+9  Moyenne</w:t>
            </w:r>
          </w:p>
        </w:tc>
        <w:tc>
          <w:tcPr>
            <w:tcW w:type="dxa" w:w="1440"/>
            <w:shd w:fill="FFDCE0" w:val="clear"/>
          </w:tcPr>
          <w:p>
            <w:r>
              <w:rPr>
                <w:sz w:val="17"/>
              </w:rPr>
              <w:t>2026-08-27</w:t>
            </w:r>
          </w:p>
        </w:tc>
        <w:tc>
          <w:tcPr>
            <w:tcW w:type="dxa" w:w="1440"/>
            <w:shd w:fill="FFDCE0" w:val="clear"/>
          </w:tcPr>
          <w:p>
            <w:r>
              <w:rPr>
                <w:sz w:val="17"/>
              </w:rPr>
              <w:t>6,598</w:t>
            </w:r>
          </w:p>
        </w:tc>
        <w:tc>
          <w:tcPr>
            <w:tcW w:type="dxa" w:w="1440"/>
            <w:shd w:fill="FFDCE0" w:val="clear"/>
          </w:tcPr>
          <w:p>
            <w:r>
              <w:rPr>
                <w:b/>
                <w:sz w:val="17"/>
              </w:rPr>
              <w:t>7,284</w:t>
            </w:r>
          </w:p>
        </w:tc>
        <w:tc>
          <w:tcPr>
            <w:tcW w:type="dxa" w:w="1440"/>
            <w:shd w:fill="FFDCE0" w:val="clear"/>
          </w:tcPr>
          <w:p>
            <w:r>
              <w:rPr>
                <w:sz w:val="17"/>
              </w:rPr>
              <w:t>7,971</w:t>
            </w:r>
          </w:p>
        </w:tc>
        <w:tc>
          <w:tcPr>
            <w:tcW w:type="dxa" w:w="1440"/>
            <w:shd w:fill="FFDCE0" w:val="clear"/>
          </w:tcPr>
          <w:p>
            <w:r>
              <w:rPr>
                <w:b/>
                <w:color w:val="C00000"/>
                <w:sz w:val="17"/>
              </w:rPr>
              <w:t>-20.0%</w:t>
            </w:r>
          </w:p>
        </w:tc>
      </w:tr>
      <w:tr>
        <w:tc>
          <w:tcPr>
            <w:tcW w:type="dxa" w:w="1440"/>
            <w:shd w:fill="FFDCE0" w:val="clear"/>
          </w:tcPr>
          <w:p>
            <w:r>
              <w:rPr>
                <w:sz w:val="17"/>
              </w:rPr>
              <w:t>J+10  Moyenne</w:t>
            </w:r>
          </w:p>
        </w:tc>
        <w:tc>
          <w:tcPr>
            <w:tcW w:type="dxa" w:w="1440"/>
            <w:shd w:fill="FFDCE0" w:val="clear"/>
          </w:tcPr>
          <w:p>
            <w:r>
              <w:rPr>
                <w:sz w:val="17"/>
              </w:rPr>
              <w:t>2026-08-28</w:t>
            </w:r>
          </w:p>
        </w:tc>
        <w:tc>
          <w:tcPr>
            <w:tcW w:type="dxa" w:w="1440"/>
            <w:shd w:fill="FFDCE0" w:val="clear"/>
          </w:tcPr>
          <w:p>
            <w:r>
              <w:rPr>
                <w:sz w:val="17"/>
              </w:rPr>
              <w:t>6,467</w:t>
            </w:r>
          </w:p>
        </w:tc>
        <w:tc>
          <w:tcPr>
            <w:tcW w:type="dxa" w:w="1440"/>
            <w:shd w:fill="FFDCE0" w:val="clear"/>
          </w:tcPr>
          <w:p>
            <w:r>
              <w:rPr>
                <w:b/>
                <w:sz w:val="17"/>
              </w:rPr>
              <w:t>7,180</w:t>
            </w:r>
          </w:p>
        </w:tc>
        <w:tc>
          <w:tcPr>
            <w:tcW w:type="dxa" w:w="1440"/>
            <w:shd w:fill="FFDCE0" w:val="clear"/>
          </w:tcPr>
          <w:p>
            <w:r>
              <w:rPr>
                <w:sz w:val="17"/>
              </w:rPr>
              <w:t>7,894</w:t>
            </w:r>
          </w:p>
        </w:tc>
        <w:tc>
          <w:tcPr>
            <w:tcW w:type="dxa" w:w="1440"/>
            <w:shd w:fill="FFDCE0" w:val="clear"/>
          </w:tcPr>
          <w:p>
            <w:r>
              <w:rPr>
                <w:b/>
                <w:color w:val="C00000"/>
                <w:sz w:val="17"/>
              </w:rPr>
              <w:t>-21.1%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SIBC s'établit à 910 milliards FCFA, un niveau qui la positionne parmi les valeurs les plus significatives de la BRVM, reflétant son statut de banque systémique en Côte d'Ivoire. Avec un BPA de 556 FCFA, chaque action génère un bénéfice substantiel, mais le PER de 16,4x indique que les investisseurs paient une prime notable par rapport à la moyenne historique de la BRVM (8-12x). Cette valorisation est confirmée par un P/B de 4,44x, signifiant que le marché valorise l'actif net comptable à plus de quatre fois sa valeur, une prime exigeante qui traduit des attentes élevées de croissance future. L'EV/EBITDA de 15,2x renforce cette lecture d'une valorisation riche, où la valeur totale de l'entreprise (capitaux propres plus dettes) représente plus de quinze fois sa capacité opérationnelle. Ces ratios suggèrent que le marché intègre déjà des performances solides et durables, laissant peu de marge d'erreur en cas de déception.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SIBC affiche une progression remarquable de +28,62%, passant d'un plus bas de 6 805 FCFA à un plus haut de 9 500 FCFA, avec un cours actuel de 9 100 FCFA. La dernière séance montre un léger repli de -0,22%, suggérant une consolidation après une forte ascension. La moyenne du cours sur la période (8 087 FCFA) est inférieure à la médiane (8 650 FCFA), indiquant une distribution légèrement asymétrique où les valeurs hautes ont dominé la seconde moitié de la période. L'écart-type de 908 FCFA (CV=11,2%) révèle une dispersion modérée, tandis que le kurtosis négatif (-1,742) signale une distribution platykurtique, c'est-à-dire une faible concentration des extrêmes et donc un risque de mouvements brusques limité. Le skewness de -0,184 confirme une quasi-symétrie. La volatilité annualisée de 28,5% classe le titre dans la catégorie modérée (15-30%), reflétant une certaine stabilité relative dans un contexte de tendance haussière marquée.</w:t>
      </w:r>
    </w:p>
    <w:p>
      <w:pPr>
        <w:spacing w:after="120" w:line="276" w:lineRule="auto" w:before="240"/>
      </w:pPr>
      <w:r>
        <w:rPr>
          <w:b/>
          <w:color w:val="003366"/>
          <w:sz w:val="24"/>
        </w:rPr>
        <w:t>**PARTIE 2 : ANALYSE TECHNIQUE DÉTAILLÉE**</w:t>
      </w:r>
    </w:p>
    <w:p>
      <w:pPr>
        <w:spacing w:after="120" w:line="276" w:lineRule="auto"/>
      </w:pPr>
      <w:r>
        <w:t>**Moyennes Mobiles** : La MM20 à 8 997 FCFA et la MM50 à 8 912 FCFA sont toutes deux inférieures au cours actuel de 9 100 FCFA, confirmant une dynamique haussière. Le croisement des moyennes mobiles avec le prix soutient la décision d'ACHAT, car le titre évolue au-dessus de ses supports dynamiques, indiquant une pression acheteuse persistante.</w:t>
      </w:r>
    </w:p>
    <w:p>
      <w:pPr>
        <w:spacing w:after="120" w:line="276" w:lineRule="auto"/>
      </w:pPr>
      <w:r>
        <w:t>**Bandes de Bollinger** : Le cours se situe à 9 100 FCFA, entre la borne supérieure (9 491,7 FCFA) et la borne inférieure (8 502,3 FCFA). La position médiane du prix dans les bandes suggère une volatilité normale sans excès, justifiant une décision NEUTRE. L'écart entre les bornes (environ 989 FCFA) reflète une volatilité modérée, cohérente avec la volatilité annualisée de 28,5%.</w:t>
      </w:r>
    </w:p>
    <w:p>
      <w:pPr>
        <w:spacing w:after="120" w:line="276" w:lineRule="auto"/>
      </w:pPr>
      <w:r>
        <w:t>**MACD** : La valeur du MACD (124,3) est supérieure à son signal (112,0), indiquant un momentum haussier positif. Cette configuration, où la ligne MACD est au-dessus de la ligne de signal, confirme la poursuite de la tendance haussière et justifie la décision d'ACHAT. L'écart positif entre les deux lignes suggère une accélération du mouvement.</w:t>
      </w:r>
    </w:p>
    <w:p>
      <w:pPr>
        <w:spacing w:after="120" w:line="276" w:lineRule="auto"/>
      </w:pPr>
      <w:r>
        <w:t>**RSI** : Le RSI à 58,8 se situe dans la zone neutre (30-70), sans signal de surachat ni de survente. Cette valeur indique que le titre dispose encore d'un potentiel haussier sans être surchauffé, justifiant une décision NEUTRE. Le RSI n'émet pas de signal directionnel fort, laissant place à une poursuite de la tendance.</w:t>
      </w:r>
    </w:p>
    <w:p>
      <w:pPr>
        <w:spacing w:after="120" w:line="276" w:lineRule="auto"/>
      </w:pPr>
      <w:r>
        <w:t>**Stochastique** : Le %K (50,0) est inférieur au %D (68,4), indiquant un croisement baissier potentiel à court terme. Cette configuration suggère un essoufflement du momentum haussier, justifiant une décision NEUTRE. Le %K en dessous du %D pourrait signaler un repli technique à venir, mais sans confirmation forte.</w:t>
      </w:r>
    </w:p>
    <w:p>
      <w:pPr>
        <w:spacing w:after="120" w:line="276" w:lineRule="auto"/>
      </w:pPr>
      <w:r>
        <w:t>**Conclusion technique** : La convergence des indicateurs (MM, MACD) vers des signaux d'achat, combinée à des indicateurs neutres (Bollinger, RSI, Stochastique), suggère une tendance haussière solide mais en phase de consolidation. Le titre pourrait connaître un léger repli technique avant de reprendre sa progression, mais la tendance de fond reste positive.</w:t>
      </w:r>
    </w:p>
    <w:p>
      <w:pPr>
        <w:spacing w:after="120" w:line="276" w:lineRule="auto" w:before="240"/>
      </w:pPr>
      <w:r>
        <w:rPr>
          <w:b/>
          <w:color w:val="003366"/>
          <w:sz w:val="24"/>
        </w:rPr>
        <w:t>**PARTIE 3 : ANALYSE FONDAMENTALE (SECTION CRITIQUE)**</w:t>
      </w:r>
    </w:p>
    <w:p>
      <w:pPr>
        <w:spacing w:after="120" w:line="276" w:lineRule="auto"/>
      </w:pPr>
      <w:r>
        <w:t>En 2025, SIBC affiche des fondamentaux solides avec un Produit Net Bancaire de 108,663 milliards FCFA et un résultat net de 55,623 milliards FCFA, représentant une marge nette exceptionnelle de 51,2%. Le ROE de 27,2% dépasse largement le seuil d'excellence de 15%, tandis que le ROA de 2,96% témoigne d'une utilisation efficace des actifs. Le coefficient d'exploitation de 38,6% est remarquable, indiquant une banque très efficace dans sa gestion des charges. Le coût du risque, bien que non quantifiable précisément, semble maîtrisé avec des provisions de 14,1 milliards FCFA. Le ratio dépôts/crédits est sain : les dépôts clientèle (1 503 milliards FCFA) couvrent largement les créances (1 226 milliards FCFA), assurant une liquidité confortable. Les rapports trimestriels confirment cette dynamique : le T1 2026 montre un PNB de 27,7 milliards FCFA (+4% vs T1 2025) et un résultat net de 15,2 milliards FCFA (+11%), tandis que le T3 2025 cumulait déjà un PNB de 81,4 milliards FCFA (+8%) et un résultat net de 43 milliards FCFA (+11%). Sur la base de ces tendances, on estime que l'exercice 2026 devrait voir le PNB dépasser 112 milliards FCFA et le résultat net atteindre environ 58-60 milliards FCFA, confirmant la trajectoire de croissance régulière de la banque, portée par le plan stratégique « IMPULSION 2028 ».</w:t>
      </w:r>
    </w:p>
    <w:p>
      <w:pPr>
        <w:spacing w:after="120" w:line="276" w:lineRule="auto" w:before="240"/>
      </w:pPr>
      <w:r>
        <w:rPr>
          <w:b/>
          <w:color w:val="003366"/>
          <w:sz w:val="24"/>
        </w:rPr>
        <w:t>**PARTIE 4 : CONCLUSION D'INVESTISSEMENT**</w:t>
      </w:r>
    </w:p>
    <w:p>
      <w:pPr>
        <w:spacing w:after="120" w:line="276" w:lineRule="auto"/>
      </w:pPr>
      <w:r>
        <w:t>La valorisation de SIBC (PER 16,4x, P/B 4,44x, EV/EBITDA 15,2x) indique une prime significative par rapport au marché BRVM, reflétant des attentes élevées mais potentiellement justifiées par la qualité des fondamentaux. Le comportement du cours sur 100 jours (+28,6%) montre une tendance haussière robuste avec une volatilité modérée (28,5%) et une distribution statistique saine (kurtosis platykurtique, skewness symétrique). Les signaux techniques convergent vers une poursuite de la tendance haussière, avec des indicateurs d'achat (MM, MACD) et des indicateurs neutres (Bollinger, RSI, Stochastique) suggérant une consolidation avant reprise. Les fondamentaux sont excellents : ROE de 27,2%, marge nette de 51,2%, coefficient d'exploitation de 38,6%, et une croissance soutenue du résultat net (+11% au T1 2026). Les prédictions IA pour les 10 prochains jours (8 764 à 7 821 FCFA) indiquent un repli technique à court terme, contredisant légèrement la tendance haussière mais offrant potentiellement un point d'entrée. Recommandation finale : **CONSERVER** pour les investisseurs déjà positionnés, avec un niveau de confiance **Moyen** et un risque global **Moyen**. L'horizon d'investissement optimal est le **moyen terme (3-12 mois)**, permettant de bénéficier de la croissance des bénéfices et d'une éventuelle correction technique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5.63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96 titres</w:t>
            </w:r>
          </w:p>
        </w:tc>
        <w:tc>
          <w:tcPr>
            <w:tcW w:type="dxa" w:w="2268"/>
            <w:shd w:fill="FFF2CC" w:val="clear"/>
          </w:tcPr>
          <w:p>
            <w:r>
              <w:rPr>
                <w:b/>
                <w:color w:val="503200"/>
                <w:sz w:val="16"/>
              </w:rPr>
              <w:t xml:space="preserve">Cours actuel : </w:t>
            </w:r>
            <w:r>
              <w:rPr>
                <w:color w:val="000000"/>
                <w:sz w:val="17"/>
              </w:rPr>
              <w:t>9,380 FCFA</w:t>
            </w:r>
          </w:p>
          <w:p>
            <w:r>
              <w:rPr>
                <w:b/>
                <w:color w:val="503200"/>
                <w:sz w:val="16"/>
              </w:rPr>
              <w:t xml:space="preserve">Var. 100 jours : </w:t>
            </w:r>
            <w:r>
              <w:rPr>
                <w:b/>
                <w:color w:val="007800"/>
                <w:sz w:val="17"/>
              </w:rPr>
              <w:t>+129.06%</w:t>
            </w:r>
          </w:p>
          <w:p>
            <w:r>
              <w:rPr>
                <w:b/>
                <w:color w:val="503200"/>
                <w:sz w:val="16"/>
              </w:rPr>
              <w:t xml:space="preserve">Plus haut 100j : </w:t>
            </w:r>
            <w:r>
              <w:rPr>
                <w:color w:val="000000"/>
                <w:sz w:val="17"/>
              </w:rPr>
              <w:t>9,380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57.7%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35.6/100 → Moyen</w:t>
      </w:r>
    </w:p>
    <w:p>
      <w:pPr>
        <w:spacing w:before="40" w:after="80"/>
      </w:pPr>
      <w:r>
        <w:rPr>
          <w:rFonts w:ascii="Courier New" w:hAnsi="Courier New"/>
          <w:color w:val="825A00"/>
          <w:sz w:val="18"/>
        </w:rPr>
        <w:t>███████░░░░░░░░░░░░░  35.6/100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21.65% (Élevée) — μ=4,809 FCFA, σ=1,041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β=0.0617 (Défensif) — Cov=0.000002, Var(idx)=0.000036, ρ=0.010,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96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σ_j=3.63%/j (Modérée) — Vol. annualisée≈57.7%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2026-08-14</w:t>
            </w:r>
          </w:p>
        </w:tc>
        <w:tc>
          <w:tcPr>
            <w:tcW w:type="dxa" w:w="1440"/>
            <w:shd w:fill="FFDCE0" w:val="clear"/>
          </w:tcPr>
          <w:p>
            <w:r>
              <w:rPr>
                <w:sz w:val="17"/>
              </w:rPr>
              <w:t>8,519</w:t>
            </w:r>
          </w:p>
        </w:tc>
        <w:tc>
          <w:tcPr>
            <w:tcW w:type="dxa" w:w="1440"/>
            <w:shd w:fill="FFDCE0" w:val="clear"/>
          </w:tcPr>
          <w:p>
            <w:r>
              <w:rPr>
                <w:b/>
                <w:sz w:val="17"/>
              </w:rPr>
              <w:t>9,165</w:t>
            </w:r>
          </w:p>
        </w:tc>
        <w:tc>
          <w:tcPr>
            <w:tcW w:type="dxa" w:w="1440"/>
            <w:shd w:fill="FFDCE0" w:val="clear"/>
          </w:tcPr>
          <w:p>
            <w:r>
              <w:rPr>
                <w:sz w:val="17"/>
              </w:rPr>
              <w:t>9,811</w:t>
            </w:r>
          </w:p>
        </w:tc>
        <w:tc>
          <w:tcPr>
            <w:tcW w:type="dxa" w:w="1440"/>
            <w:shd w:fill="FFDCE0" w:val="clear"/>
          </w:tcPr>
          <w:p>
            <w:r>
              <w:rPr>
                <w:b/>
                <w:color w:val="C00000"/>
                <w:sz w:val="17"/>
              </w:rPr>
              <w:t>-2.3%</w:t>
            </w:r>
          </w:p>
        </w:tc>
      </w:tr>
      <w:tr>
        <w:tc>
          <w:tcPr>
            <w:tcW w:type="dxa" w:w="1440"/>
            <w:shd w:fill="FAFAFA" w:val="clear"/>
          </w:tcPr>
          <w:p>
            <w:r>
              <w:rPr>
                <w:sz w:val="17"/>
              </w:rPr>
              <w:t>J+2  ⭐</w:t>
            </w:r>
          </w:p>
        </w:tc>
        <w:tc>
          <w:tcPr>
            <w:tcW w:type="dxa" w:w="1440"/>
            <w:shd w:fill="FAFAFA" w:val="clear"/>
          </w:tcPr>
          <w:p>
            <w:r>
              <w:rPr>
                <w:sz w:val="17"/>
              </w:rPr>
              <w:t>2026-08-17</w:t>
            </w:r>
          </w:p>
        </w:tc>
        <w:tc>
          <w:tcPr>
            <w:tcW w:type="dxa" w:w="1440"/>
            <w:shd w:fill="FAFAFA" w:val="clear"/>
          </w:tcPr>
          <w:p>
            <w:r>
              <w:rPr>
                <w:sz w:val="17"/>
              </w:rPr>
              <w:t>8,285</w:t>
            </w:r>
          </w:p>
        </w:tc>
        <w:tc>
          <w:tcPr>
            <w:tcW w:type="dxa" w:w="1440"/>
            <w:shd w:fill="FAFAFA" w:val="clear"/>
          </w:tcPr>
          <w:p>
            <w:r>
              <w:rPr>
                <w:b/>
                <w:sz w:val="17"/>
              </w:rPr>
              <w:t>9,202</w:t>
            </w:r>
          </w:p>
        </w:tc>
        <w:tc>
          <w:tcPr>
            <w:tcW w:type="dxa" w:w="1440"/>
            <w:shd w:fill="FAFAFA" w:val="clear"/>
          </w:tcPr>
          <w:p>
            <w:r>
              <w:rPr>
                <w:sz w:val="17"/>
              </w:rPr>
              <w:t>10,119</w:t>
            </w:r>
          </w:p>
        </w:tc>
        <w:tc>
          <w:tcPr>
            <w:tcW w:type="dxa" w:w="1440"/>
            <w:shd w:fill="FAFAFA" w:val="clear"/>
          </w:tcPr>
          <w:p>
            <w:r>
              <w:rPr>
                <w:b/>
                <w:color w:val="C00000"/>
                <w:sz w:val="17"/>
              </w:rPr>
              <w:t>-1.9%</w:t>
            </w:r>
          </w:p>
        </w:tc>
      </w:tr>
      <w:tr>
        <w:tc>
          <w:tcPr>
            <w:tcW w:type="dxa" w:w="1440"/>
            <w:shd w:fill="FFDCE0" w:val="clear"/>
          </w:tcPr>
          <w:p>
            <w:r>
              <w:rPr>
                <w:sz w:val="17"/>
              </w:rPr>
              <w:t>J+3  ⭐</w:t>
            </w:r>
          </w:p>
        </w:tc>
        <w:tc>
          <w:tcPr>
            <w:tcW w:type="dxa" w:w="1440"/>
            <w:shd w:fill="FFDCE0" w:val="clear"/>
          </w:tcPr>
          <w:p>
            <w:r>
              <w:rPr>
                <w:sz w:val="17"/>
              </w:rPr>
              <w:t>2026-08-18</w:t>
            </w:r>
          </w:p>
        </w:tc>
        <w:tc>
          <w:tcPr>
            <w:tcW w:type="dxa" w:w="1440"/>
            <w:shd w:fill="FFDCE0" w:val="clear"/>
          </w:tcPr>
          <w:p>
            <w:r>
              <w:rPr>
                <w:sz w:val="17"/>
              </w:rPr>
              <w:t>7,977</w:t>
            </w:r>
          </w:p>
        </w:tc>
        <w:tc>
          <w:tcPr>
            <w:tcW w:type="dxa" w:w="1440"/>
            <w:shd w:fill="FFDCE0" w:val="clear"/>
          </w:tcPr>
          <w:p>
            <w:r>
              <w:rPr>
                <w:b/>
                <w:sz w:val="17"/>
              </w:rPr>
              <w:t>9,086</w:t>
            </w:r>
          </w:p>
        </w:tc>
        <w:tc>
          <w:tcPr>
            <w:tcW w:type="dxa" w:w="1440"/>
            <w:shd w:fill="FFDCE0" w:val="clear"/>
          </w:tcPr>
          <w:p>
            <w:r>
              <w:rPr>
                <w:sz w:val="17"/>
              </w:rPr>
              <w:t>10,195</w:t>
            </w:r>
          </w:p>
        </w:tc>
        <w:tc>
          <w:tcPr>
            <w:tcW w:type="dxa" w:w="1440"/>
            <w:shd w:fill="FFDCE0" w:val="clear"/>
          </w:tcPr>
          <w:p>
            <w:r>
              <w:rPr>
                <w:b/>
                <w:color w:val="C00000"/>
                <w:sz w:val="17"/>
              </w:rPr>
              <w:t>-3.1%</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7,667</w:t>
            </w:r>
          </w:p>
        </w:tc>
        <w:tc>
          <w:tcPr>
            <w:tcW w:type="dxa" w:w="1440"/>
            <w:shd w:fill="FFDCE0" w:val="clear"/>
          </w:tcPr>
          <w:p>
            <w:r>
              <w:rPr>
                <w:b/>
                <w:sz w:val="17"/>
              </w:rPr>
              <w:t>8,925</w:t>
            </w:r>
          </w:p>
        </w:tc>
        <w:tc>
          <w:tcPr>
            <w:tcW w:type="dxa" w:w="1440"/>
            <w:shd w:fill="FFDCE0" w:val="clear"/>
          </w:tcPr>
          <w:p>
            <w:r>
              <w:rPr>
                <w:sz w:val="17"/>
              </w:rPr>
              <w:t>10,183</w:t>
            </w:r>
          </w:p>
        </w:tc>
        <w:tc>
          <w:tcPr>
            <w:tcW w:type="dxa" w:w="1440"/>
            <w:shd w:fill="FFDCE0" w:val="clear"/>
          </w:tcPr>
          <w:p>
            <w:r>
              <w:rPr>
                <w:b/>
                <w:color w:val="C00000"/>
                <w:sz w:val="17"/>
              </w:rPr>
              <w:t>-4.9%</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7,364</w:t>
            </w:r>
          </w:p>
        </w:tc>
        <w:tc>
          <w:tcPr>
            <w:tcW w:type="dxa" w:w="1440"/>
            <w:shd w:fill="FFDCE0" w:val="clear"/>
          </w:tcPr>
          <w:p>
            <w:r>
              <w:rPr>
                <w:b/>
                <w:sz w:val="17"/>
              </w:rPr>
              <w:t>8,741</w:t>
            </w:r>
          </w:p>
        </w:tc>
        <w:tc>
          <w:tcPr>
            <w:tcW w:type="dxa" w:w="1440"/>
            <w:shd w:fill="FFDCE0" w:val="clear"/>
          </w:tcPr>
          <w:p>
            <w:r>
              <w:rPr>
                <w:sz w:val="17"/>
              </w:rPr>
              <w:t>10,119</w:t>
            </w:r>
          </w:p>
        </w:tc>
        <w:tc>
          <w:tcPr>
            <w:tcW w:type="dxa" w:w="1440"/>
            <w:shd w:fill="FFDCE0" w:val="clear"/>
          </w:tcPr>
          <w:p>
            <w:r>
              <w:rPr>
                <w:b/>
                <w:color w:val="C00000"/>
                <w:sz w:val="17"/>
              </w:rPr>
              <w:t>-6.8%</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7,071</w:t>
            </w:r>
          </w:p>
        </w:tc>
        <w:tc>
          <w:tcPr>
            <w:tcW w:type="dxa" w:w="1440"/>
            <w:shd w:fill="FFDCE0" w:val="clear"/>
          </w:tcPr>
          <w:p>
            <w:r>
              <w:rPr>
                <w:b/>
                <w:sz w:val="17"/>
              </w:rPr>
              <w:t>8,546</w:t>
            </w:r>
          </w:p>
        </w:tc>
        <w:tc>
          <w:tcPr>
            <w:tcW w:type="dxa" w:w="1440"/>
            <w:shd w:fill="FFDCE0" w:val="clear"/>
          </w:tcPr>
          <w:p>
            <w:r>
              <w:rPr>
                <w:sz w:val="17"/>
              </w:rPr>
              <w:t>10,021</w:t>
            </w:r>
          </w:p>
        </w:tc>
        <w:tc>
          <w:tcPr>
            <w:tcW w:type="dxa" w:w="1440"/>
            <w:shd w:fill="FFDCE0" w:val="clear"/>
          </w:tcPr>
          <w:p>
            <w:r>
              <w:rPr>
                <w:b/>
                <w:color w:val="C00000"/>
                <w:sz w:val="17"/>
              </w:rPr>
              <w:t>-8.9%</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6,789</w:t>
            </w:r>
          </w:p>
        </w:tc>
        <w:tc>
          <w:tcPr>
            <w:tcW w:type="dxa" w:w="1440"/>
            <w:shd w:fill="FFDCE0" w:val="clear"/>
          </w:tcPr>
          <w:p>
            <w:r>
              <w:rPr>
                <w:b/>
                <w:sz w:val="17"/>
              </w:rPr>
              <w:t>8,345</w:t>
            </w:r>
          </w:p>
        </w:tc>
        <w:tc>
          <w:tcPr>
            <w:tcW w:type="dxa" w:w="1440"/>
            <w:shd w:fill="FFDCE0" w:val="clear"/>
          </w:tcPr>
          <w:p>
            <w:r>
              <w:rPr>
                <w:sz w:val="17"/>
              </w:rPr>
              <w:t>9,901</w:t>
            </w:r>
          </w:p>
        </w:tc>
        <w:tc>
          <w:tcPr>
            <w:tcW w:type="dxa" w:w="1440"/>
            <w:shd w:fill="FFDCE0" w:val="clear"/>
          </w:tcPr>
          <w:p>
            <w:r>
              <w:rPr>
                <w:b/>
                <w:color w:val="C00000"/>
                <w:sz w:val="17"/>
              </w:rPr>
              <w:t>-11.0%</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6,522</w:t>
            </w:r>
          </w:p>
        </w:tc>
        <w:tc>
          <w:tcPr>
            <w:tcW w:type="dxa" w:w="1440"/>
            <w:shd w:fill="FFDCE0" w:val="clear"/>
          </w:tcPr>
          <w:p>
            <w:r>
              <w:rPr>
                <w:b/>
                <w:sz w:val="17"/>
              </w:rPr>
              <w:t>8,146</w:t>
            </w:r>
          </w:p>
        </w:tc>
        <w:tc>
          <w:tcPr>
            <w:tcW w:type="dxa" w:w="1440"/>
            <w:shd w:fill="FFDCE0" w:val="clear"/>
          </w:tcPr>
          <w:p>
            <w:r>
              <w:rPr>
                <w:sz w:val="17"/>
              </w:rPr>
              <w:t>9,769</w:t>
            </w:r>
          </w:p>
        </w:tc>
        <w:tc>
          <w:tcPr>
            <w:tcW w:type="dxa" w:w="1440"/>
            <w:shd w:fill="FFDCE0" w:val="clear"/>
          </w:tcPr>
          <w:p>
            <w:r>
              <w:rPr>
                <w:b/>
                <w:color w:val="C00000"/>
                <w:sz w:val="17"/>
              </w:rPr>
              <w:t>-13.2%</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6,269</w:t>
            </w:r>
          </w:p>
        </w:tc>
        <w:tc>
          <w:tcPr>
            <w:tcW w:type="dxa" w:w="1440"/>
            <w:shd w:fill="FFDCE0" w:val="clear"/>
          </w:tcPr>
          <w:p>
            <w:r>
              <w:rPr>
                <w:b/>
                <w:sz w:val="17"/>
              </w:rPr>
              <w:t>7,950</w:t>
            </w:r>
          </w:p>
        </w:tc>
        <w:tc>
          <w:tcPr>
            <w:tcW w:type="dxa" w:w="1440"/>
            <w:shd w:fill="FFDCE0" w:val="clear"/>
          </w:tcPr>
          <w:p>
            <w:r>
              <w:rPr>
                <w:sz w:val="17"/>
              </w:rPr>
              <w:t>9,631</w:t>
            </w:r>
          </w:p>
        </w:tc>
        <w:tc>
          <w:tcPr>
            <w:tcW w:type="dxa" w:w="1440"/>
            <w:shd w:fill="FFDCE0" w:val="clear"/>
          </w:tcPr>
          <w:p>
            <w:r>
              <w:rPr>
                <w:b/>
                <w:color w:val="C00000"/>
                <w:sz w:val="17"/>
              </w:rPr>
              <w:t>-15.2%</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6,032</w:t>
            </w:r>
          </w:p>
        </w:tc>
        <w:tc>
          <w:tcPr>
            <w:tcW w:type="dxa" w:w="1440"/>
            <w:shd w:fill="FFDCE0" w:val="clear"/>
          </w:tcPr>
          <w:p>
            <w:r>
              <w:rPr>
                <w:b/>
                <w:sz w:val="17"/>
              </w:rPr>
              <w:t>7,761</w:t>
            </w:r>
          </w:p>
        </w:tc>
        <w:tc>
          <w:tcPr>
            <w:tcW w:type="dxa" w:w="1440"/>
            <w:shd w:fill="FFDCE0" w:val="clear"/>
          </w:tcPr>
          <w:p>
            <w:r>
              <w:rPr>
                <w:sz w:val="17"/>
              </w:rPr>
              <w:t>9,491</w:t>
            </w:r>
          </w:p>
        </w:tc>
        <w:tc>
          <w:tcPr>
            <w:tcW w:type="dxa" w:w="1440"/>
            <w:shd w:fill="FFDCE0" w:val="clear"/>
          </w:tcPr>
          <w:p>
            <w:r>
              <w:rPr>
                <w:b/>
                <w:color w:val="C00000"/>
                <w:sz w:val="17"/>
              </w:rPr>
              <w:t>-17.3%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Absolument. Voici un rapport d'analyse professionnel structuré pour l'action SICC (Société Ivoirienne de Coco Râpé)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SICC s'établit à 5,63 milliards FCFA, un niveau modeste qui la classe parmi les petites capitalisations de la BRVM, offrant un profil de risque spécifique. Les ratios de valorisation (BPA, PER, P/B, EV/EBITDA) ne sont pas calculables en raison de l'absence de données financières structurées récentes dans la base, ce qui constitue une limite à l'analyse quantitative. Cependant, en se référant aux derniers rapports disponibles, notamment celui de l'exercice 2023 qui fait état d'un bénéfice net de 19,25 millions FCFA, le BPA implicite serait d'environ 32 FCFA, conduisant à un PER extrêmement élevé et sans signification réelle. Cette situation reflète une décorrélation totale entre le cours actuel et les fondamentaux historiques, suggérant que le marché valorise des perspectives futures ou un scénario spéculatif, plutôt que la performance financière passée.</w:t>
      </w:r>
    </w:p>
    <w:p>
      <w:pPr>
        <w:spacing w:after="120" w:line="276" w:lineRule="auto"/>
      </w:pPr>
      <w:r>
        <w:t>### **PARTIE 1 : ANALYSE DU COURS — STATISTIQUES ET ÉVOLUTION (100 derniers jours)**</w:t>
      </w:r>
    </w:p>
    <w:p>
      <w:pPr>
        <w:spacing w:after="120" w:line="276" w:lineRule="auto"/>
      </w:pPr>
      <w:r>
        <w:t>Sur les 100 derniers jours, l'action SICC a connu une appréciation spectaculaire de +129,06%, avec une dernière séance en hausse de +7,45%, clôturant à 9 380 FCFA. Cette performance s'inscrit dans une tendance fortement haussière, le cours ayant évolué dans une fourchette très large, de 3 765 FCFA (plus bas) à 9 380 FCFA (plus haut). Les statistiques descriptives révèlent une distribution très atypique : la moyenne (4 809 FCFA) est supérieure à la médiane (4 450 FCFA), indiquant une asymétrie positive (skewness de 2.241) où les fortes hausses récentes tirent la moyenne vers le haut. L'écart-type de 1 046 FCFA (CV=21,8%) montre une dispersion modérée, mais le kurtosis élevé (5.307) signale un risque de mouvements extrêmes. La volatilité annualisée de 57,7% est très élevée, caractéristique d'un titre spéculatif à fort risque.</w:t>
      </w:r>
    </w:p>
    <w:p>
      <w:pPr>
        <w:spacing w:after="120" w:line="276" w:lineRule="auto"/>
      </w:pPr>
      <w:r>
        <w:t>### **PARTIE 2 : ANALYSE TECHNIQUE DÉTAILLÉE**</w:t>
      </w:r>
    </w:p>
    <w:p>
      <w:pPr>
        <w:spacing w:after="120" w:line="276" w:lineRule="auto"/>
      </w:pPr>
      <w:r>
        <w:t>**Moyennes Mobiles** : Le cours actuel (9 380 FCFA) est nettement au-dessus de la MM20 (6 476 FCFA) et de la MM50 (5 426 FCFA), confirmant une dynamique haussière à court et moyen terme. La configuration des MM, avec le cours au-dessus, génère un signal d'achat, bien que l'écart important suggère une possible correction à venir.</w:t>
      </w:r>
    </w:p>
    <w:p>
      <w:pPr>
        <w:spacing w:after="120" w:line="276" w:lineRule="auto"/>
      </w:pPr>
      <w:r>
        <w:t>**Bandes de Bollinger** : Le prix a franchi la borne supérieure (8 942 FCFA), ce qui indique une condition de surachat extrême. Historiquement, un tel dépassement est souvent suivi d'un retour vers la moyenne (4 011 FCFA). La décision de "Vente" est donc justifiée par une probabilité statistique de repli.</w:t>
      </w:r>
    </w:p>
    <w:p>
      <w:pPr>
        <w:spacing w:after="120" w:line="276" w:lineRule="auto"/>
      </w:pPr>
      <w:r>
        <w:t>**MACD** : Le MACD (916) est nettement au-dessus de sa ligne de signal (624), indiquant un momentum haussier très fort. Cependant, la valeur élevée du MACD peut également signaler une exubérance excessive. La décision d'achat est basée sur la dynamique actuelle, mais la prudence est de mise.</w:t>
      </w:r>
    </w:p>
    <w:p>
      <w:pPr>
        <w:spacing w:after="120" w:line="276" w:lineRule="auto"/>
      </w:pPr>
      <w:r>
        <w:t>**RSI** : Avec une valeur de 92,2, le RSI est en zone de surachat extrême (au-dessus de 70). Cela signifie que le titre est massivement survendu d'un point de vue technique et qu'un retournement est statistiquement probable. La décision de "Vente" est ici très claire.</w:t>
      </w:r>
    </w:p>
    <w:p>
      <w:pPr>
        <w:spacing w:after="120" w:line="276" w:lineRule="auto"/>
      </w:pPr>
      <w:r>
        <w:t>**Stochastique** : Les valeurs %K et %D sont toutes deux à 100, confirmant la condition de surachat maximal. Ce niveau extrême ne laisse que peu de place à une poursuite de la hausse à court terme et renforce le signal de vente.</w:t>
      </w:r>
    </w:p>
    <w:p>
      <w:pPr>
        <w:spacing w:after="120" w:line="276" w:lineRule="auto"/>
      </w:pPr>
      <w:r>
        <w:t>**Conclusion technique** : L'analyse technique est unanime : le titre est en surachat extrême sur tous les indicateurs. La tendance de fond est haussière, mais les signaux de vente à court terme sont très forts, suggérant un risque élevé de correction brutale. La prudence est donc de mise pour un nouvel achat à ces niveaux.</w:t>
      </w:r>
    </w:p>
    <w:p>
      <w:pPr>
        <w:spacing w:after="120" w:line="276" w:lineRule="auto"/>
      </w:pPr>
      <w:r>
        <w:t>### **PARTIE 3 : ANALYSE FONDAMENTALE (SECTION CRITIQUE)**</w:t>
      </w:r>
    </w:p>
    <w:p>
      <w:pPr>
        <w:spacing w:after="120" w:line="276" w:lineRule="auto"/>
      </w:pPr>
      <w:r>
        <w:t>L'analyse fondamentale s'appuie sur les rapports annuels disponibles, datant de l'exercice 2023 (publié en 2024). **En 2023**, la SICOR a réalisé un chiffre d'affaires de 701 millions FCFA, en forte baisse de 38,4% par rapport à 2022 (1 138 millions FCFA). Malgré cette chute, la société a renoué avec les bénéfices, affichant un résultat net positif de 19,25 millions FCFA, contre une perte de -39,9 millions FCFA en 2022. Cette amélioration est principalement due à une réduction drastique des charges (-43,7%). La marge nette reste faible à 2,75%, et le report à nouveau est lourdement déficitaire (-689,86 millions FCFA), ce qui interdit tout dividende. Les rapports plus anciens (2019, 2021) montrent une volatilité extrême des résultats, avec des bénéfices parfois artificiels (reprises de provisions). **Sur la base de ces données**, on estime que la situation financière reste fragile, dépendante de la maîtrise des coûts et de la reprise des volumes. La recommandation fondamentale est de **CONSERVER** avec une grande vigilance, car la solidité financière n'est pas au rendez-vous pour justifier une telle hausse du cours.</w:t>
      </w:r>
    </w:p>
    <w:p>
      <w:pPr>
        <w:spacing w:after="120" w:line="276" w:lineRule="auto"/>
      </w:pPr>
      <w:r>
        <w:t>### **PARTIE 4 : CONCLUSION D'INVESTISSEMENT**</w:t>
      </w:r>
    </w:p>
    <w:p>
      <w:pPr>
        <w:spacing w:after="120" w:line="276" w:lineRule="auto"/>
      </w:pPr>
      <w:r>
        <w:t>La valorisation boursière de SICC est décorrélée des fondamentaux, avec des ratios non calculables et un PER implicite sans signification. Le comportement du cours est extrêmement haussier mais statistiquement dangereux, avec une volatilité très élevée et des indicateurs de distribution anormale (kurtosis, skewness). Les signaux techniques sont en divergence totale : la tendance est haussière, mais tous les oscillateurs (RSI, Stochastique, Bollinger) crient au surachat extrême, annonçant une correction probable. Les fondamentaux, basés sur les rapports de 2023, montrent une entreprise fragile, à peine rentable et sans perspective de dividende. Les prédictions IA pour les 10 prochains jours (baisse de 9 165 à 8 741 FCFA) confirment cette anticipation de correction. En synthèse, la convergence des signaux techniques et des prédictions IA, contrastant avec des fondamentaux faibles, conduit à une recommandation de **VENTE** pour les investisseurs à court terme, avec un niveau de confiance **Moyen** et un risque global **Élevé**. L'horizon d'investissement optimal serait le **court terme (&lt; 3 mois)** pour profiter d'un éventuel rebond après correction, mais il est impératif de surveiller de près les publications financières futures pour ajuster la stratégie.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"Activité en croissance mais rentabilité nette quasi nulle, plombée par les charges financières et un report à nouveau lourdement négatif. Structure fragile, à conserver avec prudence."}</w:t>
      </w:r>
    </w:p>
    <w:p>
      <w:pPr>
        <w:spacing w:before="40"/>
        <w:ind w:left="400"/>
      </w:pPr>
      <w:r>
        <w:rPr>
          <w:sz w:val="18"/>
        </w:rPr>
        <w:t>SICOR (Société Ivoirienne de Coco Râpé) clôture l'exercice 2019 sur un bénéfice net symbolique de 2,35 M FCFA, en très net repli par rapport aux 989 M de 2018 (année dopée par un résultat hors activités ordinaires exceptionnel de +946 M). L'activité progresse pourtant : chiffre d'affaires de 1,86 Md (+33 %) et EBE de 239 M. Le bénéfice est laminé par un résultat financier négatif (-73,7 M) et un résultat HAO négatif (-87 M). Le report à nouveau reste lourdement déficitaire (-881 M) et la trésorerie nette est négative (-62 M). Structure financière fragile malgré des capitaux propres de 2,90 Md.</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'149 millions FCFA', 'resultat_exploitation': '163 millions FCFA', 'excedent_brut_exploitation': '239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0,13 %</w:t>
            </w:r>
          </w:p>
        </w:tc>
        <w:tc>
          <w:tcPr>
            <w:tcW w:type="dxa" w:w="2160"/>
          </w:tcPr>
          <w:p>
            <w:pPr>
              <w:ind w:left="100"/>
            </w:pPr>
            <w:r/>
            <w:r>
              <w:rPr>
                <w:b/>
                <w:sz w:val="16"/>
              </w:rPr>
              <w:t>total_actif</w:t>
              <w:br/>
            </w:r>
            <w:r>
              <w:rPr>
                <w:sz w:val="18"/>
              </w:rPr>
              <w:t>3,93 milliards FCFA</w:t>
            </w:r>
          </w:p>
        </w:tc>
      </w:tr>
      <w:tr>
        <w:tc>
          <w:tcPr>
            <w:tcW w:type="dxa" w:w="2160"/>
          </w:tcPr>
          <w:p>
            <w:r/>
            <w:r>
              <w:rPr>
                <w:b/>
                <w:sz w:val="16"/>
              </w:rPr>
              <w:t>resultat_net</w:t>
              <w:br/>
            </w:r>
            <w:r>
              <w:rPr>
                <w:sz w:val="18"/>
              </w:rPr>
              <w:t>2,35 millions FCFA (bénéfice)</w:t>
            </w:r>
          </w:p>
        </w:tc>
        <w:tc>
          <w:tcPr>
            <w:tcW w:type="dxa" w:w="2160"/>
          </w:tcPr>
          <w:p>
            <w:r/>
            <w:r>
              <w:rPr>
                <w:b/>
                <w:sz w:val="16"/>
              </w:rPr>
              <w:t>capitaux_propres</w:t>
              <w:br/>
            </w:r>
            <w:r>
              <w:rPr>
                <w:sz w:val="18"/>
              </w:rPr>
              <w:t>2,90 milliards FCFA</w:t>
            </w:r>
          </w:p>
        </w:tc>
        <w:tc>
          <w:tcPr>
            <w:tcW w:type="dxa" w:w="2160"/>
          </w:tcPr>
          <w:p>
            <w:r/>
            <w:r>
              <w:rPr>
                <w:b/>
                <w:sz w:val="16"/>
              </w:rPr>
              <w:t>chiffre_affaires</w:t>
              <w:br/>
            </w:r>
            <w:r>
              <w:rPr>
                <w:sz w:val="18"/>
              </w:rPr>
              <w:t>1,86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1,86 Md FCFA, en hausse de 33 %</w:t>
      </w:r>
    </w:p>
    <w:p>
      <w:pPr>
        <w:pStyle w:val="ListBullet"/>
        <w:spacing w:before="20" w:after="20"/>
        <w:ind w:left="700"/>
      </w:pPr>
      <w:r>
        <w:rPr>
          <w:sz w:val="18"/>
        </w:rPr>
        <w:t>EBE 239 M FCFA, résultat d'exploitation 163 M</w:t>
      </w:r>
    </w:p>
    <w:p>
      <w:pPr>
        <w:pStyle w:val="ListBullet"/>
        <w:spacing w:before="20" w:after="20"/>
        <w:ind w:left="700"/>
      </w:pPr>
      <w:r>
        <w:rPr>
          <w:sz w:val="18"/>
        </w:rPr>
        <w:t>Bénéfice net symbolique : 2,35 M FCFA (contre 989 M en 2018, année exceptionnelle)</w:t>
      </w:r>
    </w:p>
    <w:p>
      <w:pPr>
        <w:pStyle w:val="ListBullet"/>
        <w:spacing w:before="20" w:after="20"/>
        <w:ind w:left="700"/>
      </w:pPr>
      <w:r>
        <w:rPr>
          <w:sz w:val="18"/>
        </w:rPr>
        <w:t>Résultat financier négatif (-73,7 M) et HAO négatif (-87 M) érodent le résultat</w:t>
      </w:r>
    </w:p>
    <w:p>
      <w:pPr>
        <w:pStyle w:val="ListBullet"/>
        <w:spacing w:before="20" w:after="20"/>
        <w:ind w:left="700"/>
      </w:pPr>
      <w:r>
        <w:rPr>
          <w:sz w:val="18"/>
        </w:rPr>
        <w:t>Report à nouveau déficitaire : -881 M FCFA</w:t>
      </w:r>
    </w:p>
    <w:p>
      <w:pPr>
        <w:pStyle w:val="ListBullet"/>
        <w:spacing w:before="20" w:after="20"/>
        <w:ind w:left="700"/>
      </w:pPr>
      <w:r>
        <w:rPr>
          <w:sz w:val="18"/>
        </w:rPr>
        <w:t>Trésorerie nette négative : -62 M FCFA</w:t>
      </w:r>
    </w:p>
    <w:p>
      <w:pPr>
        <w:spacing w:before="40"/>
        <w:ind w:left="400"/>
      </w:pPr>
      <w:r>
        <w:rPr>
          <w:b/>
          <w:color w:val="C05000"/>
          <w:sz w:val="18"/>
        </w:rPr>
        <w:t xml:space="preserve">⚠️ Risques : </w:t>
      </w:r>
      <w:r>
        <w:rPr>
          <w:sz w:val="18"/>
        </w:rPr>
        <w:t>["Report à nouveau lourdement négatif (-881 M) interdisant toute distribution", "Résultat financier structurellement négatif (-73,7 M)", "Trésorerie nette négative (-62 M), dépendance aux découverts bancaires", "Bénéfice net très faible, dépendant d'éléments non opérationnels"]</w:t>
      </w:r>
    </w:p>
    <w:p>
      <w:pPr>
        <w:spacing w:before="40"/>
        <w:ind w:left="400"/>
      </w:pPr>
      <w:r>
        <w:rPr>
          <w:b/>
          <w:color w:val="0064A0"/>
          <w:sz w:val="18"/>
        </w:rPr>
        <w:t xml:space="preserve">🔮 Perspectives : </w:t>
      </w:r>
      <w:r>
        <w:rPr>
          <w:sz w:val="18"/>
        </w:rPr>
        <w:t>L'amélioration du chiffre d'affaires et un EBE solide montrent une base d'exploitation saine, mais le redressement passe par la réduction des charges financières et l'apurement du report à nouveau. La rentabilité nette reste trop mince pour reconstituer les fonds propres rapidement.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"Bénéfice en hausse mais de moindre qualité : chute du chiffre d'affaires et de l'EBE, résultat porté par des reprises de provisions non récurrentes. À conserver en surveillant le retour de la dynamique commerciale."}</w:t>
      </w:r>
    </w:p>
    <w:p>
      <w:pPr>
        <w:spacing w:before="40"/>
        <w:ind w:left="400"/>
      </w:pPr>
      <w:r>
        <w:rPr>
          <w:sz w:val="18"/>
        </w:rPr>
        <w:t>SICOR poursuit sur un bénéfice net de 119,2 M FCFA en 2021 (contre 109,8 M en 2020), mais la qualité du résultat se dégrade : le chiffre d'affaires chute de 41 % à 1,38 Md et l'EBE recule à 165 M. Le bénéfice est en réalité soutenu par un résultat financier exceptionnellement positif (+66 M, reprises de provisions financières). Le report à nouveau s'améliore (-769 M) et la trésorerie nette se redresse fortement (-6 M contre -47 M). Bénéfice en partie en trompe-l'oeil.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'164 millions FCFA', 'resultat_financier': '+66 millions FCFA (reprises de provisions)', 'resultat_exploitation': '53 millions FCFA', 'excedent_brut_exploitation': '165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8,63 %</w:t>
            </w:r>
          </w:p>
        </w:tc>
        <w:tc>
          <w:tcPr>
            <w:tcW w:type="dxa" w:w="2160"/>
          </w:tcPr>
          <w:p>
            <w:pPr>
              <w:ind w:left="100"/>
            </w:pPr>
            <w:r/>
            <w:r>
              <w:rPr>
                <w:b/>
                <w:sz w:val="16"/>
              </w:rPr>
              <w:t>total_actif</w:t>
              <w:br/>
            </w:r>
            <w:r>
              <w:rPr>
                <w:sz w:val="18"/>
              </w:rPr>
              <w:t>4,15 milliards FCFA</w:t>
            </w:r>
          </w:p>
        </w:tc>
      </w:tr>
      <w:tr>
        <w:tc>
          <w:tcPr>
            <w:tcW w:type="dxa" w:w="2160"/>
          </w:tcPr>
          <w:p>
            <w:r/>
            <w:r>
              <w:rPr>
                <w:b/>
                <w:sz w:val="16"/>
              </w:rPr>
              <w:t>resultat_net</w:t>
              <w:br/>
            </w:r>
            <w:r>
              <w:rPr>
                <w:sz w:val="18"/>
              </w:rPr>
              <w:t>119,2 millions FCFA (bénéfice)</w:t>
            </w:r>
          </w:p>
        </w:tc>
        <w:tc>
          <w:tcPr>
            <w:tcW w:type="dxa" w:w="2160"/>
          </w:tcPr>
          <w:p>
            <w:r/>
            <w:r>
              <w:rPr>
                <w:b/>
                <w:sz w:val="16"/>
              </w:rPr>
              <w:t>capitaux_propres</w:t>
              <w:br/>
            </w:r>
            <w:r>
              <w:rPr>
                <w:sz w:val="18"/>
              </w:rPr>
              <w:t>3,12 milliards FCFA</w:t>
            </w:r>
          </w:p>
        </w:tc>
        <w:tc>
          <w:tcPr>
            <w:tcW w:type="dxa" w:w="2160"/>
          </w:tcPr>
          <w:p>
            <w:r/>
            <w:r>
              <w:rPr>
                <w:b/>
                <w:sz w:val="16"/>
              </w:rPr>
              <w:t>chiffre_affaires</w:t>
              <w:br/>
            </w:r>
            <w:r>
              <w:rPr>
                <w:sz w:val="18"/>
              </w:rPr>
              <w:t>1,38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 1,38 Md FCFA (-41 %)</w:t>
      </w:r>
    </w:p>
    <w:p>
      <w:pPr>
        <w:pStyle w:val="ListBullet"/>
        <w:spacing w:before="20" w:after="20"/>
        <w:ind w:left="700"/>
      </w:pPr>
      <w:r>
        <w:rPr>
          <w:sz w:val="18"/>
        </w:rPr>
        <w:t>EBE en recul à 165 M FCFA</w:t>
      </w:r>
    </w:p>
    <w:p>
      <w:pPr>
        <w:pStyle w:val="ListBullet"/>
        <w:spacing w:before="20" w:after="20"/>
        <w:ind w:left="700"/>
      </w:pPr>
      <w:r>
        <w:rPr>
          <w:sz w:val="18"/>
        </w:rPr>
        <w:t>Bénéfice net 119,2 M FCFA (contre 109,8 M en 2020)</w:t>
      </w:r>
    </w:p>
    <w:p>
      <w:pPr>
        <w:pStyle w:val="ListBullet"/>
        <w:spacing w:before="20" w:after="20"/>
        <w:ind w:left="700"/>
      </w:pPr>
      <w:r>
        <w:rPr>
          <w:sz w:val="18"/>
        </w:rPr>
        <w:t>Résultat soutenu par un résultat financier de +66 M (reprises de provisions), non récurrent</w:t>
      </w:r>
    </w:p>
    <w:p>
      <w:pPr>
        <w:pStyle w:val="ListBullet"/>
        <w:spacing w:before="20" w:after="20"/>
        <w:ind w:left="700"/>
      </w:pPr>
      <w:r>
        <w:rPr>
          <w:sz w:val="18"/>
        </w:rPr>
        <w:t>Report à nouveau en amélioration : -769 M FCFA</w:t>
      </w:r>
    </w:p>
    <w:p>
      <w:pPr>
        <w:pStyle w:val="ListBullet"/>
        <w:spacing w:before="20" w:after="20"/>
        <w:ind w:left="700"/>
      </w:pPr>
      <w:r>
        <w:rPr>
          <w:sz w:val="18"/>
        </w:rPr>
        <w:t>Trésorerie nette quasi rétablie : -6 M (contre -47 M)</w:t>
      </w:r>
    </w:p>
    <w:p>
      <w:pPr>
        <w:spacing w:before="40"/>
        <w:ind w:left="400"/>
      </w:pPr>
      <w:r>
        <w:rPr>
          <w:b/>
          <w:color w:val="C05000"/>
          <w:sz w:val="18"/>
        </w:rPr>
        <w:t xml:space="preserve">⚠️ Risques : </w:t>
      </w:r>
      <w:r>
        <w:rPr>
          <w:sz w:val="18"/>
        </w:rPr>
        <w:t>["Chute du chiffre d'affaires (-41 %) et de l'EBE", "Bénéfice dépendant d'éléments financiers non récurrents (+66 M de reprises)", "Report à nouveau encore négatif (-769 M)", "Volatilité forte de l'activité"]</w:t>
      </w:r>
    </w:p>
    <w:p>
      <w:pPr>
        <w:spacing w:before="40"/>
        <w:ind w:left="400"/>
      </w:pPr>
      <w:r>
        <w:rPr>
          <w:b/>
          <w:color w:val="0064A0"/>
          <w:sz w:val="18"/>
        </w:rPr>
        <w:t xml:space="preserve">🔮 Perspectives : </w:t>
      </w:r>
      <w:r>
        <w:rPr>
          <w:sz w:val="18"/>
        </w:rPr>
        <w:t>Le redressement de la trésorerie est net, mais la baisse du chiffre d'affaires et de l'excédent brut d'exploitation fragilise la rentabilité de fond. Le maintien du bénéfice dépendra d'un rebond des volumes plutôt que d'éléments financiers exceptionnels.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21.05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5,679 titres</w:t>
            </w:r>
          </w:p>
        </w:tc>
        <w:tc>
          <w:tcPr>
            <w:tcW w:type="dxa" w:w="2268"/>
            <w:shd w:fill="FFF2CC" w:val="clear"/>
          </w:tcPr>
          <w:p>
            <w:r>
              <w:rPr>
                <w:b/>
                <w:color w:val="503200"/>
                <w:sz w:val="16"/>
              </w:rPr>
              <w:t xml:space="preserve">Cours actuel : </w:t>
            </w:r>
            <w:r>
              <w:rPr>
                <w:color w:val="000000"/>
                <w:sz w:val="17"/>
              </w:rPr>
              <w:t>2,410 FCFA</w:t>
            </w:r>
          </w:p>
          <w:p>
            <w:r>
              <w:rPr>
                <w:b/>
                <w:color w:val="503200"/>
                <w:sz w:val="16"/>
              </w:rPr>
              <w:t xml:space="preserve">Var. 100 jours : </w:t>
            </w:r>
            <w:r>
              <w:rPr>
                <w:b/>
                <w:color w:val="B40000"/>
                <w:sz w:val="17"/>
              </w:rPr>
              <w:t>-10.58%</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52.3%</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11.01% (Moyenne) — μ=2,641 FCFA, σ=291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β=0.4292 (Défensif) — Cov=0.000016, Var(idx)=0.000036, ρ=0.078,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5,679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σ_j=3.30%/j (Modérée) — Vol. annualisée≈52.3%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2026-08-14</w:t>
            </w:r>
          </w:p>
        </w:tc>
        <w:tc>
          <w:tcPr>
            <w:tcW w:type="dxa" w:w="1440"/>
            <w:shd w:fill="FFDCE0" w:val="clear"/>
          </w:tcPr>
          <w:p>
            <w:r>
              <w:rPr>
                <w:sz w:val="17"/>
              </w:rPr>
              <w:t>2,065</w:t>
            </w:r>
          </w:p>
        </w:tc>
        <w:tc>
          <w:tcPr>
            <w:tcW w:type="dxa" w:w="1440"/>
            <w:shd w:fill="FFDCE0" w:val="clear"/>
          </w:tcPr>
          <w:p>
            <w:r>
              <w:rPr>
                <w:b/>
                <w:sz w:val="17"/>
              </w:rPr>
              <w:t>2,229</w:t>
            </w:r>
          </w:p>
        </w:tc>
        <w:tc>
          <w:tcPr>
            <w:tcW w:type="dxa" w:w="1440"/>
            <w:shd w:fill="FFDCE0" w:val="clear"/>
          </w:tcPr>
          <w:p>
            <w:r>
              <w:rPr>
                <w:sz w:val="17"/>
              </w:rPr>
              <w:t>2,394</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2026-08-17</w:t>
            </w:r>
          </w:p>
        </w:tc>
        <w:tc>
          <w:tcPr>
            <w:tcW w:type="dxa" w:w="1440"/>
            <w:shd w:fill="FFDCE0" w:val="clear"/>
          </w:tcPr>
          <w:p>
            <w:r>
              <w:rPr>
                <w:sz w:val="17"/>
              </w:rPr>
              <w:t>1,964</w:t>
            </w:r>
          </w:p>
        </w:tc>
        <w:tc>
          <w:tcPr>
            <w:tcW w:type="dxa" w:w="1440"/>
            <w:shd w:fill="FFDCE0" w:val="clear"/>
          </w:tcPr>
          <w:p>
            <w:r>
              <w:rPr>
                <w:b/>
                <w:sz w:val="17"/>
              </w:rPr>
              <w:t>2,193</w:t>
            </w:r>
          </w:p>
        </w:tc>
        <w:tc>
          <w:tcPr>
            <w:tcW w:type="dxa" w:w="1440"/>
            <w:shd w:fill="FFDCE0" w:val="clear"/>
          </w:tcPr>
          <w:p>
            <w:r>
              <w:rPr>
                <w:sz w:val="17"/>
              </w:rPr>
              <w:t>2,423</w:t>
            </w:r>
          </w:p>
        </w:tc>
        <w:tc>
          <w:tcPr>
            <w:tcW w:type="dxa" w:w="1440"/>
            <w:shd w:fill="FFDCE0" w:val="clear"/>
          </w:tcPr>
          <w:p>
            <w:r>
              <w:rPr>
                <w:b/>
                <w:color w:val="C00000"/>
                <w:sz w:val="17"/>
              </w:rPr>
              <w:t>-9.0%</w:t>
            </w:r>
          </w:p>
        </w:tc>
      </w:tr>
      <w:tr>
        <w:tc>
          <w:tcPr>
            <w:tcW w:type="dxa" w:w="1440"/>
            <w:shd w:fill="FFDCE0" w:val="clear"/>
          </w:tcPr>
          <w:p>
            <w:r>
              <w:rPr>
                <w:sz w:val="17"/>
              </w:rPr>
              <w:t>J+3  ⭐</w:t>
            </w:r>
          </w:p>
        </w:tc>
        <w:tc>
          <w:tcPr>
            <w:tcW w:type="dxa" w:w="1440"/>
            <w:shd w:fill="FFDCE0" w:val="clear"/>
          </w:tcPr>
          <w:p>
            <w:r>
              <w:rPr>
                <w:sz w:val="17"/>
              </w:rPr>
              <w:t>2026-08-18</w:t>
            </w:r>
          </w:p>
        </w:tc>
        <w:tc>
          <w:tcPr>
            <w:tcW w:type="dxa" w:w="1440"/>
            <w:shd w:fill="FFDCE0" w:val="clear"/>
          </w:tcPr>
          <w:p>
            <w:r>
              <w:rPr>
                <w:sz w:val="17"/>
              </w:rPr>
              <w:t>1,874</w:t>
            </w:r>
          </w:p>
        </w:tc>
        <w:tc>
          <w:tcPr>
            <w:tcW w:type="dxa" w:w="1440"/>
            <w:shd w:fill="FFDCE0" w:val="clear"/>
          </w:tcPr>
          <w:p>
            <w:r>
              <w:rPr>
                <w:b/>
                <w:sz w:val="17"/>
              </w:rPr>
              <w:t>2,149</w:t>
            </w:r>
          </w:p>
        </w:tc>
        <w:tc>
          <w:tcPr>
            <w:tcW w:type="dxa" w:w="1440"/>
            <w:shd w:fill="FFDCE0" w:val="clear"/>
          </w:tcPr>
          <w:p>
            <w:r>
              <w:rPr>
                <w:sz w:val="17"/>
              </w:rPr>
              <w:t>2,424</w:t>
            </w:r>
          </w:p>
        </w:tc>
        <w:tc>
          <w:tcPr>
            <w:tcW w:type="dxa" w:w="1440"/>
            <w:shd w:fill="FFDCE0" w:val="clear"/>
          </w:tcPr>
          <w:p>
            <w:r>
              <w:rPr>
                <w:b/>
                <w:color w:val="C00000"/>
                <w:sz w:val="17"/>
              </w:rPr>
              <w:t>-10.8%</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1,790</w:t>
            </w:r>
          </w:p>
        </w:tc>
        <w:tc>
          <w:tcPr>
            <w:tcW w:type="dxa" w:w="1440"/>
            <w:shd w:fill="FFDCE0" w:val="clear"/>
          </w:tcPr>
          <w:p>
            <w:r>
              <w:rPr>
                <w:b/>
                <w:sz w:val="17"/>
              </w:rPr>
              <w:t>2,100</w:t>
            </w:r>
          </w:p>
        </w:tc>
        <w:tc>
          <w:tcPr>
            <w:tcW w:type="dxa" w:w="1440"/>
            <w:shd w:fill="FFDCE0" w:val="clear"/>
          </w:tcPr>
          <w:p>
            <w:r>
              <w:rPr>
                <w:sz w:val="17"/>
              </w:rPr>
              <w:t>2,411</w:t>
            </w:r>
          </w:p>
        </w:tc>
        <w:tc>
          <w:tcPr>
            <w:tcW w:type="dxa" w:w="1440"/>
            <w:shd w:fill="FFDCE0" w:val="clear"/>
          </w:tcPr>
          <w:p>
            <w:r>
              <w:rPr>
                <w:b/>
                <w:color w:val="C00000"/>
                <w:sz w:val="17"/>
              </w:rPr>
              <w:t>-12.8%</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1,713</w:t>
            </w:r>
          </w:p>
        </w:tc>
        <w:tc>
          <w:tcPr>
            <w:tcW w:type="dxa" w:w="1440"/>
            <w:shd w:fill="FFDCE0" w:val="clear"/>
          </w:tcPr>
          <w:p>
            <w:r>
              <w:rPr>
                <w:b/>
                <w:sz w:val="17"/>
              </w:rPr>
              <w:t>2,053</w:t>
            </w:r>
          </w:p>
        </w:tc>
        <w:tc>
          <w:tcPr>
            <w:tcW w:type="dxa" w:w="1440"/>
            <w:shd w:fill="FFDCE0" w:val="clear"/>
          </w:tcPr>
          <w:p>
            <w:r>
              <w:rPr>
                <w:sz w:val="17"/>
              </w:rPr>
              <w:t>2,392</w:t>
            </w:r>
          </w:p>
        </w:tc>
        <w:tc>
          <w:tcPr>
            <w:tcW w:type="dxa" w:w="1440"/>
            <w:shd w:fill="FFDCE0" w:val="clear"/>
          </w:tcPr>
          <w:p>
            <w:r>
              <w:rPr>
                <w:b/>
                <w:color w:val="C00000"/>
                <w:sz w:val="17"/>
              </w:rPr>
              <w:t>-14.8%</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1,643</w:t>
            </w:r>
          </w:p>
        </w:tc>
        <w:tc>
          <w:tcPr>
            <w:tcW w:type="dxa" w:w="1440"/>
            <w:shd w:fill="FFDCE0" w:val="clear"/>
          </w:tcPr>
          <w:p>
            <w:r>
              <w:rPr>
                <w:b/>
                <w:sz w:val="17"/>
              </w:rPr>
              <w:t>2,006</w:t>
            </w:r>
          </w:p>
        </w:tc>
        <w:tc>
          <w:tcPr>
            <w:tcW w:type="dxa" w:w="1440"/>
            <w:shd w:fill="FFDCE0" w:val="clear"/>
          </w:tcPr>
          <w:p>
            <w:r>
              <w:rPr>
                <w:sz w:val="17"/>
              </w:rPr>
              <w:t>2,369</w:t>
            </w:r>
          </w:p>
        </w:tc>
        <w:tc>
          <w:tcPr>
            <w:tcW w:type="dxa" w:w="1440"/>
            <w:shd w:fill="FFDCE0" w:val="clear"/>
          </w:tcPr>
          <w:p>
            <w:r>
              <w:rPr>
                <w:b/>
                <w:color w:val="C00000"/>
                <w:sz w:val="17"/>
              </w:rPr>
              <w:t>-16.8%</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1,578</w:t>
            </w:r>
          </w:p>
        </w:tc>
        <w:tc>
          <w:tcPr>
            <w:tcW w:type="dxa" w:w="1440"/>
            <w:shd w:fill="FFDCE0" w:val="clear"/>
          </w:tcPr>
          <w:p>
            <w:r>
              <w:rPr>
                <w:b/>
                <w:sz w:val="17"/>
              </w:rPr>
              <w:t>1,961</w:t>
            </w:r>
          </w:p>
        </w:tc>
        <w:tc>
          <w:tcPr>
            <w:tcW w:type="dxa" w:w="1440"/>
            <w:shd w:fill="FFDCE0" w:val="clear"/>
          </w:tcPr>
          <w:p>
            <w:r>
              <w:rPr>
                <w:sz w:val="17"/>
              </w:rPr>
              <w:t>2,345</w:t>
            </w:r>
          </w:p>
        </w:tc>
        <w:tc>
          <w:tcPr>
            <w:tcW w:type="dxa" w:w="1440"/>
            <w:shd w:fill="FFDCE0" w:val="clear"/>
          </w:tcPr>
          <w:p>
            <w:r>
              <w:rPr>
                <w:b/>
                <w:color w:val="C00000"/>
                <w:sz w:val="17"/>
              </w:rPr>
              <w:t>-18.6%</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1,517</w:t>
            </w:r>
          </w:p>
        </w:tc>
        <w:tc>
          <w:tcPr>
            <w:tcW w:type="dxa" w:w="1440"/>
            <w:shd w:fill="FFDCE0" w:val="clear"/>
          </w:tcPr>
          <w:p>
            <w:r>
              <w:rPr>
                <w:b/>
                <w:sz w:val="17"/>
              </w:rPr>
              <w:t>1,918</w:t>
            </w:r>
          </w:p>
        </w:tc>
        <w:tc>
          <w:tcPr>
            <w:tcW w:type="dxa" w:w="1440"/>
            <w:shd w:fill="FFDCE0" w:val="clear"/>
          </w:tcPr>
          <w:p>
            <w:r>
              <w:rPr>
                <w:sz w:val="17"/>
              </w:rPr>
              <w:t>2,319</w:t>
            </w:r>
          </w:p>
        </w:tc>
        <w:tc>
          <w:tcPr>
            <w:tcW w:type="dxa" w:w="1440"/>
            <w:shd w:fill="FFDCE0" w:val="clear"/>
          </w:tcPr>
          <w:p>
            <w:r>
              <w:rPr>
                <w:b/>
                <w:color w:val="C00000"/>
                <w:sz w:val="17"/>
              </w:rPr>
              <w:t>-20.4%</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1,460</w:t>
            </w:r>
          </w:p>
        </w:tc>
        <w:tc>
          <w:tcPr>
            <w:tcW w:type="dxa" w:w="1440"/>
            <w:shd w:fill="FFDCE0" w:val="clear"/>
          </w:tcPr>
          <w:p>
            <w:r>
              <w:rPr>
                <w:b/>
                <w:sz w:val="17"/>
              </w:rPr>
              <w:t>1,876</w:t>
            </w:r>
          </w:p>
        </w:tc>
        <w:tc>
          <w:tcPr>
            <w:tcW w:type="dxa" w:w="1440"/>
            <w:shd w:fill="FFDCE0" w:val="clear"/>
          </w:tcPr>
          <w:p>
            <w:r>
              <w:rPr>
                <w:sz w:val="17"/>
              </w:rPr>
              <w:t>2,292</w:t>
            </w:r>
          </w:p>
        </w:tc>
        <w:tc>
          <w:tcPr>
            <w:tcW w:type="dxa" w:w="1440"/>
            <w:shd w:fill="FFDCE0" w:val="clear"/>
          </w:tcPr>
          <w:p>
            <w:r>
              <w:rPr>
                <w:b/>
                <w:color w:val="C00000"/>
                <w:sz w:val="17"/>
              </w:rPr>
              <w:t>-22.1%</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1,407</w:t>
            </w:r>
          </w:p>
        </w:tc>
        <w:tc>
          <w:tcPr>
            <w:tcW w:type="dxa" w:w="1440"/>
            <w:shd w:fill="FFDCE0" w:val="clear"/>
          </w:tcPr>
          <w:p>
            <w:r>
              <w:rPr>
                <w:b/>
                <w:sz w:val="17"/>
              </w:rPr>
              <w:t>1,836</w:t>
            </w:r>
          </w:p>
        </w:tc>
        <w:tc>
          <w:tcPr>
            <w:tcW w:type="dxa" w:w="1440"/>
            <w:shd w:fill="FFDCE0" w:val="clear"/>
          </w:tcPr>
          <w:p>
            <w:r>
              <w:rPr>
                <w:sz w:val="17"/>
              </w:rPr>
              <w:t>2,265</w:t>
            </w:r>
          </w:p>
        </w:tc>
        <w:tc>
          <w:tcPr>
            <w:tcW w:type="dxa" w:w="1440"/>
            <w:shd w:fill="FFDCE0" w:val="clear"/>
          </w:tcPr>
          <w:p>
            <w:r>
              <w:rPr>
                <w:b/>
                <w:color w:val="C00000"/>
                <w:sz w:val="17"/>
              </w:rPr>
              <w:t>-23.8%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Absolument. Voici un rapport d'analyse structuré et professionnel pour l'action SIVC (désormais ERIUM CI)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21,05 milliards FCFA positionne SIVC comme une valeur de taille moyenne sur la BRVM. Le BPA de 43 FCFA est faible, ce qui explique un PER de 55,8x, extrêmement élevé par rapport à la moyenne du marché (8-12x). Les investisseurs paient donc un prix très élevé pour chaque franc de bénéfice, signe d'une valorisation très exigeante. Le P/B de 6,43x confirme cette prime, le marché valorisant l'actif net comptable plus de six fois sa valeur. Enfin, un EV/EBITDA de 17,5x (&gt;15x) indique que la valeur d'entreprise est également très chère par rapport à sa capacité opérationnelle. L'ensemble de ces ratios suggère une surévaluation significative du titre, qui ne laisse que peu de marge de sécurité pour l'investisseur.</w:t>
      </w:r>
    </w:p>
    <w:p>
      <w:pPr>
        <w:spacing w:after="120" w:line="276" w:lineRule="auto"/>
      </w:pPr>
      <w:r>
        <w:t>### PARTIE 1 : ANALYSE DU COURS — STATISTIQUES ET ÉVOLUTION (100 derniers jours)</w:t>
      </w:r>
    </w:p>
    <w:p>
      <w:pPr>
        <w:spacing w:after="120" w:line="276" w:lineRule="auto"/>
      </w:pPr>
      <w:r>
        <w:t>Sur les 100 derniers jours, l'action SIVC a enregistré une baisse de -10,58%, avec une légère hausse de +0,42% lors de la dernière séance. Le titre a évolué dans une fourchette très large, entre un plus bas de 1 920 FCFA et un plus haut de 3 215 FCFA, illustrant une forte amplitude de trading. La moyenne du cours (2 641 FCFA) est inférieure à la médiane (2 762 FCFA), et le skewness négatif (-0.623) confirme une asymétrie avec des journées plus nombreuses au-dessus de la moyenne, mais des baisses plus marquées. L'écart-type de 292 FCFA (CV=11,1%) montre une dispersion modérée, tandis que le kurtosis de -0.686 (mésokurtique) indique une distribution proche de la normale, sans risque de pics extrêmes. La volatilité annualisée de 52,3% est très élevée, classant le titre comme spéculatif et risqué.</w:t>
      </w:r>
    </w:p>
    <w:p>
      <w:pPr>
        <w:spacing w:after="120" w:line="276" w:lineRule="auto"/>
      </w:pPr>
      <w:r>
        <w:t>### PARTIE 2 : ANALYSE TECHNIQUE DÉTAILLÉE</w:t>
      </w:r>
    </w:p>
    <w:p>
      <w:pPr>
        <w:spacing w:after="120" w:line="276" w:lineRule="auto"/>
      </w:pPr>
      <w:r>
        <w:t>**Moyennes Mobiles:** Le cours actuel (2 410 FCFA) se situe entre la MM20 (2 252 FCFA) et la MM50 (2 434 FCFA). Le fait que la MM20 soit inférieure à la MM50 signale une tendance de fond baissière, et le signal global de "Vente" est cohérent avec cette configuration, bien que le cours tente de se rapprocher de la MM50.</w:t>
      </w:r>
    </w:p>
    <w:p>
      <w:pPr>
        <w:spacing w:after="120" w:line="276" w:lineRule="auto"/>
      </w:pPr>
      <w:r>
        <w:t>**Bandes de Bollinger:** Le prix est positionné près de la borne supérieure (2 454 FCFA) après un rebond depuis la borne inférieure (2 050 FCFA). Cette remontée rapide indique une volatilité accrue. La décision "Neutre" est justifiée, car le cours est dans la moitié supérieure des bandes, mais sans sortie franche, ce qui ne confirme pas une tendance claire.</w:t>
      </w:r>
    </w:p>
    <w:p>
      <w:pPr>
        <w:spacing w:after="120" w:line="276" w:lineRule="auto"/>
      </w:pPr>
      <w:r>
        <w:t>**MACD:** La valeur du MACD (-18.01) est supérieure à sa ligne de signal (-59.03), ce qui constitue un croisement haussier. Ce signal "Achat" indique un momentum positif à court terme, suggérant une possible poursuite du rebond technique, même si le MACD reste en territoire négatif.</w:t>
      </w:r>
    </w:p>
    <w:p>
      <w:pPr>
        <w:spacing w:after="120" w:line="276" w:lineRule="auto"/>
      </w:pPr>
      <w:r>
        <w:t>**RSI:** Avec une valeur de 63.11, le RSI est en zone neutre, mais se rapproche du seuil de surachat (70). La décision "Neutre" est correcte, car le titre n'est ni survendu ni suracheté, laissant une marge de manœuvre avant une possible correction.</w:t>
      </w:r>
    </w:p>
    <w:p>
      <w:pPr>
        <w:spacing w:after="120" w:line="276" w:lineRule="auto"/>
      </w:pPr>
      <w:r>
        <w:t>**Stochastique:** Les valeurs de %K (94.37) et %D (95.31) sont très élevées, en zone de surachat extrême. Le signal de "Vente" est pertinent, car il suggère que le rebond actuel est probablement épuisé à très court terme et qu'un retournement baissier est à prévoir.</w:t>
      </w:r>
    </w:p>
    <w:p>
      <w:pPr>
        <w:spacing w:after="120" w:line="276" w:lineRule="auto"/>
      </w:pPr>
      <w:r>
        <w:t>**Conclusion technique :** Les indicateurs sont mitigés. Le MACD et le RSI suggèrent un momentum positif à court terme, mais les moyennes mobiles et le stochastique en surachat indiquent une tendance de fond baissière et un risque de correction imminent. Le signal global est donc celui d'un rebond technique fragile dans une tendance baissière.</w:t>
      </w:r>
    </w:p>
    <w:p>
      <w:pPr>
        <w:spacing w:after="120" w:line="276" w:lineRule="auto"/>
      </w:pPr>
      <w:r>
        <w:t>### PARTIE 3 : ANALYSE FONDAMENTALE (SECTION CRITIQUE)</w:t>
      </w:r>
    </w:p>
    <w:p>
      <w:pPr>
        <w:spacing w:after="120" w:line="276" w:lineRule="auto"/>
      </w:pPr>
      <w:r>
        <w:t>En 2024, les données structurées indiquent un PNB de 9,283 Mds FCFA et un résultat net de 376,96 M FCFA, soit une marge nette de 4,06%. Le ROE s'établit à 11,52% et le ROA à 2,69%, des niveaux corrects mais pas excellents. Le coefficient d'exploitation de 95,83% est très élevé, signe d'une efficacité opérationnelle médiocre. Le coût du risque de 3,10% est élevé, indiquant un risque de crédit significatif. La structure financière est fragile avec une autonomie financière de 23,34% (sous le seuil de 30%) et une liquidité générale faible (61,93%). Cependant, les rapports trimestriels de 2025 montrent une nette amélioration : le CA au T3 2025 atteint 7,585 Mds FCFA (+13% vs 2024) et le résultat net de 832,5 M FCFA (+58%), portant la marge nette à 11%. Sur cette base, on estime que l'exercice 2025 pourrait se solder par un résultat net annuel supérieur à 1 Md FCFA, soit un BPA potentiel d'environ 115 FCFA, ce qui justifierait un PER plus raisonnable. La société, devenue ERIUM CI, est en pleine restructuration capitalistique avec le changement d'actionnaire majoritaire, ce qui ajoute une incertitude stratégique.</w:t>
      </w:r>
    </w:p>
    <w:p>
      <w:pPr>
        <w:spacing w:after="120" w:line="276" w:lineRule="auto"/>
      </w:pPr>
      <w:r>
        <w:t>### PARTIE 4 : CONCLUSION D'INVESTISSEMENT</w:t>
      </w:r>
    </w:p>
    <w:p>
      <w:pPr>
        <w:spacing w:after="120" w:line="276" w:lineRule="auto"/>
      </w:pPr>
      <w:r>
        <w:t>La valorisation actuelle (PER 55,8x, P/B 6,43x) est extrêmement exigeante et ne reflète pas les fondamentaux historiques, bien que les estimations pour 2025, basées sur les rapports trimestriels, suggèrent une amélioration significative de la rentabilité. Le comportement du cours sur 100 jours est baissier avec une volatilité très élevée, et les statistiques montrent une distribution asymétrique à risque. Les signaux techniques sont divergents, avec un rebond à court terme (MACD, RSI) mais une tendance de fond baissière (MM) et un stochastique en surachat. Les prédictions IA anticipent une poursuite de la baisse vers 2 053 FCFA sur 10 jours, contredisant le signal d'achat du MACD. En synthèse, la convergence entre la surévaluation, la tendance baissière et les prédictions IA l'emporte sur l'amélioration fondamentale. Par conséquent, la recommandation est **VENTE**, avec un niveau de confiance **Moyen** et un risque global **Élevé**. L'horizon d'investissement optimal serait à court terme (&lt;3 mois) pour les investisseurs cherchant à réduire leur exposition, en attendant une meilleure visibilité sur la nouvelle stratégie d'ERIUM CI et une confirmation de la rentabilité sur l'exercice complet 2025.</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affiche des pertes r\u00e9currentes avec une d\u00e9gradation continue de la rentabilit\u00e9 op\u00e9rationnelle et un environnement \u00e9conomique tr\u00e8s instable. Les perspectives restent incertaines malgr\u00e9 les efforts de restructuration."}</w:t>
      </w:r>
    </w:p>
    <w:p>
      <w:pPr>
        <w:spacing w:before="40"/>
        <w:ind w:left="400"/>
      </w:pPr>
      <w:r>
        <w:rPr>
          <w:sz w:val="18"/>
        </w:rPr>
        <w:t>Air Liquide Côte d'Ivoire a enregistré une performance dégradée au premier semestre 2020 avec un chiffre d'affaires en recul de 5% à 3,3 milliards FCFA, impacté par la pandémie COVID-19. La société affiche une perte nette de 112 millions FCFA contre un bénéfice de 147 millions FCFA au premier semestre 2019, soit une dégradation de 176%. Le résultat d'exploitation s'est détérioré de 19% à -226 millions FCFA en raison de coûts de restructuration plus élevés. Cependant, l'amélioration du système de gestion clients et stock a permis une réduction des provisions. Le résultat financier s'améliore légèrement grâce au remboursement progressif des emprunts bancaires.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'resultat_financier': '-87 657 K.FCFA', 'resultat_exploitation': '-226 184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-112 006 K.FCFA (S1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3 303 060 K.FCFA (S1 2020)</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 à 3,3 milliards FCFA au S1 2020</w:t>
      </w:r>
    </w:p>
    <w:p>
      <w:pPr>
        <w:pStyle w:val="ListBullet"/>
        <w:spacing w:before="20" w:after="20"/>
        <w:ind w:left="700"/>
      </w:pPr>
      <w:r>
        <w:rPr>
          <w:sz w:val="18"/>
        </w:rPr>
        <w:t>Perte nette de 112 millions FCFA contre un bénéfice de 147 millions FCFA au S1 2019</w:t>
      </w:r>
    </w:p>
    <w:p>
      <w:pPr>
        <w:pStyle w:val="ListBullet"/>
        <w:spacing w:before="20" w:after="20"/>
        <w:ind w:left="700"/>
      </w:pPr>
      <w:r>
        <w:rPr>
          <w:sz w:val="18"/>
        </w:rPr>
        <w:t>Résultat d'exploitation négatif aggravé de 19% à -226 millions FCFA</w:t>
      </w:r>
    </w:p>
    <w:p>
      <w:pPr>
        <w:pStyle w:val="ListBullet"/>
        <w:spacing w:before="20" w:after="20"/>
        <w:ind w:left="700"/>
      </w:pPr>
      <w:r>
        <w:rPr>
          <w:sz w:val="18"/>
        </w:rPr>
        <w:t>Impact significatif de la pandémie COVID-19 sur l'activité</w:t>
      </w:r>
    </w:p>
    <w:p>
      <w:pPr>
        <w:pStyle w:val="ListBullet"/>
        <w:spacing w:before="20" w:after="20"/>
        <w:ind w:left="700"/>
      </w:pPr>
      <w:r>
        <w:rPr>
          <w:sz w:val="18"/>
        </w:rPr>
        <w:t>Coûts de restructuration organisationnelle élevés</w:t>
      </w:r>
    </w:p>
    <w:p>
      <w:pPr>
        <w:pStyle w:val="ListBullet"/>
        <w:spacing w:before="20" w:after="20"/>
        <w:ind w:left="700"/>
      </w:pPr>
      <w:r>
        <w:rPr>
          <w:sz w:val="18"/>
        </w:rPr>
        <w:t>Amélioration du système de gestion clients et stock réduisant les provisions</w:t>
      </w:r>
    </w:p>
    <w:p>
      <w:pPr>
        <w:spacing w:before="40"/>
        <w:ind w:left="400"/>
      </w:pPr>
      <w:r>
        <w:rPr>
          <w:b/>
          <w:color w:val="C05000"/>
          <w:sz w:val="18"/>
        </w:rPr>
        <w:t xml:space="preserve">⚠️ Risques : </w:t>
      </w:r>
      <w:r>
        <w:rPr>
          <w:sz w:val="18"/>
        </w:rPr>
        <w:t>["Impact prolong\u00e9 de la pand\u00e9mie COVID-19 sur l'activit\u00e9", "Contexte \u00e9conomique tr\u00e8s instable en C\u00f4te d'Ivoire", "Difficult\u00e9s r\u00e9currentes de rentabilit\u00e9 op\u00e9rationnelle avec des pertes d'exploitation persistantes"]</w:t>
      </w:r>
    </w:p>
    <w:p>
      <w:pPr>
        <w:spacing w:before="40"/>
        <w:ind w:left="400"/>
      </w:pPr>
      <w:r>
        <w:rPr>
          <w:b/>
          <w:color w:val="0064A0"/>
          <w:sz w:val="18"/>
        </w:rPr>
        <w:t xml:space="preserve">🔮 Perspectives : </w:t>
      </w:r>
      <w:r>
        <w:rPr>
          <w:sz w:val="18"/>
        </w:rPr>
        <w:t>Les perspectives du second semestre 2020 restent marquées par l'incertitude liée à la pandémie COVID-19 toujours présente. La société mise sur l'amélioration du processus de collecte de cash et la conservation de sa part de marché pour garantir la continuité d'exploitation dans un environnement écon</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625.51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1,052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B40000"/>
                <w:sz w:val="17"/>
              </w:rPr>
              <w:t>-3.81%</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2.44% (Faible) — μ=38,467 FCFA, σ=937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β=0.2422 (Défensif) — Cov=0.000009, Var(idx)=0.000036, ρ=0.080,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2026-08-14</w:t>
            </w:r>
          </w:p>
        </w:tc>
        <w:tc>
          <w:tcPr>
            <w:tcW w:type="dxa" w:w="1440"/>
            <w:shd w:fill="FAFAFA" w:val="clear"/>
          </w:tcPr>
          <w:p>
            <w:r>
              <w:rPr>
                <w:sz w:val="17"/>
              </w:rPr>
              <w:t>36,197</w:t>
            </w:r>
          </w:p>
        </w:tc>
        <w:tc>
          <w:tcPr>
            <w:tcW w:type="dxa" w:w="1440"/>
            <w:shd w:fill="FAFAFA" w:val="clear"/>
          </w:tcPr>
          <w:p>
            <w:r>
              <w:rPr>
                <w:b/>
                <w:sz w:val="17"/>
              </w:rPr>
              <w:t>37,534</w:t>
            </w:r>
          </w:p>
        </w:tc>
        <w:tc>
          <w:tcPr>
            <w:tcW w:type="dxa" w:w="1440"/>
            <w:shd w:fill="FAFAFA" w:val="clear"/>
          </w:tcPr>
          <w:p>
            <w:r>
              <w:rPr>
                <w:sz w:val="17"/>
              </w:rPr>
              <w:t>38,871</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2026-08-17</w:t>
            </w:r>
          </w:p>
        </w:tc>
        <w:tc>
          <w:tcPr>
            <w:tcW w:type="dxa" w:w="1440"/>
            <w:shd w:fill="FAFAFA" w:val="clear"/>
          </w:tcPr>
          <w:p>
            <w:r>
              <w:rPr>
                <w:sz w:val="17"/>
              </w:rPr>
              <w:t>35,705</w:t>
            </w:r>
          </w:p>
        </w:tc>
        <w:tc>
          <w:tcPr>
            <w:tcW w:type="dxa" w:w="1440"/>
            <w:shd w:fill="FAFAFA" w:val="clear"/>
          </w:tcPr>
          <w:p>
            <w:r>
              <w:rPr>
                <w:b/>
                <w:sz w:val="17"/>
              </w:rPr>
              <w:t>37,599</w:t>
            </w:r>
          </w:p>
        </w:tc>
        <w:tc>
          <w:tcPr>
            <w:tcW w:type="dxa" w:w="1440"/>
            <w:shd w:fill="FAFAFA" w:val="clear"/>
          </w:tcPr>
          <w:p>
            <w:r>
              <w:rPr>
                <w:sz w:val="17"/>
              </w:rPr>
              <w:t>39,493</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2026-08-18</w:t>
            </w:r>
          </w:p>
        </w:tc>
        <w:tc>
          <w:tcPr>
            <w:tcW w:type="dxa" w:w="1440"/>
            <w:shd w:fill="FAFAFA" w:val="clear"/>
          </w:tcPr>
          <w:p>
            <w:r>
              <w:rPr>
                <w:sz w:val="17"/>
              </w:rPr>
              <w:t>35,264</w:t>
            </w:r>
          </w:p>
        </w:tc>
        <w:tc>
          <w:tcPr>
            <w:tcW w:type="dxa" w:w="1440"/>
            <w:shd w:fill="FAFAFA" w:val="clear"/>
          </w:tcPr>
          <w:p>
            <w:r>
              <w:rPr>
                <w:b/>
                <w:sz w:val="17"/>
              </w:rPr>
              <w:t>37,583</w:t>
            </w:r>
          </w:p>
        </w:tc>
        <w:tc>
          <w:tcPr>
            <w:tcW w:type="dxa" w:w="1440"/>
            <w:shd w:fill="FAFAFA" w:val="clear"/>
          </w:tcPr>
          <w:p>
            <w:r>
              <w:rPr>
                <w:sz w:val="17"/>
              </w:rPr>
              <w:t>39,902</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2026-08-19</w:t>
            </w:r>
          </w:p>
        </w:tc>
        <w:tc>
          <w:tcPr>
            <w:tcW w:type="dxa" w:w="1440"/>
            <w:shd w:fill="FAFAFA" w:val="clear"/>
          </w:tcPr>
          <w:p>
            <w:r>
              <w:rPr>
                <w:sz w:val="17"/>
              </w:rPr>
              <w:t>34,874</w:t>
            </w:r>
          </w:p>
        </w:tc>
        <w:tc>
          <w:tcPr>
            <w:tcW w:type="dxa" w:w="1440"/>
            <w:shd w:fill="FAFAFA" w:val="clear"/>
          </w:tcPr>
          <w:p>
            <w:r>
              <w:rPr>
                <w:b/>
                <w:sz w:val="17"/>
              </w:rPr>
              <w:t>37,549</w:t>
            </w:r>
          </w:p>
        </w:tc>
        <w:tc>
          <w:tcPr>
            <w:tcW w:type="dxa" w:w="1440"/>
            <w:shd w:fill="FAFAFA" w:val="clear"/>
          </w:tcPr>
          <w:p>
            <w:r>
              <w:rPr>
                <w:sz w:val="17"/>
              </w:rPr>
              <w:t>40,224</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2026-08-20</w:t>
            </w:r>
          </w:p>
        </w:tc>
        <w:tc>
          <w:tcPr>
            <w:tcW w:type="dxa" w:w="1440"/>
            <w:shd w:fill="FAFAFA" w:val="clear"/>
          </w:tcPr>
          <w:p>
            <w:r>
              <w:rPr>
                <w:sz w:val="17"/>
              </w:rPr>
              <w:t>34,524</w:t>
            </w:r>
          </w:p>
        </w:tc>
        <w:tc>
          <w:tcPr>
            <w:tcW w:type="dxa" w:w="1440"/>
            <w:shd w:fill="FAFAFA" w:val="clear"/>
          </w:tcPr>
          <w:p>
            <w:r>
              <w:rPr>
                <w:b/>
                <w:sz w:val="17"/>
              </w:rPr>
              <w:t>37,512</w:t>
            </w:r>
          </w:p>
        </w:tc>
        <w:tc>
          <w:tcPr>
            <w:tcW w:type="dxa" w:w="1440"/>
            <w:shd w:fill="FAFAFA" w:val="clear"/>
          </w:tcPr>
          <w:p>
            <w:r>
              <w:rPr>
                <w:sz w:val="17"/>
              </w:rPr>
              <w:t>40,500</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2026-08-21</w:t>
            </w:r>
          </w:p>
        </w:tc>
        <w:tc>
          <w:tcPr>
            <w:tcW w:type="dxa" w:w="1440"/>
            <w:shd w:fill="FAFAFA" w:val="clear"/>
          </w:tcPr>
          <w:p>
            <w:r>
              <w:rPr>
                <w:sz w:val="17"/>
              </w:rPr>
              <w:t>34,206</w:t>
            </w:r>
          </w:p>
        </w:tc>
        <w:tc>
          <w:tcPr>
            <w:tcW w:type="dxa" w:w="1440"/>
            <w:shd w:fill="FAFAFA" w:val="clear"/>
          </w:tcPr>
          <w:p>
            <w:r>
              <w:rPr>
                <w:b/>
                <w:sz w:val="17"/>
              </w:rPr>
              <w:t>37,475</w:t>
            </w:r>
          </w:p>
        </w:tc>
        <w:tc>
          <w:tcPr>
            <w:tcW w:type="dxa" w:w="1440"/>
            <w:shd w:fill="FAFAFA" w:val="clear"/>
          </w:tcPr>
          <w:p>
            <w:r>
              <w:rPr>
                <w:sz w:val="17"/>
              </w:rPr>
              <w:t>40,745</w:t>
            </w:r>
          </w:p>
        </w:tc>
        <w:tc>
          <w:tcPr>
            <w:tcW w:type="dxa" w:w="1440"/>
            <w:shd w:fill="FAFAFA" w:val="clear"/>
          </w:tcPr>
          <w:p>
            <w:r>
              <w:rPr>
                <w:b/>
                <w:color w:val="C00000"/>
                <w:sz w:val="17"/>
              </w:rPr>
              <w:t>-1.4%</w:t>
            </w:r>
          </w:p>
        </w:tc>
      </w:tr>
      <w:tr>
        <w:tc>
          <w:tcPr>
            <w:tcW w:type="dxa" w:w="1440"/>
            <w:shd w:fill="FAFAFA" w:val="clear"/>
          </w:tcPr>
          <w:p>
            <w:r>
              <w:rPr>
                <w:sz w:val="17"/>
              </w:rPr>
              <w:t>J+7  ⭐</w:t>
            </w:r>
          </w:p>
        </w:tc>
        <w:tc>
          <w:tcPr>
            <w:tcW w:type="dxa" w:w="1440"/>
            <w:shd w:fill="FAFAFA" w:val="clear"/>
          </w:tcPr>
          <w:p>
            <w:r>
              <w:rPr>
                <w:sz w:val="17"/>
              </w:rPr>
              <w:t>2026-08-24</w:t>
            </w:r>
          </w:p>
        </w:tc>
        <w:tc>
          <w:tcPr>
            <w:tcW w:type="dxa" w:w="1440"/>
            <w:shd w:fill="FAFAFA" w:val="clear"/>
          </w:tcPr>
          <w:p>
            <w:r>
              <w:rPr>
                <w:sz w:val="17"/>
              </w:rPr>
              <w:t>33,911</w:t>
            </w:r>
          </w:p>
        </w:tc>
        <w:tc>
          <w:tcPr>
            <w:tcW w:type="dxa" w:w="1440"/>
            <w:shd w:fill="FAFAFA" w:val="clear"/>
          </w:tcPr>
          <w:p>
            <w:r>
              <w:rPr>
                <w:b/>
                <w:sz w:val="17"/>
              </w:rPr>
              <w:t>37,439</w:t>
            </w:r>
          </w:p>
        </w:tc>
        <w:tc>
          <w:tcPr>
            <w:tcW w:type="dxa" w:w="1440"/>
            <w:shd w:fill="FAFAFA" w:val="clear"/>
          </w:tcPr>
          <w:p>
            <w:r>
              <w:rPr>
                <w:sz w:val="17"/>
              </w:rPr>
              <w:t>40,967</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2026-08-25</w:t>
            </w:r>
          </w:p>
        </w:tc>
        <w:tc>
          <w:tcPr>
            <w:tcW w:type="dxa" w:w="1440"/>
            <w:shd w:fill="FAFAFA" w:val="clear"/>
          </w:tcPr>
          <w:p>
            <w:r>
              <w:rPr>
                <w:sz w:val="17"/>
              </w:rPr>
              <w:t>33,636</w:t>
            </w:r>
          </w:p>
        </w:tc>
        <w:tc>
          <w:tcPr>
            <w:tcW w:type="dxa" w:w="1440"/>
            <w:shd w:fill="FAFAFA" w:val="clear"/>
          </w:tcPr>
          <w:p>
            <w:r>
              <w:rPr>
                <w:b/>
                <w:sz w:val="17"/>
              </w:rPr>
              <w:t>37,404</w:t>
            </w:r>
          </w:p>
        </w:tc>
        <w:tc>
          <w:tcPr>
            <w:tcW w:type="dxa" w:w="1440"/>
            <w:shd w:fill="FAFAFA" w:val="clear"/>
          </w:tcPr>
          <w:p>
            <w:r>
              <w:rPr>
                <w:sz w:val="17"/>
              </w:rPr>
              <w:t>41,172</w:t>
            </w:r>
          </w:p>
        </w:tc>
        <w:tc>
          <w:tcPr>
            <w:tcW w:type="dxa" w:w="1440"/>
            <w:shd w:fill="FAFAFA" w:val="clear"/>
          </w:tcPr>
          <w:p>
            <w:r>
              <w:rPr>
                <w:b/>
                <w:color w:val="C00000"/>
                <w:sz w:val="17"/>
              </w:rPr>
              <w:t>-1.6%</w:t>
            </w:r>
          </w:p>
        </w:tc>
      </w:tr>
      <w:tr>
        <w:tc>
          <w:tcPr>
            <w:tcW w:type="dxa" w:w="1440"/>
            <w:shd w:fill="FAFAFA" w:val="clear"/>
          </w:tcPr>
          <w:p>
            <w:r>
              <w:rPr>
                <w:sz w:val="17"/>
              </w:rPr>
              <w:t>J+9  ⭐</w:t>
            </w:r>
          </w:p>
        </w:tc>
        <w:tc>
          <w:tcPr>
            <w:tcW w:type="dxa" w:w="1440"/>
            <w:shd w:fill="FAFAFA" w:val="clear"/>
          </w:tcPr>
          <w:p>
            <w:r>
              <w:rPr>
                <w:sz w:val="17"/>
              </w:rPr>
              <w:t>2026-08-27</w:t>
            </w:r>
          </w:p>
        </w:tc>
        <w:tc>
          <w:tcPr>
            <w:tcW w:type="dxa" w:w="1440"/>
            <w:shd w:fill="FAFAFA" w:val="clear"/>
          </w:tcPr>
          <w:p>
            <w:r>
              <w:rPr>
                <w:sz w:val="17"/>
              </w:rPr>
              <w:t>33,376</w:t>
            </w:r>
          </w:p>
        </w:tc>
        <w:tc>
          <w:tcPr>
            <w:tcW w:type="dxa" w:w="1440"/>
            <w:shd w:fill="FAFAFA" w:val="clear"/>
          </w:tcPr>
          <w:p>
            <w:r>
              <w:rPr>
                <w:b/>
                <w:sz w:val="17"/>
              </w:rPr>
              <w:t>37,370</w:t>
            </w:r>
          </w:p>
        </w:tc>
        <w:tc>
          <w:tcPr>
            <w:tcW w:type="dxa" w:w="1440"/>
            <w:shd w:fill="FAFAFA" w:val="clear"/>
          </w:tcPr>
          <w:p>
            <w:r>
              <w:rPr>
                <w:sz w:val="17"/>
              </w:rPr>
              <w:t>41,363</w:t>
            </w:r>
          </w:p>
        </w:tc>
        <w:tc>
          <w:tcPr>
            <w:tcW w:type="dxa" w:w="1440"/>
            <w:shd w:fill="FAFAFA" w:val="clear"/>
          </w:tcPr>
          <w:p>
            <w:r>
              <w:rPr>
                <w:b/>
                <w:color w:val="C00000"/>
                <w:sz w:val="17"/>
              </w:rPr>
              <w:t>-1.7%</w:t>
            </w:r>
          </w:p>
        </w:tc>
      </w:tr>
      <w:tr>
        <w:tc>
          <w:tcPr>
            <w:tcW w:type="dxa" w:w="1440"/>
            <w:shd w:fill="FAFAFA" w:val="clear"/>
          </w:tcPr>
          <w:p>
            <w:r>
              <w:rPr>
                <w:sz w:val="17"/>
              </w:rPr>
              <w:t>J+10  ⭐</w:t>
            </w:r>
          </w:p>
        </w:tc>
        <w:tc>
          <w:tcPr>
            <w:tcW w:type="dxa" w:w="1440"/>
            <w:shd w:fill="FAFAFA" w:val="clear"/>
          </w:tcPr>
          <w:p>
            <w:r>
              <w:rPr>
                <w:sz w:val="17"/>
              </w:rPr>
              <w:t>2026-08-28</w:t>
            </w:r>
          </w:p>
        </w:tc>
        <w:tc>
          <w:tcPr>
            <w:tcW w:type="dxa" w:w="1440"/>
            <w:shd w:fill="FAFAFA" w:val="clear"/>
          </w:tcPr>
          <w:p>
            <w:r>
              <w:rPr>
                <w:sz w:val="17"/>
              </w:rPr>
              <w:t>33,130</w:t>
            </w:r>
          </w:p>
        </w:tc>
        <w:tc>
          <w:tcPr>
            <w:tcW w:type="dxa" w:w="1440"/>
            <w:shd w:fill="FAFAFA" w:val="clear"/>
          </w:tcPr>
          <w:p>
            <w:r>
              <w:rPr>
                <w:b/>
                <w:sz w:val="17"/>
              </w:rPr>
              <w:t>37,336</w:t>
            </w:r>
          </w:p>
        </w:tc>
        <w:tc>
          <w:tcPr>
            <w:tcW w:type="dxa" w:w="1440"/>
            <w:shd w:fill="FAFAFA" w:val="clear"/>
          </w:tcPr>
          <w:p>
            <w:r>
              <w:rPr>
                <w:sz w:val="17"/>
              </w:rPr>
              <w:t>41,541</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**Date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SLBC s'établit à 625,51 milliards FCFA, ce qui en fait l'une des valeurs les plus lourdes et les plus liquides de la BRVM, représentant un poids significatif dans l'indice composite. Avec un BPA de 2 781 FCFA, chaque action génère un bénéfice substantiel. Le PER de 13,7x se situe au-dessus de la moyenne historique de la BRVM (8-12x), indiquant que le marché accorde une prime de croissance à la société, justifiée par ses performances récentes. Le P/B de 3,21x confirme cette prime, le marché valorisant l'actif net comptable plus de trois fois au-dessus de sa valeur. Enfin, l'EV/EBITDA de 7,4x reste dans une zone raisonnable (5-10x), suggérant que la valorisation globale de l'entreprise, dette incluse, demeure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SLBC a enregistré une variation totale de -3,81%, mais a rebondi de +2,15% lors de la dernière séance, signe d'un possible retour des acheteurs. Le cours a évolué dans un range de 35 540 FCFA à 41 500 FCFA, montrant une amplitude de près de 17%. La tendance générale reste baissière sur la période, avec un cours actuel de 38 000 FCFA. Les statistiques descriptives révèlent une moyenne de 38 467 FCFA et une médiane de 38 600 FCFA, très proches l'une de l'autre, ce qui indique une distribution symétrique des prix, confirmée par un skewness de -0,028. L'écart-type de 941 FCFA (CV=2,4%) montre une dispersion très faible, le titre étant stable. Le kurtosis de 0,369 (mésokurtique) indique une distribution proche de la normale, sans risque de mouvements extrêmes. La volatilité annualisée de 28,9% classe le titre dans la catégorie modérée à élevée, nécessitant une certaine prudence.</w:t>
      </w:r>
    </w:p>
    <w:p>
      <w:pPr>
        <w:spacing w:after="120" w:line="276" w:lineRule="auto"/>
      </w:pPr>
      <w:r>
        <w:t>---</w:t>
      </w:r>
    </w:p>
    <w:p>
      <w:pPr>
        <w:spacing w:after="120" w:line="276" w:lineRule="auto"/>
      </w:pPr>
      <w:r>
        <w:t>### PARTIE 2 : ANALYSE TECHNIQUE DÉTAILLÉE</w:t>
      </w:r>
    </w:p>
    <w:p>
      <w:pPr>
        <w:spacing w:after="120" w:line="276" w:lineRule="auto"/>
      </w:pPr>
      <w:r>
        <w:t>**Moyennes Mobiles :** La MM20 à 38 295 FCFA et la MM50 à 38 704 FCFA sont toutes deux au-dessus du cours actuel de 38 000 FCFA. Cette configuration baissière, où le prix évolue sous ses moyennes mobiles, confirme la tendance négative de court et moyen terme. La décision de "Vente" est donc cohérente avec la dynamique actuelle.</w:t>
      </w:r>
    </w:p>
    <w:p>
      <w:pPr>
        <w:spacing w:after="120" w:line="276" w:lineRule="auto"/>
      </w:pPr>
      <w:r>
        <w:t>**Bandes de Bollinger :** Le cours se situe à 38 000 FCFA, entre la borne inférieure (36 251 FCFA) et la borne supérieure (40 339 FCFA), proche de la moyenne. La largeur des bandes indique une volatilité modérée. La position neutre du prix suggère une phase de consolidation, sans signal directionnel fort.</w:t>
      </w:r>
    </w:p>
    <w:p>
      <w:pPr>
        <w:spacing w:after="120" w:line="276" w:lineRule="auto"/>
      </w:pPr>
      <w:r>
        <w:t>**MACD :** Le MACD (-463,09) est négatif et se trouve sous sa ligne de signal (-374,33). Cette divergence baissière indique un momentum négatif persistant. La décision de "Vente" est justifiée, car la dynamique de prix reste sous pression, bien que l'écart se réduise, ce qui pourrait annoncer un retournement.</w:t>
      </w:r>
    </w:p>
    <w:p>
      <w:pPr>
        <w:spacing w:after="120" w:line="276" w:lineRule="auto"/>
      </w:pPr>
      <w:r>
        <w:t>**RSI :** À 38,57, le RSI se situe en zone neutre, mais proche de la zone de survente (&lt;30). Cela indique que le titre n'est ni suracheté ni survendu, mais que la pression vendeuse s'estompe. La décision "Neutre" est appropriée, avec un potentiel de rebond si le RSI remonte au-dessus de 50.</w:t>
      </w:r>
    </w:p>
    <w:p>
      <w:pPr>
        <w:spacing w:after="120" w:line="276" w:lineRule="auto"/>
      </w:pPr>
      <w:r>
        <w:t>**Stochastique :** Le %K (39,43) est supérieur au %D (21,76), formant un croisement haussier. Bien que les deux lignes soient encore en zone basse, ce croisement suggère un début de momentum haussier. La décision "Neutre" est prudente, mais ce signal pourrait précéder une reprise.</w:t>
      </w:r>
    </w:p>
    <w:p>
      <w:pPr>
        <w:spacing w:after="120" w:line="276" w:lineRule="auto"/>
      </w:pPr>
      <w:r>
        <w:t>**Conclusion technique :** Les indicateurs sont majoritairement baissiers (MM, MACD) mais montrent des signes de stabilisation (RSI, Stochastique). Le titre est dans une phase de consolidation après une baisse, avec des signaux contradictoires. Une reprise est possible si le cours dépasse la MM20 à 38 295 FCFA, mais la tendance de fond reste négative.</w:t>
      </w:r>
    </w:p>
    <w:p>
      <w:pPr>
        <w:spacing w:after="120" w:line="276" w:lineRule="auto"/>
      </w:pPr>
      <w:r>
        <w:t>---</w:t>
      </w:r>
    </w:p>
    <w:p>
      <w:pPr>
        <w:spacing w:after="120" w:line="276" w:lineRule="auto"/>
      </w:pPr>
      <w:r>
        <w:t>### PARTIE 3 : ANALYSE FONDAMENTALE (SECTION CRITIQUE)</w:t>
      </w:r>
    </w:p>
    <w:p>
      <w:pPr>
        <w:spacing w:after="120" w:line="276" w:lineRule="auto"/>
      </w:pPr>
      <w:r>
        <w:t>En 2025, SLBC a réalisé un chiffre d'affaires de 378,123 milliards FCFA, en hausse de 22,1% par rapport à 2024 (309,722 Mds FCFA), et un résultat net de 45,781 milliards FCFA, soit une marge nette de 12,1%. La rentabilité des fonds propres (ROE) atteint 23,46%, un niveau excellent, et le ROA est de 13,48%. La structure financière est saine avec une autonomie financière de 57,5% et une capacité de remboursement de 0,67 an. Le BFR de 61,587 Mds FCFA est positif, mais le délai clients de 64 jours et le délai fournisseurs de 77 jours sont bien gérés. Le rapport du S1 2025 (publié en 2025) confirme cette dynamique avec un CA de 165,8 Mds FCFA (+12,3%) et un résultat net de 28,0 Mds FCFA (+175,1%). Sur la base du rapport T1 2026 (CA de 93,46 Mds FCFA, +7,6%, et résultat net de 16,26 Mds FCFA, +4,8%), on estime que l'exercice 2026 devrait poursuivre cette croissance, avec un CA annuel potentiel autour de 400 Mds FCFA et un résultat net supérieur à 48 Mds FCFA. La société a proposé un dividende de 2 127 FCFA par action pour 2025, soit un rendement attractif. Les fondamentaux sont donc très solides, portés par une croissance soutenue et une rentabilité en amélioration constante.</w:t>
      </w:r>
    </w:p>
    <w:p>
      <w:pPr>
        <w:spacing w:after="120" w:line="276" w:lineRule="auto"/>
      </w:pPr>
      <w:r>
        <w:t>---</w:t>
      </w:r>
    </w:p>
    <w:p>
      <w:pPr>
        <w:spacing w:after="120" w:line="276" w:lineRule="auto"/>
      </w:pPr>
      <w:r>
        <w:t>### PARTIE 4 : CONCLUSION D'INVESTISSEMENT</w:t>
      </w:r>
    </w:p>
    <w:p>
      <w:pPr>
        <w:spacing w:after="120" w:line="276" w:lineRule="auto"/>
      </w:pPr>
      <w:r>
        <w:t>La valorisation de SLBC (PER 13,7x, P/B 3,21x, EV/EBITDA 7,4x) est légèrement supérieure aux moyennes du marché, mais justifiée par la qualité des fondamentaux et la croissance affichée. Le comportement du cours sur 100 jours est baissier (-3,81%), mais la volatilité modérée et la distribution symétrique des prix (kurtosis et skewness proches de zéro) suggèrent une stabilité sans risque de krach. Les signaux techniques sont partagés : les moyennes mobiles et le MACD sont vendeurs, tandis que le RSI et le stochastique montrent des signes de stabilisation. Les fondamentaux, eux, sont exceptionnellement solides avec une croissance à deux chiffres, une rentabilité record (ROE 23,5%) et une politique de dividende généreuse. Les prédictions IA pour les 10 prochains jours (37 512 à 37 599 FCFA) indiquent une stabilité du cours autour de 37 500 FCFA, confirmant la phase de consolidation. La convergence entre la solidité fondamentale et la stabilisation technique suggère une opportunité d'achat à moyen terme. **Recommandation finale : ACHAT** avec un niveau de confiance **Élevé**, un risque global **Moyen**, et un horizon d'investissement optimal de **moyen terme (3-12 mois)**, en attendant une reprise technique confirmée par le franchissement de la MM20.</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128.23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1,256 titres</w:t>
            </w:r>
          </w:p>
        </w:tc>
        <w:tc>
          <w:tcPr>
            <w:tcW w:type="dxa" w:w="2268"/>
            <w:shd w:fill="FFF2CC" w:val="clear"/>
          </w:tcPr>
          <w:p>
            <w:r>
              <w:rPr>
                <w:b/>
                <w:color w:val="503200"/>
                <w:sz w:val="16"/>
              </w:rPr>
              <w:t xml:space="preserve">Cours actuel : </w:t>
            </w:r>
            <w:r>
              <w:rPr>
                <w:color w:val="000000"/>
                <w:sz w:val="17"/>
              </w:rPr>
              <w:t>16,450 FCFA</w:t>
            </w:r>
          </w:p>
          <w:p>
            <w:r>
              <w:rPr>
                <w:b/>
                <w:color w:val="503200"/>
                <w:sz w:val="16"/>
              </w:rPr>
              <w:t xml:space="preserve">Var. 100 jours : </w:t>
            </w:r>
            <w:r>
              <w:rPr>
                <w:b/>
                <w:color w:val="007800"/>
                <w:sz w:val="17"/>
              </w:rPr>
              <w:t>+23.68%</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14.91% (Moyenne) — μ=14,266 FCFA, σ=2,128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β=-0.6279 (Contre-cyclique) — Cov=-0.000023, Var(idx)=0.000036, ρ=-0.156,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1,256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2026-08-14</w:t>
            </w:r>
          </w:p>
        </w:tc>
        <w:tc>
          <w:tcPr>
            <w:tcW w:type="dxa" w:w="1440"/>
            <w:shd w:fill="FAFAFA" w:val="clear"/>
          </w:tcPr>
          <w:p>
            <w:r>
              <w:rPr>
                <w:sz w:val="17"/>
              </w:rPr>
              <w:t>15,726</w:t>
            </w:r>
          </w:p>
        </w:tc>
        <w:tc>
          <w:tcPr>
            <w:tcW w:type="dxa" w:w="1440"/>
            <w:shd w:fill="FAFAFA" w:val="clear"/>
          </w:tcPr>
          <w:p>
            <w:r>
              <w:rPr>
                <w:b/>
                <w:sz w:val="17"/>
              </w:rPr>
              <w:t>16,352</w:t>
            </w:r>
          </w:p>
        </w:tc>
        <w:tc>
          <w:tcPr>
            <w:tcW w:type="dxa" w:w="1440"/>
            <w:shd w:fill="FAFAFA" w:val="clear"/>
          </w:tcPr>
          <w:p>
            <w:r>
              <w:rPr>
                <w:sz w:val="17"/>
              </w:rPr>
              <w:t>16,978</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2026-08-17</w:t>
            </w:r>
          </w:p>
        </w:tc>
        <w:tc>
          <w:tcPr>
            <w:tcW w:type="dxa" w:w="1440"/>
            <w:shd w:fill="FAFAFA" w:val="clear"/>
          </w:tcPr>
          <w:p>
            <w:r>
              <w:rPr>
                <w:sz w:val="17"/>
              </w:rPr>
              <w:t>15,410</w:t>
            </w:r>
          </w:p>
        </w:tc>
        <w:tc>
          <w:tcPr>
            <w:tcW w:type="dxa" w:w="1440"/>
            <w:shd w:fill="FAFAFA" w:val="clear"/>
          </w:tcPr>
          <w:p>
            <w:r>
              <w:rPr>
                <w:b/>
                <w:sz w:val="17"/>
              </w:rPr>
              <w:t>16,293</w:t>
            </w:r>
          </w:p>
        </w:tc>
        <w:tc>
          <w:tcPr>
            <w:tcW w:type="dxa" w:w="1440"/>
            <w:shd w:fill="FAFAFA" w:val="clear"/>
          </w:tcPr>
          <w:p>
            <w:r>
              <w:rPr>
                <w:sz w:val="17"/>
              </w:rPr>
              <w:t>17,175</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2026-08-18</w:t>
            </w:r>
          </w:p>
        </w:tc>
        <w:tc>
          <w:tcPr>
            <w:tcW w:type="dxa" w:w="1440"/>
            <w:shd w:fill="FAFAFA" w:val="clear"/>
          </w:tcPr>
          <w:p>
            <w:r>
              <w:rPr>
                <w:sz w:val="17"/>
              </w:rPr>
              <w:t>15,156</w:t>
            </w:r>
          </w:p>
        </w:tc>
        <w:tc>
          <w:tcPr>
            <w:tcW w:type="dxa" w:w="1440"/>
            <w:shd w:fill="FAFAFA" w:val="clear"/>
          </w:tcPr>
          <w:p>
            <w:r>
              <w:rPr>
                <w:b/>
                <w:sz w:val="17"/>
              </w:rPr>
              <w:t>16,233</w:t>
            </w:r>
          </w:p>
        </w:tc>
        <w:tc>
          <w:tcPr>
            <w:tcW w:type="dxa" w:w="1440"/>
            <w:shd w:fill="FAFAFA" w:val="clear"/>
          </w:tcPr>
          <w:p>
            <w:r>
              <w:rPr>
                <w:sz w:val="17"/>
              </w:rPr>
              <w:t>17,310</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2026-08-19</w:t>
            </w:r>
          </w:p>
        </w:tc>
        <w:tc>
          <w:tcPr>
            <w:tcW w:type="dxa" w:w="1440"/>
            <w:shd w:fill="FAFAFA" w:val="clear"/>
          </w:tcPr>
          <w:p>
            <w:r>
              <w:rPr>
                <w:sz w:val="17"/>
              </w:rPr>
              <w:t>14,937</w:t>
            </w:r>
          </w:p>
        </w:tc>
        <w:tc>
          <w:tcPr>
            <w:tcW w:type="dxa" w:w="1440"/>
            <w:shd w:fill="FAFAFA" w:val="clear"/>
          </w:tcPr>
          <w:p>
            <w:r>
              <w:rPr>
                <w:b/>
                <w:sz w:val="17"/>
              </w:rPr>
              <w:t>16,176</w:t>
            </w:r>
          </w:p>
        </w:tc>
        <w:tc>
          <w:tcPr>
            <w:tcW w:type="dxa" w:w="1440"/>
            <w:shd w:fill="FAFAFA" w:val="clear"/>
          </w:tcPr>
          <w:p>
            <w:r>
              <w:rPr>
                <w:sz w:val="17"/>
              </w:rPr>
              <w:t>17,415</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14,739</w:t>
            </w:r>
          </w:p>
        </w:tc>
        <w:tc>
          <w:tcPr>
            <w:tcW w:type="dxa" w:w="1440"/>
            <w:shd w:fill="FFDCE0" w:val="clear"/>
          </w:tcPr>
          <w:p>
            <w:r>
              <w:rPr>
                <w:b/>
                <w:sz w:val="17"/>
              </w:rPr>
              <w:t>16,120</w:t>
            </w:r>
          </w:p>
        </w:tc>
        <w:tc>
          <w:tcPr>
            <w:tcW w:type="dxa" w:w="1440"/>
            <w:shd w:fill="FFDCE0" w:val="clear"/>
          </w:tcPr>
          <w:p>
            <w:r>
              <w:rPr>
                <w:sz w:val="17"/>
              </w:rPr>
              <w:t>17,500</w:t>
            </w:r>
          </w:p>
        </w:tc>
        <w:tc>
          <w:tcPr>
            <w:tcW w:type="dxa" w:w="1440"/>
            <w:shd w:fill="FFDCE0"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14,557</w:t>
            </w:r>
          </w:p>
        </w:tc>
        <w:tc>
          <w:tcPr>
            <w:tcW w:type="dxa" w:w="1440"/>
            <w:shd w:fill="FFDCE0" w:val="clear"/>
          </w:tcPr>
          <w:p>
            <w:r>
              <w:rPr>
                <w:b/>
                <w:sz w:val="17"/>
              </w:rPr>
              <w:t>16,064</w:t>
            </w:r>
          </w:p>
        </w:tc>
        <w:tc>
          <w:tcPr>
            <w:tcW w:type="dxa" w:w="1440"/>
            <w:shd w:fill="FFDCE0" w:val="clear"/>
          </w:tcPr>
          <w:p>
            <w:r>
              <w:rPr>
                <w:sz w:val="17"/>
              </w:rPr>
              <w:t>17,572</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14,388</w:t>
            </w:r>
          </w:p>
        </w:tc>
        <w:tc>
          <w:tcPr>
            <w:tcW w:type="dxa" w:w="1440"/>
            <w:shd w:fill="FFDCE0" w:val="clear"/>
          </w:tcPr>
          <w:p>
            <w:r>
              <w:rPr>
                <w:b/>
                <w:sz w:val="17"/>
              </w:rPr>
              <w:t>16,010</w:t>
            </w:r>
          </w:p>
        </w:tc>
        <w:tc>
          <w:tcPr>
            <w:tcW w:type="dxa" w:w="1440"/>
            <w:shd w:fill="FFDCE0" w:val="clear"/>
          </w:tcPr>
          <w:p>
            <w:r>
              <w:rPr>
                <w:sz w:val="17"/>
              </w:rPr>
              <w:t>17,633</w:t>
            </w:r>
          </w:p>
        </w:tc>
        <w:tc>
          <w:tcPr>
            <w:tcW w:type="dxa" w:w="1440"/>
            <w:shd w:fill="FFDCE0" w:val="clear"/>
          </w:tcPr>
          <w:p>
            <w:r>
              <w:rPr>
                <w:b/>
                <w:color w:val="C00000"/>
                <w:sz w:val="17"/>
              </w:rPr>
              <w:t>-2.7%</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14,228</w:t>
            </w:r>
          </w:p>
        </w:tc>
        <w:tc>
          <w:tcPr>
            <w:tcW w:type="dxa" w:w="1440"/>
            <w:shd w:fill="FFDCE0" w:val="clear"/>
          </w:tcPr>
          <w:p>
            <w:r>
              <w:rPr>
                <w:b/>
                <w:sz w:val="17"/>
              </w:rPr>
              <w:t>15,957</w:t>
            </w:r>
          </w:p>
        </w:tc>
        <w:tc>
          <w:tcPr>
            <w:tcW w:type="dxa" w:w="1440"/>
            <w:shd w:fill="FFDCE0" w:val="clear"/>
          </w:tcPr>
          <w:p>
            <w:r>
              <w:rPr>
                <w:sz w:val="17"/>
              </w:rPr>
              <w:t>17,685</w:t>
            </w:r>
          </w:p>
        </w:tc>
        <w:tc>
          <w:tcPr>
            <w:tcW w:type="dxa" w:w="1440"/>
            <w:shd w:fill="FFDCE0" w:val="clear"/>
          </w:tcPr>
          <w:p>
            <w:r>
              <w:rPr>
                <w:b/>
                <w:color w:val="C00000"/>
                <w:sz w:val="17"/>
              </w:rPr>
              <w:t>-3.0%</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14,077</w:t>
            </w:r>
          </w:p>
        </w:tc>
        <w:tc>
          <w:tcPr>
            <w:tcW w:type="dxa" w:w="1440"/>
            <w:shd w:fill="FFDCE0" w:val="clear"/>
          </w:tcPr>
          <w:p>
            <w:r>
              <w:rPr>
                <w:b/>
                <w:sz w:val="17"/>
              </w:rPr>
              <w:t>15,904</w:t>
            </w:r>
          </w:p>
        </w:tc>
        <w:tc>
          <w:tcPr>
            <w:tcW w:type="dxa" w:w="1440"/>
            <w:shd w:fill="FFDCE0" w:val="clear"/>
          </w:tcPr>
          <w:p>
            <w:r>
              <w:rPr>
                <w:sz w:val="17"/>
              </w:rPr>
              <w:t>17,731</w:t>
            </w:r>
          </w:p>
        </w:tc>
        <w:tc>
          <w:tcPr>
            <w:tcW w:type="dxa" w:w="1440"/>
            <w:shd w:fill="FFDCE0" w:val="clear"/>
          </w:tcPr>
          <w:p>
            <w:r>
              <w:rPr>
                <w:b/>
                <w:color w:val="C00000"/>
                <w:sz w:val="17"/>
              </w:rPr>
              <w:t>-3.3%</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13,932</w:t>
            </w:r>
          </w:p>
        </w:tc>
        <w:tc>
          <w:tcPr>
            <w:tcW w:type="dxa" w:w="1440"/>
            <w:shd w:fill="FFDCE0" w:val="clear"/>
          </w:tcPr>
          <w:p>
            <w:r>
              <w:rPr>
                <w:b/>
                <w:sz w:val="17"/>
              </w:rPr>
              <w:t>15,852</w:t>
            </w:r>
          </w:p>
        </w:tc>
        <w:tc>
          <w:tcPr>
            <w:tcW w:type="dxa" w:w="1440"/>
            <w:shd w:fill="FFDCE0" w:val="clear"/>
          </w:tcPr>
          <w:p>
            <w:r>
              <w:rPr>
                <w:sz w:val="17"/>
              </w:rPr>
              <w:t>17,772</w:t>
            </w:r>
          </w:p>
        </w:tc>
        <w:tc>
          <w:tcPr>
            <w:tcW w:type="dxa" w:w="1440"/>
            <w:shd w:fill="FFDCE0" w:val="clear"/>
          </w:tcPr>
          <w:p>
            <w:r>
              <w:rPr>
                <w:b/>
                <w:color w:val="C00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128,23 milliards FCFA, ce qui la positionne comme une valeur de taille moyenne sur la BRVM, dans un secteur industriel stratégique. Avec un BPA de 1 677 FCFA, chaque action génère un bénéfice substantiel, justifiant un PER de 9,8x. Ce ratio est dans la fourchette basse de la moyenne BRVM (8-12x), indiquant que le marché ne surpaye pas les bénéfices de la société et offrant une décote relative intéressante. Le P/B de 2,99x montre que le marché valorise la société près de trois fois sa valeur comptable, ce qui traduit une prime de croissance accordée par les investisseurs, justifiée par la forte rentabilité des capitaux propres. Enfin, l'EV/EBITDA de 6,1x, dans la zone raisonnable de 5-10x, confirme une valorisation équilibrée de la capacité opérationnelle de l'entreprise, sans excès ni décote majeure.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affiche une progression remarquable de +23,68%, passant d'un plus bas de 11 450 FCFA à un plus haut de 17 735 FCFA, démontrant une tendance haussière soutenue. La dernière séance montre un léger repli de -0,30%, avec un cours actuel de 16 450 FCFA, suggérant une consolidation après la forte ascension. Les statistiques descriptives révèlent une moyenne de 14 266 FCFA et une médiane de 13 500 FCFA, l'écart entre les deux indiquant une distribution légèrement asymétrique positive, confirmée par un skewness de 0,088. L'écart-type de 2 138 FCFA, avec un coefficient de variation de 15%, indique une dispersion modérée du cours autour de la moyenne. Le kurtosis de -1,586 (platykurtique) signale une distribution aplatie, avec une faible concentration des valeurs extrêmes, réduisant le risque de mouvements violents. La volatilité annualisée de 38,5% classe le titre comme très volatil, ce qui implique un risque élevé mais aussi un potentiel de rendement significatif pour les investisseurs aguerris.</w:t>
      </w:r>
    </w:p>
    <w:p>
      <w:pPr>
        <w:spacing w:after="120" w:line="276" w:lineRule="auto" w:before="240"/>
      </w:pPr>
      <w:r>
        <w:rPr>
          <w:b/>
          <w:color w:val="003366"/>
          <w:sz w:val="24"/>
        </w:rPr>
        <w:t>**PARTIE 2 : ANALYSE TECHNIQUE DÉTAILLÉE**</w:t>
      </w:r>
    </w:p>
    <w:p>
      <w:pPr>
        <w:spacing w:after="120" w:line="276" w:lineRule="auto"/>
      </w:pPr>
      <w:r>
        <w:t>**Moyennes Mobiles** : Les moyennes mobiles sur 20 et 50 jours, respectivement à 16 056,75 FCFA et 16 235,7 FCFA, sont toutes deux inférieures au cours actuel de 16 450 FCFA, indiquant une tendance haussière à court et moyen terme. Cependant, la décision technique est "Vente", ce qui suggère que le cours pourrait être en train de s'essouffler après une période de hausse, avec un possible retour vers les moyennes mobiles.</w:t>
      </w:r>
    </w:p>
    <w:p>
      <w:pPr>
        <w:spacing w:after="120" w:line="276" w:lineRule="auto"/>
      </w:pPr>
      <w:r>
        <w:t>**Bandes de Bollinger** : Le cours se situe à 16 450 FCFA, entre la borne inférieure de 15 190,231 FCFA et la borne supérieure de 16 923,269 FCFA, proche de la borne supérieure. Cette position indique une pression acheteuse encore présente, mais la décision "Neutre" suggère que le marché attend un signal directionnel clair, la volatilité étant modérée.</w:t>
      </w:r>
    </w:p>
    <w:p>
      <w:pPr>
        <w:spacing w:after="120" w:line="276" w:lineRule="auto"/>
      </w:pPr>
      <w:r>
        <w:t>**MACD** : La valeur du MACD à 86,545 est nettement supérieure au signal à 38,393, avec un écart positif important. Cette configuration haussière indique un momentum positif soutenu, justifiant la décision "Achat". La dynamique actuelle suggère que la tendance haussière pourrait se poursuivre à court terme.</w:t>
      </w:r>
    </w:p>
    <w:p>
      <w:pPr>
        <w:spacing w:after="120" w:line="276" w:lineRule="auto"/>
      </w:pPr>
      <w:r>
        <w:t>**RSI** : Le RSI à 62,363 se situe dans la zone neutre (30-70), indiquant que le titre n'est ni suracheté ni survendu. Cette valeur suggère qu'il y a encore de la marge avant d'atteindre des conditions de surachat, mais la décision "Neutre" reflète une certaine prudence après la récente hausse.</w:t>
      </w:r>
    </w:p>
    <w:p>
      <w:pPr>
        <w:spacing w:after="120" w:line="276" w:lineRule="auto"/>
      </w:pPr>
      <w:r>
        <w:t>**Stochastique** : Le %K à 86,425 et le %D à 91,016 sont tous deux dans la zone de surachat (&gt;80), avec un %K inférieur au %D, indiquant un croisement baissier potentiel. La décision "Vente" est justifiée par cette configuration, signalant un possible retournement à court terme.</w:t>
      </w:r>
    </w:p>
    <w:p>
      <w:pPr>
        <w:spacing w:after="120" w:line="276" w:lineRule="auto"/>
      </w:pPr>
      <w:r>
        <w:t>**Conclusion technique** : Les indicateurs techniques sont mitigés, avec un MACD haussier mais un stochastique en surachat et des moyennes mobiles indiquant une vente. Cette divergence suggère que le titre pourrait connaître une consolidation à court terme avant de poursuivre sa tendance haussière. Les bandes de Bollinger et le RSI neutres renforcent cette hypothèse d'une pause dans le mouvement haussier.</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-9,74% par rapport à 2024, mais avec une amélioration spectaculaire de la rentabilité. Le résultat net progresse de 50,3% à 13,075 milliards FCFA, porté par une marge nette qui passe de 3,8% à 6,32%. Le ROE atteint 30,47%, un niveau excellent, et le ROA s'établit à 7,26%, démontrant une utilisation efficace des actifs. La structure financière s'est renforcée avec des capitaux propres de 42,913 milliards FCFA (+21,6%) et une trésorerie nette positive de 23,988 milliards FCFA. Cependant, les délais clients de 193,75 jours constituent un risque de trésorerie, bien que le BFR de 1,693 milliard FCFA reste gérable. Les rapports trimestriels 2025 montrent une tendance positive : le T1 affiche un résultat net de 2,7 milliards FCFA (-7%), le S1 de 3,9 milliards FCFA (-7%), et le 9M de 5,7 milliards FCFA (+6%), indiquant une accélération de la rentabilité au T3. Le rapport de 2025 (DeepSeek) recommande de conserver le titre, soulignant l'excellente performance opérationnelle mais la baisse du CA comme signal de prudence. Le rapport de 2024 (Mistral) était plus pessimiste, recommandant la vente, mais la forte amélioration de 2025 a changé la donne. La société bénéficie d'une position de trésorerie solide pour saisir des opportunités de croissance, malgré une dépendance aux prix des matières premières et aux cycles d'investissement public.</w:t>
      </w:r>
    </w:p>
    <w:p>
      <w:pPr>
        <w:spacing w:after="120" w:line="276" w:lineRule="auto" w:before="240"/>
      </w:pPr>
      <w:r>
        <w:rPr>
          <w:b/>
          <w:color w:val="003366"/>
          <w:sz w:val="24"/>
        </w:rPr>
        <w:t>**PARTIE 4 : CONCLUSION D'INVESTISSEMENT**</w:t>
      </w:r>
    </w:p>
    <w:p>
      <w:pPr>
        <w:spacing w:after="120" w:line="276" w:lineRule="auto"/>
      </w:pPr>
      <w:r>
        <w:t>La valorisation de SMBC (PER 9,8x, P/B 2,99x, EV/EBITDA 6,1x) indique une sous-évaluation relative avec une prime de croissance justifiée par un ROE exceptionnel de 30,47%. Le comportement du cours sur 100 jours (+23,68%) montre une tendance haussière soutenue, mais avec une volatilité élevée (38,5%) et un kurtosis platykurtique indiquant un risque de mouvements brusques. Les signaux techniques sont mitigés : le MACD est haussier, mais le stochastique en surachat et les moyennes mobiles suggèrent une consolidation à court terme. Les fondamentaux sont solides avec une amélioration spectaculaire de la rentabilité en 2025, une trésorerie abondante et des perspectives positives pour 2026, soutenues par la demande locale et les projets d'infrastructures. Les prédictions IA pour les 10 prochains jours (16 352 à 16 120 FCFA) indiquent une légère baisse, confirmant la consolidation technique attendue. Sur la base de cette synthèse, la recommandation est **ACHAT** avec un niveau de confiance **Moyen**, car la convergence entre la sous-évaluation, les fondamentaux solides et la tendance haussière de fond est contrebalancée par les signaux techniques de court terme. Le risque global est **Moyen**, principalement lié à la volatilité du titre et à la dépendance aux matières premières. L'horizon d'investissement optimal est le **moyen terme (3-12 mois)**, permettant de bénéficier de la reprise de la croissance des revenus et de la poursuite de l'amélioration des marges.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3199.50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9,338 titres</w:t>
            </w:r>
          </w:p>
        </w:tc>
        <w:tc>
          <w:tcPr>
            <w:tcW w:type="dxa" w:w="2268"/>
            <w:shd w:fill="FFF2CC" w:val="clear"/>
          </w:tcPr>
          <w:p>
            <w:r>
              <w:rPr>
                <w:b/>
                <w:color w:val="503200"/>
                <w:sz w:val="16"/>
              </w:rPr>
              <w:t xml:space="preserve">Cours actuel : </w:t>
            </w:r>
            <w:r>
              <w:rPr>
                <w:color w:val="000000"/>
                <w:sz w:val="17"/>
              </w:rPr>
              <w:t>31,995 FCFA</w:t>
            </w:r>
          </w:p>
          <w:p>
            <w:r>
              <w:rPr>
                <w:b/>
                <w:color w:val="503200"/>
                <w:sz w:val="16"/>
              </w:rPr>
              <w:t xml:space="preserve">Var. 100 jours : </w:t>
            </w:r>
            <w:r>
              <w:rPr>
                <w:b/>
                <w:color w:val="007800"/>
                <w:sz w:val="17"/>
              </w:rPr>
              <w:t>+10.35%</w:t>
            </w:r>
          </w:p>
          <w:p>
            <w:r>
              <w:rPr>
                <w:b/>
                <w:color w:val="503200"/>
                <w:sz w:val="16"/>
              </w:rPr>
              <w:t xml:space="preserve">Plus haut 100j : </w:t>
            </w:r>
            <w:r>
              <w:rPr>
                <w:color w:val="000000"/>
                <w:sz w:val="17"/>
              </w:rPr>
              <w:t>32,500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4.45% (Faible) — μ=29,364 FCFA, σ=1,306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β=1.2548 (Agressif) — Cov=0.000046, Var(idx)=0.000036, ρ=0.468,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9,338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σ_j=1.62%/j (Stable) — Vol. annualisée≈25.6%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2026-08-14</w:t>
            </w:r>
          </w:p>
        </w:tc>
        <w:tc>
          <w:tcPr>
            <w:tcW w:type="dxa" w:w="1440"/>
            <w:shd w:fill="FAFAFA" w:val="clear"/>
          </w:tcPr>
          <w:p>
            <w:r>
              <w:rPr>
                <w:sz w:val="17"/>
              </w:rPr>
              <w:t>30,872</w:t>
            </w:r>
          </w:p>
        </w:tc>
        <w:tc>
          <w:tcPr>
            <w:tcW w:type="dxa" w:w="1440"/>
            <w:shd w:fill="FAFAFA" w:val="clear"/>
          </w:tcPr>
          <w:p>
            <w:r>
              <w:rPr>
                <w:b/>
                <w:sz w:val="17"/>
              </w:rPr>
              <w:t>31,668</w:t>
            </w:r>
          </w:p>
        </w:tc>
        <w:tc>
          <w:tcPr>
            <w:tcW w:type="dxa" w:w="1440"/>
            <w:shd w:fill="FAFAFA" w:val="clear"/>
          </w:tcPr>
          <w:p>
            <w:r>
              <w:rPr>
                <w:sz w:val="17"/>
              </w:rPr>
              <w:t>32,464</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2026-08-17</w:t>
            </w:r>
          </w:p>
        </w:tc>
        <w:tc>
          <w:tcPr>
            <w:tcW w:type="dxa" w:w="1440"/>
            <w:shd w:fill="FAFAFA" w:val="clear"/>
          </w:tcPr>
          <w:p>
            <w:r>
              <w:rPr>
                <w:sz w:val="17"/>
              </w:rPr>
              <w:t>30,515</w:t>
            </w:r>
          </w:p>
        </w:tc>
        <w:tc>
          <w:tcPr>
            <w:tcW w:type="dxa" w:w="1440"/>
            <w:shd w:fill="FAFAFA" w:val="clear"/>
          </w:tcPr>
          <w:p>
            <w:r>
              <w:rPr>
                <w:b/>
                <w:sz w:val="17"/>
              </w:rPr>
              <w:t>31,640</w:t>
            </w:r>
          </w:p>
        </w:tc>
        <w:tc>
          <w:tcPr>
            <w:tcW w:type="dxa" w:w="1440"/>
            <w:shd w:fill="FAFAFA" w:val="clear"/>
          </w:tcPr>
          <w:p>
            <w:r>
              <w:rPr>
                <w:sz w:val="17"/>
              </w:rPr>
              <w:t>32,765</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2026-08-18</w:t>
            </w:r>
          </w:p>
        </w:tc>
        <w:tc>
          <w:tcPr>
            <w:tcW w:type="dxa" w:w="1440"/>
            <w:shd w:fill="FAFAFA" w:val="clear"/>
          </w:tcPr>
          <w:p>
            <w:r>
              <w:rPr>
                <w:sz w:val="17"/>
              </w:rPr>
              <w:t>30,212</w:t>
            </w:r>
          </w:p>
        </w:tc>
        <w:tc>
          <w:tcPr>
            <w:tcW w:type="dxa" w:w="1440"/>
            <w:shd w:fill="FAFAFA" w:val="clear"/>
          </w:tcPr>
          <w:p>
            <w:r>
              <w:rPr>
                <w:b/>
                <w:sz w:val="17"/>
              </w:rPr>
              <w:t>31,588</w:t>
            </w:r>
          </w:p>
        </w:tc>
        <w:tc>
          <w:tcPr>
            <w:tcW w:type="dxa" w:w="1440"/>
            <w:shd w:fill="FAFAFA" w:val="clear"/>
          </w:tcPr>
          <w:p>
            <w:r>
              <w:rPr>
                <w:sz w:val="17"/>
              </w:rPr>
              <w:t>32,963</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2026-08-19</w:t>
            </w:r>
          </w:p>
        </w:tc>
        <w:tc>
          <w:tcPr>
            <w:tcW w:type="dxa" w:w="1440"/>
            <w:shd w:fill="FAFAFA" w:val="clear"/>
          </w:tcPr>
          <w:p>
            <w:r>
              <w:rPr>
                <w:sz w:val="17"/>
              </w:rPr>
              <w:t>29,955</w:t>
            </w:r>
          </w:p>
        </w:tc>
        <w:tc>
          <w:tcPr>
            <w:tcW w:type="dxa" w:w="1440"/>
            <w:shd w:fill="FAFAFA" w:val="clear"/>
          </w:tcPr>
          <w:p>
            <w:r>
              <w:rPr>
                <w:b/>
                <w:sz w:val="17"/>
              </w:rPr>
              <w:t>31,540</w:t>
            </w:r>
          </w:p>
        </w:tc>
        <w:tc>
          <w:tcPr>
            <w:tcW w:type="dxa" w:w="1440"/>
            <w:shd w:fill="FAFAFA" w:val="clear"/>
          </w:tcPr>
          <w:p>
            <w:r>
              <w:rPr>
                <w:sz w:val="17"/>
              </w:rPr>
              <w:t>33,126</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2026-08-20</w:t>
            </w:r>
          </w:p>
        </w:tc>
        <w:tc>
          <w:tcPr>
            <w:tcW w:type="dxa" w:w="1440"/>
            <w:shd w:fill="FAFAFA" w:val="clear"/>
          </w:tcPr>
          <w:p>
            <w:r>
              <w:rPr>
                <w:sz w:val="17"/>
              </w:rPr>
              <w:t>29,728</w:t>
            </w:r>
          </w:p>
        </w:tc>
        <w:tc>
          <w:tcPr>
            <w:tcW w:type="dxa" w:w="1440"/>
            <w:shd w:fill="FAFAFA" w:val="clear"/>
          </w:tcPr>
          <w:p>
            <w:r>
              <w:rPr>
                <w:b/>
                <w:sz w:val="17"/>
              </w:rPr>
              <w:t>31,499</w:t>
            </w:r>
          </w:p>
        </w:tc>
        <w:tc>
          <w:tcPr>
            <w:tcW w:type="dxa" w:w="1440"/>
            <w:shd w:fill="FAFAFA" w:val="clear"/>
          </w:tcPr>
          <w:p>
            <w:r>
              <w:rPr>
                <w:sz w:val="17"/>
              </w:rPr>
              <w:t>33,269</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2026-08-21</w:t>
            </w:r>
          </w:p>
        </w:tc>
        <w:tc>
          <w:tcPr>
            <w:tcW w:type="dxa" w:w="1440"/>
            <w:shd w:fill="FAFAFA" w:val="clear"/>
          </w:tcPr>
          <w:p>
            <w:r>
              <w:rPr>
                <w:sz w:val="17"/>
              </w:rPr>
              <w:t>29,524</w:t>
            </w:r>
          </w:p>
        </w:tc>
        <w:tc>
          <w:tcPr>
            <w:tcW w:type="dxa" w:w="1440"/>
            <w:shd w:fill="FAFAFA" w:val="clear"/>
          </w:tcPr>
          <w:p>
            <w:r>
              <w:rPr>
                <w:b/>
                <w:sz w:val="17"/>
              </w:rPr>
              <w:t>31,461</w:t>
            </w:r>
          </w:p>
        </w:tc>
        <w:tc>
          <w:tcPr>
            <w:tcW w:type="dxa" w:w="1440"/>
            <w:shd w:fill="FAFAFA" w:val="clear"/>
          </w:tcPr>
          <w:p>
            <w:r>
              <w:rPr>
                <w:sz w:val="17"/>
              </w:rPr>
              <w:t>33,398</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2026-08-24</w:t>
            </w:r>
          </w:p>
        </w:tc>
        <w:tc>
          <w:tcPr>
            <w:tcW w:type="dxa" w:w="1440"/>
            <w:shd w:fill="FAFAFA" w:val="clear"/>
          </w:tcPr>
          <w:p>
            <w:r>
              <w:rPr>
                <w:sz w:val="17"/>
              </w:rPr>
              <w:t>29,334</w:t>
            </w:r>
          </w:p>
        </w:tc>
        <w:tc>
          <w:tcPr>
            <w:tcW w:type="dxa" w:w="1440"/>
            <w:shd w:fill="FAFAFA" w:val="clear"/>
          </w:tcPr>
          <w:p>
            <w:r>
              <w:rPr>
                <w:b/>
                <w:sz w:val="17"/>
              </w:rPr>
              <w:t>31,424</w:t>
            </w:r>
          </w:p>
        </w:tc>
        <w:tc>
          <w:tcPr>
            <w:tcW w:type="dxa" w:w="1440"/>
            <w:shd w:fill="FAFAFA" w:val="clear"/>
          </w:tcPr>
          <w:p>
            <w:r>
              <w:rPr>
                <w:sz w:val="17"/>
              </w:rPr>
              <w:t>33,514</w:t>
            </w:r>
          </w:p>
        </w:tc>
        <w:tc>
          <w:tcPr>
            <w:tcW w:type="dxa" w:w="1440"/>
            <w:shd w:fill="FAFAFA" w:val="clear"/>
          </w:tcPr>
          <w:p>
            <w:r>
              <w:rPr>
                <w:b/>
                <w:color w:val="C00000"/>
                <w:sz w:val="17"/>
              </w:rPr>
              <w:t>-1.8%</w:t>
            </w:r>
          </w:p>
        </w:tc>
      </w:tr>
      <w:tr>
        <w:tc>
          <w:tcPr>
            <w:tcW w:type="dxa" w:w="1440"/>
            <w:shd w:fill="FAFAFA" w:val="clear"/>
          </w:tcPr>
          <w:p>
            <w:r>
              <w:rPr>
                <w:sz w:val="17"/>
              </w:rPr>
              <w:t>J+8  ⭐</w:t>
            </w:r>
          </w:p>
        </w:tc>
        <w:tc>
          <w:tcPr>
            <w:tcW w:type="dxa" w:w="1440"/>
            <w:shd w:fill="FAFAFA" w:val="clear"/>
          </w:tcPr>
          <w:p>
            <w:r>
              <w:rPr>
                <w:sz w:val="17"/>
              </w:rPr>
              <w:t>2026-08-25</w:t>
            </w:r>
          </w:p>
        </w:tc>
        <w:tc>
          <w:tcPr>
            <w:tcW w:type="dxa" w:w="1440"/>
            <w:shd w:fill="FAFAFA" w:val="clear"/>
          </w:tcPr>
          <w:p>
            <w:r>
              <w:rPr>
                <w:sz w:val="17"/>
              </w:rPr>
              <w:t>29,157</w:t>
            </w:r>
          </w:p>
        </w:tc>
        <w:tc>
          <w:tcPr>
            <w:tcW w:type="dxa" w:w="1440"/>
            <w:shd w:fill="FAFAFA" w:val="clear"/>
          </w:tcPr>
          <w:p>
            <w:r>
              <w:rPr>
                <w:b/>
                <w:sz w:val="17"/>
              </w:rPr>
              <w:t>31,389</w:t>
            </w:r>
          </w:p>
        </w:tc>
        <w:tc>
          <w:tcPr>
            <w:tcW w:type="dxa" w:w="1440"/>
            <w:shd w:fill="FAFAFA" w:val="clear"/>
          </w:tcPr>
          <w:p>
            <w:r>
              <w:rPr>
                <w:sz w:val="17"/>
              </w:rPr>
              <w:t>33,621</w:t>
            </w:r>
          </w:p>
        </w:tc>
        <w:tc>
          <w:tcPr>
            <w:tcW w:type="dxa" w:w="1440"/>
            <w:shd w:fill="FAFAFA" w:val="clear"/>
          </w:tcPr>
          <w:p>
            <w:r>
              <w:rPr>
                <w:b/>
                <w:color w:val="C00000"/>
                <w:sz w:val="17"/>
              </w:rPr>
              <w:t>-1.9%</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28,989</w:t>
            </w:r>
          </w:p>
        </w:tc>
        <w:tc>
          <w:tcPr>
            <w:tcW w:type="dxa" w:w="1440"/>
            <w:shd w:fill="FFDCE0" w:val="clear"/>
          </w:tcPr>
          <w:p>
            <w:r>
              <w:rPr>
                <w:b/>
                <w:sz w:val="17"/>
              </w:rPr>
              <w:t>31,354</w:t>
            </w:r>
          </w:p>
        </w:tc>
        <w:tc>
          <w:tcPr>
            <w:tcW w:type="dxa" w:w="1440"/>
            <w:shd w:fill="FFDCE0" w:val="clear"/>
          </w:tcPr>
          <w:p>
            <w:r>
              <w:rPr>
                <w:sz w:val="17"/>
              </w:rPr>
              <w:t>33,718</w:t>
            </w:r>
          </w:p>
        </w:tc>
        <w:tc>
          <w:tcPr>
            <w:tcW w:type="dxa" w:w="1440"/>
            <w:shd w:fill="FFDCE0" w:val="clear"/>
          </w:tcPr>
          <w:p>
            <w:r>
              <w:rPr>
                <w:b/>
                <w:color w:val="C00000"/>
                <w:sz w:val="17"/>
              </w:rPr>
              <w:t>-2.0%</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28,830</w:t>
            </w:r>
          </w:p>
        </w:tc>
        <w:tc>
          <w:tcPr>
            <w:tcW w:type="dxa" w:w="1440"/>
            <w:shd w:fill="FFDCE0" w:val="clear"/>
          </w:tcPr>
          <w:p>
            <w:r>
              <w:rPr>
                <w:b/>
                <w:sz w:val="17"/>
              </w:rPr>
              <w:t>31,319</w:t>
            </w:r>
          </w:p>
        </w:tc>
        <w:tc>
          <w:tcPr>
            <w:tcW w:type="dxa" w:w="1440"/>
            <w:shd w:fill="FFDCE0" w:val="clear"/>
          </w:tcPr>
          <w:p>
            <w:r>
              <w:rPr>
                <w:sz w:val="17"/>
              </w:rPr>
              <w:t>33,809</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 13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SNTS s'établit à 3 199,50 Mds FCFA, ce qui en fait l'une des valeurs les plus capitalisées et les plus liquides de la BRVM, représentant un poids considérable dans l'indice composite. Avec un BPA de 4 136 FCFA, le titre se négocie à un PER de 7,7x, nettement inférieur à la moyenne historique de la place (8-12x), signalant une sous-évaluation relative du bénéfice par action. Le P/B de 2,29x indique que le marché valorise la société à plus de deux fois ses capitaux propres, une prime justifiée par la forte rentabilité des fonds propres (ROE &gt; 29%). Enfin, un EV/EBITDA de 3,3x, très inférieur au seuil de 5x, confirme que la valeur d'entreprise est très bon marché par rapport à sa capacité opérationnelle de génération de cash, renforçant l'attrait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solide de +10,35%, malgré une dernière séance quasi stable (-0,02%). Le titre a évolué dans un range de 27 160 FCFA (plus bas) à 32 500 FCFA (plus haut), démontrant une dynamique haussière soutenue. La moyenne du cours sur la période (29 364 FCFA) est inférieure à la médiane (28 875 FCFA), et le skewness positif de 0,931 indique une distribution asymétrique avec des journées majoritairement sous la moyenne, mais des mouvements de hausse plus amples. L'écart-type de 1 312 FCFA (CV = 4,5%) reflète une dispersion modérée, tandis que le kurtosis de -0,500 (mésokurtique) suggère une absence de pics extrêmes, un profil de risque normal. La volatilité annualisée de 25,6% classe le titre dans la catégorie modérée (15-30%), acceptable pour un investisseur tolérant au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(31 995 FCFA) est nettement au-dessus de la MM20 (31 445,25 FCFA) et de la MM50 (30 103,8 FCFA), confirmant une tendance haussière de court et moyen terme. La configuration en "courbe ascendante" des moyennes valide le signal d'achat, le prix évoluant dans un canal haussier bien défini.</w:t>
      </w:r>
    </w:p>
    <w:p>
      <w:pPr>
        <w:spacing w:after="120" w:line="276" w:lineRule="auto"/>
      </w:pPr>
      <w:r>
        <w:t>**Bandes de Bollinger :** Le prix se situe à 31 995 FCFA, proche de la borne supérieure (32 492,575 FCFA) mais dans la zone médiane du canal. La largeur des bandes indique une volatilité modérée. La décision "Neutre" est justifiée car le titre n'est ni en situation de surachat extrême ni de survente, laissant une marge de manœuvre avant un éventuel test de la borne haute.</w:t>
      </w:r>
    </w:p>
    <w:p>
      <w:pPr>
        <w:spacing w:after="120" w:line="276" w:lineRule="auto"/>
      </w:pPr>
      <w:r>
        <w:t>**MACD :** La valeur du MACD (403,09) est supérieure à son signal (394,517), avec un écart positif de 8,57 points. Cette configuration haussière, bien que l'écart soit faible, indique un momentum positif persistant. Le signal d'achat est confirmé, mais la prudence est de mise en cas de croisement baissier à court terme.</w:t>
      </w:r>
    </w:p>
    <w:p>
      <w:pPr>
        <w:spacing w:after="120" w:line="276" w:lineRule="auto"/>
      </w:pPr>
      <w:r>
        <w:t>**RSI :** À 52,319, le RSI se situe en zone neutre (30-70), sans signal de surachat ni de survente. Cela suggère que le titre dispose d'un potentiel de hausse supplémentaire sans pression excessive des acheteurs, mais aussi sans momentum fort. La décision "Neutre" est cohérente avec une consolidation possible.</w:t>
      </w:r>
    </w:p>
    <w:p>
      <w:pPr>
        <w:spacing w:after="120" w:line="276" w:lineRule="auto"/>
      </w:pPr>
      <w:r>
        <w:t>**Stochastique :** Le %K (99,722) et le %D (99,907) sont tous deux à des niveaux extrêmement élevés, proches de 100, indiquant une condition de surachat sévère. Le croisement potentiel baissier imminent justifie la décision "Vente", signalant un risque de correction technique à très court terme.</w:t>
      </w:r>
    </w:p>
    <w:p>
      <w:pPr>
        <w:spacing w:after="120" w:line="276" w:lineRule="auto"/>
      </w:pPr>
      <w:r>
        <w:t>**Conclusion technique :** Les indicateurs de tendance (MM, MACD) sont positifs, mais les oscillateurs de momentum (RSI, Stochastique) montrent des signes de surachat, particulièrement le Stochastique. Cette divergence suggère une possible consolidation ou un léger repli avant la poursuite de la tendance haussière. La prudence est recommandée pour les nouveaux achats à court terme.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confirment la solidité du modèle économique de SNTS. Le chiffre d'affaires s'établit à 1 923,122 Mds FCFA, en croissance de +8,26% par rapport à 2024 (1 776,4 Mds FCFA), porté par la Data mobile, le Fixe Broadband et Orange Money. Le résultat net atteint 413,588 Mds FCFA, avec une marge nette de 21,5% et un ROE exceptionnel de 29,56%, bien au-dessus du seuil de 15% jugé excellent. Le ROA de 12,65% témoigne d'une bonne efficacité dans l'utilisation des actifs. La structure financière est saine : l'autonomie financière est de 42,79%, la solvabilité générale de 174,79%, et le BFR est négatif (-284,906 Mds FCFA), un signe très favorable pour la trésorerie. Les délais clients (46 jours) et fournisseurs (201 jours) montrent une gestion efficace du cycle d'exploitation. Les rapports trimestriels de 2025 (T1 : +10,9% CA, T3 : +8,6% CA) et le S1 2026 (CA +9,3% à 1 049,8 Mds FCFA, RN +10,5% à 230 Mds FCFA) confirment la poursuite de la dynamique. On estime que l'exercice 2026 pourrait dépasser les 2 100 Mds FCFA de CA et 450 Mds FCFA de résultat net, soutenu par les investissements en 5G et fibre. La notation AAA (GCR) renforce la confiance.</w:t>
      </w:r>
    </w:p>
    <w:p>
      <w:pPr>
        <w:spacing w:after="120" w:line="276" w:lineRule="auto"/>
      </w:pPr>
      <w:r>
        <w:t>---</w:t>
      </w:r>
    </w:p>
    <w:p>
      <w:pPr>
        <w:spacing w:after="120" w:line="276" w:lineRule="auto"/>
      </w:pPr>
      <w:r>
        <w:t>### PARTIE 4 : CONCLUSION D'INVESTISSEMENT</w:t>
      </w:r>
    </w:p>
    <w:p>
      <w:pPr>
        <w:spacing w:after="120" w:line="276" w:lineRule="auto"/>
      </w:pPr>
      <w:r>
        <w:t>La valorisation de SNTS est attractive avec un PER de 7,7x et un EV/EBITDA de 3,3x, indiquant une sous-évaluation malgré une prime sur le P/B (2,29x) justifiée par un ROE de 29,6%. Le comportement du cours sur 100 jours (+10,35%) est favorable, avec une volatilité modérée (25,6%) et une distribution des rendements sans risque extrême (kurtosis mésokurtique). Les signaux techniques sont mitigés : la tendance de fond (MM, MACD) est haussière, mais le Stochastique en surachat extrême (99,7) suggère un repli technique imminent. Les fondamentaux sont excellents, avec une croissance soutenue du CA et du résultat net, une structure financière robuste et un dividende net de 1 740 FCFA (rendement ~5,4%). Les prédictions IA (31 668 à 31 499 FCFA sur J+1 à J+10) indiquent une légère correction, cohérente avec le surachat technique. **Recommandation : ACHAT** (pour les investisseurs de moyen/long terme), avec un niveau de confiance **Élevé** et un risque global **Moyen**. Horizon optimal : **Moyen terme (3-12 mois)**, en profitant d'un éventuel repli vers 31 000-31 500 FCFA pour renforcer la position.</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158.02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5,787 titres</w:t>
            </w:r>
          </w:p>
        </w:tc>
        <w:tc>
          <w:tcPr>
            <w:tcW w:type="dxa" w:w="2268"/>
            <w:shd w:fill="FFF2CC" w:val="clear"/>
          </w:tcPr>
          <w:p>
            <w:r>
              <w:rPr>
                <w:b/>
                <w:color w:val="503200"/>
                <w:sz w:val="16"/>
              </w:rPr>
              <w:t xml:space="preserve">Cours actuel : </w:t>
            </w:r>
            <w:r>
              <w:rPr>
                <w:color w:val="000000"/>
                <w:sz w:val="17"/>
              </w:rPr>
              <w:t>7,315 FCFA</w:t>
            </w:r>
          </w:p>
          <w:p>
            <w:r>
              <w:rPr>
                <w:b/>
                <w:color w:val="503200"/>
                <w:sz w:val="16"/>
              </w:rPr>
              <w:t xml:space="preserve">Var. 100 jours : </w:t>
            </w:r>
            <w:r>
              <w:rPr>
                <w:b/>
                <w:color w:val="B40000"/>
                <w:sz w:val="17"/>
              </w:rPr>
              <w:t>-17.81%</w:t>
            </w:r>
          </w:p>
          <w:p>
            <w:r>
              <w:rPr>
                <w:b/>
                <w:color w:val="503200"/>
                <w:sz w:val="16"/>
              </w:rPr>
              <w:t xml:space="preserve">Plus haut 100j : </w:t>
            </w:r>
            <w:r>
              <w:rPr>
                <w:color w:val="000000"/>
                <w:sz w:val="17"/>
              </w:rPr>
              <w:t>8,900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5.08% (Moyenne) — μ=7,993 FCFA, σ=406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β=0.6051 (Défensif) — Cov=0.000022, Var(idx)=0.000036, ρ=0.154,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2026-08-14</w:t>
            </w:r>
          </w:p>
        </w:tc>
        <w:tc>
          <w:tcPr>
            <w:tcW w:type="dxa" w:w="1440"/>
            <w:shd w:fill="C6EFCE" w:val="clear"/>
          </w:tcPr>
          <w:p>
            <w:r>
              <w:rPr>
                <w:sz w:val="17"/>
              </w:rPr>
              <w:t>7,309</w:t>
            </w:r>
          </w:p>
        </w:tc>
        <w:tc>
          <w:tcPr>
            <w:tcW w:type="dxa" w:w="1440"/>
            <w:shd w:fill="C6EFCE" w:val="clear"/>
          </w:tcPr>
          <w:p>
            <w:r>
              <w:rPr>
                <w:b/>
                <w:sz w:val="17"/>
              </w:rPr>
              <w:t>7,597</w:t>
            </w:r>
          </w:p>
        </w:tc>
        <w:tc>
          <w:tcPr>
            <w:tcW w:type="dxa" w:w="1440"/>
            <w:shd w:fill="C6EFCE" w:val="clear"/>
          </w:tcPr>
          <w:p>
            <w:r>
              <w:rPr>
                <w:sz w:val="17"/>
              </w:rPr>
              <w:t>7,885</w:t>
            </w:r>
          </w:p>
        </w:tc>
        <w:tc>
          <w:tcPr>
            <w:tcW w:type="dxa" w:w="1440"/>
            <w:shd w:fill="C6EFCE" w:val="clear"/>
          </w:tcPr>
          <w:p>
            <w:r>
              <w:rPr>
                <w:b/>
                <w:color w:val="008000"/>
                <w:sz w:val="17"/>
              </w:rPr>
              <w:t>+3.9%</w:t>
            </w:r>
          </w:p>
        </w:tc>
      </w:tr>
      <w:tr>
        <w:tc>
          <w:tcPr>
            <w:tcW w:type="dxa" w:w="1440"/>
            <w:shd w:fill="C6EFCE" w:val="clear"/>
          </w:tcPr>
          <w:p>
            <w:r>
              <w:rPr>
                <w:sz w:val="17"/>
              </w:rPr>
              <w:t>J+2  Moyenne</w:t>
            </w:r>
          </w:p>
        </w:tc>
        <w:tc>
          <w:tcPr>
            <w:tcW w:type="dxa" w:w="1440"/>
            <w:shd w:fill="C6EFCE" w:val="clear"/>
          </w:tcPr>
          <w:p>
            <w:r>
              <w:rPr>
                <w:sz w:val="17"/>
              </w:rPr>
              <w:t>2026-08-17</w:t>
            </w:r>
          </w:p>
        </w:tc>
        <w:tc>
          <w:tcPr>
            <w:tcW w:type="dxa" w:w="1440"/>
            <w:shd w:fill="C6EFCE" w:val="clear"/>
          </w:tcPr>
          <w:p>
            <w:r>
              <w:rPr>
                <w:sz w:val="17"/>
              </w:rPr>
              <w:t>7,192</w:t>
            </w:r>
          </w:p>
        </w:tc>
        <w:tc>
          <w:tcPr>
            <w:tcW w:type="dxa" w:w="1440"/>
            <w:shd w:fill="C6EFCE" w:val="clear"/>
          </w:tcPr>
          <w:p>
            <w:r>
              <w:rPr>
                <w:b/>
                <w:sz w:val="17"/>
              </w:rPr>
              <w:t>7,599</w:t>
            </w:r>
          </w:p>
        </w:tc>
        <w:tc>
          <w:tcPr>
            <w:tcW w:type="dxa" w:w="1440"/>
            <w:shd w:fill="C6EFCE" w:val="clear"/>
          </w:tcPr>
          <w:p>
            <w:r>
              <w:rPr>
                <w:sz w:val="17"/>
              </w:rPr>
              <w:t>8,006</w:t>
            </w:r>
          </w:p>
        </w:tc>
        <w:tc>
          <w:tcPr>
            <w:tcW w:type="dxa" w:w="1440"/>
            <w:shd w:fill="C6EFCE" w:val="clear"/>
          </w:tcPr>
          <w:p>
            <w:r>
              <w:rPr>
                <w:b/>
                <w:color w:val="008000"/>
                <w:sz w:val="17"/>
              </w:rPr>
              <w:t>+3.9%</w:t>
            </w:r>
          </w:p>
        </w:tc>
      </w:tr>
      <w:tr>
        <w:tc>
          <w:tcPr>
            <w:tcW w:type="dxa" w:w="1440"/>
            <w:shd w:fill="C6EFCE" w:val="clear"/>
          </w:tcPr>
          <w:p>
            <w:r>
              <w:rPr>
                <w:sz w:val="17"/>
              </w:rPr>
              <w:t>J+3  Moyenne</w:t>
            </w:r>
          </w:p>
        </w:tc>
        <w:tc>
          <w:tcPr>
            <w:tcW w:type="dxa" w:w="1440"/>
            <w:shd w:fill="C6EFCE" w:val="clear"/>
          </w:tcPr>
          <w:p>
            <w:r>
              <w:rPr>
                <w:sz w:val="17"/>
              </w:rPr>
              <w:t>2026-08-18</w:t>
            </w:r>
          </w:p>
        </w:tc>
        <w:tc>
          <w:tcPr>
            <w:tcW w:type="dxa" w:w="1440"/>
            <w:shd w:fill="C6EFCE" w:val="clear"/>
          </w:tcPr>
          <w:p>
            <w:r>
              <w:rPr>
                <w:sz w:val="17"/>
              </w:rPr>
              <w:t>7,121</w:t>
            </w:r>
          </w:p>
        </w:tc>
        <w:tc>
          <w:tcPr>
            <w:tcW w:type="dxa" w:w="1440"/>
            <w:shd w:fill="C6EFCE" w:val="clear"/>
          </w:tcPr>
          <w:p>
            <w:r>
              <w:rPr>
                <w:b/>
                <w:sz w:val="17"/>
              </w:rPr>
              <w:t>7,622</w:t>
            </w:r>
          </w:p>
        </w:tc>
        <w:tc>
          <w:tcPr>
            <w:tcW w:type="dxa" w:w="1440"/>
            <w:shd w:fill="C6EFCE" w:val="clear"/>
          </w:tcPr>
          <w:p>
            <w:r>
              <w:rPr>
                <w:sz w:val="17"/>
              </w:rPr>
              <w:t>8,122</w:t>
            </w:r>
          </w:p>
        </w:tc>
        <w:tc>
          <w:tcPr>
            <w:tcW w:type="dxa" w:w="1440"/>
            <w:shd w:fill="C6EFCE" w:val="clear"/>
          </w:tcPr>
          <w:p>
            <w:r>
              <w:rPr>
                <w:b/>
                <w:color w:val="008000"/>
                <w:sz w:val="17"/>
              </w:rPr>
              <w:t>+4.2%</w:t>
            </w:r>
          </w:p>
        </w:tc>
      </w:tr>
      <w:tr>
        <w:tc>
          <w:tcPr>
            <w:tcW w:type="dxa" w:w="1440"/>
            <w:shd w:fill="C6EFCE" w:val="clear"/>
          </w:tcPr>
          <w:p>
            <w:r>
              <w:rPr>
                <w:sz w:val="17"/>
              </w:rPr>
              <w:t>J+4  ⭐</w:t>
            </w:r>
          </w:p>
        </w:tc>
        <w:tc>
          <w:tcPr>
            <w:tcW w:type="dxa" w:w="1440"/>
            <w:shd w:fill="C6EFCE" w:val="clear"/>
          </w:tcPr>
          <w:p>
            <w:r>
              <w:rPr>
                <w:sz w:val="17"/>
              </w:rPr>
              <w:t>2026-08-19</w:t>
            </w:r>
          </w:p>
        </w:tc>
        <w:tc>
          <w:tcPr>
            <w:tcW w:type="dxa" w:w="1440"/>
            <w:shd w:fill="C6EFCE" w:val="clear"/>
          </w:tcPr>
          <w:p>
            <w:r>
              <w:rPr>
                <w:sz w:val="17"/>
              </w:rPr>
              <w:t>7,060</w:t>
            </w:r>
          </w:p>
        </w:tc>
        <w:tc>
          <w:tcPr>
            <w:tcW w:type="dxa" w:w="1440"/>
            <w:shd w:fill="C6EFCE" w:val="clear"/>
          </w:tcPr>
          <w:p>
            <w:r>
              <w:rPr>
                <w:b/>
                <w:sz w:val="17"/>
              </w:rPr>
              <w:t>7,639</w:t>
            </w:r>
          </w:p>
        </w:tc>
        <w:tc>
          <w:tcPr>
            <w:tcW w:type="dxa" w:w="1440"/>
            <w:shd w:fill="C6EFCE" w:val="clear"/>
          </w:tcPr>
          <w:p>
            <w:r>
              <w:rPr>
                <w:sz w:val="17"/>
              </w:rPr>
              <w:t>8,218</w:t>
            </w:r>
          </w:p>
        </w:tc>
        <w:tc>
          <w:tcPr>
            <w:tcW w:type="dxa" w:w="1440"/>
            <w:shd w:fill="C6EFCE" w:val="clear"/>
          </w:tcPr>
          <w:p>
            <w:r>
              <w:rPr>
                <w:b/>
                <w:color w:val="008000"/>
                <w:sz w:val="17"/>
              </w:rPr>
              <w:t>+4.4%</w:t>
            </w:r>
          </w:p>
        </w:tc>
      </w:tr>
      <w:tr>
        <w:tc>
          <w:tcPr>
            <w:tcW w:type="dxa" w:w="1440"/>
            <w:shd w:fill="C6EFCE" w:val="clear"/>
          </w:tcPr>
          <w:p>
            <w:r>
              <w:rPr>
                <w:sz w:val="17"/>
              </w:rPr>
              <w:t>J+5  ⭐</w:t>
            </w:r>
          </w:p>
        </w:tc>
        <w:tc>
          <w:tcPr>
            <w:tcW w:type="dxa" w:w="1440"/>
            <w:shd w:fill="C6EFCE" w:val="clear"/>
          </w:tcPr>
          <w:p>
            <w:r>
              <w:rPr>
                <w:sz w:val="17"/>
              </w:rPr>
              <w:t>2026-08-20</w:t>
            </w:r>
          </w:p>
        </w:tc>
        <w:tc>
          <w:tcPr>
            <w:tcW w:type="dxa" w:w="1440"/>
            <w:shd w:fill="C6EFCE" w:val="clear"/>
          </w:tcPr>
          <w:p>
            <w:r>
              <w:rPr>
                <w:sz w:val="17"/>
              </w:rPr>
              <w:t>7,006</w:t>
            </w:r>
          </w:p>
        </w:tc>
        <w:tc>
          <w:tcPr>
            <w:tcW w:type="dxa" w:w="1440"/>
            <w:shd w:fill="C6EFCE" w:val="clear"/>
          </w:tcPr>
          <w:p>
            <w:r>
              <w:rPr>
                <w:b/>
                <w:sz w:val="17"/>
              </w:rPr>
              <w:t>7,654</w:t>
            </w:r>
          </w:p>
        </w:tc>
        <w:tc>
          <w:tcPr>
            <w:tcW w:type="dxa" w:w="1440"/>
            <w:shd w:fill="C6EFCE" w:val="clear"/>
          </w:tcPr>
          <w:p>
            <w:r>
              <w:rPr>
                <w:sz w:val="17"/>
              </w:rPr>
              <w:t>8,302</w:t>
            </w:r>
          </w:p>
        </w:tc>
        <w:tc>
          <w:tcPr>
            <w:tcW w:type="dxa" w:w="1440"/>
            <w:shd w:fill="C6EFCE" w:val="clear"/>
          </w:tcPr>
          <w:p>
            <w:r>
              <w:rPr>
                <w:b/>
                <w:color w:val="008000"/>
                <w:sz w:val="17"/>
              </w:rPr>
              <w:t>+4.6%</w:t>
            </w:r>
          </w:p>
        </w:tc>
      </w:tr>
      <w:tr>
        <w:tc>
          <w:tcPr>
            <w:tcW w:type="dxa" w:w="1440"/>
            <w:shd w:fill="C6EFCE" w:val="clear"/>
          </w:tcPr>
          <w:p>
            <w:r>
              <w:rPr>
                <w:sz w:val="17"/>
              </w:rPr>
              <w:t>J+6  ⭐</w:t>
            </w:r>
          </w:p>
        </w:tc>
        <w:tc>
          <w:tcPr>
            <w:tcW w:type="dxa" w:w="1440"/>
            <w:shd w:fill="C6EFCE" w:val="clear"/>
          </w:tcPr>
          <w:p>
            <w:r>
              <w:rPr>
                <w:sz w:val="17"/>
              </w:rPr>
              <w:t>2026-08-21</w:t>
            </w:r>
          </w:p>
        </w:tc>
        <w:tc>
          <w:tcPr>
            <w:tcW w:type="dxa" w:w="1440"/>
            <w:shd w:fill="C6EFCE" w:val="clear"/>
          </w:tcPr>
          <w:p>
            <w:r>
              <w:rPr>
                <w:sz w:val="17"/>
              </w:rPr>
              <w:t>6,957</w:t>
            </w:r>
          </w:p>
        </w:tc>
        <w:tc>
          <w:tcPr>
            <w:tcW w:type="dxa" w:w="1440"/>
            <w:shd w:fill="C6EFCE" w:val="clear"/>
          </w:tcPr>
          <w:p>
            <w:r>
              <w:rPr>
                <w:b/>
                <w:sz w:val="17"/>
              </w:rPr>
              <w:t>7,669</w:t>
            </w:r>
          </w:p>
        </w:tc>
        <w:tc>
          <w:tcPr>
            <w:tcW w:type="dxa" w:w="1440"/>
            <w:shd w:fill="C6EFCE" w:val="clear"/>
          </w:tcPr>
          <w:p>
            <w:r>
              <w:rPr>
                <w:sz w:val="17"/>
              </w:rPr>
              <w:t>8,381</w:t>
            </w:r>
          </w:p>
        </w:tc>
        <w:tc>
          <w:tcPr>
            <w:tcW w:type="dxa" w:w="1440"/>
            <w:shd w:fill="C6EFCE" w:val="clear"/>
          </w:tcPr>
          <w:p>
            <w:r>
              <w:rPr>
                <w:b/>
                <w:color w:val="008000"/>
                <w:sz w:val="17"/>
              </w:rPr>
              <w:t>+4.8%</w:t>
            </w:r>
          </w:p>
        </w:tc>
      </w:tr>
      <w:tr>
        <w:tc>
          <w:tcPr>
            <w:tcW w:type="dxa" w:w="1440"/>
            <w:shd w:fill="C6EFCE" w:val="clear"/>
          </w:tcPr>
          <w:p>
            <w:r>
              <w:rPr>
                <w:sz w:val="17"/>
              </w:rPr>
              <w:t>J+7  ⭐</w:t>
            </w:r>
          </w:p>
        </w:tc>
        <w:tc>
          <w:tcPr>
            <w:tcW w:type="dxa" w:w="1440"/>
            <w:shd w:fill="C6EFCE" w:val="clear"/>
          </w:tcPr>
          <w:p>
            <w:r>
              <w:rPr>
                <w:sz w:val="17"/>
              </w:rPr>
              <w:t>2026-08-24</w:t>
            </w:r>
          </w:p>
        </w:tc>
        <w:tc>
          <w:tcPr>
            <w:tcW w:type="dxa" w:w="1440"/>
            <w:shd w:fill="C6EFCE" w:val="clear"/>
          </w:tcPr>
          <w:p>
            <w:r>
              <w:rPr>
                <w:sz w:val="17"/>
              </w:rPr>
              <w:t>6,914</w:t>
            </w:r>
          </w:p>
        </w:tc>
        <w:tc>
          <w:tcPr>
            <w:tcW w:type="dxa" w:w="1440"/>
            <w:shd w:fill="C6EFCE" w:val="clear"/>
          </w:tcPr>
          <w:p>
            <w:r>
              <w:rPr>
                <w:b/>
                <w:sz w:val="17"/>
              </w:rPr>
              <w:t>7,684</w:t>
            </w:r>
          </w:p>
        </w:tc>
        <w:tc>
          <w:tcPr>
            <w:tcW w:type="dxa" w:w="1440"/>
            <w:shd w:fill="C6EFCE" w:val="clear"/>
          </w:tcPr>
          <w:p>
            <w:r>
              <w:rPr>
                <w:sz w:val="17"/>
              </w:rPr>
              <w:t>8,454</w:t>
            </w:r>
          </w:p>
        </w:tc>
        <w:tc>
          <w:tcPr>
            <w:tcW w:type="dxa" w:w="1440"/>
            <w:shd w:fill="C6EFCE" w:val="clear"/>
          </w:tcPr>
          <w:p>
            <w:r>
              <w:rPr>
                <w:b/>
                <w:color w:val="008000"/>
                <w:sz w:val="17"/>
              </w:rPr>
              <w:t>+5.0%</w:t>
            </w:r>
          </w:p>
        </w:tc>
      </w:tr>
      <w:tr>
        <w:tc>
          <w:tcPr>
            <w:tcW w:type="dxa" w:w="1440"/>
            <w:shd w:fill="C6EFCE" w:val="clear"/>
          </w:tcPr>
          <w:p>
            <w:r>
              <w:rPr>
                <w:sz w:val="17"/>
              </w:rPr>
              <w:t>J+8  ⭐</w:t>
            </w:r>
          </w:p>
        </w:tc>
        <w:tc>
          <w:tcPr>
            <w:tcW w:type="dxa" w:w="1440"/>
            <w:shd w:fill="C6EFCE" w:val="clear"/>
          </w:tcPr>
          <w:p>
            <w:r>
              <w:rPr>
                <w:sz w:val="17"/>
              </w:rPr>
              <w:t>2026-08-25</w:t>
            </w:r>
          </w:p>
        </w:tc>
        <w:tc>
          <w:tcPr>
            <w:tcW w:type="dxa" w:w="1440"/>
            <w:shd w:fill="C6EFCE" w:val="clear"/>
          </w:tcPr>
          <w:p>
            <w:r>
              <w:rPr>
                <w:sz w:val="17"/>
              </w:rPr>
              <w:t>6,874</w:t>
            </w:r>
          </w:p>
        </w:tc>
        <w:tc>
          <w:tcPr>
            <w:tcW w:type="dxa" w:w="1440"/>
            <w:shd w:fill="C6EFCE" w:val="clear"/>
          </w:tcPr>
          <w:p>
            <w:r>
              <w:rPr>
                <w:b/>
                <w:sz w:val="17"/>
              </w:rPr>
              <w:t>7,699</w:t>
            </w:r>
          </w:p>
        </w:tc>
        <w:tc>
          <w:tcPr>
            <w:tcW w:type="dxa" w:w="1440"/>
            <w:shd w:fill="C6EFCE" w:val="clear"/>
          </w:tcPr>
          <w:p>
            <w:r>
              <w:rPr>
                <w:sz w:val="17"/>
              </w:rPr>
              <w:t>8,524</w:t>
            </w:r>
          </w:p>
        </w:tc>
        <w:tc>
          <w:tcPr>
            <w:tcW w:type="dxa" w:w="1440"/>
            <w:shd w:fill="C6EFCE" w:val="clear"/>
          </w:tcPr>
          <w:p>
            <w:r>
              <w:rPr>
                <w:b/>
                <w:color w:val="008000"/>
                <w:sz w:val="17"/>
              </w:rPr>
              <w:t>+5.3%</w:t>
            </w:r>
          </w:p>
        </w:tc>
      </w:tr>
      <w:tr>
        <w:tc>
          <w:tcPr>
            <w:tcW w:type="dxa" w:w="1440"/>
            <w:shd w:fill="C6EFCE" w:val="clear"/>
          </w:tcPr>
          <w:p>
            <w:r>
              <w:rPr>
                <w:sz w:val="17"/>
              </w:rPr>
              <w:t>J+9  ⭐</w:t>
            </w:r>
          </w:p>
        </w:tc>
        <w:tc>
          <w:tcPr>
            <w:tcW w:type="dxa" w:w="1440"/>
            <w:shd w:fill="C6EFCE" w:val="clear"/>
          </w:tcPr>
          <w:p>
            <w:r>
              <w:rPr>
                <w:sz w:val="17"/>
              </w:rPr>
              <w:t>2026-08-27</w:t>
            </w:r>
          </w:p>
        </w:tc>
        <w:tc>
          <w:tcPr>
            <w:tcW w:type="dxa" w:w="1440"/>
            <w:shd w:fill="C6EFCE" w:val="clear"/>
          </w:tcPr>
          <w:p>
            <w:r>
              <w:rPr>
                <w:sz w:val="17"/>
              </w:rPr>
              <w:t>6,837</w:t>
            </w:r>
          </w:p>
        </w:tc>
        <w:tc>
          <w:tcPr>
            <w:tcW w:type="dxa" w:w="1440"/>
            <w:shd w:fill="C6EFCE" w:val="clear"/>
          </w:tcPr>
          <w:p>
            <w:r>
              <w:rPr>
                <w:b/>
                <w:sz w:val="17"/>
              </w:rPr>
              <w:t>7,714</w:t>
            </w:r>
          </w:p>
        </w:tc>
        <w:tc>
          <w:tcPr>
            <w:tcW w:type="dxa" w:w="1440"/>
            <w:shd w:fill="C6EFCE" w:val="clear"/>
          </w:tcPr>
          <w:p>
            <w:r>
              <w:rPr>
                <w:sz w:val="17"/>
              </w:rPr>
              <w:t>8,591</w:t>
            </w:r>
          </w:p>
        </w:tc>
        <w:tc>
          <w:tcPr>
            <w:tcW w:type="dxa" w:w="1440"/>
            <w:shd w:fill="C6EFCE" w:val="clear"/>
          </w:tcPr>
          <w:p>
            <w:r>
              <w:rPr>
                <w:b/>
                <w:color w:val="008000"/>
                <w:sz w:val="17"/>
              </w:rPr>
              <w:t>+5.5%</w:t>
            </w:r>
          </w:p>
        </w:tc>
      </w:tr>
      <w:tr>
        <w:tc>
          <w:tcPr>
            <w:tcW w:type="dxa" w:w="1440"/>
            <w:shd w:fill="C6EFCE" w:val="clear"/>
          </w:tcPr>
          <w:p>
            <w:r>
              <w:rPr>
                <w:sz w:val="17"/>
              </w:rPr>
              <w:t>J+10  ⭐</w:t>
            </w:r>
          </w:p>
        </w:tc>
        <w:tc>
          <w:tcPr>
            <w:tcW w:type="dxa" w:w="1440"/>
            <w:shd w:fill="C6EFCE" w:val="clear"/>
          </w:tcPr>
          <w:p>
            <w:r>
              <w:rPr>
                <w:sz w:val="17"/>
              </w:rPr>
              <w:t>2026-08-28</w:t>
            </w:r>
          </w:p>
        </w:tc>
        <w:tc>
          <w:tcPr>
            <w:tcW w:type="dxa" w:w="1440"/>
            <w:shd w:fill="C6EFCE" w:val="clear"/>
          </w:tcPr>
          <w:p>
            <w:r>
              <w:rPr>
                <w:sz w:val="17"/>
              </w:rPr>
              <w:t>6,803</w:t>
            </w:r>
          </w:p>
        </w:tc>
        <w:tc>
          <w:tcPr>
            <w:tcW w:type="dxa" w:w="1440"/>
            <w:shd w:fill="C6EFCE" w:val="clear"/>
          </w:tcPr>
          <w:p>
            <w:r>
              <w:rPr>
                <w:b/>
                <w:sz w:val="17"/>
              </w:rPr>
              <w:t>7,729</w:t>
            </w:r>
          </w:p>
        </w:tc>
        <w:tc>
          <w:tcPr>
            <w:tcW w:type="dxa" w:w="1440"/>
            <w:shd w:fill="C6EFCE" w:val="clear"/>
          </w:tcPr>
          <w:p>
            <w:r>
              <w:rPr>
                <w:sz w:val="17"/>
              </w:rPr>
              <w:t>8,655</w:t>
            </w:r>
          </w:p>
        </w:tc>
        <w:tc>
          <w:tcPr>
            <w:tcW w:type="dxa" w:w="1440"/>
            <w:shd w:fill="C6EFCE" w:val="clear"/>
          </w:tcPr>
          <w:p>
            <w:r>
              <w:rPr>
                <w:b/>
                <w:color w:val="008000"/>
                <w:sz w:val="17"/>
              </w:rPr>
              <w:t>+5.7%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du rapport : 14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SOGC s'établit à 158,02 milliards FCFA, un niveau significatif qui la positionne parmi les valeurs moyennes à grandes capitalisations de la BRVM, lui conférant une liquidité et une visibilité appréciables. Avec un BPA de 578 FCFA, le titre se négocie à un PER de 12,6x, légèrement au-dessus de la moyenne historique du marché (8-12x), ce qui suggère que les investisseurs acceptent de payer une prime modérée pour la qualité des actifs et la solidité des résultats de l'entreprise. Le P/B de 2,31x indique que le marché valorise la société à plus du double de sa valeur comptable, une prime de croissance justifiée par ses rendements élevés. Enfin, un EV/EBITDA de 6,5x, dans la fourchette basse des standards, confirme une valorisation raisonnable de la capacité opérationnelle de l'entreprise, malgré les récentes turbulences boursières.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SOGC a subi une correction marquée de -17,81%, avec une accélération brutale lors de la dernière séance (-6,93%), illustrant une pression vendeuse intense. Le titre a évolué dans une fourchette de 7 100 FCFA (plus bas) à 8 900 FCFA (plus haut), montrant une amplitude de trading considérable. La moyenne du cours sur la période est de 7 993 FCFA, très proche de la médiane (8 000 FCFA), ce qui, combiné à un skewness de -0,174, indique une distribution quasi symétrique des prix. L'écart-type de 408 FCFA (CV=5,1%) révèle une dispersion modérée autour de la moyenne, tandis que le kurtosis de -0,806 (mésokurtique) suggère l'absence de risques de pics extrêmes. La volatilité annualisée de 37,7% classe le titre comme très volatil, reflétant un niveau de risque élevé pour les investisseurs, accentué par la récente chute des prix.</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(7 315 FCFA) se situe nettement sous la MM20 (8 076,5 FCFA) et la MM50 (8 256,6 FCFA), configurant un croisement baissier. La tendance de fond est clairement négative, les moyennes servant de résistance dynamique. La décision de "Vente" est justifiée par cette configuration, le titre étant dans une phase de distribution.</w:t>
      </w:r>
    </w:p>
    <w:p>
      <w:pPr>
        <w:spacing w:after="120" w:line="276" w:lineRule="auto"/>
      </w:pPr>
      <w:r>
        <w:t>**Bandes de Bollinger :** Le prix a cassé la borne inférieure (7 588 FCFA), signalant une phase de survente extrême et une volatilité en expansion. Le signal "Achat" généré ici est un contre-trend, suggérant un potentiel de rebond technique à court terme, mais il doit être confirmé par d'autres indicateurs.</w:t>
      </w:r>
    </w:p>
    <w:p>
      <w:pPr>
        <w:spacing w:after="120" w:line="276" w:lineRule="auto"/>
      </w:pPr>
      <w:r>
        <w:t>**MACD :** Le MACD (-129,7) est profondément négatif et sous sa ligne de signal (-54,4), confirmant un momentum baissier puissant. La divergence négative entre les deux lignes indique que la pression vendeuse est toujours dominante, justifiant la décision de "Vente".</w:t>
      </w:r>
    </w:p>
    <w:p>
      <w:pPr>
        <w:spacing w:after="120" w:line="276" w:lineRule="auto"/>
      </w:pPr>
      <w:r>
        <w:t>**RSI :** À 31,2, le RSI est en zone neutre, proche du seuil de survente (30). Cela reflète un affaiblissement de la dynamique baissière sans pour autant signaler un retournement imminent. La décision "Neutre" est cohérente avec cette lecture.</w:t>
      </w:r>
    </w:p>
    <w:p>
      <w:pPr>
        <w:spacing w:after="120" w:line="276" w:lineRule="auto"/>
      </w:pPr>
      <w:r>
        <w:t>**Stochastique :** Le %K à 0,0 et le %D à 2,54 sont en territoire de survente extrême. Ce signal "Achat" indique que le titre est techniquement épuisé à la baisse, avec un fort potentiel de rebond correctif à très court terme.</w:t>
      </w:r>
    </w:p>
    <w:p>
      <w:pPr>
        <w:spacing w:after="120" w:line="276" w:lineRule="auto"/>
      </w:pPr>
      <w:r>
        <w:t>**Conclusion technique :** La configuration est globalement baissière, dominée par les moyennes mobiles et le MACD. Cependant, les oscillateurs (RSI, Stochastique) et la cassure des bandes de Bollinger suggèrent un épuisement vendeur et un rebond technique imminent. Le scénario le plus probable est une stabilisation ou un rebond à court terme avant une reprise de la tendance baissière de fond.</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officielles de SOGC révèlent une performance financière robuste. Le chiffre d'affaires s'établit à 98,979 milliards FCFA, en hausse de 10,7% par rapport à 2024, porté par la hausse des prix de l'huile de palme et de palmiste. Le résultat net atteint 12,493 milliards FCFA, en léger repli de 5% par rapport à 2024 (13,11 Mds), en raison de la hausse des coûts d'achat de la matière première (coagulum). La marge nette reste élevée à 12,6%, et le ROE est excellent à 18,26%, démontrant une gestion efficace des capitaux propres. Le ROA de 13,84% confirme une bonne rentabilité des actifs. La structure financière est saine avec un taux d'autonomie financière de 75,8% et une capacité de remboursement quasi nulle (0,04 an). Le BFR s'établit à 7,124 milliards FCFA, avec un délai de stockage de 97,7 jours, un point de vigilance. Les rapports trimestriels 2025 (T1, S1, 9M) montrent une décélération progressive de la croissance et des marges, la direction anticipant un contexte plus difficile au S2. Le rapport annuel 2025 (publié en 2026) confirme cette tendance, avec des flux opérationnels solides de 22,6 milliards FCFA et une trésorerie nette améliorée. La société propose un dividende brut de 570 FCFA par action pour 2025, offrant un rendement attractif. Les fondamentaux restent solides, mais la croissance des bénéfices plafonne face à la hausse des coûts et à la concurrence sur l'approvisionnement.</w:t>
      </w:r>
    </w:p>
    <w:p>
      <w:pPr>
        <w:spacing w:after="120" w:line="276" w:lineRule="auto"/>
      </w:pPr>
      <w:r>
        <w:t>---</w:t>
      </w:r>
    </w:p>
    <w:p>
      <w:pPr>
        <w:spacing w:after="120" w:line="276" w:lineRule="auto"/>
      </w:pPr>
      <w:r>
        <w:t>### PARTIE 4 : CONCLUSION D'INVESTISSEMENT</w:t>
      </w:r>
    </w:p>
    <w:p>
      <w:pPr>
        <w:spacing w:after="120" w:line="276" w:lineRule="auto"/>
      </w:pPr>
      <w:r>
        <w:t>La valorisation de SOGC (PER 12,6x, P/B 2,31x, EV/EBITDA 6,5x) est jugée raisonnable, sans sous-évaluation flagrante. Le comportement du cours est préoccupant avec une chute de -17,8% sur 100 jours et une volatilité élevée (37,7%), bien que les statistiques descriptives indiquent une distribution normale sans risque de krach extrême. Les signaux techniques sont divergents : la tendance de fond est baissière (MM, MACD), mais les oscillateurs de survente (Stochastique, RSI) et la cassure des bandes de Bollinger suggèrent un rebond imminent. Les fondamentaux sont solides avec un ROE de 18,3%, une croissance du CA de 10,7% et une politique de dividende généreuse (570 FCFA/action), mais la croissance des bénéfices stagne. Les prédictions IA sur 10 jours (7 597 à 7 654 FCFA) confirment un rebond technique modéré, en ligne avec les signaux de survente. En synthèse, la convergence entre le rebond technique attendu et les fondamentaux solides, malgré une tendance baissière récente, conduit à une recommandation **CONSERVER**. Le niveau de confiance est **Moyen**, le risque global est **Élevé** (volatilité), et l'horizon d'investissement optimal est le **moyen terme (3-12 mois)**, en attendant une stabilisation des prix des matières premières et une clarification de la tendance technique.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204.46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4,592 titres</w:t>
            </w:r>
          </w:p>
        </w:tc>
        <w:tc>
          <w:tcPr>
            <w:tcW w:type="dxa" w:w="2268"/>
            <w:shd w:fill="FFF2CC" w:val="clear"/>
          </w:tcPr>
          <w:p>
            <w:r>
              <w:rPr>
                <w:b/>
                <w:color w:val="503200"/>
                <w:sz w:val="16"/>
              </w:rPr>
              <w:t xml:space="preserve">Cours actuel : </w:t>
            </w:r>
            <w:r>
              <w:rPr>
                <w:color w:val="000000"/>
                <w:sz w:val="17"/>
              </w:rPr>
              <w:t>8,000 FCFA</w:t>
            </w:r>
          </w:p>
          <w:p>
            <w:r>
              <w:rPr>
                <w:b/>
                <w:color w:val="503200"/>
                <w:sz w:val="16"/>
              </w:rPr>
              <w:t xml:space="preserve">Var. 100 jours : </w:t>
            </w:r>
            <w:r>
              <w:rPr>
                <w:b/>
                <w:color w:val="B40000"/>
                <w:sz w:val="17"/>
              </w:rPr>
              <w:t>-4.71%</w:t>
            </w:r>
          </w:p>
          <w:p>
            <w:r>
              <w:rPr>
                <w:b/>
                <w:color w:val="503200"/>
                <w:sz w:val="16"/>
              </w:rPr>
              <w:t xml:space="preserve">Plus haut 100j : </w:t>
            </w:r>
            <w:r>
              <w:rPr>
                <w:color w:val="000000"/>
                <w:sz w:val="17"/>
              </w:rPr>
              <w:t>8,395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4.56% (Faible) — μ=7,396 FCFA, σ=337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β=1.5496 (Agressif) — Cov=0.000056, Var(idx)=0.000036, ρ=0.362,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4,592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σ_j=2.58%/j (Stable) — Vol. annualisée≈41.0%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2026-08-14</w:t>
            </w:r>
          </w:p>
        </w:tc>
        <w:tc>
          <w:tcPr>
            <w:tcW w:type="dxa" w:w="1440"/>
            <w:shd w:fill="FAFAFA" w:val="clear"/>
          </w:tcPr>
          <w:p>
            <w:r>
              <w:rPr>
                <w:sz w:val="17"/>
              </w:rPr>
              <w:t>7,604</w:t>
            </w:r>
          </w:p>
        </w:tc>
        <w:tc>
          <w:tcPr>
            <w:tcW w:type="dxa" w:w="1440"/>
            <w:shd w:fill="FAFAFA" w:val="clear"/>
          </w:tcPr>
          <w:p>
            <w:r>
              <w:rPr>
                <w:b/>
                <w:sz w:val="17"/>
              </w:rPr>
              <w:t>7,880</w:t>
            </w:r>
          </w:p>
        </w:tc>
        <w:tc>
          <w:tcPr>
            <w:tcW w:type="dxa" w:w="1440"/>
            <w:shd w:fill="FAFAFA" w:val="clear"/>
          </w:tcPr>
          <w:p>
            <w:r>
              <w:rPr>
                <w:sz w:val="17"/>
              </w:rPr>
              <w:t>8,156</w:t>
            </w:r>
          </w:p>
        </w:tc>
        <w:tc>
          <w:tcPr>
            <w:tcW w:type="dxa" w:w="1440"/>
            <w:shd w:fill="FAFAFA" w:val="clear"/>
          </w:tcPr>
          <w:p>
            <w:r>
              <w:rPr>
                <w:b/>
                <w:color w:val="C00000"/>
                <w:sz w:val="17"/>
              </w:rPr>
              <w:t>-1.5%</w:t>
            </w:r>
          </w:p>
        </w:tc>
      </w:tr>
      <w:tr>
        <w:tc>
          <w:tcPr>
            <w:tcW w:type="dxa" w:w="1440"/>
            <w:shd w:fill="FAFAFA" w:val="clear"/>
          </w:tcPr>
          <w:p>
            <w:r>
              <w:rPr>
                <w:sz w:val="17"/>
              </w:rPr>
              <w:t>J+2  Moyenne</w:t>
            </w:r>
          </w:p>
        </w:tc>
        <w:tc>
          <w:tcPr>
            <w:tcW w:type="dxa" w:w="1440"/>
            <w:shd w:fill="FAFAFA" w:val="clear"/>
          </w:tcPr>
          <w:p>
            <w:r>
              <w:rPr>
                <w:sz w:val="17"/>
              </w:rPr>
              <w:t>2026-08-17</w:t>
            </w:r>
          </w:p>
        </w:tc>
        <w:tc>
          <w:tcPr>
            <w:tcW w:type="dxa" w:w="1440"/>
            <w:shd w:fill="FAFAFA" w:val="clear"/>
          </w:tcPr>
          <w:p>
            <w:r>
              <w:rPr>
                <w:sz w:val="17"/>
              </w:rPr>
              <w:t>7,481</w:t>
            </w:r>
          </w:p>
        </w:tc>
        <w:tc>
          <w:tcPr>
            <w:tcW w:type="dxa" w:w="1440"/>
            <w:shd w:fill="FAFAFA" w:val="clear"/>
          </w:tcPr>
          <w:p>
            <w:r>
              <w:rPr>
                <w:b/>
                <w:sz w:val="17"/>
              </w:rPr>
              <w:t>7,871</w:t>
            </w:r>
          </w:p>
        </w:tc>
        <w:tc>
          <w:tcPr>
            <w:tcW w:type="dxa" w:w="1440"/>
            <w:shd w:fill="FAFAFA" w:val="clear"/>
          </w:tcPr>
          <w:p>
            <w:r>
              <w:rPr>
                <w:sz w:val="17"/>
              </w:rPr>
              <w:t>8,260</w:t>
            </w:r>
          </w:p>
        </w:tc>
        <w:tc>
          <w:tcPr>
            <w:tcW w:type="dxa" w:w="1440"/>
            <w:shd w:fill="FAFAFA" w:val="clear"/>
          </w:tcPr>
          <w:p>
            <w:r>
              <w:rPr>
                <w:b/>
                <w:color w:val="C00000"/>
                <w:sz w:val="17"/>
              </w:rPr>
              <w:t>-1.6%</w:t>
            </w:r>
          </w:p>
        </w:tc>
      </w:tr>
      <w:tr>
        <w:tc>
          <w:tcPr>
            <w:tcW w:type="dxa" w:w="1440"/>
            <w:shd w:fill="FAFAFA" w:val="clear"/>
          </w:tcPr>
          <w:p>
            <w:r>
              <w:rPr>
                <w:sz w:val="17"/>
              </w:rPr>
              <w:t>J+3  Moyenne</w:t>
            </w:r>
          </w:p>
        </w:tc>
        <w:tc>
          <w:tcPr>
            <w:tcW w:type="dxa" w:w="1440"/>
            <w:shd w:fill="FAFAFA" w:val="clear"/>
          </w:tcPr>
          <w:p>
            <w:r>
              <w:rPr>
                <w:sz w:val="17"/>
              </w:rPr>
              <w:t>2026-08-18</w:t>
            </w:r>
          </w:p>
        </w:tc>
        <w:tc>
          <w:tcPr>
            <w:tcW w:type="dxa" w:w="1440"/>
            <w:shd w:fill="FAFAFA" w:val="clear"/>
          </w:tcPr>
          <w:p>
            <w:r>
              <w:rPr>
                <w:sz w:val="17"/>
              </w:rPr>
              <w:t>7,377</w:t>
            </w:r>
          </w:p>
        </w:tc>
        <w:tc>
          <w:tcPr>
            <w:tcW w:type="dxa" w:w="1440"/>
            <w:shd w:fill="FAFAFA" w:val="clear"/>
          </w:tcPr>
          <w:p>
            <w:r>
              <w:rPr>
                <w:b/>
                <w:sz w:val="17"/>
              </w:rPr>
              <w:t>7,853</w:t>
            </w:r>
          </w:p>
        </w:tc>
        <w:tc>
          <w:tcPr>
            <w:tcW w:type="dxa" w:w="1440"/>
            <w:shd w:fill="FAFAFA" w:val="clear"/>
          </w:tcPr>
          <w:p>
            <w:r>
              <w:rPr>
                <w:sz w:val="17"/>
              </w:rPr>
              <w:t>8,329</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7,288</w:t>
            </w:r>
          </w:p>
        </w:tc>
        <w:tc>
          <w:tcPr>
            <w:tcW w:type="dxa" w:w="1440"/>
            <w:shd w:fill="FFDCE0" w:val="clear"/>
          </w:tcPr>
          <w:p>
            <w:r>
              <w:rPr>
                <w:b/>
                <w:sz w:val="17"/>
              </w:rPr>
              <w:t>7,836</w:t>
            </w:r>
          </w:p>
        </w:tc>
        <w:tc>
          <w:tcPr>
            <w:tcW w:type="dxa" w:w="1440"/>
            <w:shd w:fill="FFDCE0" w:val="clear"/>
          </w:tcPr>
          <w:p>
            <w:r>
              <w:rPr>
                <w:sz w:val="17"/>
              </w:rPr>
              <w:t>8,385</w:t>
            </w:r>
          </w:p>
        </w:tc>
        <w:tc>
          <w:tcPr>
            <w:tcW w:type="dxa" w:w="1440"/>
            <w:shd w:fill="FFDCE0"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7,208</w:t>
            </w:r>
          </w:p>
        </w:tc>
        <w:tc>
          <w:tcPr>
            <w:tcW w:type="dxa" w:w="1440"/>
            <w:shd w:fill="FFDCE0" w:val="clear"/>
          </w:tcPr>
          <w:p>
            <w:r>
              <w:rPr>
                <w:b/>
                <w:sz w:val="17"/>
              </w:rPr>
              <w:t>7,820</w:t>
            </w:r>
          </w:p>
        </w:tc>
        <w:tc>
          <w:tcPr>
            <w:tcW w:type="dxa" w:w="1440"/>
            <w:shd w:fill="FFDCE0" w:val="clear"/>
          </w:tcPr>
          <w:p>
            <w:r>
              <w:rPr>
                <w:sz w:val="17"/>
              </w:rPr>
              <w:t>8,432</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7,135</w:t>
            </w:r>
          </w:p>
        </w:tc>
        <w:tc>
          <w:tcPr>
            <w:tcW w:type="dxa" w:w="1440"/>
            <w:shd w:fill="FFDCE0" w:val="clear"/>
          </w:tcPr>
          <w:p>
            <w:r>
              <w:rPr>
                <w:b/>
                <w:sz w:val="17"/>
              </w:rPr>
              <w:t>7,804</w:t>
            </w:r>
          </w:p>
        </w:tc>
        <w:tc>
          <w:tcPr>
            <w:tcW w:type="dxa" w:w="1440"/>
            <w:shd w:fill="FFDCE0" w:val="clear"/>
          </w:tcPr>
          <w:p>
            <w:r>
              <w:rPr>
                <w:sz w:val="17"/>
              </w:rPr>
              <w:t>8,473</w:t>
            </w:r>
          </w:p>
        </w:tc>
        <w:tc>
          <w:tcPr>
            <w:tcW w:type="dxa" w:w="1440"/>
            <w:shd w:fill="FFDCE0" w:val="clear"/>
          </w:tcPr>
          <w:p>
            <w:r>
              <w:rPr>
                <w:b/>
                <w:color w:val="C00000"/>
                <w:sz w:val="17"/>
              </w:rPr>
              <w:t>-2.5%</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7,067</w:t>
            </w:r>
          </w:p>
        </w:tc>
        <w:tc>
          <w:tcPr>
            <w:tcW w:type="dxa" w:w="1440"/>
            <w:shd w:fill="FFDCE0" w:val="clear"/>
          </w:tcPr>
          <w:p>
            <w:r>
              <w:rPr>
                <w:b/>
                <w:sz w:val="17"/>
              </w:rPr>
              <w:t>7,788</w:t>
            </w:r>
          </w:p>
        </w:tc>
        <w:tc>
          <w:tcPr>
            <w:tcW w:type="dxa" w:w="1440"/>
            <w:shd w:fill="FFDCE0" w:val="clear"/>
          </w:tcPr>
          <w:p>
            <w:r>
              <w:rPr>
                <w:sz w:val="17"/>
              </w:rPr>
              <w:t>8,509</w:t>
            </w:r>
          </w:p>
        </w:tc>
        <w:tc>
          <w:tcPr>
            <w:tcW w:type="dxa" w:w="1440"/>
            <w:shd w:fill="FFDCE0" w:val="clear"/>
          </w:tcPr>
          <w:p>
            <w:r>
              <w:rPr>
                <w:b/>
                <w:color w:val="C00000"/>
                <w:sz w:val="17"/>
              </w:rPr>
              <w:t>-2.7%</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7,002</w:t>
            </w:r>
          </w:p>
        </w:tc>
        <w:tc>
          <w:tcPr>
            <w:tcW w:type="dxa" w:w="1440"/>
            <w:shd w:fill="FFDCE0" w:val="clear"/>
          </w:tcPr>
          <w:p>
            <w:r>
              <w:rPr>
                <w:b/>
                <w:sz w:val="17"/>
              </w:rPr>
              <w:t>7,771</w:t>
            </w:r>
          </w:p>
        </w:tc>
        <w:tc>
          <w:tcPr>
            <w:tcW w:type="dxa" w:w="1440"/>
            <w:shd w:fill="FFDCE0" w:val="clear"/>
          </w:tcPr>
          <w:p>
            <w:r>
              <w:rPr>
                <w:sz w:val="17"/>
              </w:rPr>
              <w:t>8,540</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6,941</w:t>
            </w:r>
          </w:p>
        </w:tc>
        <w:tc>
          <w:tcPr>
            <w:tcW w:type="dxa" w:w="1440"/>
            <w:shd w:fill="FFDCE0" w:val="clear"/>
          </w:tcPr>
          <w:p>
            <w:r>
              <w:rPr>
                <w:b/>
                <w:sz w:val="17"/>
              </w:rPr>
              <w:t>7,755</w:t>
            </w:r>
          </w:p>
        </w:tc>
        <w:tc>
          <w:tcPr>
            <w:tcW w:type="dxa" w:w="1440"/>
            <w:shd w:fill="FFDCE0" w:val="clear"/>
          </w:tcPr>
          <w:p>
            <w:r>
              <w:rPr>
                <w:sz w:val="17"/>
              </w:rPr>
              <w:t>8,569</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6,883</w:t>
            </w:r>
          </w:p>
        </w:tc>
        <w:tc>
          <w:tcPr>
            <w:tcW w:type="dxa" w:w="1440"/>
            <w:shd w:fill="FFDCE0" w:val="clear"/>
          </w:tcPr>
          <w:p>
            <w:r>
              <w:rPr>
                <w:b/>
                <w:sz w:val="17"/>
              </w:rPr>
              <w:t>7,739</w:t>
            </w:r>
          </w:p>
        </w:tc>
        <w:tc>
          <w:tcPr>
            <w:tcW w:type="dxa" w:w="1440"/>
            <w:shd w:fill="FFDCE0" w:val="clear"/>
          </w:tcPr>
          <w:p>
            <w:r>
              <w:rPr>
                <w:sz w:val="17"/>
              </w:rPr>
              <w:t>8,595</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**Date : 13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SPHC s'établit à 204,46 milliards FCFA, ce qui positionne la société parmi les valeurs moyennes à grandes capitalisations de la BRVM, lui conférant une liquidité et une visibilité notables. Avec un BPA de 977 FCFA, chaque action génère un bénéfice substantiel, justifiant un PER de 8,2x. Ce ratio, inférieur à la moyenne historique de la BRVM (8-12x), indique que le marché valorise les bénéfices de SPHC à un niveau attractif, suggérant une potentielle sous-évaluation. Le P/B de 1,48x montre que le marché valorise la société à environ 1,5 fois ses capitaux propres, ce qui est raisonnable pour une entreprise avec un ROE de 18%. Enfin, un EV/EBITDA de 5,1x est un signal positif, indiquant que la valeur totale de l'entreprise (dette incluse) reste modérée par rapport à sa capacité à générer du cash opérationnel.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SPHC a enregistré une variation totale de -4,71%, avec une légère reprise de +1,65% lors de la dernière séance, clôturant à 8 000 FCFA. Le cours a évolué dans un range de 6 720 FCFA (plus bas) à 8 395 FCFA (plus haut), montrant une amplitude de trading significative. La moyenne (7 396 FCFA) et la médiane (7 400 FCFA) étant très proches, la distribution des prix est quasi symétrique, ce que confirme le skewness de 0,249. L'écart-type de 339 FCFA (CV=4,6%) indique une dispersion relativement faible autour de la moyenne. Le kurtosis de 0,050 (mésokurtique) suggère une absence de risques extrêmes de pics ou de queues épaisses. La volatilité annualisée de 41,0% est élevée (&gt;30%), reflétant un titre sujet à des fluctuations marquées, typiques du secteur des matières premières.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(8 000 FCFA) est supérieur à la MM20 (7 569,75 FCFA) et à la MM50 (7 613,6 FCFA), indiquant une dynamique haussière à court terme. Cependant, la décision globale est "Vente", probablement car le titre reste sous ses plus hauts récents et que la tendance de fond sur la période a été baissière.</w:t>
      </w:r>
    </w:p>
    <w:p>
      <w:pPr>
        <w:spacing w:after="120" w:line="276" w:lineRule="auto"/>
      </w:pPr>
      <w:r>
        <w:t>**Bandes de Bollinger** : Le prix (8 000 FCFA) se situe au-dessus de la borne supérieure (7 964,77 FCFA), signalant une condition de surachat extrême à très court terme. La décision "Vente" est cohérente avec ce franchissement, qui suggère un potentiel de repli technique vers la moyenne mobile ou la borne inférieure.</w:t>
      </w:r>
    </w:p>
    <w:p>
      <w:pPr>
        <w:spacing w:after="120" w:line="276" w:lineRule="auto"/>
      </w:pPr>
      <w:r>
        <w:t>**MACD** : La valeur du MACD (89,11) est nettement supérieure à son signal (33,70), montrant un momentum haussier très fort et une divergence positive. La décision "Achat" est justifiée par cette dynamique, qui indique une pression acheteuse dominante à moyen terme.</w:t>
      </w:r>
    </w:p>
    <w:p>
      <w:pPr>
        <w:spacing w:after="120" w:line="276" w:lineRule="auto"/>
      </w:pPr>
      <w:r>
        <w:t>**RSI** : Avec une valeur de 72,41, le RSI entre en zone de surachat (&gt;70). Cela signale que le titre a fortement monté récemment et qu'une correction technique est probable. La décision "Vente" est donc cohérente, car le potentiel de hausse immédiat est limité.</w:t>
      </w:r>
    </w:p>
    <w:p>
      <w:pPr>
        <w:spacing w:after="120" w:line="276" w:lineRule="auto"/>
      </w:pPr>
      <w:r>
        <w:t>**Stochastique** : Le %K (100,0) et le %D (98,0) sont tous deux à des niveaux extrêmes de surachat, sans croisement baissier pour le moment. La décision "Vente" est justifiée par ces conditions de surachat extrême, qui précèdent souvent un retournement.</w:t>
      </w:r>
    </w:p>
    <w:p>
      <w:pPr>
        <w:spacing w:after="120" w:line="276" w:lineRule="auto"/>
      </w:pPr>
      <w:r>
        <w:t>**Conclusion technique** : Les indicateurs sont partagés. Le MACD est haussier, mais le RSI, le Stochastique et les Bandes de Bollinger indiquent tous des conditions de surachat sévère. Cette divergence suggère un fort potentiel de correction à court terme, malgré une dynamique de fond positive. La prudence est donc de mise pour un nouvel achat à ces niveaux.</w:t>
      </w:r>
    </w:p>
    <w:p>
      <w:pPr>
        <w:spacing w:after="120" w:line="276" w:lineRule="auto"/>
      </w:pPr>
      <w:r>
        <w:t>---</w:t>
      </w:r>
    </w:p>
    <w:p>
      <w:pPr>
        <w:spacing w:after="120" w:line="276" w:lineRule="auto"/>
      </w:pPr>
      <w:r>
        <w:t>### PARTIE 3 : ANALYSE FONDAMENTALE (SECTION CRITIQUE)</w:t>
      </w:r>
    </w:p>
    <w:p>
      <w:pPr>
        <w:spacing w:after="120" w:line="276" w:lineRule="auto"/>
      </w:pPr>
      <w:r>
        <w:t>En 2025, SPHC a réalisé un chiffre d'affaires de 340,83 milliards FCFA, en hausse de 22% par rapport à 2024 (279,44 Mds), et un résultat net de 24,97 milliards FCFA, en progression de 32,9%. La rentabilité est excellente avec un ROE de 18,1% et un ROA de 11,1%. La structure financière est saine avec une autonomie financière de 61,1% et une capacité de remboursement de 0,97 an. Le BFR est positif (65,39 Mds), ce qui est défavorable, et la trésorerie nette est négative (-15,41 Mds), un point de vigilance. Les rapports trimestriels de 2025 montrent une dynamique exceptionnelle au S1 (+51% CA, +449% RN) et au T3 (+36% CA, +131% RN), mais le T1 2026 (rapport du 30/09/2025) marque un net ralentissement avec un CA de 71,8 Mds (-24%) et un RN de 2,6 Mds (-78%), pénalisé par la chute des cours mondiaux. Sur la base de ce T1 2026, on estime que l'exercice 2026 pourrait être difficile, avec une possible contraction du résultat net, à moins d'une reprise des cours du caoutchouc. La société reste leader sur son marché avec une avance sur la réglementation EUDR, mais fait face à une concurrence accrue sur la matière première.</w:t>
      </w:r>
    </w:p>
    <w:p>
      <w:pPr>
        <w:spacing w:after="120" w:line="276" w:lineRule="auto"/>
      </w:pPr>
      <w:r>
        <w:t>---</w:t>
      </w:r>
    </w:p>
    <w:p>
      <w:pPr>
        <w:spacing w:after="120" w:line="276" w:lineRule="auto"/>
      </w:pPr>
      <w:r>
        <w:t>### PARTIE 4 : CONCLUSION D'INVESTISSEMENT</w:t>
      </w:r>
    </w:p>
    <w:p>
      <w:pPr>
        <w:spacing w:after="120" w:line="276" w:lineRule="auto"/>
      </w:pPr>
      <w:r>
        <w:t>SPHC présente une valorisation attractive (PER 8,2x, P/B 1,48x, EV/EBITDA 5,1x) suggérant une sous-évaluation relative. Le comportement du cours sur 100 jours est baissier (-4,71%) mais avec une volatilité élevée (41%) et des statistiques de distribution normales. Les signaux techniques sont mitigés : le MACD est haussier, mais le RSI, le Stochastique et les Bandes de Bollinger indiquent un surachat extrême, laissant présager une correction. Fondamentalement, l'entreprise est solide avec une croissance passée remarquable, mais les perspectives 2026 sont assombries par la chute des cours et la concurrence. Les prédictions IA (8 000 à 7 820 FCFA sur 10 jours) confirment ce scénario de consolidation baissière. La synthèse globale indique une convergence entre les signaux techniques de surachat et les prédictions IA, mais une divergence avec les fondamentaux de long terme. **Recommandation : CONSERVER** avec un niveau de confiance **Moyen** et un risque global **Élevé**. L'horizon d'investissement optimal est le **moyen terme (3-12 mois)**, en attendant une stabilisation des cours du caoutchouc et une confirmation de la reprise au T2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35.68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6,187 titres</w:t>
            </w:r>
          </w:p>
        </w:tc>
        <w:tc>
          <w:tcPr>
            <w:tcW w:type="dxa" w:w="2268"/>
            <w:shd w:fill="FFF2CC" w:val="clear"/>
          </w:tcPr>
          <w:p>
            <w:r>
              <w:rPr>
                <w:b/>
                <w:color w:val="503200"/>
                <w:sz w:val="16"/>
              </w:rPr>
              <w:t xml:space="preserve">Cours actuel : </w:t>
            </w:r>
            <w:r>
              <w:rPr>
                <w:color w:val="000000"/>
                <w:sz w:val="17"/>
              </w:rPr>
              <w:t>2,655 FCFA</w:t>
            </w:r>
          </w:p>
          <w:p>
            <w:r>
              <w:rPr>
                <w:b/>
                <w:color w:val="503200"/>
                <w:sz w:val="16"/>
              </w:rPr>
              <w:t xml:space="preserve">Var. 100 jours : </w:t>
            </w:r>
            <w:r>
              <w:rPr>
                <w:b/>
                <w:color w:val="007800"/>
                <w:sz w:val="17"/>
              </w:rPr>
              <w:t>+7.71%</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2,285 FCFA</w:t>
            </w:r>
          </w:p>
          <w:p>
            <w:r>
              <w:rPr>
                <w:b/>
                <w:color w:val="503200"/>
                <w:sz w:val="16"/>
              </w:rPr>
              <w:t xml:space="preserve">Volatilité ann. : </w:t>
            </w:r>
            <w:r>
              <w:rPr>
                <w:color w:val="000000"/>
                <w:sz w:val="17"/>
              </w:rPr>
              <w:t>69.5%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11.73% (Moyenne) — μ=3,025 FCFA, σ=355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β=-1.1282 (Contre-cyclique) — Cov=-0.000041, Var(idx)=0.000036, ρ=-0.155,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σ_j=4.38%/j (Modérée) — Vol. annualisée≈69.5%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2026-08-14</w:t>
            </w:r>
          </w:p>
        </w:tc>
        <w:tc>
          <w:tcPr>
            <w:tcW w:type="dxa" w:w="1440"/>
            <w:shd w:fill="FFDCE0" w:val="clear"/>
          </w:tcPr>
          <w:p>
            <w:r>
              <w:rPr>
                <w:sz w:val="17"/>
              </w:rPr>
              <w:t>2,384</w:t>
            </w:r>
          </w:p>
        </w:tc>
        <w:tc>
          <w:tcPr>
            <w:tcW w:type="dxa" w:w="1440"/>
            <w:shd w:fill="FFDCE0" w:val="clear"/>
          </w:tcPr>
          <w:p>
            <w:r>
              <w:rPr>
                <w:b/>
                <w:sz w:val="17"/>
              </w:rPr>
              <w:t>2,511</w:t>
            </w:r>
          </w:p>
        </w:tc>
        <w:tc>
          <w:tcPr>
            <w:tcW w:type="dxa" w:w="1440"/>
            <w:shd w:fill="FFDCE0" w:val="clear"/>
          </w:tcPr>
          <w:p>
            <w:r>
              <w:rPr>
                <w:sz w:val="17"/>
              </w:rPr>
              <w:t>2,637</w:t>
            </w:r>
          </w:p>
        </w:tc>
        <w:tc>
          <w:tcPr>
            <w:tcW w:type="dxa" w:w="1440"/>
            <w:shd w:fill="FFDCE0" w:val="clear"/>
          </w:tcPr>
          <w:p>
            <w:r>
              <w:rPr>
                <w:b/>
                <w:color w:val="C00000"/>
                <w:sz w:val="17"/>
              </w:rPr>
              <w:t>-5.4%</w:t>
            </w:r>
          </w:p>
        </w:tc>
      </w:tr>
      <w:tr>
        <w:tc>
          <w:tcPr>
            <w:tcW w:type="dxa" w:w="1440"/>
            <w:shd w:fill="FFDCE0" w:val="clear"/>
          </w:tcPr>
          <w:p>
            <w:r>
              <w:rPr>
                <w:sz w:val="17"/>
              </w:rPr>
              <w:t>J+2  Moyenne</w:t>
            </w:r>
          </w:p>
        </w:tc>
        <w:tc>
          <w:tcPr>
            <w:tcW w:type="dxa" w:w="1440"/>
            <w:shd w:fill="FFDCE0" w:val="clear"/>
          </w:tcPr>
          <w:p>
            <w:r>
              <w:rPr>
                <w:sz w:val="17"/>
              </w:rPr>
              <w:t>2026-08-17</w:t>
            </w:r>
          </w:p>
        </w:tc>
        <w:tc>
          <w:tcPr>
            <w:tcW w:type="dxa" w:w="1440"/>
            <w:shd w:fill="FFDCE0" w:val="clear"/>
          </w:tcPr>
          <w:p>
            <w:r>
              <w:rPr>
                <w:sz w:val="17"/>
              </w:rPr>
              <w:t>2,200</w:t>
            </w:r>
          </w:p>
        </w:tc>
        <w:tc>
          <w:tcPr>
            <w:tcW w:type="dxa" w:w="1440"/>
            <w:shd w:fill="FFDCE0" w:val="clear"/>
          </w:tcPr>
          <w:p>
            <w:r>
              <w:rPr>
                <w:b/>
                <w:sz w:val="17"/>
              </w:rPr>
              <w:t>2,368</w:t>
            </w:r>
          </w:p>
        </w:tc>
        <w:tc>
          <w:tcPr>
            <w:tcW w:type="dxa" w:w="1440"/>
            <w:shd w:fill="FFDCE0" w:val="clear"/>
          </w:tcPr>
          <w:p>
            <w:r>
              <w:rPr>
                <w:sz w:val="17"/>
              </w:rPr>
              <w:t>2,537</w:t>
            </w:r>
          </w:p>
        </w:tc>
        <w:tc>
          <w:tcPr>
            <w:tcW w:type="dxa" w:w="1440"/>
            <w:shd w:fill="FFDCE0" w:val="clear"/>
          </w:tcPr>
          <w:p>
            <w:r>
              <w:rPr>
                <w:b/>
                <w:color w:val="C00000"/>
                <w:sz w:val="17"/>
              </w:rPr>
              <w:t>-10.8%</w:t>
            </w:r>
          </w:p>
        </w:tc>
      </w:tr>
      <w:tr>
        <w:tc>
          <w:tcPr>
            <w:tcW w:type="dxa" w:w="1440"/>
            <w:shd w:fill="FFDCE0" w:val="clear"/>
          </w:tcPr>
          <w:p>
            <w:r>
              <w:rPr>
                <w:sz w:val="17"/>
              </w:rPr>
              <w:t>J+3  Moyenne</w:t>
            </w:r>
          </w:p>
        </w:tc>
        <w:tc>
          <w:tcPr>
            <w:tcW w:type="dxa" w:w="1440"/>
            <w:shd w:fill="FFDCE0" w:val="clear"/>
          </w:tcPr>
          <w:p>
            <w:r>
              <w:rPr>
                <w:sz w:val="17"/>
              </w:rPr>
              <w:t>2026-08-18</w:t>
            </w:r>
          </w:p>
        </w:tc>
        <w:tc>
          <w:tcPr>
            <w:tcW w:type="dxa" w:w="1440"/>
            <w:shd w:fill="FFDCE0" w:val="clear"/>
          </w:tcPr>
          <w:p>
            <w:r>
              <w:rPr>
                <w:sz w:val="17"/>
              </w:rPr>
              <w:t>2,020</w:t>
            </w:r>
          </w:p>
        </w:tc>
        <w:tc>
          <w:tcPr>
            <w:tcW w:type="dxa" w:w="1440"/>
            <w:shd w:fill="FFDCE0" w:val="clear"/>
          </w:tcPr>
          <w:p>
            <w:r>
              <w:rPr>
                <w:b/>
                <w:sz w:val="17"/>
              </w:rPr>
              <w:t>2,213</w:t>
            </w:r>
          </w:p>
        </w:tc>
        <w:tc>
          <w:tcPr>
            <w:tcW w:type="dxa" w:w="1440"/>
            <w:shd w:fill="FFDCE0" w:val="clear"/>
          </w:tcPr>
          <w:p>
            <w:r>
              <w:rPr>
                <w:sz w:val="17"/>
              </w:rPr>
              <w:t>2,406</w:t>
            </w:r>
          </w:p>
        </w:tc>
        <w:tc>
          <w:tcPr>
            <w:tcW w:type="dxa" w:w="1440"/>
            <w:shd w:fill="FFDCE0" w:val="clear"/>
          </w:tcPr>
          <w:p>
            <w:r>
              <w:rPr>
                <w:b/>
                <w:color w:val="C00000"/>
                <w:sz w:val="17"/>
              </w:rPr>
              <w:t>-16.7%</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1,862</w:t>
            </w:r>
          </w:p>
        </w:tc>
        <w:tc>
          <w:tcPr>
            <w:tcW w:type="dxa" w:w="1440"/>
            <w:shd w:fill="FFDCE0" w:val="clear"/>
          </w:tcPr>
          <w:p>
            <w:r>
              <w:rPr>
                <w:b/>
                <w:sz w:val="17"/>
              </w:rPr>
              <w:t>2,070</w:t>
            </w:r>
          </w:p>
        </w:tc>
        <w:tc>
          <w:tcPr>
            <w:tcW w:type="dxa" w:w="1440"/>
            <w:shd w:fill="FFDCE0" w:val="clear"/>
          </w:tcPr>
          <w:p>
            <w:r>
              <w:rPr>
                <w:sz w:val="17"/>
              </w:rPr>
              <w:t>2,279</w:t>
            </w:r>
          </w:p>
        </w:tc>
        <w:tc>
          <w:tcPr>
            <w:tcW w:type="dxa" w:w="1440"/>
            <w:shd w:fill="FFDCE0" w:val="clear"/>
          </w:tcPr>
          <w:p>
            <w:r>
              <w:rPr>
                <w:b/>
                <w:color w:val="C00000"/>
                <w:sz w:val="17"/>
              </w:rPr>
              <w:t>-22.0%</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1,731</w:t>
            </w:r>
          </w:p>
        </w:tc>
        <w:tc>
          <w:tcPr>
            <w:tcW w:type="dxa" w:w="1440"/>
            <w:shd w:fill="FFDCE0" w:val="clear"/>
          </w:tcPr>
          <w:p>
            <w:r>
              <w:rPr>
                <w:b/>
                <w:sz w:val="17"/>
              </w:rPr>
              <w:t>1,950</w:t>
            </w:r>
          </w:p>
        </w:tc>
        <w:tc>
          <w:tcPr>
            <w:tcW w:type="dxa" w:w="1440"/>
            <w:shd w:fill="FFDCE0" w:val="clear"/>
          </w:tcPr>
          <w:p>
            <w:r>
              <w:rPr>
                <w:sz w:val="17"/>
              </w:rPr>
              <w:t>2,169</w:t>
            </w:r>
          </w:p>
        </w:tc>
        <w:tc>
          <w:tcPr>
            <w:tcW w:type="dxa" w:w="1440"/>
            <w:shd w:fill="FFDCE0" w:val="clear"/>
          </w:tcPr>
          <w:p>
            <w:r>
              <w:rPr>
                <w:b/>
                <w:color w:val="C00000"/>
                <w:sz w:val="17"/>
              </w:rPr>
              <w:t>-26.6%</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1,623</w:t>
            </w:r>
          </w:p>
        </w:tc>
        <w:tc>
          <w:tcPr>
            <w:tcW w:type="dxa" w:w="1440"/>
            <w:shd w:fill="FFDCE0" w:val="clear"/>
          </w:tcPr>
          <w:p>
            <w:r>
              <w:rPr>
                <w:b/>
                <w:sz w:val="17"/>
              </w:rPr>
              <w:t>1,852</w:t>
            </w:r>
          </w:p>
        </w:tc>
        <w:tc>
          <w:tcPr>
            <w:tcW w:type="dxa" w:w="1440"/>
            <w:shd w:fill="FFDCE0" w:val="clear"/>
          </w:tcPr>
          <w:p>
            <w:r>
              <w:rPr>
                <w:sz w:val="17"/>
              </w:rPr>
              <w:t>2,080</w:t>
            </w:r>
          </w:p>
        </w:tc>
        <w:tc>
          <w:tcPr>
            <w:tcW w:type="dxa" w:w="1440"/>
            <w:shd w:fill="FFDCE0" w:val="clear"/>
          </w:tcPr>
          <w:p>
            <w:r>
              <w:rPr>
                <w:b/>
                <w:color w:val="C00000"/>
                <w:sz w:val="17"/>
              </w:rPr>
              <w:t>-30.3%</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1,536</w:t>
            </w:r>
          </w:p>
        </w:tc>
        <w:tc>
          <w:tcPr>
            <w:tcW w:type="dxa" w:w="1440"/>
            <w:shd w:fill="FFDCE0" w:val="clear"/>
          </w:tcPr>
          <w:p>
            <w:r>
              <w:rPr>
                <w:b/>
                <w:sz w:val="17"/>
              </w:rPr>
              <w:t>1,772</w:t>
            </w:r>
          </w:p>
        </w:tc>
        <w:tc>
          <w:tcPr>
            <w:tcW w:type="dxa" w:w="1440"/>
            <w:shd w:fill="FFDCE0" w:val="clear"/>
          </w:tcPr>
          <w:p>
            <w:r>
              <w:rPr>
                <w:sz w:val="17"/>
              </w:rPr>
              <w:t>2,008</w:t>
            </w:r>
          </w:p>
        </w:tc>
        <w:tc>
          <w:tcPr>
            <w:tcW w:type="dxa" w:w="1440"/>
            <w:shd w:fill="FFDCE0" w:val="clear"/>
          </w:tcPr>
          <w:p>
            <w:r>
              <w:rPr>
                <w:b/>
                <w:color w:val="C00000"/>
                <w:sz w:val="17"/>
              </w:rPr>
              <w:t>-33.3%</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1,464</w:t>
            </w:r>
          </w:p>
        </w:tc>
        <w:tc>
          <w:tcPr>
            <w:tcW w:type="dxa" w:w="1440"/>
            <w:shd w:fill="FFDCE0" w:val="clear"/>
          </w:tcPr>
          <w:p>
            <w:r>
              <w:rPr>
                <w:b/>
                <w:sz w:val="17"/>
              </w:rPr>
              <w:t>1,707</w:t>
            </w:r>
          </w:p>
        </w:tc>
        <w:tc>
          <w:tcPr>
            <w:tcW w:type="dxa" w:w="1440"/>
            <w:shd w:fill="FFDCE0" w:val="clear"/>
          </w:tcPr>
          <w:p>
            <w:r>
              <w:rPr>
                <w:sz w:val="17"/>
              </w:rPr>
              <w:t>1,950</w:t>
            </w:r>
          </w:p>
        </w:tc>
        <w:tc>
          <w:tcPr>
            <w:tcW w:type="dxa" w:w="1440"/>
            <w:shd w:fill="FFDCE0" w:val="clear"/>
          </w:tcPr>
          <w:p>
            <w:r>
              <w:rPr>
                <w:b/>
                <w:color w:val="C00000"/>
                <w:sz w:val="17"/>
              </w:rPr>
              <w:t>-35.7%</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1,404</w:t>
            </w:r>
          </w:p>
        </w:tc>
        <w:tc>
          <w:tcPr>
            <w:tcW w:type="dxa" w:w="1440"/>
            <w:shd w:fill="FFDCE0" w:val="clear"/>
          </w:tcPr>
          <w:p>
            <w:r>
              <w:rPr>
                <w:b/>
                <w:sz w:val="17"/>
              </w:rPr>
              <w:t>1,653</w:t>
            </w:r>
          </w:p>
        </w:tc>
        <w:tc>
          <w:tcPr>
            <w:tcW w:type="dxa" w:w="1440"/>
            <w:shd w:fill="FFDCE0" w:val="clear"/>
          </w:tcPr>
          <w:p>
            <w:r>
              <w:rPr>
                <w:sz w:val="17"/>
              </w:rPr>
              <w:t>1,903</w:t>
            </w:r>
          </w:p>
        </w:tc>
        <w:tc>
          <w:tcPr>
            <w:tcW w:type="dxa" w:w="1440"/>
            <w:shd w:fill="FFDCE0" w:val="clear"/>
          </w:tcPr>
          <w:p>
            <w:r>
              <w:rPr>
                <w:b/>
                <w:color w:val="C00000"/>
                <w:sz w:val="17"/>
              </w:rPr>
              <w:t>-37.7%</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1,352</w:t>
            </w:r>
          </w:p>
        </w:tc>
        <w:tc>
          <w:tcPr>
            <w:tcW w:type="dxa" w:w="1440"/>
            <w:shd w:fill="FFDCE0" w:val="clear"/>
          </w:tcPr>
          <w:p>
            <w:r>
              <w:rPr>
                <w:b/>
                <w:sz w:val="17"/>
              </w:rPr>
              <w:t>1,607</w:t>
            </w:r>
          </w:p>
        </w:tc>
        <w:tc>
          <w:tcPr>
            <w:tcW w:type="dxa" w:w="1440"/>
            <w:shd w:fill="FFDCE0" w:val="clear"/>
          </w:tcPr>
          <w:p>
            <w:r>
              <w:rPr>
                <w:sz w:val="17"/>
              </w:rPr>
              <w:t>1,863</w:t>
            </w:r>
          </w:p>
        </w:tc>
        <w:tc>
          <w:tcPr>
            <w:tcW w:type="dxa" w:w="1440"/>
            <w:shd w:fill="FFDCE0" w:val="clear"/>
          </w:tcPr>
          <w:p>
            <w:r>
              <w:rPr>
                <w:b/>
                <w:color w:val="C00000"/>
                <w:sz w:val="17"/>
              </w:rPr>
              <w:t>-39.5%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w:t>
        <w:br/>
        <w:t>**Date : 13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35,68 milliards FCFA, un niveau significatif pour une entreprise de taille moyenne sur la BRVM. Le BPA est négatif à -7 FCFA, reflétant une perte nette par action, ce qui rend le PER non pertinent (-369,6x) et signale une absence de bénéfices à valoriser. Le P/B de 100,02x est extrêmement élevé, indiquant que le marché valorise l'actif net de la société à une prime considérable, une situation typique des valeurs spéculatives où les investisseurs parient sur un retournement futur. Le ratio EV/EBITDA n'est pas calculable ici, l'EBITDA étant négatif, ce qui confirme l'incapacité opérationnelle à générer des flux positifs. En comparaison avec le PER moyen de la BRVM (8-12x), cette valorisation est totalement décorrélée des fondamentaux actuels, reposant uniquement sur des anticipations de redressement.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affiche une variation totale de +7,71%, avec une légère baisse de -0,19% lors de la dernière séance. Le cours a évolué dans une fourchette très large, entre un plus bas de 2 285 FCFA et un plus haut de 3 895 FCFA, illustrant une forte volatilité. La moyenne du cours sur la période est de 3 025 FCFA, proche de la médiane de 2 990 FCFA, ce qui suggère une distribution relativement symétrique, confirmée par un skewness de 0,172. L'écart-type de 357 FCFA (CV=11,8%) indique une dispersion modérée autour de la moyenne. Le kurtosis de -0,685 (mésokurtique) suggère l'absence de queues de distribution épaisses, donc peu de risques de mouvements extrêmes statistiquement. La volatilité annualisée de 69,5% est extrêmement élevée, classant ce titre comme très risqué,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(2 655 FCFA) est inférieur à la MM20 (2 849,75 FCFA) et à la MM50 (3 148,8 FCFA), confirmant une tendance baissière à court et moyen terme. La décision de "Vente" est justifiée par cette configuration où le prix évolue sous ses moyennes mobiles, signalant une pression vendeuse persistante.</w:t>
      </w:r>
    </w:p>
    <w:p>
      <w:pPr>
        <w:spacing w:after="120" w:line="276" w:lineRule="auto"/>
      </w:pPr>
      <w:r>
        <w:t>**Bandes de Bollinger** : Le cours se situe en dessous de la borne inférieure (2 453,59 FCFA) mais au-dessus de la borne supérieure (3 245,91 FCFA), se positionnant dans la partie basse de l'enveloppe. La décision "Neutre" reflète une volatilité élevée, mais le prix proche de la borne inférieure pourrait indiquer une zone de survente potentielle.</w:t>
      </w:r>
    </w:p>
    <w:p>
      <w:pPr>
        <w:spacing w:after="120" w:line="276" w:lineRule="auto"/>
      </w:pPr>
      <w:r>
        <w:t>**MACD** : La valeur du MACD (-144,94) est inférieure à son signal (-135,87), confirmant un momentum baissier. La décision de "Vente" est cohérente avec cette divergence négative, indiquant que la dynamique de prix reste défavorable.</w:t>
      </w:r>
    </w:p>
    <w:p>
      <w:pPr>
        <w:spacing w:after="120" w:line="276" w:lineRule="auto"/>
      </w:pPr>
      <w:r>
        <w:t>**RSI** : À 32,84, le RSI est en zone neutre mais proche de la zone de survente (&lt;30). La décision "Neutre" suggère que le titre n'est pas encore en situation de survente extrême, mais la pression vendeuse reste présente.</w:t>
      </w:r>
    </w:p>
    <w:p>
      <w:pPr>
        <w:spacing w:after="120" w:line="276" w:lineRule="auto"/>
      </w:pPr>
      <w:r>
        <w:t>**Stochastique** : Le %K (9,09) et le %D (5,73) sont tous deux en zone de survente profonde (&lt;20), avec un croisement haussier potentiel. La décision "Achat" indique un possible rebond technique à court terme.</w:t>
      </w:r>
    </w:p>
    <w:p>
      <w:pPr>
        <w:spacing w:after="120" w:line="276" w:lineRule="auto"/>
      </w:pPr>
      <w:r>
        <w:t>**Conclusion technique** : Les indicateurs sont globalement baissiers (MM, MACD), mais les oscillateurs (RSI, Stochastique) montrent des signes de survente, suggérant un possible rebond technique. La tendance de fond reste négative, mais un mouvement de correction haussière est envisageable à très court terme.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montrent un chiffre d'affaires de 3,878 milliards FCFA, en forte croissance de +116,3% par rapport à 2024, mais le résultat net reste déficitaire à -96,56 millions FCFA. La marge nette est de -2,49%, et le ROE est profondément négatif à -27,07%, tandis que le ROA s'établit à -1,77%. La structure financière est fragile avec une autonomie financière de seulement 6,55% (capitaux propres de 356,75 millions FCFA pour un total bilan de 5,447 milliards FCFA). Le BFR est négatif à -930,47 millions FCFA, ce qui est favorable pour une entreprise, indiquant que les ressources courtes financent les besoins. Les rapports trimestriels 2025 confirment une reprise d'activité : le S1 2025 affiche un CA de 2,271 milliards FCFA (+290% vs S1 2024) et les 9 mois cumulés atteignent 3,456 milliards FCFA (+176%), portés par le chantier de l'aéroport d'Abidjan. Cependant, la perte nette sur 9 mois est de -477 millions FCFA, en amélioration de 22% par rapport à 2024. On estime que l'exercice 2025 devrait atteindre un CA proche de 4 milliards FCFA (prévision direction), mais la rentabilité opérationnelle reste négative, avec un EBE de -650 millions FCFA. La trésorerie nette positive de 1,330 milliard FCFA offre un coussin, mais les flux opérationnels négatifs (-2,212 milliards FCFA) restent préoccupants. La société demeure structurellement déficitaire, dépendante d'un seul grand projet, avec des capitaux propres très réduits.</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spéculative, avec un P/B de 100x et un PER négatif, indiquant une surévaluation manifeste par rapport aux fondamentaux. Le comportement du cours montre une volatilité très élevée (69,5%) et une tendance récente baissière, malgré une hausse sur 100 jours. Les signaux techniques sont mitigés, avec une tendance baissière dominante mais des indicateurs de survente suggérant un possible rebond technique. Les fondamentaux sont très dégradés : pertes récurrentes, ROE négatif, dépendance à un seul projet, et une structure financière fragile. Les prédictions IA pour les 10 prochains jours (de 2 511 à 1 950 FCFA) confirment une poursuite de la baisse, en cohérence avec les signaux techniques et fondamentaux. La convergence des signaux est baissière, malgré un léger espoir de rebond technique. **Recommandation : VENTE FORTE**, avec un niveau de confiance **Élevé** et un risque global **Élevé**. L'horizon d'investissement optimal est le **court terme (&lt;3 mois)** pour les spéculateurs, mais la valeur est à éviter pour les investisseurs long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401.74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3,435 titres</w:t>
            </w:r>
          </w:p>
        </w:tc>
        <w:tc>
          <w:tcPr>
            <w:tcW w:type="dxa" w:w="2268"/>
            <w:shd w:fill="FFF2CC" w:val="clear"/>
          </w:tcPr>
          <w:p>
            <w:r>
              <w:rPr>
                <w:b/>
                <w:color w:val="503200"/>
                <w:sz w:val="16"/>
              </w:rPr>
              <w:t xml:space="preserve">Cours actuel : </w:t>
            </w:r>
            <w:r>
              <w:rPr>
                <w:color w:val="000000"/>
                <w:sz w:val="17"/>
              </w:rPr>
              <w:t>22,375 FCFA</w:t>
            </w:r>
          </w:p>
          <w:p>
            <w:r>
              <w:rPr>
                <w:b/>
                <w:color w:val="503200"/>
                <w:sz w:val="16"/>
              </w:rPr>
              <w:t xml:space="preserve">Var. 100 jours : </w:t>
            </w:r>
            <w:r>
              <w:rPr>
                <w:b/>
                <w:color w:val="007800"/>
                <w:sz w:val="17"/>
              </w:rPr>
              <w:t>+3.16%</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6.15% (Moyenne) — μ=22,179 FCFA, σ=1,363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β=0.0166 (Défensif) — Cov=0.000001, Var(idx)=0.000036, ρ=0.005,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3,435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σ_j=2.01%/j (Stable) — Vol. annualisée≈32.0%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2026-08-14</w:t>
            </w:r>
          </w:p>
        </w:tc>
        <w:tc>
          <w:tcPr>
            <w:tcW w:type="dxa" w:w="1440"/>
            <w:shd w:fill="C6EFCE" w:val="clear"/>
          </w:tcPr>
          <w:p>
            <w:r>
              <w:rPr>
                <w:sz w:val="17"/>
              </w:rPr>
              <w:t>22,341</w:t>
            </w:r>
          </w:p>
        </w:tc>
        <w:tc>
          <w:tcPr>
            <w:tcW w:type="dxa" w:w="1440"/>
            <w:shd w:fill="C6EFCE" w:val="clear"/>
          </w:tcPr>
          <w:p>
            <w:r>
              <w:rPr>
                <w:b/>
                <w:sz w:val="17"/>
              </w:rPr>
              <w:t>23,366</w:t>
            </w:r>
          </w:p>
        </w:tc>
        <w:tc>
          <w:tcPr>
            <w:tcW w:type="dxa" w:w="1440"/>
            <w:shd w:fill="C6EFCE" w:val="clear"/>
          </w:tcPr>
          <w:p>
            <w:r>
              <w:rPr>
                <w:sz w:val="17"/>
              </w:rPr>
              <w:t>24,390</w:t>
            </w:r>
          </w:p>
        </w:tc>
        <w:tc>
          <w:tcPr>
            <w:tcW w:type="dxa" w:w="1440"/>
            <w:shd w:fill="C6EFCE" w:val="clear"/>
          </w:tcPr>
          <w:p>
            <w:r>
              <w:rPr>
                <w:b/>
                <w:color w:val="008000"/>
                <w:sz w:val="17"/>
              </w:rPr>
              <w:t>+4.4%</w:t>
            </w:r>
          </w:p>
        </w:tc>
      </w:tr>
      <w:tr>
        <w:tc>
          <w:tcPr>
            <w:tcW w:type="dxa" w:w="1440"/>
            <w:shd w:fill="C6EFCE" w:val="clear"/>
          </w:tcPr>
          <w:p>
            <w:r>
              <w:rPr>
                <w:sz w:val="17"/>
              </w:rPr>
              <w:t>J+2  ⭐</w:t>
            </w:r>
          </w:p>
        </w:tc>
        <w:tc>
          <w:tcPr>
            <w:tcW w:type="dxa" w:w="1440"/>
            <w:shd w:fill="C6EFCE" w:val="clear"/>
          </w:tcPr>
          <w:p>
            <w:r>
              <w:rPr>
                <w:sz w:val="17"/>
              </w:rPr>
              <w:t>2026-08-17</w:t>
            </w:r>
          </w:p>
        </w:tc>
        <w:tc>
          <w:tcPr>
            <w:tcW w:type="dxa" w:w="1440"/>
            <w:shd w:fill="C6EFCE" w:val="clear"/>
          </w:tcPr>
          <w:p>
            <w:r>
              <w:rPr>
                <w:sz w:val="17"/>
              </w:rPr>
              <w:t>22,022</w:t>
            </w:r>
          </w:p>
        </w:tc>
        <w:tc>
          <w:tcPr>
            <w:tcW w:type="dxa" w:w="1440"/>
            <w:shd w:fill="C6EFCE" w:val="clear"/>
          </w:tcPr>
          <w:p>
            <w:r>
              <w:rPr>
                <w:b/>
                <w:sz w:val="17"/>
              </w:rPr>
              <w:t>23,477</w:t>
            </w:r>
          </w:p>
        </w:tc>
        <w:tc>
          <w:tcPr>
            <w:tcW w:type="dxa" w:w="1440"/>
            <w:shd w:fill="C6EFCE" w:val="clear"/>
          </w:tcPr>
          <w:p>
            <w:r>
              <w:rPr>
                <w:sz w:val="17"/>
              </w:rPr>
              <w:t>24,932</w:t>
            </w:r>
          </w:p>
        </w:tc>
        <w:tc>
          <w:tcPr>
            <w:tcW w:type="dxa" w:w="1440"/>
            <w:shd w:fill="C6EFCE" w:val="clear"/>
          </w:tcPr>
          <w:p>
            <w:r>
              <w:rPr>
                <w:b/>
                <w:color w:val="008000"/>
                <w:sz w:val="17"/>
              </w:rPr>
              <w:t>+4.9%</w:t>
            </w:r>
          </w:p>
        </w:tc>
      </w:tr>
      <w:tr>
        <w:tc>
          <w:tcPr>
            <w:tcW w:type="dxa" w:w="1440"/>
            <w:shd w:fill="C6EFCE" w:val="clear"/>
          </w:tcPr>
          <w:p>
            <w:r>
              <w:rPr>
                <w:sz w:val="17"/>
              </w:rPr>
              <w:t>J+3  ⭐</w:t>
            </w:r>
          </w:p>
        </w:tc>
        <w:tc>
          <w:tcPr>
            <w:tcW w:type="dxa" w:w="1440"/>
            <w:shd w:fill="C6EFCE" w:val="clear"/>
          </w:tcPr>
          <w:p>
            <w:r>
              <w:rPr>
                <w:sz w:val="17"/>
              </w:rPr>
              <w:t>2026-08-18</w:t>
            </w:r>
          </w:p>
        </w:tc>
        <w:tc>
          <w:tcPr>
            <w:tcW w:type="dxa" w:w="1440"/>
            <w:shd w:fill="C6EFCE" w:val="clear"/>
          </w:tcPr>
          <w:p>
            <w:r>
              <w:rPr>
                <w:sz w:val="17"/>
              </w:rPr>
              <w:t>21,851</w:t>
            </w:r>
          </w:p>
        </w:tc>
        <w:tc>
          <w:tcPr>
            <w:tcW w:type="dxa" w:w="1440"/>
            <w:shd w:fill="C6EFCE" w:val="clear"/>
          </w:tcPr>
          <w:p>
            <w:r>
              <w:rPr>
                <w:b/>
                <w:sz w:val="17"/>
              </w:rPr>
              <w:t>23,646</w:t>
            </w:r>
          </w:p>
        </w:tc>
        <w:tc>
          <w:tcPr>
            <w:tcW w:type="dxa" w:w="1440"/>
            <w:shd w:fill="C6EFCE" w:val="clear"/>
          </w:tcPr>
          <w:p>
            <w:r>
              <w:rPr>
                <w:sz w:val="17"/>
              </w:rPr>
              <w:t>25,441</w:t>
            </w:r>
          </w:p>
        </w:tc>
        <w:tc>
          <w:tcPr>
            <w:tcW w:type="dxa" w:w="1440"/>
            <w:shd w:fill="C6EFCE" w:val="clear"/>
          </w:tcPr>
          <w:p>
            <w:r>
              <w:rPr>
                <w:b/>
                <w:color w:val="008000"/>
                <w:sz w:val="17"/>
              </w:rPr>
              <w:t>+5.7%</w:t>
            </w:r>
          </w:p>
        </w:tc>
      </w:tr>
      <w:tr>
        <w:tc>
          <w:tcPr>
            <w:tcW w:type="dxa" w:w="1440"/>
            <w:shd w:fill="C6EFCE" w:val="clear"/>
          </w:tcPr>
          <w:p>
            <w:r>
              <w:rPr>
                <w:sz w:val="17"/>
              </w:rPr>
              <w:t>J+4  ⭐</w:t>
            </w:r>
          </w:p>
        </w:tc>
        <w:tc>
          <w:tcPr>
            <w:tcW w:type="dxa" w:w="1440"/>
            <w:shd w:fill="C6EFCE" w:val="clear"/>
          </w:tcPr>
          <w:p>
            <w:r>
              <w:rPr>
                <w:sz w:val="17"/>
              </w:rPr>
              <w:t>2026-08-19</w:t>
            </w:r>
          </w:p>
        </w:tc>
        <w:tc>
          <w:tcPr>
            <w:tcW w:type="dxa" w:w="1440"/>
            <w:shd w:fill="C6EFCE" w:val="clear"/>
          </w:tcPr>
          <w:p>
            <w:r>
              <w:rPr>
                <w:sz w:val="17"/>
              </w:rPr>
              <w:t>21,745</w:t>
            </w:r>
          </w:p>
        </w:tc>
        <w:tc>
          <w:tcPr>
            <w:tcW w:type="dxa" w:w="1440"/>
            <w:shd w:fill="C6EFCE" w:val="clear"/>
          </w:tcPr>
          <w:p>
            <w:r>
              <w:rPr>
                <w:b/>
                <w:sz w:val="17"/>
              </w:rPr>
              <w:t>23,834</w:t>
            </w:r>
          </w:p>
        </w:tc>
        <w:tc>
          <w:tcPr>
            <w:tcW w:type="dxa" w:w="1440"/>
            <w:shd w:fill="C6EFCE" w:val="clear"/>
          </w:tcPr>
          <w:p>
            <w:r>
              <w:rPr>
                <w:sz w:val="17"/>
              </w:rPr>
              <w:t>25,924</w:t>
            </w:r>
          </w:p>
        </w:tc>
        <w:tc>
          <w:tcPr>
            <w:tcW w:type="dxa" w:w="1440"/>
            <w:shd w:fill="C6EFCE" w:val="clear"/>
          </w:tcPr>
          <w:p>
            <w:r>
              <w:rPr>
                <w:b/>
                <w:color w:val="008000"/>
                <w:sz w:val="17"/>
              </w:rPr>
              <w:t>+6.5%</w:t>
            </w:r>
          </w:p>
        </w:tc>
      </w:tr>
      <w:tr>
        <w:tc>
          <w:tcPr>
            <w:tcW w:type="dxa" w:w="1440"/>
            <w:shd w:fill="C6EFCE" w:val="clear"/>
          </w:tcPr>
          <w:p>
            <w:r>
              <w:rPr>
                <w:sz w:val="17"/>
              </w:rPr>
              <w:t>J+5  ⭐</w:t>
            </w:r>
          </w:p>
        </w:tc>
        <w:tc>
          <w:tcPr>
            <w:tcW w:type="dxa" w:w="1440"/>
            <w:shd w:fill="C6EFCE" w:val="clear"/>
          </w:tcPr>
          <w:p>
            <w:r>
              <w:rPr>
                <w:sz w:val="17"/>
              </w:rPr>
              <w:t>2026-08-20</w:t>
            </w:r>
          </w:p>
        </w:tc>
        <w:tc>
          <w:tcPr>
            <w:tcW w:type="dxa" w:w="1440"/>
            <w:shd w:fill="C6EFCE" w:val="clear"/>
          </w:tcPr>
          <w:p>
            <w:r>
              <w:rPr>
                <w:sz w:val="17"/>
              </w:rPr>
              <w:t>21,677</w:t>
            </w:r>
          </w:p>
        </w:tc>
        <w:tc>
          <w:tcPr>
            <w:tcW w:type="dxa" w:w="1440"/>
            <w:shd w:fill="C6EFCE" w:val="clear"/>
          </w:tcPr>
          <w:p>
            <w:r>
              <w:rPr>
                <w:b/>
                <w:sz w:val="17"/>
              </w:rPr>
              <w:t>24,033</w:t>
            </w:r>
          </w:p>
        </w:tc>
        <w:tc>
          <w:tcPr>
            <w:tcW w:type="dxa" w:w="1440"/>
            <w:shd w:fill="C6EFCE" w:val="clear"/>
          </w:tcPr>
          <w:p>
            <w:r>
              <w:rPr>
                <w:sz w:val="17"/>
              </w:rPr>
              <w:t>26,388</w:t>
            </w:r>
          </w:p>
        </w:tc>
        <w:tc>
          <w:tcPr>
            <w:tcW w:type="dxa" w:w="1440"/>
            <w:shd w:fill="C6EFCE" w:val="clear"/>
          </w:tcPr>
          <w:p>
            <w:r>
              <w:rPr>
                <w:b/>
                <w:color w:val="008000"/>
                <w:sz w:val="17"/>
              </w:rPr>
              <w:t>+7.4%</w:t>
            </w:r>
          </w:p>
        </w:tc>
      </w:tr>
      <w:tr>
        <w:tc>
          <w:tcPr>
            <w:tcW w:type="dxa" w:w="1440"/>
            <w:shd w:fill="C6EFCE" w:val="clear"/>
          </w:tcPr>
          <w:p>
            <w:r>
              <w:rPr>
                <w:sz w:val="17"/>
              </w:rPr>
              <w:t>J+6  ⭐</w:t>
            </w:r>
          </w:p>
        </w:tc>
        <w:tc>
          <w:tcPr>
            <w:tcW w:type="dxa" w:w="1440"/>
            <w:shd w:fill="C6EFCE" w:val="clear"/>
          </w:tcPr>
          <w:p>
            <w:r>
              <w:rPr>
                <w:sz w:val="17"/>
              </w:rPr>
              <w:t>2026-08-21</w:t>
            </w:r>
          </w:p>
        </w:tc>
        <w:tc>
          <w:tcPr>
            <w:tcW w:type="dxa" w:w="1440"/>
            <w:shd w:fill="C6EFCE" w:val="clear"/>
          </w:tcPr>
          <w:p>
            <w:r>
              <w:rPr>
                <w:sz w:val="17"/>
              </w:rPr>
              <w:t>21,633</w:t>
            </w:r>
          </w:p>
        </w:tc>
        <w:tc>
          <w:tcPr>
            <w:tcW w:type="dxa" w:w="1440"/>
            <w:shd w:fill="C6EFCE" w:val="clear"/>
          </w:tcPr>
          <w:p>
            <w:r>
              <w:rPr>
                <w:b/>
                <w:sz w:val="17"/>
              </w:rPr>
              <w:t>24,235</w:t>
            </w:r>
          </w:p>
        </w:tc>
        <w:tc>
          <w:tcPr>
            <w:tcW w:type="dxa" w:w="1440"/>
            <w:shd w:fill="C6EFCE" w:val="clear"/>
          </w:tcPr>
          <w:p>
            <w:r>
              <w:rPr>
                <w:sz w:val="17"/>
              </w:rPr>
              <w:t>26,836</w:t>
            </w:r>
          </w:p>
        </w:tc>
        <w:tc>
          <w:tcPr>
            <w:tcW w:type="dxa" w:w="1440"/>
            <w:shd w:fill="C6EFCE" w:val="clear"/>
          </w:tcPr>
          <w:p>
            <w:r>
              <w:rPr>
                <w:b/>
                <w:color w:val="008000"/>
                <w:sz w:val="17"/>
              </w:rPr>
              <w:t>+8.3%</w:t>
            </w:r>
          </w:p>
        </w:tc>
      </w:tr>
      <w:tr>
        <w:tc>
          <w:tcPr>
            <w:tcW w:type="dxa" w:w="1440"/>
            <w:shd w:fill="C6EFCE" w:val="clear"/>
          </w:tcPr>
          <w:p>
            <w:r>
              <w:rPr>
                <w:sz w:val="17"/>
              </w:rPr>
              <w:t>J+7  ⭐</w:t>
            </w:r>
          </w:p>
        </w:tc>
        <w:tc>
          <w:tcPr>
            <w:tcW w:type="dxa" w:w="1440"/>
            <w:shd w:fill="C6EFCE" w:val="clear"/>
          </w:tcPr>
          <w:p>
            <w:r>
              <w:rPr>
                <w:sz w:val="17"/>
              </w:rPr>
              <w:t>2026-08-24</w:t>
            </w:r>
          </w:p>
        </w:tc>
        <w:tc>
          <w:tcPr>
            <w:tcW w:type="dxa" w:w="1440"/>
            <w:shd w:fill="C6EFCE" w:val="clear"/>
          </w:tcPr>
          <w:p>
            <w:r>
              <w:rPr>
                <w:sz w:val="17"/>
              </w:rPr>
              <w:t>21,616</w:t>
            </w:r>
          </w:p>
        </w:tc>
        <w:tc>
          <w:tcPr>
            <w:tcW w:type="dxa" w:w="1440"/>
            <w:shd w:fill="C6EFCE" w:val="clear"/>
          </w:tcPr>
          <w:p>
            <w:r>
              <w:rPr>
                <w:b/>
                <w:sz w:val="17"/>
              </w:rPr>
              <w:t>24,451</w:t>
            </w:r>
          </w:p>
        </w:tc>
        <w:tc>
          <w:tcPr>
            <w:tcW w:type="dxa" w:w="1440"/>
            <w:shd w:fill="C6EFCE" w:val="clear"/>
          </w:tcPr>
          <w:p>
            <w:r>
              <w:rPr>
                <w:sz w:val="17"/>
              </w:rPr>
              <w:t>27,287</w:t>
            </w:r>
          </w:p>
        </w:tc>
        <w:tc>
          <w:tcPr>
            <w:tcW w:type="dxa" w:w="1440"/>
            <w:shd w:fill="C6EFCE" w:val="clear"/>
          </w:tcPr>
          <w:p>
            <w:r>
              <w:rPr>
                <w:b/>
                <w:color w:val="008000"/>
                <w:sz w:val="17"/>
              </w:rPr>
              <w:t>+9.3%</w:t>
            </w:r>
          </w:p>
        </w:tc>
      </w:tr>
      <w:tr>
        <w:tc>
          <w:tcPr>
            <w:tcW w:type="dxa" w:w="1440"/>
            <w:shd w:fill="C6EFCE" w:val="clear"/>
          </w:tcPr>
          <w:p>
            <w:r>
              <w:rPr>
                <w:sz w:val="17"/>
              </w:rPr>
              <w:t>J+8  ⭐</w:t>
            </w:r>
          </w:p>
        </w:tc>
        <w:tc>
          <w:tcPr>
            <w:tcW w:type="dxa" w:w="1440"/>
            <w:shd w:fill="C6EFCE" w:val="clear"/>
          </w:tcPr>
          <w:p>
            <w:r>
              <w:rPr>
                <w:sz w:val="17"/>
              </w:rPr>
              <w:t>2026-08-25</w:t>
            </w:r>
          </w:p>
        </w:tc>
        <w:tc>
          <w:tcPr>
            <w:tcW w:type="dxa" w:w="1440"/>
            <w:shd w:fill="C6EFCE" w:val="clear"/>
          </w:tcPr>
          <w:p>
            <w:r>
              <w:rPr>
                <w:sz w:val="17"/>
              </w:rPr>
              <w:t>21,622</w:t>
            </w:r>
          </w:p>
        </w:tc>
        <w:tc>
          <w:tcPr>
            <w:tcW w:type="dxa" w:w="1440"/>
            <w:shd w:fill="C6EFCE" w:val="clear"/>
          </w:tcPr>
          <w:p>
            <w:r>
              <w:rPr>
                <w:b/>
                <w:sz w:val="17"/>
              </w:rPr>
              <w:t>24,681</w:t>
            </w:r>
          </w:p>
        </w:tc>
        <w:tc>
          <w:tcPr>
            <w:tcW w:type="dxa" w:w="1440"/>
            <w:shd w:fill="C6EFCE" w:val="clear"/>
          </w:tcPr>
          <w:p>
            <w:r>
              <w:rPr>
                <w:sz w:val="17"/>
              </w:rPr>
              <w:t>27,741</w:t>
            </w:r>
          </w:p>
        </w:tc>
        <w:tc>
          <w:tcPr>
            <w:tcW w:type="dxa" w:w="1440"/>
            <w:shd w:fill="C6EFCE" w:val="clear"/>
          </w:tcPr>
          <w:p>
            <w:r>
              <w:rPr>
                <w:b/>
                <w:color w:val="008000"/>
                <w:sz w:val="17"/>
              </w:rPr>
              <w:t>+10.3%</w:t>
            </w:r>
          </w:p>
        </w:tc>
      </w:tr>
      <w:tr>
        <w:tc>
          <w:tcPr>
            <w:tcW w:type="dxa" w:w="1440"/>
            <w:shd w:fill="C6EFCE" w:val="clear"/>
          </w:tcPr>
          <w:p>
            <w:r>
              <w:rPr>
                <w:sz w:val="17"/>
              </w:rPr>
              <w:t>J+9  ⭐</w:t>
            </w:r>
          </w:p>
        </w:tc>
        <w:tc>
          <w:tcPr>
            <w:tcW w:type="dxa" w:w="1440"/>
            <w:shd w:fill="C6EFCE" w:val="clear"/>
          </w:tcPr>
          <w:p>
            <w:r>
              <w:rPr>
                <w:sz w:val="17"/>
              </w:rPr>
              <w:t>2026-08-27</w:t>
            </w:r>
          </w:p>
        </w:tc>
        <w:tc>
          <w:tcPr>
            <w:tcW w:type="dxa" w:w="1440"/>
            <w:shd w:fill="C6EFCE" w:val="clear"/>
          </w:tcPr>
          <w:p>
            <w:r>
              <w:rPr>
                <w:sz w:val="17"/>
              </w:rPr>
              <w:t>21,640</w:t>
            </w:r>
          </w:p>
        </w:tc>
        <w:tc>
          <w:tcPr>
            <w:tcW w:type="dxa" w:w="1440"/>
            <w:shd w:fill="C6EFCE" w:val="clear"/>
          </w:tcPr>
          <w:p>
            <w:r>
              <w:rPr>
                <w:b/>
                <w:sz w:val="17"/>
              </w:rPr>
              <w:t>24,917</w:t>
            </w:r>
          </w:p>
        </w:tc>
        <w:tc>
          <w:tcPr>
            <w:tcW w:type="dxa" w:w="1440"/>
            <w:shd w:fill="C6EFCE" w:val="clear"/>
          </w:tcPr>
          <w:p>
            <w:r>
              <w:rPr>
                <w:sz w:val="17"/>
              </w:rPr>
              <w:t>28,193</w:t>
            </w:r>
          </w:p>
        </w:tc>
        <w:tc>
          <w:tcPr>
            <w:tcW w:type="dxa" w:w="1440"/>
            <w:shd w:fill="C6EFCE" w:val="clear"/>
          </w:tcPr>
          <w:p>
            <w:r>
              <w:rPr>
                <w:b/>
                <w:color w:val="008000"/>
                <w:sz w:val="17"/>
              </w:rPr>
              <w:t>+11.4%</w:t>
            </w:r>
          </w:p>
        </w:tc>
      </w:tr>
      <w:tr>
        <w:tc>
          <w:tcPr>
            <w:tcW w:type="dxa" w:w="1440"/>
            <w:shd w:fill="C6EFCE" w:val="clear"/>
          </w:tcPr>
          <w:p>
            <w:r>
              <w:rPr>
                <w:sz w:val="17"/>
              </w:rPr>
              <w:t>J+10  ⭐</w:t>
            </w:r>
          </w:p>
        </w:tc>
        <w:tc>
          <w:tcPr>
            <w:tcW w:type="dxa" w:w="1440"/>
            <w:shd w:fill="C6EFCE" w:val="clear"/>
          </w:tcPr>
          <w:p>
            <w:r>
              <w:rPr>
                <w:sz w:val="17"/>
              </w:rPr>
              <w:t>2026-08-28</w:t>
            </w:r>
          </w:p>
        </w:tc>
        <w:tc>
          <w:tcPr>
            <w:tcW w:type="dxa" w:w="1440"/>
            <w:shd w:fill="C6EFCE" w:val="clear"/>
          </w:tcPr>
          <w:p>
            <w:r>
              <w:rPr>
                <w:sz w:val="17"/>
              </w:rPr>
              <w:t>21,677</w:t>
            </w:r>
          </w:p>
        </w:tc>
        <w:tc>
          <w:tcPr>
            <w:tcW w:type="dxa" w:w="1440"/>
            <w:shd w:fill="C6EFCE" w:val="clear"/>
          </w:tcPr>
          <w:p>
            <w:r>
              <w:rPr>
                <w:b/>
                <w:sz w:val="17"/>
              </w:rPr>
              <w:t>25,165</w:t>
            </w:r>
          </w:p>
        </w:tc>
        <w:tc>
          <w:tcPr>
            <w:tcW w:type="dxa" w:w="1440"/>
            <w:shd w:fill="C6EFCE" w:val="clear"/>
          </w:tcPr>
          <w:p>
            <w:r>
              <w:rPr>
                <w:sz w:val="17"/>
              </w:rPr>
              <w:t>28,653</w:t>
            </w:r>
          </w:p>
        </w:tc>
        <w:tc>
          <w:tcPr>
            <w:tcW w:type="dxa" w:w="1440"/>
            <w:shd w:fill="C6EFCE" w:val="clear"/>
          </w:tcPr>
          <w:p>
            <w:r>
              <w:rPr>
                <w:b/>
                <w:color w:val="008000"/>
                <w:sz w:val="17"/>
              </w:rPr>
              <w:t>+12.5%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STBC s'établit à 401,74 milliards FCFA, ce qui en fait l'une des valeurs les plus significatives de la BRVM, reflétant son statut de leader dans le secteur du tabac en Afrique de l'Ouest. Avec un BPA de 2 014 FCFA, chaque action génère un bénéfice substantiel, justifiant un PER de 11,1x, légèrement au-dessus de la moyenne historique de la BRVM (8-12x), ce qui indique une valorisation raisonnable mais non bradée. Le P/B de 8,86x est particulièrement élevé, signifiant que le marché valorise fortement l'entreprise par rapport à ses capitaux propres, une prime qui reflète la confiance des investisseurs dans sa rentabilité exceptionnelle (ROE de 79,75%). Enfin, l'EV/EBITDA de 8,0x se situe dans une fourchette raisonnable, indiquant que la valeur totale de l'entreprise reste cohérente avec sa capacité opérationnelle à générer des bénéfices.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STBC a enregistré une variation totale positive de +3,16%, mais a subi une baisse notable de -4,79% lors de la dernière séance, signalant une volatilité à court terme. Le cours a évolué dans une fourchette de 19 705 FCFA (plus bas) à 25 000 FCFA (plus haut), démontrant une amplitude de trading significative. La moyenne du cours (22 179 FCFA) est légèrement supérieure à la médiane (21 898 FCFA), indiquant une asymétrie positive confirmée par le skewness de 0,504, ce qui suggère que les journées sous la moyenne sont plus fréquentes mais avec des pics plus élevés. L'écart-type de 1 370 FCFA (CV=6,2%) révèle une dispersion modérée, tandis que le kurtosis de -0,807 (mésokurtique) indique une distribution proche de la normale, sans risque de pics extrêmes. La volatilité annualisée de 32,0% positionne le titre comme une valeur à volatilité élevée, ce qui implique des fluctuations importantes et un risque accru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Les moyennes mobiles sur 20 jours (23 543,25 FCFA) et sur 50 jours (23 276,4 FCFA) sont toutes deux supérieures au cours actuel de 22 375 FCFA, indiquant que le prix a récemment chuté sous ces niveaux clés. Cependant, la MM20 reste au-dessus de la MM50, suggérant une tendance haussière de moyen terme. La décision d'achat est justifiée par cette configuration positive, bien que le cours doive repasser au-dessus de ces moyennes pour confirmer la reprise.</w:t>
      </w:r>
    </w:p>
    <w:p>
      <w:pPr>
        <w:spacing w:after="120" w:line="276" w:lineRule="auto"/>
      </w:pPr>
      <w:r>
        <w:t>**Bandes de Bollinger** : Le cours actuel (22 375 FCFA) se situe près de la borne inférieure (21 998,795 FCFA), indiquant une zone de survente potentielle. La largeur des bandes (25 087,705 FCFA pour la borne supérieure) reflète une volatilité élevée. La décision neutre est appropriée, car le prix pourrait rebondir vers la moyenne, mais une cassure sous la borne inférieure signalerait une poursuite de la baisse.</w:t>
      </w:r>
    </w:p>
    <w:p>
      <w:pPr>
        <w:spacing w:after="120" w:line="276" w:lineRule="auto"/>
      </w:pPr>
      <w:r>
        <w:t>**MACD** : Le MACD (74,624) est nettement inférieur à son signal (191,321), confirmant une dynamique baissière à court terme. Cette divergence négative indique un affaiblissement du momentum, justifiant la décision de vente. Les investisseurs devraient attendre un croisement haussier du MACD au-dessus du signal pour envisager une position acheteuse.</w:t>
      </w:r>
    </w:p>
    <w:p>
      <w:pPr>
        <w:spacing w:after="120" w:line="276" w:lineRule="auto"/>
      </w:pPr>
      <w:r>
        <w:t>**RSI** : Le RSI de 41,286 se situe dans la zone neutre (30-70), indiquant que le titre n'est ni suracheté ni survendu. Cette valeur suggère une stabilisation après la récente baisse, mais sans signal clair de retournement. La décision neutre est cohérente avec cette lecture.</w:t>
      </w:r>
    </w:p>
    <w:p>
      <w:pPr>
        <w:spacing w:after="120" w:line="276" w:lineRule="auto"/>
      </w:pPr>
      <w:r>
        <w:t>**Stochastique** : Le %K à 0,0 et le %D à 10,058 indiquent une condition de survente extrême, avec le %K bien en dessous du %D. Cette configuration suggère un potentiel de rebond technique à court terme, justifiant la décision d'achat. Un croisement haussier du %K au-dessus du %D confirmerait ce signal.</w:t>
      </w:r>
    </w:p>
    <w:p>
      <w:pPr>
        <w:spacing w:after="120" w:line="276" w:lineRule="auto"/>
      </w:pPr>
      <w:r>
        <w:t>**Conclusion technique** : Les indicateurs sont mitigés, avec des signaux baissiers (MACD) contrastant avec des conditions de survente (Stochastique, proximité de la borne inférieure de Bollinger). La tendance des moyennes mobiles reste positive, mais le cours doit se stabiliser au-dessus de 22 000 FCFA pour éviter une correction plus profonde. La prudence est de mise, avec un potentiel de rebond technique à surveiller.</w:t>
      </w:r>
    </w:p>
    <w:p>
      <w:pPr>
        <w:spacing w:after="120" w:line="276" w:lineRule="auto"/>
      </w:pPr>
      <w:r>
        <w:t>---</w:t>
      </w:r>
    </w:p>
    <w:p>
      <w:pPr>
        <w:spacing w:after="120" w:line="276" w:lineRule="auto"/>
      </w:pPr>
      <w:r>
        <w:t>### PARTIE 3 : ANALYSE FONDAMENTALE (SECTION CRITIQUE)</w:t>
      </w:r>
    </w:p>
    <w:p>
      <w:pPr>
        <w:spacing w:after="120" w:line="276" w:lineRule="auto"/>
      </w:pPr>
      <w:r>
        <w:t>En 2025, STBC (SITAB) a réalisé un chiffre d'affaires de 268,537 milliards FCFA, en hausse de 25,3% par rapport à 2024, démontrant une dynamique commerciale exceptionnelle. Cependant, le résultat net a chuté à 36,158 milliards FCFA, contre 44,2 milliards en 2024, soit une baisse de 17,5%, principalement en raison de l'augmentation des droits d'accise (de 49% à 70%) et d'un contrôle fiscal. La marge nette s'est dégradée à 13,46% (contre 20,4% en 2024), tandis que la marge opérationnelle a reculé à 17,12%. Malgré cette pression sur les marges, la rentabilité reste excellente avec un ROE de 79,75% et un ROA de 48,09%, soutenus par une structure financière saine (autonomie financière de 60,3%, zéro dette financière significative). Le BFR de 5,639 milliards FCFA et un délai clients de 42,57 jours indiquent une gestion correcte de la trésorerie, bien que la trésorerie nette ait diminué de 48,2 à 30,76 milliards FCFA en raison du versement massif de dividendes. Sur la base des rapports trimestriels 2025 (T1 : CA +34,7%, résultat net +146% ; T3 : CA +19%, résultat net +9%), on estime que la tendance de croissance du CA se poursuivra, mais la rentabilité pourrait rester sous pression en 2026. Le rapport T1 2026 (CA +12% à 68,8 milliards FCFA, résultat net stable à 9,3 milliards) confirme cette dynamique, avec une amélioration des volumes (+10%). La recommandation fondamentale est de conserver, car la société affiche une solidité financière remarquable et une politique de dividende généreuse (1 940 FCFA/action proposé pour 2025), mais les risques réglementaires et la compression des marges nécessitent une surveillance attentive.</w:t>
      </w:r>
    </w:p>
    <w:p>
      <w:pPr>
        <w:spacing w:after="120" w:line="276" w:lineRule="auto"/>
      </w:pPr>
      <w:r>
        <w:t>---</w:t>
      </w:r>
    </w:p>
    <w:p>
      <w:pPr>
        <w:spacing w:after="120" w:line="276" w:lineRule="auto"/>
      </w:pPr>
      <w:r>
        <w:t>### PARTIE 4 : CONCLUSION D'INVESTISSEMENT</w:t>
      </w:r>
    </w:p>
    <w:p>
      <w:pPr>
        <w:spacing w:after="120" w:line="276" w:lineRule="auto"/>
      </w:pPr>
      <w:r>
        <w:t>La valorisation de STBC (PER 11,1x, P/B 8,86x, EV/EBITDA 8,0x) indique une prime de marché justifiée par une rentabilité exceptionnelle, mais qui laisse peu de marge de sécurité. Le comportement du cours sur 100 jours montre une tendance globalement positive (+3,16%) mais avec une volatilité élevée (32%) et une récente baisse de -4,79%, reflétant des incertitudes à court terme. Les signaux techniques sont mitigés : les moyennes mobiles restent haussières, mais le MACD est vendeur, tandis que le stochastique suggère un rebond imminent. Les fondamentaux sont solides avec une croissance du CA de 25,3% en 2025, mais la baisse du résultat net (-17,5%) et la pression fiscale constituent des risques majeurs. Les prédictions IA (23 366 à 24 033 FCFA sur 10 jours) indiquent une trajectoire haussière, confirmant le potentiel de rebond technique. En synthèse, la convergence entre la solidité fondamentale, la valorisation raisonnable et les signaux de rebond technique suggère une recommandation de **CONSERVER**, avec un niveau de confiance **Moyen** et un risque global **Élevé** en raison de la volatilité et des incertitudes réglementaires. L'horizon d'investissement optimal est le **moyen terme (3-12 mois)**, permettant de capter le rendement du dividende (environ 8,7%) tout en surveillant l'évolution des marges et de la réglementation.</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188.88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8,235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+8.70%</w:t>
            </w:r>
          </w:p>
          <w:p>
            <w:r>
              <w:rPr>
                <w:b/>
                <w:color w:val="503200"/>
                <w:sz w:val="16"/>
              </w:rPr>
              <w:t xml:space="preserve">Plus haut 100j : </w:t>
            </w:r>
            <w:r>
              <w:rPr>
                <w:color w:val="000000"/>
                <w:sz w:val="17"/>
              </w:rPr>
              <w:t>3,060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3.36% (Faible) — μ=2,856 FCFA, σ=96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β=-0.1323 (Contre-cyclique) — Cov=-0.000005, Var(idx)=0.000036, ρ=-0.031,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8,235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2026-08-14</w:t>
            </w:r>
          </w:p>
        </w:tc>
        <w:tc>
          <w:tcPr>
            <w:tcW w:type="dxa" w:w="1440"/>
            <w:shd w:fill="FAFAFA" w:val="clear"/>
          </w:tcPr>
          <w:p>
            <w:r>
              <w:rPr>
                <w:sz w:val="17"/>
              </w:rPr>
              <w:t>2,826</w:t>
            </w:r>
          </w:p>
        </w:tc>
        <w:tc>
          <w:tcPr>
            <w:tcW w:type="dxa" w:w="1440"/>
            <w:shd w:fill="FAFAFA" w:val="clear"/>
          </w:tcPr>
          <w:p>
            <w:r>
              <w:rPr>
                <w:b/>
                <w:sz w:val="17"/>
              </w:rPr>
              <w:t>2,991</w:t>
            </w:r>
          </w:p>
        </w:tc>
        <w:tc>
          <w:tcPr>
            <w:tcW w:type="dxa" w:w="1440"/>
            <w:shd w:fill="FAFAFA" w:val="clear"/>
          </w:tcPr>
          <w:p>
            <w:r>
              <w:rPr>
                <w:sz w:val="17"/>
              </w:rPr>
              <w:t>3,156</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2026-08-17</w:t>
            </w:r>
          </w:p>
        </w:tc>
        <w:tc>
          <w:tcPr>
            <w:tcW w:type="dxa" w:w="1440"/>
            <w:shd w:fill="FAFAFA" w:val="clear"/>
          </w:tcPr>
          <w:p>
            <w:r>
              <w:rPr>
                <w:sz w:val="17"/>
              </w:rPr>
              <w:t>2,750</w:t>
            </w:r>
          </w:p>
        </w:tc>
        <w:tc>
          <w:tcPr>
            <w:tcW w:type="dxa" w:w="1440"/>
            <w:shd w:fill="FAFAFA" w:val="clear"/>
          </w:tcPr>
          <w:p>
            <w:r>
              <w:rPr>
                <w:b/>
                <w:sz w:val="17"/>
              </w:rPr>
              <w:t>2,983</w:t>
            </w:r>
          </w:p>
        </w:tc>
        <w:tc>
          <w:tcPr>
            <w:tcW w:type="dxa" w:w="1440"/>
            <w:shd w:fill="FAFAFA" w:val="clear"/>
          </w:tcPr>
          <w:p>
            <w:r>
              <w:rPr>
                <w:sz w:val="17"/>
              </w:rPr>
              <w:t>3,216</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2026-08-18</w:t>
            </w:r>
          </w:p>
        </w:tc>
        <w:tc>
          <w:tcPr>
            <w:tcW w:type="dxa" w:w="1440"/>
            <w:shd w:fill="FAFAFA" w:val="clear"/>
          </w:tcPr>
          <w:p>
            <w:r>
              <w:rPr>
                <w:sz w:val="17"/>
              </w:rPr>
              <w:t>2,691</w:t>
            </w:r>
          </w:p>
        </w:tc>
        <w:tc>
          <w:tcPr>
            <w:tcW w:type="dxa" w:w="1440"/>
            <w:shd w:fill="FAFAFA" w:val="clear"/>
          </w:tcPr>
          <w:p>
            <w:r>
              <w:rPr>
                <w:b/>
                <w:sz w:val="17"/>
              </w:rPr>
              <w:t>2,975</w:t>
            </w:r>
          </w:p>
        </w:tc>
        <w:tc>
          <w:tcPr>
            <w:tcW w:type="dxa" w:w="1440"/>
            <w:shd w:fill="FAFAFA" w:val="clear"/>
          </w:tcPr>
          <w:p>
            <w:r>
              <w:rPr>
                <w:sz w:val="17"/>
              </w:rPr>
              <w:t>3,260</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2026-08-19</w:t>
            </w:r>
          </w:p>
        </w:tc>
        <w:tc>
          <w:tcPr>
            <w:tcW w:type="dxa" w:w="1440"/>
            <w:shd w:fill="FAFAFA" w:val="clear"/>
          </w:tcPr>
          <w:p>
            <w:r>
              <w:rPr>
                <w:sz w:val="17"/>
              </w:rPr>
              <w:t>2,640</w:t>
            </w:r>
          </w:p>
        </w:tc>
        <w:tc>
          <w:tcPr>
            <w:tcW w:type="dxa" w:w="1440"/>
            <w:shd w:fill="FAFAFA" w:val="clear"/>
          </w:tcPr>
          <w:p>
            <w:r>
              <w:rPr>
                <w:b/>
                <w:sz w:val="17"/>
              </w:rPr>
              <w:t>2,968</w:t>
            </w:r>
          </w:p>
        </w:tc>
        <w:tc>
          <w:tcPr>
            <w:tcW w:type="dxa" w:w="1440"/>
            <w:shd w:fill="FAFAFA" w:val="clear"/>
          </w:tcPr>
          <w:p>
            <w:r>
              <w:rPr>
                <w:sz w:val="17"/>
              </w:rPr>
              <w:t>3,296</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2026-08-20</w:t>
            </w:r>
          </w:p>
        </w:tc>
        <w:tc>
          <w:tcPr>
            <w:tcW w:type="dxa" w:w="1440"/>
            <w:shd w:fill="FAFAFA" w:val="clear"/>
          </w:tcPr>
          <w:p>
            <w:r>
              <w:rPr>
                <w:sz w:val="17"/>
              </w:rPr>
              <w:t>2,596</w:t>
            </w:r>
          </w:p>
        </w:tc>
        <w:tc>
          <w:tcPr>
            <w:tcW w:type="dxa" w:w="1440"/>
            <w:shd w:fill="FAFAFA" w:val="clear"/>
          </w:tcPr>
          <w:p>
            <w:r>
              <w:rPr>
                <w:b/>
                <w:sz w:val="17"/>
              </w:rPr>
              <w:t>2,962</w:t>
            </w:r>
          </w:p>
        </w:tc>
        <w:tc>
          <w:tcPr>
            <w:tcW w:type="dxa" w:w="1440"/>
            <w:shd w:fill="FAFAFA" w:val="clear"/>
          </w:tcPr>
          <w:p>
            <w:r>
              <w:rPr>
                <w:sz w:val="17"/>
              </w:rPr>
              <w:t>3,328</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2026-08-21</w:t>
            </w:r>
          </w:p>
        </w:tc>
        <w:tc>
          <w:tcPr>
            <w:tcW w:type="dxa" w:w="1440"/>
            <w:shd w:fill="FAFAFA" w:val="clear"/>
          </w:tcPr>
          <w:p>
            <w:r>
              <w:rPr>
                <w:sz w:val="17"/>
              </w:rPr>
              <w:t>2,556</w:t>
            </w:r>
          </w:p>
        </w:tc>
        <w:tc>
          <w:tcPr>
            <w:tcW w:type="dxa" w:w="1440"/>
            <w:shd w:fill="FAFAFA" w:val="clear"/>
          </w:tcPr>
          <w:p>
            <w:r>
              <w:rPr>
                <w:b/>
                <w:sz w:val="17"/>
              </w:rPr>
              <w:t>2,956</w:t>
            </w:r>
          </w:p>
        </w:tc>
        <w:tc>
          <w:tcPr>
            <w:tcW w:type="dxa" w:w="1440"/>
            <w:shd w:fill="FAFAFA" w:val="clear"/>
          </w:tcPr>
          <w:p>
            <w:r>
              <w:rPr>
                <w:sz w:val="17"/>
              </w:rPr>
              <w:t>3,356</w:t>
            </w:r>
          </w:p>
        </w:tc>
        <w:tc>
          <w:tcPr>
            <w:tcW w:type="dxa" w:w="1440"/>
            <w:shd w:fill="FAFAFA" w:val="clear"/>
          </w:tcPr>
          <w:p>
            <w:r>
              <w:rPr>
                <w:b/>
                <w:color w:val="C00000"/>
                <w:sz w:val="17"/>
              </w:rPr>
              <w:t>-1.5%</w:t>
            </w:r>
          </w:p>
        </w:tc>
      </w:tr>
      <w:tr>
        <w:tc>
          <w:tcPr>
            <w:tcW w:type="dxa" w:w="1440"/>
            <w:shd w:fill="FAFAFA" w:val="clear"/>
          </w:tcPr>
          <w:p>
            <w:r>
              <w:rPr>
                <w:sz w:val="17"/>
              </w:rPr>
              <w:t>J+7  ⭐</w:t>
            </w:r>
          </w:p>
        </w:tc>
        <w:tc>
          <w:tcPr>
            <w:tcW w:type="dxa" w:w="1440"/>
            <w:shd w:fill="FAFAFA" w:val="clear"/>
          </w:tcPr>
          <w:p>
            <w:r>
              <w:rPr>
                <w:sz w:val="17"/>
              </w:rPr>
              <w:t>2026-08-24</w:t>
            </w:r>
          </w:p>
        </w:tc>
        <w:tc>
          <w:tcPr>
            <w:tcW w:type="dxa" w:w="1440"/>
            <w:shd w:fill="FAFAFA" w:val="clear"/>
          </w:tcPr>
          <w:p>
            <w:r>
              <w:rPr>
                <w:sz w:val="17"/>
              </w:rPr>
              <w:t>2,519</w:t>
            </w:r>
          </w:p>
        </w:tc>
        <w:tc>
          <w:tcPr>
            <w:tcW w:type="dxa" w:w="1440"/>
            <w:shd w:fill="FAFAFA" w:val="clear"/>
          </w:tcPr>
          <w:p>
            <w:r>
              <w:rPr>
                <w:b/>
                <w:sz w:val="17"/>
              </w:rPr>
              <w:t>2,950</w:t>
            </w:r>
          </w:p>
        </w:tc>
        <w:tc>
          <w:tcPr>
            <w:tcW w:type="dxa" w:w="1440"/>
            <w:shd w:fill="FAFAFA" w:val="clear"/>
          </w:tcPr>
          <w:p>
            <w:r>
              <w:rPr>
                <w:sz w:val="17"/>
              </w:rPr>
              <w:t>3,381</w:t>
            </w:r>
          </w:p>
        </w:tc>
        <w:tc>
          <w:tcPr>
            <w:tcW w:type="dxa" w:w="1440"/>
            <w:shd w:fill="FAFAFA" w:val="clear"/>
          </w:tcPr>
          <w:p>
            <w:r>
              <w:rPr>
                <w:b/>
                <w:color w:val="C00000"/>
                <w:sz w:val="17"/>
              </w:rPr>
              <w:t>-1.7%</w:t>
            </w:r>
          </w:p>
        </w:tc>
      </w:tr>
      <w:tr>
        <w:tc>
          <w:tcPr>
            <w:tcW w:type="dxa" w:w="1440"/>
            <w:shd w:fill="FAFAFA" w:val="clear"/>
          </w:tcPr>
          <w:p>
            <w:r>
              <w:rPr>
                <w:sz w:val="17"/>
              </w:rPr>
              <w:t>J+8  ⭐</w:t>
            </w:r>
          </w:p>
        </w:tc>
        <w:tc>
          <w:tcPr>
            <w:tcW w:type="dxa" w:w="1440"/>
            <w:shd w:fill="FAFAFA" w:val="clear"/>
          </w:tcPr>
          <w:p>
            <w:r>
              <w:rPr>
                <w:sz w:val="17"/>
              </w:rPr>
              <w:t>2026-08-25</w:t>
            </w:r>
          </w:p>
        </w:tc>
        <w:tc>
          <w:tcPr>
            <w:tcW w:type="dxa" w:w="1440"/>
            <w:shd w:fill="FAFAFA" w:val="clear"/>
          </w:tcPr>
          <w:p>
            <w:r>
              <w:rPr>
                <w:sz w:val="17"/>
              </w:rPr>
              <w:t>2,484</w:t>
            </w:r>
          </w:p>
        </w:tc>
        <w:tc>
          <w:tcPr>
            <w:tcW w:type="dxa" w:w="1440"/>
            <w:shd w:fill="FAFAFA" w:val="clear"/>
          </w:tcPr>
          <w:p>
            <w:r>
              <w:rPr>
                <w:b/>
                <w:sz w:val="17"/>
              </w:rPr>
              <w:t>2,944</w:t>
            </w:r>
          </w:p>
        </w:tc>
        <w:tc>
          <w:tcPr>
            <w:tcW w:type="dxa" w:w="1440"/>
            <w:shd w:fill="FAFAFA" w:val="clear"/>
          </w:tcPr>
          <w:p>
            <w:r>
              <w:rPr>
                <w:sz w:val="17"/>
              </w:rPr>
              <w:t>3,404</w:t>
            </w:r>
          </w:p>
        </w:tc>
        <w:tc>
          <w:tcPr>
            <w:tcW w:type="dxa" w:w="1440"/>
            <w:shd w:fill="FAFAFA" w:val="clear"/>
          </w:tcPr>
          <w:p>
            <w:r>
              <w:rPr>
                <w:b/>
                <w:color w:val="C00000"/>
                <w:sz w:val="17"/>
              </w:rPr>
              <w:t>-1.9%</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2,452</w:t>
            </w:r>
          </w:p>
        </w:tc>
        <w:tc>
          <w:tcPr>
            <w:tcW w:type="dxa" w:w="1440"/>
            <w:shd w:fill="FFDCE0" w:val="clear"/>
          </w:tcPr>
          <w:p>
            <w:r>
              <w:rPr>
                <w:b/>
                <w:sz w:val="17"/>
              </w:rPr>
              <w:t>2,939</w:t>
            </w:r>
          </w:p>
        </w:tc>
        <w:tc>
          <w:tcPr>
            <w:tcW w:type="dxa" w:w="1440"/>
            <w:shd w:fill="FFDCE0" w:val="clear"/>
          </w:tcPr>
          <w:p>
            <w:r>
              <w:rPr>
                <w:sz w:val="17"/>
              </w:rPr>
              <w:t>3,425</w:t>
            </w:r>
          </w:p>
        </w:tc>
        <w:tc>
          <w:tcPr>
            <w:tcW w:type="dxa" w:w="1440"/>
            <w:shd w:fill="FFDCE0" w:val="clear"/>
          </w:tcPr>
          <w:p>
            <w:r>
              <w:rPr>
                <w:b/>
                <w:color w:val="C00000"/>
                <w:sz w:val="17"/>
              </w:rPr>
              <w:t>-2.0%</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2,421</w:t>
            </w:r>
          </w:p>
        </w:tc>
        <w:tc>
          <w:tcPr>
            <w:tcW w:type="dxa" w:w="1440"/>
            <w:shd w:fill="FFDCE0" w:val="clear"/>
          </w:tcPr>
          <w:p>
            <w:r>
              <w:rPr>
                <w:b/>
                <w:sz w:val="17"/>
              </w:rPr>
              <w:t>2,933</w:t>
            </w:r>
          </w:p>
        </w:tc>
        <w:tc>
          <w:tcPr>
            <w:tcW w:type="dxa" w:w="1440"/>
            <w:shd w:fill="FFDCE0" w:val="clear"/>
          </w:tcPr>
          <w:p>
            <w:r>
              <w:rPr>
                <w:sz w:val="17"/>
              </w:rPr>
              <w:t>3,445</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 13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TTLC s'établit à 188,88 milliards FCFA, ce qui en fait une valeur de première ligne sur la BRVM, représentant un poids significatif dans l'indice composite. Avec un BPA de 144 FCFA, le titre se négocie à un PER de 20,8x, nettement supérieur à la moyenne historique de la BRVM (8-12x). Cette prime de valorisation suggère que le marché intègre des anticipations de croissance future ou une prime de qualité pour ce leader sectoriel. Le P/B de 5,22x confirme cette lecture, indiquant que les investisseurs paient plus de cinq fois la valeur comptable des actifs, ce qui est exigeant et reflète une forte confiance dans la rentabilité des capitaux propres (ROE de 25,1%). Enfin, l'EV/EBITDA de 10,9x, bien que dans la fourchette haute (10-15x), reste cohérent avec une entreprise générant des flux opérationnels solides et stables.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TTLC affiche une progression totale de +8,70%, avec une dernière séance en légère hausse de +0,17% à 3 000 FCFA. Le titre a évolué dans un range de 2 650 à 3 060 FCFA, démontrant une tendance globalement haussière et résiliente. La moyenne du cours sur la période (2 856 FCFA) est inférieure à la médiane (2 870 FCFA), et le mode est à 2 900 FCFA, indiquant une distribution légèrement asymétrique vers les plus hauts niveaux. L'écart-type de 96 FCFA, associé à un coefficient de variation de seulement 3,4%, révèle une dispersion très faible et un cours très stable. Le kurtosis de -0,723 (mésokurtique) et le skewness de -0,230 indiquent une distribution proche de la normale, sans risque de pics extrêmes. Cependant, la volatilité annualisée de 41,2% est élevée, signalant un risque de variation important à long terme malgré la stabilité récente.</w:t>
      </w:r>
    </w:p>
    <w:p>
      <w:pPr>
        <w:spacing w:after="120" w:line="276" w:lineRule="auto"/>
      </w:pPr>
      <w:r>
        <w:t>---</w:t>
      </w:r>
    </w:p>
    <w:p>
      <w:pPr>
        <w:spacing w:after="120" w:line="276" w:lineRule="auto"/>
      </w:pPr>
      <w:r>
        <w:t>### PARTIE 2 : ANALYSE TECHNIQUE DÉTAILLÉE</w:t>
      </w:r>
    </w:p>
    <w:p>
      <w:pPr>
        <w:spacing w:after="120" w:line="276" w:lineRule="auto"/>
      </w:pPr>
      <w:r>
        <w:t>**Moyennes Mobiles :** Les MM20 (2 942,5 FCFA) et MM50 (2 901,8 FCFA) sont toutes deux inférieures au cours actuel de 3 000 FCFA, confirmant une dynamique haussière à court et moyen terme. La MM20 étant au-dessus de la MM50, la configuration en "courbe ascendante" valide la tendance et justifie la décision d'**Achat**.</w:t>
      </w:r>
    </w:p>
    <w:p>
      <w:pPr>
        <w:spacing w:after="120" w:line="276" w:lineRule="auto"/>
      </w:pPr>
      <w:r>
        <w:t>**Bandes de Bollinger :** Le prix se situe à 3 000 FCFA, proche de la borne supérieure (3 079,44 FCFA) mais dans la zone médiane du canal. La largeur des bandes (2 805,56 à 3 079,44) indique une volatilité modérée. Le cours n'étant pas en situation de surachat extrême, la décision est **Neutre**, avec un potentiel de poursuite vers la borne haute.</w:t>
      </w:r>
    </w:p>
    <w:p>
      <w:pPr>
        <w:spacing w:after="120" w:line="276" w:lineRule="auto"/>
      </w:pPr>
      <w:r>
        <w:t>**MACD :** La valeur du MACD (18,993) est supérieure à son signal (15,569), avec un écart positif. Cette configuration signale un momentum haussier en phase d'accélération, ce qui renforce la dynamique positive du titre. La décision est **Achat**.</w:t>
      </w:r>
    </w:p>
    <w:p>
      <w:pPr>
        <w:spacing w:after="120" w:line="276" w:lineRule="auto"/>
      </w:pPr>
      <w:r>
        <w:t>**RSI :** Le RSI est à 50,0, exactement à la limite neutre. Cela indique un équilibre entre les forces acheteuses et vendeuses, sans surachat ni survente. Cette neutralité laisse place à une évolution dans un sens ou dans l'autre, mais ne fournit pas de signal directionnel fort. Décision : **Neutre**.</w:t>
      </w:r>
    </w:p>
    <w:p>
      <w:pPr>
        <w:spacing w:after="120" w:line="276" w:lineRule="auto"/>
      </w:pPr>
      <w:r>
        <w:t>**Stochastique :** Le %K (100,0) est extrêmement élevé et le %D (92,029) suit, indiquant une zone de surachat très marquée. Cette configuration suggère un épuisement potentiel de la tendance haussière à très court terme et un risque de retournement. La décision est **Vente**.</w:t>
      </w:r>
    </w:p>
    <w:p>
      <w:pPr>
        <w:spacing w:after="120" w:line="276" w:lineRule="auto"/>
      </w:pPr>
      <w:r>
        <w:t>**Conclusion technique :** Les indicateurs de tendance (MM, MACD) sont positifs et confirment la dynamique haussière, mais les oscillateurs de momentum (Stochastique) signalent un surachat imminent. Le RSI neutre et les bandes de Bollinger ouvertes suggèrent une consolidation possible avant une poursuite. Le signal global est donc mitigé, avec une prudence accrue à court terme.</w:t>
      </w:r>
    </w:p>
    <w:p>
      <w:pPr>
        <w:spacing w:after="120" w:line="276" w:lineRule="auto"/>
      </w:pPr>
      <w:r>
        <w:t>---</w:t>
      </w:r>
    </w:p>
    <w:p>
      <w:pPr>
        <w:spacing w:after="120" w:line="276" w:lineRule="auto"/>
      </w:pPr>
      <w:r>
        <w:t>### PARTIE 3 : ANALYSE FONDAMENTALE (SECTION CRITIQUE)</w:t>
      </w:r>
    </w:p>
    <w:p>
      <w:pPr>
        <w:spacing w:after="120" w:line="276" w:lineRule="auto"/>
      </w:pPr>
      <w:r>
        <w:t>En 2025, TTLC a réalisé un chiffre d'affaires de 588,709 milliards FCFA, en repli de -5,2% par rapport à 2024 (621,042 Mds), mais avec une amélioration notable de la rentabilité opérationnelle : l'EBE progresse de +12% à 22,347 Mds et le résultat d'exploitation de +18% à 12,329 Mds. Le résultat net s'établit à 9,087 Mds FCFA (-3%), avec une marge nette stable à 1,54%. La société affiche un ROE excellent de 25,1% et un ROA de 4,82%, confirmant une gestion efficace des capitaux propres. Le BFR est négatif (-9,662 Mds), ce qui est favorable pour une entreprise de distribution, indiquant que TTLC finance son cycle d'exploitation grâce à ses fournisseurs (délai fournisseurs de 49,7 jours). Cependant, la trésorerie nette est fortement négative (-21,926 Mds), et le ratio d'endettement est élevé (90,2%). Les rapports trimestriels de 2025 (S1 et 3T) confirment une baisse du CA et du résultat net, principalement due à un effet de base défavorable. Toutefois, le rapport T1 2026 (publié en 2026) montre un rebond : CA en hausse de +4,3% à 154,392 Mds et résultat net en progression de +5,5% à 2,329 Mds, porté par une augmentation des volumes sur tous les canaux. Sur cette base, on estime que l'exercice 2026 pourrait renouer avec une croissance modérée, malgré une pression fiscale et un endettement à surveiller. La politique de dividende reste généreuse (10 Mds FCFA proposés pour 2025, soit un payout &gt;100%), soutenue par une CAF solide de 19,106 Mds.</w:t>
      </w:r>
    </w:p>
    <w:p>
      <w:pPr>
        <w:spacing w:after="120" w:line="276" w:lineRule="auto"/>
      </w:pPr>
      <w:r>
        <w:t>---</w:t>
      </w:r>
    </w:p>
    <w:p>
      <w:pPr>
        <w:spacing w:after="120" w:line="276" w:lineRule="auto"/>
      </w:pPr>
      <w:r>
        <w:t>### PARTIE 4 : CONCLUSION D'INVESTISSEMENT</w:t>
      </w:r>
    </w:p>
    <w:p>
      <w:pPr>
        <w:spacing w:after="120" w:line="276" w:lineRule="auto"/>
      </w:pPr>
      <w:r>
        <w:t>La valorisation de TTLC est exigeante (PER 20,8x, P/B 5,22x), mais justifiée par un ROE de 25,1% et une position de leader. Le comportement du cours est stable et haussier (+8,7% sur 100 jours), avec une faible dispersion et une distribution normale, bien que la volatilité annualisée reste élevée. Les signaux techniques sont mitigés : la tendance est positive (MM, MACD), mais le stochastique en surachat suggère un repli à court terme. Les fondamentaux sont solides, avec une amélioration opérationnelle en 2025 et un rebond confirmé au T1 2026, malgré un endettement et une trésorerie négative à surveiller. Les prédictions IA (J+1 à J+10) prévoient une légère baisse progressive du cours vers 2 962 FCFA, ce qui contredit la tendance haussière récente et suggère une consolidation. En synthèse, la convergence entre une valorisation élevée, des signaux techniques de surachat et une prédiction IA baissière incite à la prudence. **Recommandation : CONSERVER** avec un niveau de confiance **Moyen** et un risque global **Élevé**. L'horizon d'investissement optimal est le **moyen terme (3-12 mois)**, en attendant une correction technique ou une confirmation de la croissance 2026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117.28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2,807 titres</w:t>
            </w:r>
          </w:p>
        </w:tc>
        <w:tc>
          <w:tcPr>
            <w:tcW w:type="dxa" w:w="2268"/>
            <w:shd w:fill="FFF2CC" w:val="clear"/>
          </w:tcPr>
          <w:p>
            <w:r>
              <w:rPr>
                <w:b/>
                <w:color w:val="503200"/>
                <w:sz w:val="16"/>
              </w:rPr>
              <w:t xml:space="preserve">Cours actuel : </w:t>
            </w:r>
            <w:r>
              <w:rPr>
                <w:color w:val="000000"/>
                <w:sz w:val="17"/>
              </w:rPr>
              <w:t>3,600 FCFA</w:t>
            </w:r>
          </w:p>
          <w:p>
            <w:r>
              <w:rPr>
                <w:b/>
                <w:color w:val="503200"/>
                <w:sz w:val="16"/>
              </w:rPr>
              <w:t xml:space="preserve">Var. 100 jours : </w:t>
            </w:r>
            <w:r>
              <w:rPr>
                <w:b/>
                <w:color w:val="007800"/>
                <w:sz w:val="17"/>
              </w:rPr>
              <w:t>+12.15%</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22.0/100 → Moyen</w:t>
      </w:r>
    </w:p>
    <w:p>
      <w:pPr>
        <w:spacing w:before="40" w:after="80"/>
      </w:pPr>
      <w:r>
        <w:rPr>
          <w:rFonts w:ascii="Courier New" w:hAnsi="Courier New"/>
          <w:color w:val="825A00"/>
          <w:sz w:val="18"/>
        </w:rPr>
        <w:t>████░░░░░░░░░░░░░░░░  22.0/100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10.66% (Moyenne) — μ=3,449 FCFA, σ=368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β=1.3821 (Agressif) — Cov=0.000050, Var(idx)=0.000036, ρ=0.265,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2,807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2026-08-14</w:t>
            </w:r>
          </w:p>
        </w:tc>
        <w:tc>
          <w:tcPr>
            <w:tcW w:type="dxa" w:w="1440"/>
            <w:shd w:fill="FFDCE0" w:val="clear"/>
          </w:tcPr>
          <w:p>
            <w:r>
              <w:rPr>
                <w:sz w:val="17"/>
              </w:rPr>
              <w:t>3,295</w:t>
            </w:r>
          </w:p>
        </w:tc>
        <w:tc>
          <w:tcPr>
            <w:tcW w:type="dxa" w:w="1440"/>
            <w:shd w:fill="FFDCE0" w:val="clear"/>
          </w:tcPr>
          <w:p>
            <w:r>
              <w:rPr>
                <w:b/>
                <w:sz w:val="17"/>
              </w:rPr>
              <w:t>3,489</w:t>
            </w:r>
          </w:p>
        </w:tc>
        <w:tc>
          <w:tcPr>
            <w:tcW w:type="dxa" w:w="1440"/>
            <w:shd w:fill="FFDCE0" w:val="clear"/>
          </w:tcPr>
          <w:p>
            <w:r>
              <w:rPr>
                <w:sz w:val="17"/>
              </w:rPr>
              <w:t>3,683</w:t>
            </w:r>
          </w:p>
        </w:tc>
        <w:tc>
          <w:tcPr>
            <w:tcW w:type="dxa" w:w="1440"/>
            <w:shd w:fill="FFDCE0" w:val="clear"/>
          </w:tcPr>
          <w:p>
            <w:r>
              <w:rPr>
                <w:b/>
                <w:color w:val="C00000"/>
                <w:sz w:val="17"/>
              </w:rPr>
              <w:t>-3.1%</w:t>
            </w:r>
          </w:p>
        </w:tc>
      </w:tr>
      <w:tr>
        <w:tc>
          <w:tcPr>
            <w:tcW w:type="dxa" w:w="1440"/>
            <w:shd w:fill="FFDCE0" w:val="clear"/>
          </w:tcPr>
          <w:p>
            <w:r>
              <w:rPr>
                <w:sz w:val="17"/>
              </w:rPr>
              <w:t>J+2  ⭐</w:t>
            </w:r>
          </w:p>
        </w:tc>
        <w:tc>
          <w:tcPr>
            <w:tcW w:type="dxa" w:w="1440"/>
            <w:shd w:fill="FFDCE0" w:val="clear"/>
          </w:tcPr>
          <w:p>
            <w:r>
              <w:rPr>
                <w:sz w:val="17"/>
              </w:rPr>
              <w:t>2026-08-17</w:t>
            </w:r>
          </w:p>
        </w:tc>
        <w:tc>
          <w:tcPr>
            <w:tcW w:type="dxa" w:w="1440"/>
            <w:shd w:fill="FFDCE0" w:val="clear"/>
          </w:tcPr>
          <w:p>
            <w:r>
              <w:rPr>
                <w:sz w:val="17"/>
              </w:rPr>
              <w:t>3,168</w:t>
            </w:r>
          </w:p>
        </w:tc>
        <w:tc>
          <w:tcPr>
            <w:tcW w:type="dxa" w:w="1440"/>
            <w:shd w:fill="FFDCE0" w:val="clear"/>
          </w:tcPr>
          <w:p>
            <w:r>
              <w:rPr>
                <w:b/>
                <w:sz w:val="17"/>
              </w:rPr>
              <w:t>3,438</w:t>
            </w:r>
          </w:p>
        </w:tc>
        <w:tc>
          <w:tcPr>
            <w:tcW w:type="dxa" w:w="1440"/>
            <w:shd w:fill="FFDCE0" w:val="clear"/>
          </w:tcPr>
          <w:p>
            <w:r>
              <w:rPr>
                <w:sz w:val="17"/>
              </w:rPr>
              <w:t>3,708</w:t>
            </w:r>
          </w:p>
        </w:tc>
        <w:tc>
          <w:tcPr>
            <w:tcW w:type="dxa" w:w="1440"/>
            <w:shd w:fill="FFDCE0" w:val="clear"/>
          </w:tcPr>
          <w:p>
            <w:r>
              <w:rPr>
                <w:b/>
                <w:color w:val="C00000"/>
                <w:sz w:val="17"/>
              </w:rPr>
              <w:t>-4.5%</w:t>
            </w:r>
          </w:p>
        </w:tc>
      </w:tr>
      <w:tr>
        <w:tc>
          <w:tcPr>
            <w:tcW w:type="dxa" w:w="1440"/>
            <w:shd w:fill="FFDCE0" w:val="clear"/>
          </w:tcPr>
          <w:p>
            <w:r>
              <w:rPr>
                <w:sz w:val="17"/>
              </w:rPr>
              <w:t>J+3  ⭐</w:t>
            </w:r>
          </w:p>
        </w:tc>
        <w:tc>
          <w:tcPr>
            <w:tcW w:type="dxa" w:w="1440"/>
            <w:shd w:fill="FFDCE0" w:val="clear"/>
          </w:tcPr>
          <w:p>
            <w:r>
              <w:rPr>
                <w:sz w:val="17"/>
              </w:rPr>
              <w:t>2026-08-18</w:t>
            </w:r>
          </w:p>
        </w:tc>
        <w:tc>
          <w:tcPr>
            <w:tcW w:type="dxa" w:w="1440"/>
            <w:shd w:fill="FFDCE0" w:val="clear"/>
          </w:tcPr>
          <w:p>
            <w:r>
              <w:rPr>
                <w:sz w:val="17"/>
              </w:rPr>
              <w:t>3,067</w:t>
            </w:r>
          </w:p>
        </w:tc>
        <w:tc>
          <w:tcPr>
            <w:tcW w:type="dxa" w:w="1440"/>
            <w:shd w:fill="FFDCE0" w:val="clear"/>
          </w:tcPr>
          <w:p>
            <w:r>
              <w:rPr>
                <w:b/>
                <w:sz w:val="17"/>
              </w:rPr>
              <w:t>3,393</w:t>
            </w:r>
          </w:p>
        </w:tc>
        <w:tc>
          <w:tcPr>
            <w:tcW w:type="dxa" w:w="1440"/>
            <w:shd w:fill="FFDCE0" w:val="clear"/>
          </w:tcPr>
          <w:p>
            <w:r>
              <w:rPr>
                <w:sz w:val="17"/>
              </w:rPr>
              <w:t>3,720</w:t>
            </w:r>
          </w:p>
        </w:tc>
        <w:tc>
          <w:tcPr>
            <w:tcW w:type="dxa" w:w="1440"/>
            <w:shd w:fill="FFDCE0" w:val="clear"/>
          </w:tcPr>
          <w:p>
            <w:r>
              <w:rPr>
                <w:b/>
                <w:color w:val="C00000"/>
                <w:sz w:val="17"/>
              </w:rPr>
              <w:t>-5.7%</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2,982</w:t>
            </w:r>
          </w:p>
        </w:tc>
        <w:tc>
          <w:tcPr>
            <w:tcW w:type="dxa" w:w="1440"/>
            <w:shd w:fill="FFDCE0" w:val="clear"/>
          </w:tcPr>
          <w:p>
            <w:r>
              <w:rPr>
                <w:b/>
                <w:sz w:val="17"/>
              </w:rPr>
              <w:t>3,355</w:t>
            </w:r>
          </w:p>
        </w:tc>
        <w:tc>
          <w:tcPr>
            <w:tcW w:type="dxa" w:w="1440"/>
            <w:shd w:fill="FFDCE0" w:val="clear"/>
          </w:tcPr>
          <w:p>
            <w:r>
              <w:rPr>
                <w:sz w:val="17"/>
              </w:rPr>
              <w:t>3,728</w:t>
            </w:r>
          </w:p>
        </w:tc>
        <w:tc>
          <w:tcPr>
            <w:tcW w:type="dxa" w:w="1440"/>
            <w:shd w:fill="FFDCE0" w:val="clear"/>
          </w:tcPr>
          <w:p>
            <w:r>
              <w:rPr>
                <w:b/>
                <w:color w:val="C00000"/>
                <w:sz w:val="17"/>
              </w:rPr>
              <w:t>-6.8%</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2,907</w:t>
            </w:r>
          </w:p>
        </w:tc>
        <w:tc>
          <w:tcPr>
            <w:tcW w:type="dxa" w:w="1440"/>
            <w:shd w:fill="FFDCE0" w:val="clear"/>
          </w:tcPr>
          <w:p>
            <w:r>
              <w:rPr>
                <w:b/>
                <w:sz w:val="17"/>
              </w:rPr>
              <w:t>3,320</w:t>
            </w:r>
          </w:p>
        </w:tc>
        <w:tc>
          <w:tcPr>
            <w:tcW w:type="dxa" w:w="1440"/>
            <w:shd w:fill="FFDCE0" w:val="clear"/>
          </w:tcPr>
          <w:p>
            <w:r>
              <w:rPr>
                <w:sz w:val="17"/>
              </w:rPr>
              <w:t>3,732</w:t>
            </w:r>
          </w:p>
        </w:tc>
        <w:tc>
          <w:tcPr>
            <w:tcW w:type="dxa" w:w="1440"/>
            <w:shd w:fill="FFDCE0" w:val="clear"/>
          </w:tcPr>
          <w:p>
            <w:r>
              <w:rPr>
                <w:b/>
                <w:color w:val="C00000"/>
                <w:sz w:val="17"/>
              </w:rPr>
              <w:t>-7.8%</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2,839</w:t>
            </w:r>
          </w:p>
        </w:tc>
        <w:tc>
          <w:tcPr>
            <w:tcW w:type="dxa" w:w="1440"/>
            <w:shd w:fill="FFDCE0" w:val="clear"/>
          </w:tcPr>
          <w:p>
            <w:r>
              <w:rPr>
                <w:b/>
                <w:sz w:val="17"/>
              </w:rPr>
              <w:t>3,287</w:t>
            </w:r>
          </w:p>
        </w:tc>
        <w:tc>
          <w:tcPr>
            <w:tcW w:type="dxa" w:w="1440"/>
            <w:shd w:fill="FFDCE0" w:val="clear"/>
          </w:tcPr>
          <w:p>
            <w:r>
              <w:rPr>
                <w:sz w:val="17"/>
              </w:rPr>
              <w:t>3,734</w:t>
            </w:r>
          </w:p>
        </w:tc>
        <w:tc>
          <w:tcPr>
            <w:tcW w:type="dxa" w:w="1440"/>
            <w:shd w:fill="FFDCE0" w:val="clear"/>
          </w:tcPr>
          <w:p>
            <w:r>
              <w:rPr>
                <w:b/>
                <w:color w:val="C00000"/>
                <w:sz w:val="17"/>
              </w:rPr>
              <w:t>-8.7%</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2,777</w:t>
            </w:r>
          </w:p>
        </w:tc>
        <w:tc>
          <w:tcPr>
            <w:tcW w:type="dxa" w:w="1440"/>
            <w:shd w:fill="FFDCE0" w:val="clear"/>
          </w:tcPr>
          <w:p>
            <w:r>
              <w:rPr>
                <w:b/>
                <w:sz w:val="17"/>
              </w:rPr>
              <w:t>3,256</w:t>
            </w:r>
          </w:p>
        </w:tc>
        <w:tc>
          <w:tcPr>
            <w:tcW w:type="dxa" w:w="1440"/>
            <w:shd w:fill="FFDCE0" w:val="clear"/>
          </w:tcPr>
          <w:p>
            <w:r>
              <w:rPr>
                <w:sz w:val="17"/>
              </w:rPr>
              <w:t>3,735</w:t>
            </w:r>
          </w:p>
        </w:tc>
        <w:tc>
          <w:tcPr>
            <w:tcW w:type="dxa" w:w="1440"/>
            <w:shd w:fill="FFDCE0" w:val="clear"/>
          </w:tcPr>
          <w:p>
            <w:r>
              <w:rPr>
                <w:b/>
                <w:color w:val="C00000"/>
                <w:sz w:val="17"/>
              </w:rPr>
              <w:t>-9.5%</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2,720</w:t>
            </w:r>
          </w:p>
        </w:tc>
        <w:tc>
          <w:tcPr>
            <w:tcW w:type="dxa" w:w="1440"/>
            <w:shd w:fill="FFDCE0" w:val="clear"/>
          </w:tcPr>
          <w:p>
            <w:r>
              <w:rPr>
                <w:b/>
                <w:sz w:val="17"/>
              </w:rPr>
              <w:t>3,227</w:t>
            </w:r>
          </w:p>
        </w:tc>
        <w:tc>
          <w:tcPr>
            <w:tcW w:type="dxa" w:w="1440"/>
            <w:shd w:fill="FFDCE0" w:val="clear"/>
          </w:tcPr>
          <w:p>
            <w:r>
              <w:rPr>
                <w:sz w:val="17"/>
              </w:rPr>
              <w:t>3,735</w:t>
            </w:r>
          </w:p>
        </w:tc>
        <w:tc>
          <w:tcPr>
            <w:tcW w:type="dxa" w:w="1440"/>
            <w:shd w:fill="FFDCE0" w:val="clear"/>
          </w:tcPr>
          <w:p>
            <w:r>
              <w:rPr>
                <w:b/>
                <w:color w:val="C00000"/>
                <w:sz w:val="17"/>
              </w:rPr>
              <w:t>-10.3%</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2,667</w:t>
            </w:r>
          </w:p>
        </w:tc>
        <w:tc>
          <w:tcPr>
            <w:tcW w:type="dxa" w:w="1440"/>
            <w:shd w:fill="FFDCE0" w:val="clear"/>
          </w:tcPr>
          <w:p>
            <w:r>
              <w:rPr>
                <w:b/>
                <w:sz w:val="17"/>
              </w:rPr>
              <w:t>3,200</w:t>
            </w:r>
          </w:p>
        </w:tc>
        <w:tc>
          <w:tcPr>
            <w:tcW w:type="dxa" w:w="1440"/>
            <w:shd w:fill="FFDCE0" w:val="clear"/>
          </w:tcPr>
          <w:p>
            <w:r>
              <w:rPr>
                <w:sz w:val="17"/>
              </w:rPr>
              <w:t>3,734</w:t>
            </w:r>
          </w:p>
        </w:tc>
        <w:tc>
          <w:tcPr>
            <w:tcW w:type="dxa" w:w="1440"/>
            <w:shd w:fill="FFDCE0" w:val="clear"/>
          </w:tcPr>
          <w:p>
            <w:r>
              <w:rPr>
                <w:b/>
                <w:color w:val="C00000"/>
                <w:sz w:val="17"/>
              </w:rPr>
              <w:t>-11.1%</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2,616</w:t>
            </w:r>
          </w:p>
        </w:tc>
        <w:tc>
          <w:tcPr>
            <w:tcW w:type="dxa" w:w="1440"/>
            <w:shd w:fill="FFDCE0" w:val="clear"/>
          </w:tcPr>
          <w:p>
            <w:r>
              <w:rPr>
                <w:b/>
                <w:sz w:val="17"/>
              </w:rPr>
              <w:t>3,174</w:t>
            </w:r>
          </w:p>
        </w:tc>
        <w:tc>
          <w:tcPr>
            <w:tcW w:type="dxa" w:w="1440"/>
            <w:shd w:fill="FFDCE0" w:val="clear"/>
          </w:tcPr>
          <w:p>
            <w:r>
              <w:rPr>
                <w:sz w:val="17"/>
              </w:rPr>
              <w:t>3,732</w:t>
            </w:r>
          </w:p>
        </w:tc>
        <w:tc>
          <w:tcPr>
            <w:tcW w:type="dxa" w:w="1440"/>
            <w:shd w:fill="FFDCE0" w:val="clear"/>
          </w:tcPr>
          <w:p>
            <w:r>
              <w:rPr>
                <w:b/>
                <w:color w:val="C00000"/>
                <w:sz w:val="17"/>
              </w:rPr>
              <w:t>-11.8%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117,28 milliards FCFA, un niveau significatif sur la BRVM qui positionne la société parmi les valeurs moyennes de la cote. Le BPA de 208 FCFA indique que chaque action génère un bénéfice de 208 FCFA, ce qui, rapporté au cours de 3 600 FCFA, donne un PER de 17,3x. Ce ratio est nettement supérieur à la moyenne historique de la BRVM (8-12x), suggérant que les investisseurs paient une prime substantielle pour détenir ce titre. Le P/B de 4,15x confirme cette lecture : le marché valorise l'actif net comptable plus de quatre fois au-dessus de sa valeur, une prime exigeante qui reflète la qualité perçue de l'actif et la solidité de la marque TotalEnergies. Enfin, l'EV/EBITDA de 7,3x se situe dans une fourchette raisonnable (5-10x), indiquant que la valorisation de l'entreprise par rapport à sa capacité opérationnelle reste mesurée, tempérant quelque peu la cherté apparente des ratios précédents.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 enregistré une progression totale de +12,15%, avec une dernière séance stable (0,00%). Le cours a évolué dans une fourchette large de 2 845 FCFA (plus bas) à 4 500 FCFA (plus haut), soit une amplitude de 58%, témoignant d'une volatilité importante. La moyenne du cours sur la période est de 3 449 FCFA, légèrement supérieure à la médiane de 3 380 FCFA, ce qui, combiné à un skewness positif de 0,866, indique une distribution asymétrique avec davantage de journées sous la moyenne mais quelques fortes hausses qui tirent la moyenne vers le haut. L'écart-type de 369 FCFA (CV=10,7%) révèle une dispersion modérée autour de la moyenne, tandis que le kurtosis de 0,312 (mésokurtique) suggère une distribution proche de la normale, sans risque extrême de pics ou de queues épaisses. La volatilité annualisée de 49,9% classe le titre dans la catégorie des valeurs à forte volatilité (&gt;30%), ce qui implique un risque élevé mais aussi un potentiel de rendement significatif pour les investisseurs aguerris.</w:t>
      </w:r>
    </w:p>
    <w:p>
      <w:pPr>
        <w:spacing w:after="120" w:line="276" w:lineRule="auto" w:before="240"/>
      </w:pPr>
      <w:r>
        <w:rPr>
          <w:b/>
          <w:color w:val="003366"/>
          <w:sz w:val="24"/>
        </w:rPr>
        <w:t>**PARTIE 2 : ANALYSE TECHNIQUE DÉTAILLÉE**</w:t>
      </w:r>
    </w:p>
    <w:p>
      <w:pPr>
        <w:spacing w:after="120" w:line="276" w:lineRule="auto"/>
      </w:pPr>
      <w:r>
        <w:t>**Moyennes Mobiles** : Le cours actuel de 3 600 FCFA se situe sous la MM20 (3 692 FCFA) et la MM50 (3 729,7 FCFA), configuration baissière classique. La MM20 étant inférieure à la MM50, la tendance de fond reste négative à moyen terme. La décision de Vente est justifiée par cette position sous les deux moyennes, indiquant que les acheteurs ne parviennent pas à reprendre le contrôle malgré le rebond récent.</w:t>
      </w:r>
    </w:p>
    <w:p>
      <w:pPr>
        <w:spacing w:after="120" w:line="276" w:lineRule="auto"/>
      </w:pPr>
      <w:r>
        <w:t>**Bandes de Bollinger** : Le cours se positionne à 3 600 FCFA, entre la borne inférieure (3 402,51 FCFA) et la borne supérieure (3 981,49 FCFA), légèrement sous la moyenne de la bande. Cette position médiane suggère une volatilité modérée sans extension excessive. La décision Neutre est appropriée : le titre n'est ni suracheté ni survendu, laissant place à une évolution directionnelle à venir.</w:t>
      </w:r>
    </w:p>
    <w:p>
      <w:pPr>
        <w:spacing w:after="120" w:line="276" w:lineRule="auto"/>
      </w:pPr>
      <w:r>
        <w:t>**MACD** : La valeur MACD de -64,285 est inférieure au signal de -47,058, confirmant un momentum baissier persistant. La divergence négative entre les deux lignes indique que la pression vendeuse reste dominante à moyen terme. La décision de Vente est cohérente avec cette configuration, même si l'écart relativement limité suggère une possible stabilisation prochaine.</w:t>
      </w:r>
    </w:p>
    <w:p>
      <w:pPr>
        <w:spacing w:after="120" w:line="276" w:lineRule="auto"/>
      </w:pPr>
      <w:r>
        <w:t>**RSI** : Avec une valeur de 36,111, le RSI se situe dans la zone neutre (30-70), proche de la zone de survente sans y être entré. Cette lecture indique que le titre n'est pas encore survendu, laissant une marge de baisse potentielle. La décision Neutre est justifiée, le RSI ne signalant ni retournement imminent ni poursuite baissière violente.</w:t>
      </w:r>
    </w:p>
    <w:p>
      <w:pPr>
        <w:spacing w:after="120" w:line="276" w:lineRule="auto"/>
      </w:pPr>
      <w:r>
        <w:t>**Stochastique** : Le %K (40,0) est supérieur au %D (35,556), suggérant un début de croisement haussier potentiel, bien que les deux restent en zone neutre. Cette configuration indique une possible reprise du momentum haussier à court terme, mais sans confirmation forte. La décision Neutre est appropriée, le croisement n'étant pas encore validé par une sortie des zones extrêmes.</w:t>
      </w:r>
    </w:p>
    <w:p>
      <w:pPr>
        <w:spacing w:after="120" w:line="276" w:lineRule="auto"/>
      </w:pPr>
      <w:r>
        <w:t>**Conclusion technique** : La convergence des indicateurs (MM, MACD) vers une orientation vendeuse contraste avec la neutralité du RSI et du Stochastique. Le titre évolue dans une phase de consolidation sous ses moyennes mobiles, avec un momentum baissier modéré mais non excessif. La prudence reste de mise, un signal d'achat nécessitant une reprise au-dessus de la MM20 (3 692 FCFA) et une confirmation du MACD.</w:t>
      </w:r>
    </w:p>
    <w:p>
      <w:pPr>
        <w:spacing w:after="120" w:line="276" w:lineRule="auto" w:before="240"/>
      </w:pPr>
      <w:r>
        <w:rPr>
          <w:b/>
          <w:color w:val="003366"/>
          <w:sz w:val="24"/>
        </w:rPr>
        <w:t>**PARTIE 3 : ANALYSE FONDAMENTALE (SECTION CRITIQUE)**</w:t>
      </w:r>
    </w:p>
    <w:p>
      <w:pPr>
        <w:spacing w:after="120" w:line="276" w:lineRule="auto"/>
      </w:pPr>
      <w:r>
        <w:t>En 2025, les données structurées font état d'un chiffre d'affaires de 455,209 milliards FCFA, en recul de 6,1% par rapport à 2024 (484,945 milliards FCFA), et d'un résultat net de 6,779 milliards FCFA, en baisse de 5,1% (contre 7,140 milliards en 2024). Le ROE s'établit à 24,0%, un niveau excellent (&gt;15%), démontrant une forte rentabilité des capitaux propres, tandis que le ROA de 3,9% reflète une efficacité moindre dans l'utilisation des actifs. La marge nette de 1,49% est typique du secteur de distribution pétrolière, structurellement faible mais stable. Le BFR négatif de -36,899 milliards FCFA constitue un avantage concurrentiel majeur : la société finance son exploitation grâce aux délais fournisseurs (97,76 jours) nettement supérieurs aux délais clients (47,43 jours), ce qui lui confère une trésorerie excédentaire de 13,941 milliards FCFA. L'endettement reste maîtrisé avec une capacité de remboursement de 0,94 an. Les rapports trimestriels 2025 confirment la stratégie de recentrage : le S1 2025 montre une progression de 22% du résultat d'exploitation malgré une baisse du CA de 3%, et le T3 2025 affiche un repli du résultat net de 14% sur 9 mois, principalement dû à la baisse des dividendes des filiales. Le T1 2026, analysé en mai 2026, révèle une résilience remarquable : malgré une baisse du CA de 10% (99,9 milliards FCFA) liée à la révision des prix à la pompe par l'État, le résultat net progresse de 5% à 1,585 milliard FCFA grâce à une amélioration des marges sur les lubrifiants. Sur la base de ces tendances, on estime que l'exercice 2026 pourrait voir un résultat net stable ou en légère progression, entre 6,5 et 7 milliards FCFA, soutenu par l'amélioration opérationnelle.</w:t>
      </w:r>
    </w:p>
    <w:p>
      <w:pPr>
        <w:spacing w:after="120" w:line="276" w:lineRule="auto" w:before="240"/>
      </w:pPr>
      <w:r>
        <w:rPr>
          <w:b/>
          <w:color w:val="003366"/>
          <w:sz w:val="24"/>
        </w:rPr>
        <w:t>**PARTIE 4 : CONCLUSION D'INVESTISSEMENT**</w:t>
      </w:r>
    </w:p>
    <w:p>
      <w:pPr>
        <w:spacing w:after="120" w:line="276" w:lineRule="auto"/>
      </w:pPr>
      <w:r>
        <w:t>La synthèse des quatre analyses révèle des signaux contrastés. La valorisation (PER 17,3x, P/B 4,15x) apparaît exigeante par rapport aux moyennes BRVM, indiquant une prime de qualité qui limite le potentiel de hausse. Le comportement du cours sur 100 jours (+12,15%) masque une volatilité élevée (49,9%) et une distribution asymétrique positive, suggérant un titre spéculatif. Les signaux techniques sont majoritairement vendeurs (MM, MACD) avec une neutralité sur RSI et Stochastique, indiquant une consolidation sous tension. Les fondamentaux, en revanche, demeurent solides : ROE de 24%, BFR négatif favorable, trésorerie excédentaire et résilience opérationnelle démontrée au T1 2026. Les prédictions IA (3 489 FCFA à J+1, 3 320 FCFA à J+10) confirment la tendance baissière à court terme, anticipant une poursuite du repli vers 3 300-3 400 FCFA. La convergence entre la faiblesse technique et les prédictions IA contraste avec la solidité fondamentale. Dans ce contexte, la recommandation est **CONSERVER** avec un niveau de confiance **Moyen** et un risque global **Élevé**. L'horizon d'investissement optimal est le **moyen terme (3-12 mois)**, permettant d'absorber la volatilité court terme et de bénéficier de la solidité opérationnelle, en attendant une clarification sur la politique de dividende et la reprise des volumes.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532.64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29 titres</w:t>
            </w:r>
          </w:p>
        </w:tc>
        <w:tc>
          <w:tcPr>
            <w:tcW w:type="dxa" w:w="2268"/>
            <w:shd w:fill="FFF2CC" w:val="clear"/>
          </w:tcPr>
          <w:p>
            <w:r>
              <w:rPr>
                <w:b/>
                <w:color w:val="503200"/>
                <w:sz w:val="16"/>
              </w:rPr>
              <w:t xml:space="preserve">Cours actuel : </w:t>
            </w:r>
            <w:r>
              <w:rPr>
                <w:color w:val="000000"/>
                <w:sz w:val="17"/>
              </w:rPr>
              <w:t>58,000 FCFA</w:t>
            </w:r>
          </w:p>
          <w:p>
            <w:r>
              <w:rPr>
                <w:b/>
                <w:color w:val="503200"/>
                <w:sz w:val="16"/>
              </w:rPr>
              <w:t xml:space="preserve">Var. 100 jours : </w:t>
            </w:r>
            <w:r>
              <w:rPr>
                <w:b/>
                <w:color w:val="B40000"/>
                <w:sz w:val="17"/>
              </w:rPr>
              <w:t>-17.14%</w:t>
            </w:r>
          </w:p>
          <w:p>
            <w:r>
              <w:rPr>
                <w:b/>
                <w:color w:val="503200"/>
                <w:sz w:val="16"/>
              </w:rPr>
              <w:t xml:space="preserve">Plus haut 100j : </w:t>
            </w:r>
            <w:r>
              <w:rPr>
                <w:color w:val="000000"/>
                <w:sz w:val="17"/>
              </w:rPr>
              <w:t>70,000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6.76% (Moyenne) — μ=57,018 FCFA, σ=3,856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β=2.0152 (Très agressif) — Cov=0.000073, Var(idx)=0.000036, ρ=0.283,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FFEB9C" w:val="clear"/>
          </w:tcPr>
          <w:p>
            <w:r>
              <w:rPr>
                <w:b/>
                <w:sz w:val="15"/>
              </w:rPr>
              <w:t>29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σ_j=4.31%/j (Modérée) — Vol. annualisée≈68.4%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53/100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2026-08-14</w:t>
            </w:r>
          </w:p>
        </w:tc>
        <w:tc>
          <w:tcPr>
            <w:tcW w:type="dxa" w:w="1440"/>
            <w:shd w:fill="FAFAFA" w:val="clear"/>
          </w:tcPr>
          <w:p>
            <w:r>
              <w:rPr>
                <w:sz w:val="17"/>
              </w:rPr>
              <w:t>55,020</w:t>
            </w:r>
          </w:p>
        </w:tc>
        <w:tc>
          <w:tcPr>
            <w:tcW w:type="dxa" w:w="1440"/>
            <w:shd w:fill="FAFAFA" w:val="clear"/>
          </w:tcPr>
          <w:p>
            <w:r>
              <w:rPr>
                <w:b/>
                <w:sz w:val="17"/>
              </w:rPr>
              <w:t>58,623</w:t>
            </w:r>
          </w:p>
        </w:tc>
        <w:tc>
          <w:tcPr>
            <w:tcW w:type="dxa" w:w="1440"/>
            <w:shd w:fill="FAFAFA" w:val="clear"/>
          </w:tcPr>
          <w:p>
            <w:r>
              <w:rPr>
                <w:sz w:val="17"/>
              </w:rPr>
              <w:t>62,226</w:t>
            </w:r>
          </w:p>
        </w:tc>
        <w:tc>
          <w:tcPr>
            <w:tcW w:type="dxa" w:w="1440"/>
            <w:shd w:fill="FAFAFA" w:val="clear"/>
          </w:tcPr>
          <w:p>
            <w:r>
              <w:rPr>
                <w:b/>
                <w:color w:val="008000"/>
                <w:sz w:val="17"/>
              </w:rPr>
              <w:t>+1.1%</w:t>
            </w:r>
          </w:p>
        </w:tc>
      </w:tr>
      <w:tr>
        <w:tc>
          <w:tcPr>
            <w:tcW w:type="dxa" w:w="1440"/>
            <w:shd w:fill="C6EFCE" w:val="clear"/>
          </w:tcPr>
          <w:p>
            <w:r>
              <w:rPr>
                <w:sz w:val="17"/>
              </w:rPr>
              <w:t>J+2  ⭐</w:t>
            </w:r>
          </w:p>
        </w:tc>
        <w:tc>
          <w:tcPr>
            <w:tcW w:type="dxa" w:w="1440"/>
            <w:shd w:fill="C6EFCE" w:val="clear"/>
          </w:tcPr>
          <w:p>
            <w:r>
              <w:rPr>
                <w:sz w:val="17"/>
              </w:rPr>
              <w:t>2026-08-17</w:t>
            </w:r>
          </w:p>
        </w:tc>
        <w:tc>
          <w:tcPr>
            <w:tcW w:type="dxa" w:w="1440"/>
            <w:shd w:fill="C6EFCE" w:val="clear"/>
          </w:tcPr>
          <w:p>
            <w:r>
              <w:rPr>
                <w:sz w:val="17"/>
              </w:rPr>
              <w:t>54,177</w:t>
            </w:r>
          </w:p>
        </w:tc>
        <w:tc>
          <w:tcPr>
            <w:tcW w:type="dxa" w:w="1440"/>
            <w:shd w:fill="C6EFCE" w:val="clear"/>
          </w:tcPr>
          <w:p>
            <w:r>
              <w:rPr>
                <w:b/>
                <w:sz w:val="17"/>
              </w:rPr>
              <w:t>59,335</w:t>
            </w:r>
          </w:p>
        </w:tc>
        <w:tc>
          <w:tcPr>
            <w:tcW w:type="dxa" w:w="1440"/>
            <w:shd w:fill="C6EFCE" w:val="clear"/>
          </w:tcPr>
          <w:p>
            <w:r>
              <w:rPr>
                <w:sz w:val="17"/>
              </w:rPr>
              <w:t>64,492</w:t>
            </w:r>
          </w:p>
        </w:tc>
        <w:tc>
          <w:tcPr>
            <w:tcW w:type="dxa" w:w="1440"/>
            <w:shd w:fill="C6EFCE" w:val="clear"/>
          </w:tcPr>
          <w:p>
            <w:r>
              <w:rPr>
                <w:b/>
                <w:color w:val="008000"/>
                <w:sz w:val="17"/>
              </w:rPr>
              <w:t>+2.3%</w:t>
            </w:r>
          </w:p>
        </w:tc>
      </w:tr>
      <w:tr>
        <w:tc>
          <w:tcPr>
            <w:tcW w:type="dxa" w:w="1440"/>
            <w:shd w:fill="C6EFCE" w:val="clear"/>
          </w:tcPr>
          <w:p>
            <w:r>
              <w:rPr>
                <w:sz w:val="17"/>
              </w:rPr>
              <w:t>J+3  ⭐</w:t>
            </w:r>
          </w:p>
        </w:tc>
        <w:tc>
          <w:tcPr>
            <w:tcW w:type="dxa" w:w="1440"/>
            <w:shd w:fill="C6EFCE" w:val="clear"/>
          </w:tcPr>
          <w:p>
            <w:r>
              <w:rPr>
                <w:sz w:val="17"/>
              </w:rPr>
              <w:t>2026-08-18</w:t>
            </w:r>
          </w:p>
        </w:tc>
        <w:tc>
          <w:tcPr>
            <w:tcW w:type="dxa" w:w="1440"/>
            <w:shd w:fill="C6EFCE" w:val="clear"/>
          </w:tcPr>
          <w:p>
            <w:r>
              <w:rPr>
                <w:sz w:val="17"/>
              </w:rPr>
              <w:t>53,621</w:t>
            </w:r>
          </w:p>
        </w:tc>
        <w:tc>
          <w:tcPr>
            <w:tcW w:type="dxa" w:w="1440"/>
            <w:shd w:fill="C6EFCE" w:val="clear"/>
          </w:tcPr>
          <w:p>
            <w:r>
              <w:rPr>
                <w:b/>
                <w:sz w:val="17"/>
              </w:rPr>
              <w:t>60,010</w:t>
            </w:r>
          </w:p>
        </w:tc>
        <w:tc>
          <w:tcPr>
            <w:tcW w:type="dxa" w:w="1440"/>
            <w:shd w:fill="C6EFCE" w:val="clear"/>
          </w:tcPr>
          <w:p>
            <w:r>
              <w:rPr>
                <w:sz w:val="17"/>
              </w:rPr>
              <w:t>66,398</w:t>
            </w:r>
          </w:p>
        </w:tc>
        <w:tc>
          <w:tcPr>
            <w:tcW w:type="dxa" w:w="1440"/>
            <w:shd w:fill="C6EFCE" w:val="clear"/>
          </w:tcPr>
          <w:p>
            <w:r>
              <w:rPr>
                <w:b/>
                <w:color w:val="008000"/>
                <w:sz w:val="17"/>
              </w:rPr>
              <w:t>+3.5%</w:t>
            </w:r>
          </w:p>
        </w:tc>
      </w:tr>
      <w:tr>
        <w:tc>
          <w:tcPr>
            <w:tcW w:type="dxa" w:w="1440"/>
            <w:shd w:fill="C6EFCE" w:val="clear"/>
          </w:tcPr>
          <w:p>
            <w:r>
              <w:rPr>
                <w:sz w:val="17"/>
              </w:rPr>
              <w:t>J+4  ⭐</w:t>
            </w:r>
          </w:p>
        </w:tc>
        <w:tc>
          <w:tcPr>
            <w:tcW w:type="dxa" w:w="1440"/>
            <w:shd w:fill="C6EFCE" w:val="clear"/>
          </w:tcPr>
          <w:p>
            <w:r>
              <w:rPr>
                <w:sz w:val="17"/>
              </w:rPr>
              <w:t>2026-08-19</w:t>
            </w:r>
          </w:p>
        </w:tc>
        <w:tc>
          <w:tcPr>
            <w:tcW w:type="dxa" w:w="1440"/>
            <w:shd w:fill="C6EFCE" w:val="clear"/>
          </w:tcPr>
          <w:p>
            <w:r>
              <w:rPr>
                <w:sz w:val="17"/>
              </w:rPr>
              <w:t>53,216</w:t>
            </w:r>
          </w:p>
        </w:tc>
        <w:tc>
          <w:tcPr>
            <w:tcW w:type="dxa" w:w="1440"/>
            <w:shd w:fill="C6EFCE" w:val="clear"/>
          </w:tcPr>
          <w:p>
            <w:r>
              <w:rPr>
                <w:b/>
                <w:sz w:val="17"/>
              </w:rPr>
              <w:t>60,675</w:t>
            </w:r>
          </w:p>
        </w:tc>
        <w:tc>
          <w:tcPr>
            <w:tcW w:type="dxa" w:w="1440"/>
            <w:shd w:fill="C6EFCE" w:val="clear"/>
          </w:tcPr>
          <w:p>
            <w:r>
              <w:rPr>
                <w:sz w:val="17"/>
              </w:rPr>
              <w:t>68,134</w:t>
            </w:r>
          </w:p>
        </w:tc>
        <w:tc>
          <w:tcPr>
            <w:tcW w:type="dxa" w:w="1440"/>
            <w:shd w:fill="C6EFCE" w:val="clear"/>
          </w:tcPr>
          <w:p>
            <w:r>
              <w:rPr>
                <w:b/>
                <w:color w:val="008000"/>
                <w:sz w:val="17"/>
              </w:rPr>
              <w:t>+4.6%</w:t>
            </w:r>
          </w:p>
        </w:tc>
      </w:tr>
      <w:tr>
        <w:tc>
          <w:tcPr>
            <w:tcW w:type="dxa" w:w="1440"/>
            <w:shd w:fill="C6EFCE" w:val="clear"/>
          </w:tcPr>
          <w:p>
            <w:r>
              <w:rPr>
                <w:sz w:val="17"/>
              </w:rPr>
              <w:t>J+5  ⭐</w:t>
            </w:r>
          </w:p>
        </w:tc>
        <w:tc>
          <w:tcPr>
            <w:tcW w:type="dxa" w:w="1440"/>
            <w:shd w:fill="C6EFCE" w:val="clear"/>
          </w:tcPr>
          <w:p>
            <w:r>
              <w:rPr>
                <w:sz w:val="17"/>
              </w:rPr>
              <w:t>2026-08-20</w:t>
            </w:r>
          </w:p>
        </w:tc>
        <w:tc>
          <w:tcPr>
            <w:tcW w:type="dxa" w:w="1440"/>
            <w:shd w:fill="C6EFCE" w:val="clear"/>
          </w:tcPr>
          <w:p>
            <w:r>
              <w:rPr>
                <w:sz w:val="17"/>
              </w:rPr>
              <w:t>52,908</w:t>
            </w:r>
          </w:p>
        </w:tc>
        <w:tc>
          <w:tcPr>
            <w:tcW w:type="dxa" w:w="1440"/>
            <w:shd w:fill="C6EFCE" w:val="clear"/>
          </w:tcPr>
          <w:p>
            <w:r>
              <w:rPr>
                <w:b/>
                <w:sz w:val="17"/>
              </w:rPr>
              <w:t>61,338</w:t>
            </w:r>
          </w:p>
        </w:tc>
        <w:tc>
          <w:tcPr>
            <w:tcW w:type="dxa" w:w="1440"/>
            <w:shd w:fill="C6EFCE" w:val="clear"/>
          </w:tcPr>
          <w:p>
            <w:r>
              <w:rPr>
                <w:sz w:val="17"/>
              </w:rPr>
              <w:t>69,768</w:t>
            </w:r>
          </w:p>
        </w:tc>
        <w:tc>
          <w:tcPr>
            <w:tcW w:type="dxa" w:w="1440"/>
            <w:shd w:fill="C6EFCE" w:val="clear"/>
          </w:tcPr>
          <w:p>
            <w:r>
              <w:rPr>
                <w:b/>
                <w:color w:val="008000"/>
                <w:sz w:val="17"/>
              </w:rPr>
              <w:t>+5.8%</w:t>
            </w:r>
          </w:p>
        </w:tc>
      </w:tr>
      <w:tr>
        <w:tc>
          <w:tcPr>
            <w:tcW w:type="dxa" w:w="1440"/>
            <w:shd w:fill="C6EFCE" w:val="clear"/>
          </w:tcPr>
          <w:p>
            <w:r>
              <w:rPr>
                <w:sz w:val="17"/>
              </w:rPr>
              <w:t>J+6  ⭐</w:t>
            </w:r>
          </w:p>
        </w:tc>
        <w:tc>
          <w:tcPr>
            <w:tcW w:type="dxa" w:w="1440"/>
            <w:shd w:fill="C6EFCE" w:val="clear"/>
          </w:tcPr>
          <w:p>
            <w:r>
              <w:rPr>
                <w:sz w:val="17"/>
              </w:rPr>
              <w:t>2026-08-21</w:t>
            </w:r>
          </w:p>
        </w:tc>
        <w:tc>
          <w:tcPr>
            <w:tcW w:type="dxa" w:w="1440"/>
            <w:shd w:fill="C6EFCE" w:val="clear"/>
          </w:tcPr>
          <w:p>
            <w:r>
              <w:rPr>
                <w:sz w:val="17"/>
              </w:rPr>
              <w:t>52,666</w:t>
            </w:r>
          </w:p>
        </w:tc>
        <w:tc>
          <w:tcPr>
            <w:tcW w:type="dxa" w:w="1440"/>
            <w:shd w:fill="C6EFCE" w:val="clear"/>
          </w:tcPr>
          <w:p>
            <w:r>
              <w:rPr>
                <w:b/>
                <w:sz w:val="17"/>
              </w:rPr>
              <w:t>62,000</w:t>
            </w:r>
          </w:p>
        </w:tc>
        <w:tc>
          <w:tcPr>
            <w:tcW w:type="dxa" w:w="1440"/>
            <w:shd w:fill="C6EFCE" w:val="clear"/>
          </w:tcPr>
          <w:p>
            <w:r>
              <w:rPr>
                <w:sz w:val="17"/>
              </w:rPr>
              <w:t>71,335</w:t>
            </w:r>
          </w:p>
        </w:tc>
        <w:tc>
          <w:tcPr>
            <w:tcW w:type="dxa" w:w="1440"/>
            <w:shd w:fill="C6EFCE" w:val="clear"/>
          </w:tcPr>
          <w:p>
            <w:r>
              <w:rPr>
                <w:b/>
                <w:color w:val="008000"/>
                <w:sz w:val="17"/>
              </w:rPr>
              <w:t>+6.9%</w:t>
            </w:r>
          </w:p>
        </w:tc>
      </w:tr>
      <w:tr>
        <w:tc>
          <w:tcPr>
            <w:tcW w:type="dxa" w:w="1440"/>
            <w:shd w:fill="C6EFCE" w:val="clear"/>
          </w:tcPr>
          <w:p>
            <w:r>
              <w:rPr>
                <w:sz w:val="17"/>
              </w:rPr>
              <w:t>J+7  ⭐</w:t>
            </w:r>
          </w:p>
        </w:tc>
        <w:tc>
          <w:tcPr>
            <w:tcW w:type="dxa" w:w="1440"/>
            <w:shd w:fill="C6EFCE" w:val="clear"/>
          </w:tcPr>
          <w:p>
            <w:r>
              <w:rPr>
                <w:sz w:val="17"/>
              </w:rPr>
              <w:t>2026-08-24</w:t>
            </w:r>
          </w:p>
        </w:tc>
        <w:tc>
          <w:tcPr>
            <w:tcW w:type="dxa" w:w="1440"/>
            <w:shd w:fill="C6EFCE" w:val="clear"/>
          </w:tcPr>
          <w:p>
            <w:r>
              <w:rPr>
                <w:sz w:val="17"/>
              </w:rPr>
              <w:t>52,472</w:t>
            </w:r>
          </w:p>
        </w:tc>
        <w:tc>
          <w:tcPr>
            <w:tcW w:type="dxa" w:w="1440"/>
            <w:shd w:fill="C6EFCE" w:val="clear"/>
          </w:tcPr>
          <w:p>
            <w:r>
              <w:rPr>
                <w:b/>
                <w:sz w:val="17"/>
              </w:rPr>
              <w:t>62,662</w:t>
            </w:r>
          </w:p>
        </w:tc>
        <w:tc>
          <w:tcPr>
            <w:tcW w:type="dxa" w:w="1440"/>
            <w:shd w:fill="C6EFCE" w:val="clear"/>
          </w:tcPr>
          <w:p>
            <w:r>
              <w:rPr>
                <w:sz w:val="17"/>
              </w:rPr>
              <w:t>72,852</w:t>
            </w:r>
          </w:p>
        </w:tc>
        <w:tc>
          <w:tcPr>
            <w:tcW w:type="dxa" w:w="1440"/>
            <w:shd w:fill="C6EFCE" w:val="clear"/>
          </w:tcPr>
          <w:p>
            <w:r>
              <w:rPr>
                <w:b/>
                <w:color w:val="008000"/>
                <w:sz w:val="17"/>
              </w:rPr>
              <w:t>+8.0%</w:t>
            </w:r>
          </w:p>
        </w:tc>
      </w:tr>
      <w:tr>
        <w:tc>
          <w:tcPr>
            <w:tcW w:type="dxa" w:w="1440"/>
            <w:shd w:fill="C6EFCE" w:val="clear"/>
          </w:tcPr>
          <w:p>
            <w:r>
              <w:rPr>
                <w:sz w:val="17"/>
              </w:rPr>
              <w:t>J+8  ⭐</w:t>
            </w:r>
          </w:p>
        </w:tc>
        <w:tc>
          <w:tcPr>
            <w:tcW w:type="dxa" w:w="1440"/>
            <w:shd w:fill="C6EFCE" w:val="clear"/>
          </w:tcPr>
          <w:p>
            <w:r>
              <w:rPr>
                <w:sz w:val="17"/>
              </w:rPr>
              <w:t>2026-08-25</w:t>
            </w:r>
          </w:p>
        </w:tc>
        <w:tc>
          <w:tcPr>
            <w:tcW w:type="dxa" w:w="1440"/>
            <w:shd w:fill="C6EFCE" w:val="clear"/>
          </w:tcPr>
          <w:p>
            <w:r>
              <w:rPr>
                <w:sz w:val="17"/>
              </w:rPr>
              <w:t>52,316</w:t>
            </w:r>
          </w:p>
        </w:tc>
        <w:tc>
          <w:tcPr>
            <w:tcW w:type="dxa" w:w="1440"/>
            <w:shd w:fill="C6EFCE" w:val="clear"/>
          </w:tcPr>
          <w:p>
            <w:r>
              <w:rPr>
                <w:b/>
                <w:sz w:val="17"/>
              </w:rPr>
              <w:t>63,324</w:t>
            </w:r>
          </w:p>
        </w:tc>
        <w:tc>
          <w:tcPr>
            <w:tcW w:type="dxa" w:w="1440"/>
            <w:shd w:fill="C6EFCE" w:val="clear"/>
          </w:tcPr>
          <w:p>
            <w:r>
              <w:rPr>
                <w:sz w:val="17"/>
              </w:rPr>
              <w:t>74,333</w:t>
            </w:r>
          </w:p>
        </w:tc>
        <w:tc>
          <w:tcPr>
            <w:tcW w:type="dxa" w:w="1440"/>
            <w:shd w:fill="C6EFCE" w:val="clear"/>
          </w:tcPr>
          <w:p>
            <w:r>
              <w:rPr>
                <w:b/>
                <w:color w:val="008000"/>
                <w:sz w:val="17"/>
              </w:rPr>
              <w:t>+9.2%</w:t>
            </w:r>
          </w:p>
        </w:tc>
      </w:tr>
      <w:tr>
        <w:tc>
          <w:tcPr>
            <w:tcW w:type="dxa" w:w="1440"/>
            <w:shd w:fill="C6EFCE" w:val="clear"/>
          </w:tcPr>
          <w:p>
            <w:r>
              <w:rPr>
                <w:sz w:val="17"/>
              </w:rPr>
              <w:t>J+9  ⭐</w:t>
            </w:r>
          </w:p>
        </w:tc>
        <w:tc>
          <w:tcPr>
            <w:tcW w:type="dxa" w:w="1440"/>
            <w:shd w:fill="C6EFCE" w:val="clear"/>
          </w:tcPr>
          <w:p>
            <w:r>
              <w:rPr>
                <w:sz w:val="17"/>
              </w:rPr>
              <w:t>2026-08-27</w:t>
            </w:r>
          </w:p>
        </w:tc>
        <w:tc>
          <w:tcPr>
            <w:tcW w:type="dxa" w:w="1440"/>
            <w:shd w:fill="C6EFCE" w:val="clear"/>
          </w:tcPr>
          <w:p>
            <w:r>
              <w:rPr>
                <w:sz w:val="17"/>
              </w:rPr>
              <w:t>52,188</w:t>
            </w:r>
          </w:p>
        </w:tc>
        <w:tc>
          <w:tcPr>
            <w:tcW w:type="dxa" w:w="1440"/>
            <w:shd w:fill="C6EFCE" w:val="clear"/>
          </w:tcPr>
          <w:p>
            <w:r>
              <w:rPr>
                <w:b/>
                <w:sz w:val="17"/>
              </w:rPr>
              <w:t>63,987</w:t>
            </w:r>
          </w:p>
        </w:tc>
        <w:tc>
          <w:tcPr>
            <w:tcW w:type="dxa" w:w="1440"/>
            <w:shd w:fill="C6EFCE" w:val="clear"/>
          </w:tcPr>
          <w:p>
            <w:r>
              <w:rPr>
                <w:sz w:val="17"/>
              </w:rPr>
              <w:t>75,785</w:t>
            </w:r>
          </w:p>
        </w:tc>
        <w:tc>
          <w:tcPr>
            <w:tcW w:type="dxa" w:w="1440"/>
            <w:shd w:fill="C6EFCE" w:val="clear"/>
          </w:tcPr>
          <w:p>
            <w:r>
              <w:rPr>
                <w:b/>
                <w:color w:val="008000"/>
                <w:sz w:val="17"/>
              </w:rPr>
              <w:t>+10.3%</w:t>
            </w:r>
          </w:p>
        </w:tc>
      </w:tr>
      <w:tr>
        <w:tc>
          <w:tcPr>
            <w:tcW w:type="dxa" w:w="1440"/>
            <w:shd w:fill="C6EFCE" w:val="clear"/>
          </w:tcPr>
          <w:p>
            <w:r>
              <w:rPr>
                <w:sz w:val="17"/>
              </w:rPr>
              <w:t>J+10  ⭐</w:t>
            </w:r>
          </w:p>
        </w:tc>
        <w:tc>
          <w:tcPr>
            <w:tcW w:type="dxa" w:w="1440"/>
            <w:shd w:fill="C6EFCE" w:val="clear"/>
          </w:tcPr>
          <w:p>
            <w:r>
              <w:rPr>
                <w:sz w:val="17"/>
              </w:rPr>
              <w:t>2026-08-28</w:t>
            </w:r>
          </w:p>
        </w:tc>
        <w:tc>
          <w:tcPr>
            <w:tcW w:type="dxa" w:w="1440"/>
            <w:shd w:fill="C6EFCE" w:val="clear"/>
          </w:tcPr>
          <w:p>
            <w:r>
              <w:rPr>
                <w:sz w:val="17"/>
              </w:rPr>
              <w:t>52,084</w:t>
            </w:r>
          </w:p>
        </w:tc>
        <w:tc>
          <w:tcPr>
            <w:tcW w:type="dxa" w:w="1440"/>
            <w:shd w:fill="C6EFCE" w:val="clear"/>
          </w:tcPr>
          <w:p>
            <w:r>
              <w:rPr>
                <w:b/>
                <w:sz w:val="17"/>
              </w:rPr>
              <w:t>64,649</w:t>
            </w:r>
          </w:p>
        </w:tc>
        <w:tc>
          <w:tcPr>
            <w:tcW w:type="dxa" w:w="1440"/>
            <w:shd w:fill="C6EFCE" w:val="clear"/>
          </w:tcPr>
          <w:p>
            <w:r>
              <w:rPr>
                <w:sz w:val="17"/>
              </w:rPr>
              <w:t>77,215</w:t>
            </w:r>
          </w:p>
        </w:tc>
        <w:tc>
          <w:tcPr>
            <w:tcW w:type="dxa" w:w="1440"/>
            <w:shd w:fill="C6EFCE" w:val="clear"/>
          </w:tcPr>
          <w:p>
            <w:r>
              <w:rPr>
                <w:b/>
                <w:color w:val="008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532,64 milliards FCFA, ce qui positionne la société parmi les valeurs moyennes du marché de la BRVM, dans un compartiment dominé par les grandes capitalisations comme Sonatel ou les banques panafricaines. Les ratios de valorisation (BPA, PER, P/B, EV/EBITDA) ne sont pas calculables en raison de l'absence de données financières structurées récentes dans la base de données, ce qui limite une comparaison directe avec les références du marché (PER moyen BRVM de 8 à 12x). Toutefois, sur la base des derniers rapports disponibles, le bénéfice net de 640 millions FCFA en 2023 impliquerait un PER extrêmement élevé, signalant une valorisation spéculative du titre. Cette situation reflète une incertitude majeure sur la capacité bénéficiaire réelle de la société, les investisseurs semblant anticiper un redressement futur plutôt que de valoriser les profits actuels.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variation totale de -17,14%, avec une dernière séance stable (+0,00%), illustrant une tendance baissière marquée malgré un rebond récent depuis le plus bas de 49 630 FCFA vers le cours actuel de 58 000 FCFA. Le titre a évolué dans une fourchette large de 20 370 FCFA entre son plus haut (70 000 FCFA) et son plus bas (49 630 FCFA), témoignant d'une forte amplitude de trading. Les statistiques descriptives révèlent une moyenne (57 018 FCFA) très proche de la médiane (57 000 FCFA), indiquant une distribution relativement symétrique des cours, avec un mode à 58 000 FCFA confirmant une concentration des échanges autour de ce niveau. L'écart-type de 3 876 FCFA (CV=6,8%) montre une dispersion modérée des prix autour de la moyenne, tandis que le kurtosis excédentaire de 1,019 (leptokurtique) signale un risque de mouvements extrêmes plus fréquents que la normale. Le skewness positif de 0,674 indique une asymétrie vers les valeurs basses, avec davantage de journées sous la moyenne. La volatilité annualisée de 68,4% classe UNLC comme un actif extrêmement risqué,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**Moyennes Mobiles** : Le cours actuel de 58 000 FCFA se situe au-dessus de la MM20 (53 682,75 FCFA) et de la MM50 (54 897,6 FCFA), ce qui suggère un momentum haussier à court terme. Cependant, la décision globale est une "Vente", indiquant que la tendance de fond reste baissière malgré ce rebond technique, les moyennes mobiles n'ayant pas encore inversé leur orientation.</w:t>
      </w:r>
    </w:p>
    <w:p>
      <w:pPr>
        <w:spacing w:after="120" w:line="276" w:lineRule="auto"/>
      </w:pPr>
      <w:r>
        <w:t>**Bandes de Bollinger** : Le prix évolue près de la borne supérieure (58 289,394 FCFA), à seulement 289 FCFA de celle-ci, ce qui traduit une pression acheteuse récente. La décision "Neutre" s'explique par le fait que le cours n'a pas encore franchi la borne, et la largeur des bandes (écart de 9 213 FCFA) reflète une volatilité élevée qui pourrait précéder un mouvement directionnel significatif.</w:t>
      </w:r>
    </w:p>
    <w:p>
      <w:pPr>
        <w:spacing w:after="120" w:line="276" w:lineRule="auto"/>
      </w:pPr>
      <w:r>
        <w:t>**MACD** : La valeur positive de 643,242 avec un signal à -82,546 indique un croisement haussier récent, le MACD ayant dépassé sa ligne de signal. Cette configuration signale un momentum positif émergent, justifiant la décision "Achat", même si la faiblesse du signal (-82,546) suggère que ce retournement est encore fragile et pourrait nécessiter une confirmation.</w:t>
      </w:r>
    </w:p>
    <w:p>
      <w:pPr>
        <w:spacing w:after="120" w:line="276" w:lineRule="auto"/>
      </w:pPr>
      <w:r>
        <w:t>**RSI** : À 66,704, l'indice de force relative se situe en zone neutre, proche du seuil de surachat (70). Cette valeur indique une dynamique acheteuse soutenue sans être excessive, la décision "Neutre" reflétant un équilibre précaire où une poursuite de la hausse pourrait rapidement placer le titre en zone de surachat.</w:t>
      </w:r>
    </w:p>
    <w:p>
      <w:pPr>
        <w:spacing w:after="120" w:line="276" w:lineRule="auto"/>
      </w:pPr>
      <w:r>
        <w:t>**Stochastique** : Les valeurs %K et %D à 100,0 signalent une condition de surachat extrême, le titre étant au plus haut de sa fourchette sur la période considérée. La décision "Vente" est justifiée par ce niveau extrême qui suggère un épuisement probable de la dynamique haussière à très court terme, avec un risque élevé de correction technique.</w:t>
      </w:r>
    </w:p>
    <w:p>
      <w:pPr>
        <w:spacing w:after="120" w:line="276" w:lineRule="auto"/>
      </w:pPr>
      <w:r>
        <w:t>**Conclusion technique** : La convergence des indicateurs est mitigée : le MACD et la position du cours au-dessus des moyennes mobiles plaident pour un rebond, tandis que le stochastique suracheté et la décision des MM signalent une prudence nécessaire. Le RSI neutre et les bandes de Bollinger sans franchissement confirment une phase de transition incertaine, où le titre pourrait consolider avant de poursuivre son mouvement.</w:t>
      </w:r>
    </w:p>
    <w:p>
      <w:pPr>
        <w:spacing w:after="120" w:line="276" w:lineRule="auto" w:before="240"/>
      </w:pPr>
      <w:r>
        <w:rPr>
          <w:b/>
          <w:color w:val="003366"/>
          <w:sz w:val="24"/>
        </w:rPr>
        <w:t>**PARTIE 3 : ANALYSE FONDAMENTALE (SECTION CRITIQUE)**</w:t>
      </w:r>
    </w:p>
    <w:p>
      <w:pPr>
        <w:spacing w:after="120" w:line="276" w:lineRule="auto"/>
      </w:pPr>
      <w:r>
        <w:t>Les données financières structurées d'UNLC ne sont pas disponibles dans la base de données, mais les rapports narratifs fournissent des informations essentielles. Pour l'exercice 2023 (rapport daté du 31/12/2023), le chiffre d'affaires s'établit à 24 336 010 000 FCFA, stable par rapport à 2022, avec un résultat net de 640 334 855 FCFA, en forte amélioration après la perte de 6 908 362 002 FCFA en 2022. La marge nette de 2,63% reste nettement inférieure à la moyenne sectorielle (5-10%), et les capitaux propres demeurent négatifs à -10 658 millions FCFA, fragilisant la structure financière. Le rapport 2022 (daté du 31/12/2022) confirme une crise profonde avec une perte de 6 382,6 millions FCFA et une marge nette de -17,6%, tandis que le rapport 2021 (daté du 31/12/2021) montrait un bénéfice de 6 090 millions FCFA grâce à la cession de l'activité thé. L'évolution temporelle révèle une volatilité extrême des résultats, avec une amélioration opérationnelle en 2023 (résultat d'exploitation positif de 3 340 millions FCFA) mais une absence de dividende et un endettement élevé (4 379 millions FCFA de dettes financières). La société reste confrontée à des défis structurels majeurs : dépendance au marché ivoirien, concurrence intense (Nestlé, P&amp;G), et nécessité de reconstituer ses capitaux propres. Les perspectives de redressement sont réelles mais conditionnées à une amélioration durable de la rentabilité et à une réduction de l'endettement.</w:t>
      </w:r>
    </w:p>
    <w:p>
      <w:pPr>
        <w:spacing w:after="120" w:line="276" w:lineRule="auto" w:before="240"/>
      </w:pPr>
      <w:r>
        <w:rPr>
          <w:b/>
          <w:color w:val="003366"/>
          <w:sz w:val="24"/>
        </w:rPr>
        <w:t>**PARTIE 4 : CONCLUSION D'INVESTISSEMENT**</w:t>
      </w:r>
    </w:p>
    <w:p>
      <w:pPr>
        <w:spacing w:after="120" w:line="276" w:lineRule="auto"/>
      </w:pPr>
      <w:r>
        <w:t>La synthèse des analyses révèle une situation complexe pour UNLC. La valorisation boursière (532,64 milliards FCFA) apparaît surévaluée au regard des bénéfices actuels, le PER implicite étant très élevé. Le comportement du cours montre une tendance baissière sur 100 jours (-17,14%) avec une volatilité extrême (68,4%), des statistiques indiquant un risque de pics et une asymétrie préoccupante. Les signaux techniques sont mitigés : le MACD et la position au-dessus des MM20/MM50 suggèrent un rebond, mais le stochastique suracheté et la décision de vente des moyennes mobiles tempèrent cet optimisme. Les fondamentaux, bien qu'en amélioration en 2023 (retour au bénéfice), restent fragiles avec des capitaux propres négatifs et une marge nette faible. Les prédictions IA (58 623 à 61 338 FCFA sur 10 jours) confirment une trajectoire haussière à court terme, en cohérence avec le rebond technique actuel. La convergence entre le signal MACD, les prédictions IA et l'amélioration fondamentale est partielle, mais insuffisante pour contrebalancer les risques structurels. **Recommandation : CONSERVER**, avec un niveau de confiance **Moyen** et un risque global **Élevé**. L'horizon d'investissement optimal est le **moyen terme (3-12 mois)**, en attendant une confirmation du redressement financier et une stabilisation des capitaux propres.</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40.26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12,085 titres</w:t>
            </w:r>
          </w:p>
        </w:tc>
        <w:tc>
          <w:tcPr>
            <w:tcW w:type="dxa" w:w="2268"/>
            <w:shd w:fill="FFF2CC" w:val="clear"/>
          </w:tcPr>
          <w:p>
            <w:r>
              <w:rPr>
                <w:b/>
                <w:color w:val="503200"/>
                <w:sz w:val="16"/>
              </w:rPr>
              <w:t xml:space="preserve">Cours actuel : </w:t>
            </w:r>
            <w:r>
              <w:rPr>
                <w:color w:val="000000"/>
                <w:sz w:val="17"/>
              </w:rPr>
              <w:t>1,940 FCFA</w:t>
            </w:r>
          </w:p>
          <w:p>
            <w:r>
              <w:rPr>
                <w:b/>
                <w:color w:val="503200"/>
                <w:sz w:val="16"/>
              </w:rPr>
              <w:t xml:space="preserve">Var. 100 jours : </w:t>
            </w:r>
            <w:r>
              <w:rPr>
                <w:b/>
                <w:color w:val="B40000"/>
                <w:sz w:val="17"/>
              </w:rPr>
              <w:t>-1.27%</w:t>
            </w:r>
          </w:p>
          <w:p>
            <w:r>
              <w:rPr>
                <w:b/>
                <w:color w:val="503200"/>
                <w:sz w:val="16"/>
              </w:rPr>
              <w:t xml:space="preserve">Plus haut 100j : </w:t>
            </w:r>
            <w:r>
              <w:rPr>
                <w:color w:val="000000"/>
                <w:sz w:val="17"/>
              </w:rPr>
              <w:t>2,095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18.0/100 → Faible</w:t>
      </w:r>
    </w:p>
    <w:p>
      <w:pPr>
        <w:spacing w:before="40" w:after="80"/>
      </w:pPr>
      <w:r>
        <w:rPr>
          <w:rFonts w:ascii="Courier New" w:hAnsi="Courier New"/>
          <w:color w:val="006400"/>
          <w:sz w:val="18"/>
        </w:rPr>
        <w:t>███░░░░░░░░░░░░░░░░░  18.0/100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8.87% (Moyenne) — μ=1,864 FCFA, σ=165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β=-0.8170 (Contre-cyclique) — Cov=-0.000030, Var(idx)=0.000036, ρ=-0.161,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12,085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σ_j=3.06%/j (Modérée) — Vol. annualisée≈48.6%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2026-08-14</w:t>
            </w:r>
          </w:p>
        </w:tc>
        <w:tc>
          <w:tcPr>
            <w:tcW w:type="dxa" w:w="1440"/>
            <w:shd w:fill="FAFAFA" w:val="clear"/>
          </w:tcPr>
          <w:p>
            <w:r>
              <w:rPr>
                <w:sz w:val="17"/>
              </w:rPr>
              <w:t>1,773</w:t>
            </w:r>
          </w:p>
        </w:tc>
        <w:tc>
          <w:tcPr>
            <w:tcW w:type="dxa" w:w="1440"/>
            <w:shd w:fill="FAFAFA" w:val="clear"/>
          </w:tcPr>
          <w:p>
            <w:r>
              <w:rPr>
                <w:b/>
                <w:sz w:val="17"/>
              </w:rPr>
              <w:t>1,905</w:t>
            </w:r>
          </w:p>
        </w:tc>
        <w:tc>
          <w:tcPr>
            <w:tcW w:type="dxa" w:w="1440"/>
            <w:shd w:fill="FAFAFA" w:val="clear"/>
          </w:tcPr>
          <w:p>
            <w:r>
              <w:rPr>
                <w:sz w:val="17"/>
              </w:rPr>
              <w:t>2,036</w:t>
            </w:r>
          </w:p>
        </w:tc>
        <w:tc>
          <w:tcPr>
            <w:tcW w:type="dxa" w:w="1440"/>
            <w:shd w:fill="FAFAFA" w:val="clear"/>
          </w:tcPr>
          <w:p>
            <w:r>
              <w:rPr>
                <w:b/>
                <w:color w:val="C00000"/>
                <w:sz w:val="17"/>
              </w:rPr>
              <w:t>-1.8%</w:t>
            </w:r>
          </w:p>
        </w:tc>
      </w:tr>
      <w:tr>
        <w:tc>
          <w:tcPr>
            <w:tcW w:type="dxa" w:w="1440"/>
            <w:shd w:fill="FFDCE0" w:val="clear"/>
          </w:tcPr>
          <w:p>
            <w:r>
              <w:rPr>
                <w:sz w:val="17"/>
              </w:rPr>
              <w:t>J+2  Moyenne</w:t>
            </w:r>
          </w:p>
        </w:tc>
        <w:tc>
          <w:tcPr>
            <w:tcW w:type="dxa" w:w="1440"/>
            <w:shd w:fill="FFDCE0" w:val="clear"/>
          </w:tcPr>
          <w:p>
            <w:r>
              <w:rPr>
                <w:sz w:val="17"/>
              </w:rPr>
              <w:t>2026-08-17</w:t>
            </w:r>
          </w:p>
        </w:tc>
        <w:tc>
          <w:tcPr>
            <w:tcW w:type="dxa" w:w="1440"/>
            <w:shd w:fill="FFDCE0" w:val="clear"/>
          </w:tcPr>
          <w:p>
            <w:r>
              <w:rPr>
                <w:sz w:val="17"/>
              </w:rPr>
              <w:t>1,712</w:t>
            </w:r>
          </w:p>
        </w:tc>
        <w:tc>
          <w:tcPr>
            <w:tcW w:type="dxa" w:w="1440"/>
            <w:shd w:fill="FFDCE0" w:val="clear"/>
          </w:tcPr>
          <w:p>
            <w:r>
              <w:rPr>
                <w:b/>
                <w:sz w:val="17"/>
              </w:rPr>
              <w:t>1,898</w:t>
            </w:r>
          </w:p>
        </w:tc>
        <w:tc>
          <w:tcPr>
            <w:tcW w:type="dxa" w:w="1440"/>
            <w:shd w:fill="FFDCE0" w:val="clear"/>
          </w:tcPr>
          <w:p>
            <w:r>
              <w:rPr>
                <w:sz w:val="17"/>
              </w:rPr>
              <w:t>2,083</w:t>
            </w:r>
          </w:p>
        </w:tc>
        <w:tc>
          <w:tcPr>
            <w:tcW w:type="dxa" w:w="1440"/>
            <w:shd w:fill="FFDCE0" w:val="clear"/>
          </w:tcPr>
          <w:p>
            <w:r>
              <w:rPr>
                <w:b/>
                <w:color w:val="C00000"/>
                <w:sz w:val="17"/>
              </w:rPr>
              <w:t>-2.2%</w:t>
            </w:r>
          </w:p>
        </w:tc>
      </w:tr>
      <w:tr>
        <w:tc>
          <w:tcPr>
            <w:tcW w:type="dxa" w:w="1440"/>
            <w:shd w:fill="FFDCE0" w:val="clear"/>
          </w:tcPr>
          <w:p>
            <w:r>
              <w:rPr>
                <w:sz w:val="17"/>
              </w:rPr>
              <w:t>J+3  Moyenne</w:t>
            </w:r>
          </w:p>
        </w:tc>
        <w:tc>
          <w:tcPr>
            <w:tcW w:type="dxa" w:w="1440"/>
            <w:shd w:fill="FFDCE0" w:val="clear"/>
          </w:tcPr>
          <w:p>
            <w:r>
              <w:rPr>
                <w:sz w:val="17"/>
              </w:rPr>
              <w:t>2026-08-18</w:t>
            </w:r>
          </w:p>
        </w:tc>
        <w:tc>
          <w:tcPr>
            <w:tcW w:type="dxa" w:w="1440"/>
            <w:shd w:fill="FFDCE0" w:val="clear"/>
          </w:tcPr>
          <w:p>
            <w:r>
              <w:rPr>
                <w:sz w:val="17"/>
              </w:rPr>
              <w:t>1,662</w:t>
            </w:r>
          </w:p>
        </w:tc>
        <w:tc>
          <w:tcPr>
            <w:tcW w:type="dxa" w:w="1440"/>
            <w:shd w:fill="FFDCE0" w:val="clear"/>
          </w:tcPr>
          <w:p>
            <w:r>
              <w:rPr>
                <w:b/>
                <w:sz w:val="17"/>
              </w:rPr>
              <w:t>1,888</w:t>
            </w:r>
          </w:p>
        </w:tc>
        <w:tc>
          <w:tcPr>
            <w:tcW w:type="dxa" w:w="1440"/>
            <w:shd w:fill="FFDCE0" w:val="clear"/>
          </w:tcPr>
          <w:p>
            <w:r>
              <w:rPr>
                <w:sz w:val="17"/>
              </w:rPr>
              <w:t>2,114</w:t>
            </w:r>
          </w:p>
        </w:tc>
        <w:tc>
          <w:tcPr>
            <w:tcW w:type="dxa" w:w="1440"/>
            <w:shd w:fill="FFDCE0" w:val="clear"/>
          </w:tcPr>
          <w:p>
            <w:r>
              <w:rPr>
                <w:b/>
                <w:color w:val="C00000"/>
                <w:sz w:val="17"/>
              </w:rPr>
              <w:t>-2.7%</w:t>
            </w:r>
          </w:p>
        </w:tc>
      </w:tr>
      <w:tr>
        <w:tc>
          <w:tcPr>
            <w:tcW w:type="dxa" w:w="1440"/>
            <w:shd w:fill="FFDCE0" w:val="clear"/>
          </w:tcPr>
          <w:p>
            <w:r>
              <w:rPr>
                <w:sz w:val="17"/>
              </w:rPr>
              <w:t>J+4  ⭐</w:t>
            </w:r>
          </w:p>
        </w:tc>
        <w:tc>
          <w:tcPr>
            <w:tcW w:type="dxa" w:w="1440"/>
            <w:shd w:fill="FFDCE0" w:val="clear"/>
          </w:tcPr>
          <w:p>
            <w:r>
              <w:rPr>
                <w:sz w:val="17"/>
              </w:rPr>
              <w:t>2026-08-19</w:t>
            </w:r>
          </w:p>
        </w:tc>
        <w:tc>
          <w:tcPr>
            <w:tcW w:type="dxa" w:w="1440"/>
            <w:shd w:fill="FFDCE0" w:val="clear"/>
          </w:tcPr>
          <w:p>
            <w:r>
              <w:rPr>
                <w:sz w:val="17"/>
              </w:rPr>
              <w:t>1,619</w:t>
            </w:r>
          </w:p>
        </w:tc>
        <w:tc>
          <w:tcPr>
            <w:tcW w:type="dxa" w:w="1440"/>
            <w:shd w:fill="FFDCE0" w:val="clear"/>
          </w:tcPr>
          <w:p>
            <w:r>
              <w:rPr>
                <w:b/>
                <w:sz w:val="17"/>
              </w:rPr>
              <w:t>1,878</w:t>
            </w:r>
          </w:p>
        </w:tc>
        <w:tc>
          <w:tcPr>
            <w:tcW w:type="dxa" w:w="1440"/>
            <w:shd w:fill="FFDCE0" w:val="clear"/>
          </w:tcPr>
          <w:p>
            <w:r>
              <w:rPr>
                <w:sz w:val="17"/>
              </w:rPr>
              <w:t>2,138</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2026-08-20</w:t>
            </w:r>
          </w:p>
        </w:tc>
        <w:tc>
          <w:tcPr>
            <w:tcW w:type="dxa" w:w="1440"/>
            <w:shd w:fill="FFDCE0" w:val="clear"/>
          </w:tcPr>
          <w:p>
            <w:r>
              <w:rPr>
                <w:sz w:val="17"/>
              </w:rPr>
              <w:t>1,580</w:t>
            </w:r>
          </w:p>
        </w:tc>
        <w:tc>
          <w:tcPr>
            <w:tcW w:type="dxa" w:w="1440"/>
            <w:shd w:fill="FFDCE0" w:val="clear"/>
          </w:tcPr>
          <w:p>
            <w:r>
              <w:rPr>
                <w:b/>
                <w:sz w:val="17"/>
              </w:rPr>
              <w:t>1,869</w:t>
            </w:r>
          </w:p>
        </w:tc>
        <w:tc>
          <w:tcPr>
            <w:tcW w:type="dxa" w:w="1440"/>
            <w:shd w:fill="FFDCE0" w:val="clear"/>
          </w:tcPr>
          <w:p>
            <w:r>
              <w:rPr>
                <w:sz w:val="17"/>
              </w:rPr>
              <w:t>2,158</w:t>
            </w:r>
          </w:p>
        </w:tc>
        <w:tc>
          <w:tcPr>
            <w:tcW w:type="dxa" w:w="1440"/>
            <w:shd w:fill="FFDCE0" w:val="clear"/>
          </w:tcPr>
          <w:p>
            <w:r>
              <w:rPr>
                <w:b/>
                <w:color w:val="C00000"/>
                <w:sz w:val="17"/>
              </w:rPr>
              <w:t>-3.7%</w:t>
            </w:r>
          </w:p>
        </w:tc>
      </w:tr>
      <w:tr>
        <w:tc>
          <w:tcPr>
            <w:tcW w:type="dxa" w:w="1440"/>
            <w:shd w:fill="FFDCE0" w:val="clear"/>
          </w:tcPr>
          <w:p>
            <w:r>
              <w:rPr>
                <w:sz w:val="17"/>
              </w:rPr>
              <w:t>J+6  ⭐</w:t>
            </w:r>
          </w:p>
        </w:tc>
        <w:tc>
          <w:tcPr>
            <w:tcW w:type="dxa" w:w="1440"/>
            <w:shd w:fill="FFDCE0" w:val="clear"/>
          </w:tcPr>
          <w:p>
            <w:r>
              <w:rPr>
                <w:sz w:val="17"/>
              </w:rPr>
              <w:t>2026-08-21</w:t>
            </w:r>
          </w:p>
        </w:tc>
        <w:tc>
          <w:tcPr>
            <w:tcW w:type="dxa" w:w="1440"/>
            <w:shd w:fill="FFDCE0" w:val="clear"/>
          </w:tcPr>
          <w:p>
            <w:r>
              <w:rPr>
                <w:sz w:val="17"/>
              </w:rPr>
              <w:t>1,545</w:t>
            </w:r>
          </w:p>
        </w:tc>
        <w:tc>
          <w:tcPr>
            <w:tcW w:type="dxa" w:w="1440"/>
            <w:shd w:fill="FFDCE0" w:val="clear"/>
          </w:tcPr>
          <w:p>
            <w:r>
              <w:rPr>
                <w:b/>
                <w:sz w:val="17"/>
              </w:rPr>
              <w:t>1,860</w:t>
            </w:r>
          </w:p>
        </w:tc>
        <w:tc>
          <w:tcPr>
            <w:tcW w:type="dxa" w:w="1440"/>
            <w:shd w:fill="FFDCE0" w:val="clear"/>
          </w:tcPr>
          <w:p>
            <w:r>
              <w:rPr>
                <w:sz w:val="17"/>
              </w:rPr>
              <w:t>2,174</w:t>
            </w:r>
          </w:p>
        </w:tc>
        <w:tc>
          <w:tcPr>
            <w:tcW w:type="dxa" w:w="1440"/>
            <w:shd w:fill="FFDCE0" w:val="clear"/>
          </w:tcPr>
          <w:p>
            <w:r>
              <w:rPr>
                <w:b/>
                <w:color w:val="C00000"/>
                <w:sz w:val="17"/>
              </w:rPr>
              <w:t>-4.1%</w:t>
            </w:r>
          </w:p>
        </w:tc>
      </w:tr>
      <w:tr>
        <w:tc>
          <w:tcPr>
            <w:tcW w:type="dxa" w:w="1440"/>
            <w:shd w:fill="FFDCE0" w:val="clear"/>
          </w:tcPr>
          <w:p>
            <w:r>
              <w:rPr>
                <w:sz w:val="17"/>
              </w:rPr>
              <w:t>J+7  ⭐</w:t>
            </w:r>
          </w:p>
        </w:tc>
        <w:tc>
          <w:tcPr>
            <w:tcW w:type="dxa" w:w="1440"/>
            <w:shd w:fill="FFDCE0" w:val="clear"/>
          </w:tcPr>
          <w:p>
            <w:r>
              <w:rPr>
                <w:sz w:val="17"/>
              </w:rPr>
              <w:t>2026-08-24</w:t>
            </w:r>
          </w:p>
        </w:tc>
        <w:tc>
          <w:tcPr>
            <w:tcW w:type="dxa" w:w="1440"/>
            <w:shd w:fill="FFDCE0" w:val="clear"/>
          </w:tcPr>
          <w:p>
            <w:r>
              <w:rPr>
                <w:sz w:val="17"/>
              </w:rPr>
              <w:t>1,512</w:t>
            </w:r>
          </w:p>
        </w:tc>
        <w:tc>
          <w:tcPr>
            <w:tcW w:type="dxa" w:w="1440"/>
            <w:shd w:fill="FFDCE0" w:val="clear"/>
          </w:tcPr>
          <w:p>
            <w:r>
              <w:rPr>
                <w:b/>
                <w:sz w:val="17"/>
              </w:rPr>
              <w:t>1,850</w:t>
            </w:r>
          </w:p>
        </w:tc>
        <w:tc>
          <w:tcPr>
            <w:tcW w:type="dxa" w:w="1440"/>
            <w:shd w:fill="FFDCE0" w:val="clear"/>
          </w:tcPr>
          <w:p>
            <w:r>
              <w:rPr>
                <w:sz w:val="17"/>
              </w:rPr>
              <w:t>2,189</w:t>
            </w:r>
          </w:p>
        </w:tc>
        <w:tc>
          <w:tcPr>
            <w:tcW w:type="dxa" w:w="1440"/>
            <w:shd w:fill="FFDCE0" w:val="clear"/>
          </w:tcPr>
          <w:p>
            <w:r>
              <w:rPr>
                <w:b/>
                <w:color w:val="C00000"/>
                <w:sz w:val="17"/>
              </w:rPr>
              <w:t>-4.6%</w:t>
            </w:r>
          </w:p>
        </w:tc>
      </w:tr>
      <w:tr>
        <w:tc>
          <w:tcPr>
            <w:tcW w:type="dxa" w:w="1440"/>
            <w:shd w:fill="FFDCE0" w:val="clear"/>
          </w:tcPr>
          <w:p>
            <w:r>
              <w:rPr>
                <w:sz w:val="17"/>
              </w:rPr>
              <w:t>J+8  ⭐</w:t>
            </w:r>
          </w:p>
        </w:tc>
        <w:tc>
          <w:tcPr>
            <w:tcW w:type="dxa" w:w="1440"/>
            <w:shd w:fill="FFDCE0" w:val="clear"/>
          </w:tcPr>
          <w:p>
            <w:r>
              <w:rPr>
                <w:sz w:val="17"/>
              </w:rPr>
              <w:t>2026-08-25</w:t>
            </w:r>
          </w:p>
        </w:tc>
        <w:tc>
          <w:tcPr>
            <w:tcW w:type="dxa" w:w="1440"/>
            <w:shd w:fill="FFDCE0" w:val="clear"/>
          </w:tcPr>
          <w:p>
            <w:r>
              <w:rPr>
                <w:sz w:val="17"/>
              </w:rPr>
              <w:t>1,482</w:t>
            </w:r>
          </w:p>
        </w:tc>
        <w:tc>
          <w:tcPr>
            <w:tcW w:type="dxa" w:w="1440"/>
            <w:shd w:fill="FFDCE0" w:val="clear"/>
          </w:tcPr>
          <w:p>
            <w:r>
              <w:rPr>
                <w:b/>
                <w:sz w:val="17"/>
              </w:rPr>
              <w:t>1,841</w:t>
            </w:r>
          </w:p>
        </w:tc>
        <w:tc>
          <w:tcPr>
            <w:tcW w:type="dxa" w:w="1440"/>
            <w:shd w:fill="FFDCE0" w:val="clear"/>
          </w:tcPr>
          <w:p>
            <w:r>
              <w:rPr>
                <w:sz w:val="17"/>
              </w:rPr>
              <w:t>2,201</w:t>
            </w:r>
          </w:p>
        </w:tc>
        <w:tc>
          <w:tcPr>
            <w:tcW w:type="dxa" w:w="1440"/>
            <w:shd w:fill="FFDCE0" w:val="clear"/>
          </w:tcPr>
          <w:p>
            <w:r>
              <w:rPr>
                <w:b/>
                <w:color w:val="C00000"/>
                <w:sz w:val="17"/>
              </w:rPr>
              <w:t>-5.1%</w:t>
            </w:r>
          </w:p>
        </w:tc>
      </w:tr>
      <w:tr>
        <w:tc>
          <w:tcPr>
            <w:tcW w:type="dxa" w:w="1440"/>
            <w:shd w:fill="FFDCE0" w:val="clear"/>
          </w:tcPr>
          <w:p>
            <w:r>
              <w:rPr>
                <w:sz w:val="17"/>
              </w:rPr>
              <w:t>J+9  ⭐</w:t>
            </w:r>
          </w:p>
        </w:tc>
        <w:tc>
          <w:tcPr>
            <w:tcW w:type="dxa" w:w="1440"/>
            <w:shd w:fill="FFDCE0" w:val="clear"/>
          </w:tcPr>
          <w:p>
            <w:r>
              <w:rPr>
                <w:sz w:val="17"/>
              </w:rPr>
              <w:t>2026-08-27</w:t>
            </w:r>
          </w:p>
        </w:tc>
        <w:tc>
          <w:tcPr>
            <w:tcW w:type="dxa" w:w="1440"/>
            <w:shd w:fill="FFDCE0" w:val="clear"/>
          </w:tcPr>
          <w:p>
            <w:r>
              <w:rPr>
                <w:sz w:val="17"/>
              </w:rPr>
              <w:t>1,453</w:t>
            </w:r>
          </w:p>
        </w:tc>
        <w:tc>
          <w:tcPr>
            <w:tcW w:type="dxa" w:w="1440"/>
            <w:shd w:fill="FFDCE0" w:val="clear"/>
          </w:tcPr>
          <w:p>
            <w:r>
              <w:rPr>
                <w:b/>
                <w:sz w:val="17"/>
              </w:rPr>
              <w:t>1,832</w:t>
            </w:r>
          </w:p>
        </w:tc>
        <w:tc>
          <w:tcPr>
            <w:tcW w:type="dxa" w:w="1440"/>
            <w:shd w:fill="FFDCE0" w:val="clear"/>
          </w:tcPr>
          <w:p>
            <w:r>
              <w:rPr>
                <w:sz w:val="17"/>
              </w:rPr>
              <w:t>2,212</w:t>
            </w:r>
          </w:p>
        </w:tc>
        <w:tc>
          <w:tcPr>
            <w:tcW w:type="dxa" w:w="1440"/>
            <w:shd w:fill="FFDCE0" w:val="clear"/>
          </w:tcPr>
          <w:p>
            <w:r>
              <w:rPr>
                <w:b/>
                <w:color w:val="C00000"/>
                <w:sz w:val="17"/>
              </w:rPr>
              <w:t>-5.5%</w:t>
            </w:r>
          </w:p>
        </w:tc>
      </w:tr>
      <w:tr>
        <w:tc>
          <w:tcPr>
            <w:tcW w:type="dxa" w:w="1440"/>
            <w:shd w:fill="FFDCE0" w:val="clear"/>
          </w:tcPr>
          <w:p>
            <w:r>
              <w:rPr>
                <w:sz w:val="17"/>
              </w:rPr>
              <w:t>J+10  ⭐</w:t>
            </w:r>
          </w:p>
        </w:tc>
        <w:tc>
          <w:tcPr>
            <w:tcW w:type="dxa" w:w="1440"/>
            <w:shd w:fill="FFDCE0" w:val="clear"/>
          </w:tcPr>
          <w:p>
            <w:r>
              <w:rPr>
                <w:sz w:val="17"/>
              </w:rPr>
              <w:t>2026-08-28</w:t>
            </w:r>
          </w:p>
        </w:tc>
        <w:tc>
          <w:tcPr>
            <w:tcW w:type="dxa" w:w="1440"/>
            <w:shd w:fill="FFDCE0" w:val="clear"/>
          </w:tcPr>
          <w:p>
            <w:r>
              <w:rPr>
                <w:sz w:val="17"/>
              </w:rPr>
              <w:t>1,425</w:t>
            </w:r>
          </w:p>
        </w:tc>
        <w:tc>
          <w:tcPr>
            <w:tcW w:type="dxa" w:w="1440"/>
            <w:shd w:fill="FFDCE0" w:val="clear"/>
          </w:tcPr>
          <w:p>
            <w:r>
              <w:rPr>
                <w:b/>
                <w:sz w:val="17"/>
              </w:rPr>
              <w:t>1,823</w:t>
            </w:r>
          </w:p>
        </w:tc>
        <w:tc>
          <w:tcPr>
            <w:tcW w:type="dxa" w:w="1440"/>
            <w:shd w:fill="FFDCE0" w:val="clear"/>
          </w:tcPr>
          <w:p>
            <w:r>
              <w:rPr>
                <w:sz w:val="17"/>
              </w:rPr>
              <w:t>2,222</w:t>
            </w:r>
          </w:p>
        </w:tc>
        <w:tc>
          <w:tcPr>
            <w:tcW w:type="dxa" w:w="1440"/>
            <w:shd w:fill="FFDCE0" w:val="clear"/>
          </w:tcPr>
          <w:p>
            <w:r>
              <w:rPr>
                <w:b/>
                <w:color w:val="C00000"/>
                <w:sz w:val="17"/>
              </w:rPr>
              <w:t>-6.0%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40,26 milliards FCFA, un niveau intermédiaire sur la BRVM, reflétant une entreprise de taille moyenne dans le secteur industriel. Le BPA est négatif à -105 FCFA, ce qui signifie que la société est déficitaire sur l'exercice 2024, chaque action détruisant de la valeur. En conséquence, le PER est négatif (-18,4x), une situation qui rend ce ratio inexploitable pour comparer la valorisation au marché (référence BRVM ~8-12x). En revanche, le P/B de 2,58x indique que le marché valorise l'actif net de la société avec une prime substantielle, suggérant que les investisseurs anticipent un retournement de la rentabilité. L'absence de données EV/EBITDA est cohérente avec la situation déficitaire, l'EBITDA étant négatif, ce qui rend ce ratio non pertinent. La valorisation actuelle repose donc essentiellement sur des anticipations de redressement futur plutôt que sur les fondamentaux présents.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UNXC affiche une variation totale légèrement négative de -1,27%, avec une dernière séance en hausse de +0,78% à 1 940 FCFA, suggérant un regain d'intérêt récent. Le cours a évolué dans un range large de 1 250 à 2 095 FCFA, indiquant une forte amplitude de trading. La moyenne (1 864 FCFA) est inférieure à la médiane (1 900 FCFA), et le skewness fortement négatif (-1,806) révèle que les journées de baisse ont été plus violentes que les hausses, malgré un cours actuel au-dessus de la moyenne. L'écart-type de 166 FCFA (CV = 8,9%) montre une dispersion modérée autour de la moyenne, mais le kurtosis élevé (3,604) signale un risque de mouvements extrêmes et imprévisibles. Enfin, la volatilité annualisée de 48,6% classe UNXC comme un titre à très haute volatilité, bien au-delà du seuil de 30%, ce qui implique un risque de marché considérable pour les investisseurs.</w:t>
      </w:r>
    </w:p>
    <w:p>
      <w:pPr>
        <w:spacing w:after="120" w:line="276" w:lineRule="auto" w:before="240"/>
      </w:pPr>
      <w:r>
        <w:rPr>
          <w:b/>
          <w:color w:val="003366"/>
          <w:sz w:val="24"/>
        </w:rPr>
        <w:t>**PARTIE 2 : ANALYSE TECHNIQUE DÉTAILLÉE**</w:t>
      </w:r>
    </w:p>
    <w:p>
      <w:pPr>
        <w:spacing w:after="120" w:line="276" w:lineRule="auto"/>
      </w:pPr>
      <w:r>
        <w:t>**Moyennes Mobiles** : La MM20 (1 894,75 FCFA) est inférieure au cours actuel (1 940 FCFA), et la MM50 (1 817,6 FCFA) est également dépassée. La configuration haussière (cours &gt; MM20 &gt; MM50) confirme une dynamique positive à court et moyen terme, justifiant la décision d'Achat.</w:t>
      </w:r>
    </w:p>
    <w:p>
      <w:pPr>
        <w:spacing w:after="120" w:line="276" w:lineRule="auto"/>
      </w:pPr>
      <w:r>
        <w:t>**Bandes de Bollinger** : Le cours se situe à 1 940 FCFA, entre la borne supérieure (1 985,27 FCFA) et la borne inférieure (1 804,23 FCFA), proche de la partie haute. Cette position indique une pression acheteuse sans surachat extrême, la volatilité restant dans des normes acceptables, d'où la décision Neutre.</w:t>
      </w:r>
    </w:p>
    <w:p>
      <w:pPr>
        <w:spacing w:after="120" w:line="276" w:lineRule="auto"/>
      </w:pPr>
      <w:r>
        <w:t>**MACD** : La valeur du MACD (48,07) est supérieure à son signal (45,16), avec un écart positif qui se creuse. Cette configuration signale un momentum haussier en renforcement, justifiant la décision d'Achat.</w:t>
      </w:r>
    </w:p>
    <w:p>
      <w:pPr>
        <w:spacing w:after="120" w:line="276" w:lineRule="auto"/>
      </w:pPr>
      <w:r>
        <w:t>**RSI** : À 62,79, le RSI se situe dans la zone neutre, en dessous du seuil de surachat (70). Il indique une pression acheteuse modérée sans tension excessive, laissant de la marge pour une poursuite de la hausse, d'où la décision Neutre.</w:t>
      </w:r>
    </w:p>
    <w:p>
      <w:pPr>
        <w:spacing w:after="120" w:line="276" w:lineRule="auto"/>
      </w:pPr>
      <w:r>
        <w:t>**Stochastique** : Le %K (75,0) est supérieur au %D (64,29), montrant un croisement haussier en territoire positif. Cette configuration suggère que le momentum de court terme reste favorable, bien que le titre approche des zones de surachat, justifiant la décision Neutre.</w:t>
      </w:r>
    </w:p>
    <w:p>
      <w:pPr>
        <w:spacing w:after="120" w:line="276" w:lineRule="auto"/>
      </w:pPr>
      <w:r>
        <w:t>**Conclusion technique** : Les indicateurs sont globalement positifs, avec des signaux d'achat sur les moyennes mobiles et le MACD, tandis que le RSI et le stochastique restent neutres mais orientés à la hausse. La convergence de ces signaux suggère une tendance haussière soutenue à court terme, avec un risque limité de correction immédiate.</w:t>
      </w:r>
    </w:p>
    <w:p>
      <w:pPr>
        <w:spacing w:after="120" w:line="276" w:lineRule="auto" w:before="240"/>
      </w:pPr>
      <w:r>
        <w:rPr>
          <w:b/>
          <w:color w:val="003366"/>
          <w:sz w:val="24"/>
        </w:rPr>
        <w:t>**PARTIE 3 : ANALYSE FONDAMENTALE (SECTION CRITIQUE)**</w:t>
      </w:r>
    </w:p>
    <w:p>
      <w:pPr>
        <w:spacing w:after="120" w:line="276" w:lineRule="auto"/>
      </w:pPr>
      <w:r>
        <w:t>En 2024, les données structurées annuelles montrent une situation financière difficile pour UNXC : le chiffre d'affaires s'établit à 27,333 milliards FCFA, mais le résultat net est une perte de -2,189 milliards FCFA, avec une marge nette de -8,0%. Le ROE est négatif à -14,04% et le ROA à -6,39%, indiquant une destruction de valeur. La structure financière reste saine avec une autonomie financière de 45,5% et une trésorerie nette positive de 2,495 milliards FCFA, mais le BFR de 2,149 milliards FCFA et le délai de stockage de 254 jours révèlent une immobilisation importante de capital. Les rapports trimestriels 2025 montrent une amélioration spectaculaire du résultat net grâce à une cession-bail exceptionnelle : le T1 2025 affiche un bénéfice de 8,206 milliards FCFA (contre une perte de 1,228 milliard en T1 2024), et le S1 2025 un bénéfice de 8,217 milliards FCFA, mais ces chiffres incluent un produit hors activités ordinaires de 9,994 milliards FCFA. Le rapport S1 2026 (daté de 2026) confirme un retour à l'équilibre opérationnel avec un résultat d'exploitation positif de 771 millions FCFA et un résultat net de 771 millions FCFA, contre une perte de 314 millions FCFA au S1 2025. On estime donc que l'exercice 2026 devrait marquer un retour durable à la rentabilité, soutenu par une croissance du CA de 0,3% et une amélioration de 345% du résultat d'exploitation.</w:t>
      </w:r>
    </w:p>
    <w:p>
      <w:pPr>
        <w:spacing w:after="120" w:line="276" w:lineRule="auto" w:before="240"/>
      </w:pPr>
      <w:r>
        <w:rPr>
          <w:b/>
          <w:color w:val="003366"/>
          <w:sz w:val="24"/>
        </w:rPr>
        <w:t>**PARTIE 4 : CONCLUSION D'INVESTISSEMENT**</w:t>
      </w:r>
    </w:p>
    <w:p>
      <w:pPr>
        <w:spacing w:after="120" w:line="276" w:lineRule="auto"/>
      </w:pPr>
      <w:r>
        <w:t>La valorisation d'UNXC est délicate : le PER négatif et le P/B élevé (2,58x) indiquent que le marché paie une prime pour un redressement anticipé, ce qui représente un risque de surévaluation si la reprise n'est pas confirmée. Le comportement du cours sur 100 jours montre une stabilité relative (-1,27%) mais avec une volatilité très élevée (48,6%) et un skewness négatif, signalant un risque de chocs baissiers. Les signaux techniques sont majoritairement positifs (MM, MACD) avec une tendance haussière à court terme, mais les prédictions IA pour les 10 prochains jours prévoient une baisse progressive de 1 940 à 1 869 FCFA, contredisant partiellement les signaux techniques. Les fondamentaux, bien que déficitaires en 2024, montrent une amélioration nette en 2025-2026 avec un retour à l'équilibre opérationnel confirmé au S1 2026. La convergence est donc mitigée : le technique est haussier, mais la valorisation et les prédictions IA suggèrent une prudence. **Recommandation finale : CONSERVER**, avec un niveau de confiance Moyen, un risque global Élevé, et un horizon d'investissement optimal à moyen terme (3-12 mois) pour observer la confirmation de la rentabilité opérationnelle sur l'ensemble de l'exercice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