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14/10/2026 à 09:39</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48 ACHAT  |  0 NEUTRE  |  0 VENTE  (sur 48 sociétés)</w:t>
      </w:r>
    </w:p>
    <w:p>
      <w:pPr>
        <w:spacing w:before="20" w:after="20"/>
        <w:ind w:left="360" w:right="360"/>
        <w:shd w:val="clear" w:color="auto" w:fill="EBF5FB"/>
      </w:pPr>
      <w:r>
        <w:rPr>
          <w:b/>
          <w:sz w:val="19"/>
        </w:rPr>
        <w:t xml:space="preserve">Top opportunité :  </w:t>
      </w:r>
      <w:r>
        <w:rPr>
          <w:color w:val="008000"/>
          <w:sz w:val="19"/>
        </w:rPr>
        <w:t>ECOC  (score 86/100)</w:t>
      </w:r>
    </w:p>
    <w:p>
      <w:pPr>
        <w:spacing w:before="20" w:after="20"/>
        <w:ind w:left="360" w:right="360"/>
        <w:shd w:val="clear" w:color="auto" w:fill="EBF5FB"/>
      </w:pPr>
      <w:r>
        <w:rPr>
          <w:b/>
          <w:sz w:val="19"/>
        </w:rPr>
        <w:t xml:space="preserve">Secteur surperformant :  </w:t>
      </w:r>
      <w:r>
        <w:rPr>
          <w:color w:val="008000"/>
          <w:sz w:val="19"/>
        </w:rPr>
        <w:t>SERVICES PUBLICS  (+46.1%)</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24 sociétés — vérifier avant d'investir</w:t>
      </w:r>
    </w:p>
    <w:p>
      <w:pPr>
        <w:spacing w:before="20" w:after="20"/>
        <w:ind w:left="360" w:right="360"/>
        <w:shd w:val="clear" w:color="auto" w:fill="EBF5FB"/>
      </w:pPr>
      <w:r>
        <w:rPr>
          <w:b/>
          <w:sz w:val="19"/>
        </w:rPr>
        <w:t xml:space="preserve">⚠️ Liquidité réduite :  </w:t>
      </w:r>
      <w:r>
        <w:rPr>
          <w:color w:val="C00000"/>
          <w:sz w:val="19"/>
        </w:rPr>
        <w:t>14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543.91 points </w:t>
      </w:r>
      <w:r>
        <w:rPr>
          <w:color w:val="C00000"/>
        </w:rPr>
        <w:t>(-0.28%)</w:t>
      </w:r>
      <w:r>
        <w:t xml:space="preserve"> sur la séance. </w:t>
      </w:r>
      <w:r>
        <w:t>La capitalisation globale du marché atteint 21 329,310 milliards FCFA.</w:t>
      </w:r>
    </w:p>
    <w:p/>
    <w:p>
      <w:pPr>
        <w:pStyle w:val="Heading3"/>
      </w:pPr>
      <w:r>
        <w:t>📊 Évolution de l'indice BRVM Composite (100 derniers jours)</w:t>
      </w:r>
    </w:p>
    <w:p>
      <w:r>
        <w:rPr>
          <w:b/>
        </w:rPr>
        <w:t xml:space="preserve">BRVM Composite — </w:t>
      </w:r>
      <w:r>
        <w:t xml:space="preserve">Sur les 100 derniers jours de cotation (2026-05-20 au 2026-10-13), l'indice BRVM Composite a évolué de </w:t>
      </w:r>
      <w:r>
        <w:rPr>
          <w:b/>
          <w:color w:val="008000"/>
        </w:rPr>
        <w:t>+30.07%</w:t>
      </w:r>
      <w:r>
        <w:t>, passant de 418.16 pts à 543.91 pts. Le plus haut atteint est 555.90 pts et le plus bas 418.16 pts. Sur l'ensemble de la période, la moyenne de l'indice s'établit à 491.09 pts, la médiane à 483.26 pts et le mode à 418.16 pts</w:t>
      </w:r>
      <w:r>
        <w:t xml:space="preserve"> (distribution symétrique). </w:t>
      </w:r>
      <w:r>
        <w:t xml:space="preserve">L'écart-type de 44.77 pts (CV=9.1%) traduit une modérée dispersion des cotations. Le kurtosis de -1.41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+32.31%</w:t>
      </w:r>
      <w:r>
        <w:t xml:space="preserve"> sur la période, passant de 16 120,267 Mds FCFA à 21 329,310 Mds FCFA. Le pic de capitalisation observé est de 21 529,927 Mds FCFA et le plancher de 16 120,267 Mds FCFA. La moyenne de la capitalisation sur la période s'établit à 18 974,898 Mds FCFA, la médiane à 18 616,876 Mds FCFA et le mode à 16 120,267 Mds FCFA</w:t>
      </w:r>
      <w:r>
        <w:t xml:space="preserve"> (distribution symétrique). </w:t>
      </w:r>
      <w:r>
        <w:t>L'écart-type de 1 790,755 Mds FCFA (CV=9.4%) reflète une modérée variabilité de la valorisation du marché. Le kurtosis de -1.41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NEIC - NEIC - NEI-CEDA CI</w:t>
      </w:r>
      <w:r>
        <w:t xml:space="preserve"> | Prix: 2090 FCFA | </w:t>
      </w:r>
      <w:r>
        <w:rPr>
          <w:b/>
          <w:color w:val="008000"/>
        </w:rPr>
        <w:t>ACHAT FORT</w:t>
      </w:r>
      <w:r>
        <w:t xml:space="preserve"> | Confiance: Élevée | Risque: Moyen</w:t>
      </w:r>
    </w:p>
    <w:p>
      <w:pPr>
        <w:pStyle w:val="ListNumber"/>
      </w:pPr>
      <w:r>
        <w:rPr>
          <w:b/>
        </w:rPr>
        <w:t>UNXC - UNXC - UNIWAX COTE D'IVOIRE</w:t>
      </w:r>
      <w:r>
        <w:t xml:space="preserve"> | Prix: 2190 FCFA | </w:t>
      </w:r>
      <w:r>
        <w:rPr>
          <w:b/>
          <w:color w:val="008000"/>
        </w:rPr>
        <w:t>ACHAT FORT</w:t>
      </w:r>
      <w:r>
        <w:t xml:space="preserve"> | Confiance: Élevée | Risque: Moyen</w:t>
      </w:r>
    </w:p>
    <w:p>
      <w:pPr>
        <w:pStyle w:val="ListNumber"/>
      </w:pPr>
      <w:r>
        <w:rPr>
          <w:b/>
        </w:rPr>
        <w:t>ABJC - ABJC - SERVAIR ABIDJAN CI</w:t>
      </w:r>
      <w:r>
        <w:t xml:space="preserve"> | Prix: 3190 FCFA | </w:t>
      </w:r>
      <w:r>
        <w:rPr>
          <w:b/>
          <w:color w:val="008000"/>
        </w:rPr>
        <w:t>ACHAT</w:t>
      </w:r>
      <w:r>
        <w:t xml:space="preserve"> | Confiance: Élevée | Risque: Faible</w:t>
      </w:r>
    </w:p>
    <w:p>
      <w:pPr>
        <w:pStyle w:val="ListNumber"/>
      </w:pPr>
      <w:r>
        <w:rPr>
          <w:b/>
        </w:rPr>
        <w:t>BBGC - BRIDGE BANK GROUP COTE D'IVOIRE</w:t>
      </w:r>
      <w:r>
        <w:t xml:space="preserve"> | Prix: 10395 FCFA | </w:t>
      </w:r>
      <w:r>
        <w:rPr>
          <w:b/>
          <w:color w:val="008000"/>
        </w:rPr>
        <w:t>ACHAT</w:t>
      </w:r>
      <w:r>
        <w:t xml:space="preserve"> | Confiance: Moyen | Risque: Moyen</w:t>
      </w:r>
    </w:p>
    <w:p>
      <w:pPr>
        <w:pStyle w:val="ListNumber"/>
      </w:pPr>
      <w:r>
        <w:rPr>
          <w:b/>
        </w:rPr>
        <w:t>BICB - BIIC BN - Banque internationale pour le commerce du benin</w:t>
      </w:r>
      <w:r>
        <w:t xml:space="preserve"> | Prix: 8440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31450 FCFA | </w:t>
      </w:r>
      <w:r>
        <w:rPr>
          <w:b/>
          <w:color w:val="008000"/>
        </w:rPr>
        <w:t>ACHAT</w:t>
      </w:r>
      <w:r>
        <w:t xml:space="preserve"> | Confiance: Moyen | Risque: Moyen</w:t>
      </w:r>
    </w:p>
    <w:p>
      <w:pPr>
        <w:pStyle w:val="ListNumber"/>
      </w:pPr>
      <w:r>
        <w:rPr>
          <w:b/>
        </w:rPr>
        <w:t>BNBC - BNBC - BERNABE CI</w:t>
      </w:r>
      <w:r>
        <w:t xml:space="preserve"> | Prix: 1885 FCFA | </w:t>
      </w:r>
      <w:r>
        <w:rPr>
          <w:b/>
          <w:color w:val="008000"/>
        </w:rPr>
        <w:t>ACHAT</w:t>
      </w:r>
      <w:r>
        <w:t xml:space="preserve"> | Confiance: Faible | Risque: Faible</w:t>
      </w:r>
    </w:p>
    <w:p>
      <w:pPr>
        <w:pStyle w:val="ListNumber"/>
      </w:pPr>
      <w:r>
        <w:rPr>
          <w:b/>
        </w:rPr>
        <w:t>BOAB - BANK OF AFRICA BENIN</w:t>
      </w:r>
      <w:r>
        <w:t xml:space="preserve"> | Prix: 9375 FCFA | </w:t>
      </w:r>
      <w:r>
        <w:rPr>
          <w:b/>
          <w:color w:val="008000"/>
        </w:rPr>
        <w:t>ACHAT</w:t>
      </w:r>
      <w:r>
        <w:t xml:space="preserve"> | Confiance: Faible | Risque: Faible</w:t>
      </w:r>
    </w:p>
    <w:p>
      <w:pPr>
        <w:pStyle w:val="ListNumber"/>
      </w:pPr>
      <w:r>
        <w:rPr>
          <w:b/>
        </w:rPr>
        <w:t>BOABF - BANK OF AFRICA BURKINA FASO</w:t>
      </w:r>
      <w:r>
        <w:t xml:space="preserve"> | Prix: 8050 FCFA | </w:t>
      </w:r>
      <w:r>
        <w:rPr>
          <w:b/>
          <w:color w:val="008000"/>
        </w:rPr>
        <w:t>ACHAT</w:t>
      </w:r>
      <w:r>
        <w:t xml:space="preserve"> | Confiance: Faible | Risque: Moyen</w:t>
      </w:r>
    </w:p>
    <w:p>
      <w:pPr>
        <w:pStyle w:val="ListNumber"/>
      </w:pPr>
      <w:r>
        <w:rPr>
          <w:b/>
        </w:rPr>
        <w:t>BOAC - BANK OF AFRICA COTE D'IVOIRE</w:t>
      </w:r>
      <w:r>
        <w:t xml:space="preserve"> | Prix: 11395 FCFA | </w:t>
      </w:r>
      <w:r>
        <w:rPr>
          <w:b/>
          <w:color w:val="008000"/>
        </w:rPr>
        <w:t>ACHAT</w:t>
      </w:r>
      <w:r>
        <w:t xml:space="preserve"> | Confiance: Faible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48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46.09%</w:t>
      </w:r>
      <w:r>
        <w:t xml:space="preserve">  |  </w:t>
      </w:r>
      <w:r>
        <w:rPr>
          <w:b/>
        </w:rPr>
        <w:t xml:space="preserve">vs BRVM Composite: </w:t>
      </w:r>
      <w:r>
        <w:rPr>
          <w:b/>
          <w:color w:val="008000"/>
        </w:rPr>
        <w:t>+16.02%  🟢 Surperformance</w:t>
      </w:r>
      <w:r>
        <w:br/>
      </w:r>
      <w:r>
        <w:rPr>
          <w:b/>
        </w:rPr>
        <w:t xml:space="preserve">Sentiment général: </w:t>
      </w:r>
      <w:r>
        <w:t xml:space="preserve">ACHAT  |  </w:t>
      </w:r>
      <w:r>
        <w:rPr>
          <w:b/>
        </w:rPr>
        <w:t xml:space="preserve">Risque moyen: </w:t>
      </w:r>
      <w:r>
        <w:t xml:space="preserve">Moyen  |  </w:t>
      </w:r>
      <w:r>
        <w:rPr>
          <w:b/>
        </w:rPr>
        <w:t xml:space="preserve">Prix moyen: </w:t>
      </w:r>
      <w:r>
        <w:t>9548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43.28%</w:t>
      </w:r>
      <w:r>
        <w:t xml:space="preserve">  |  </w:t>
      </w:r>
      <w:r>
        <w:rPr>
          <w:b/>
        </w:rPr>
        <w:t xml:space="preserve">vs BRVM Composite: </w:t>
      </w:r>
      <w:r>
        <w:rPr>
          <w:b/>
          <w:color w:val="008000"/>
        </w:rPr>
        <w:t>+13.21%  🟢 Surperformance</w:t>
      </w:r>
      <w:r>
        <w:br/>
      </w:r>
      <w:r>
        <w:rPr>
          <w:b/>
        </w:rPr>
        <w:t xml:space="preserve">Sentiment général: </w:t>
      </w:r>
      <w:r>
        <w:t xml:space="preserve">ACHAT  |  </w:t>
      </w:r>
      <w:r>
        <w:rPr>
          <w:b/>
        </w:rPr>
        <w:t xml:space="preserve">Risque moyen: </w:t>
      </w:r>
      <w:r>
        <w:t xml:space="preserve">Moyen  |  </w:t>
      </w:r>
      <w:r>
        <w:rPr>
          <w:b/>
        </w:rPr>
        <w:t xml:space="preserve">Prix moyen: </w:t>
      </w:r>
      <w:r>
        <w:t>10395 FCFA</w:t>
        <w:br/>
      </w:r>
      <w:r>
        <w:rPr>
          <w:b/>
        </w:rPr>
        <w:br/>
        <w:t xml:space="preserve">Sociétés: </w:t>
      </w:r>
      <w:r>
        <w:t>BBGC (BRIDGE BANK GROUP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33.99%</w:t>
      </w:r>
      <w:r>
        <w:t xml:space="preserve">  |  </w:t>
      </w:r>
      <w:r>
        <w:rPr>
          <w:b/>
        </w:rPr>
        <w:t xml:space="preserve">vs BRVM Composite: </w:t>
      </w:r>
      <w:r>
        <w:rPr>
          <w:b/>
          <w:color w:val="008000"/>
        </w:rPr>
        <w:t>+3.91%  🟢 Surperformance</w:t>
      </w:r>
      <w:r>
        <w:br/>
      </w:r>
      <w:r>
        <w:rPr>
          <w:b/>
        </w:rPr>
        <w:t xml:space="preserve">Sentiment général: </w:t>
      </w:r>
      <w:r>
        <w:t xml:space="preserve">ACHAT  |  </w:t>
      </w:r>
      <w:r>
        <w:rPr>
          <w:b/>
        </w:rPr>
        <w:t xml:space="preserve">Risque moyen: </w:t>
      </w:r>
      <w:r>
        <w:t xml:space="preserve">Moyen  |  </w:t>
      </w:r>
      <w:r>
        <w:rPr>
          <w:b/>
        </w:rPr>
        <w:t xml:space="preserve">Prix moyen: </w:t>
      </w:r>
      <w:r>
        <w:t>23267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26.81%</w:t>
      </w:r>
      <w:r>
        <w:t xml:space="preserve">  |  </w:t>
      </w:r>
      <w:r>
        <w:rPr>
          <w:b/>
        </w:rPr>
        <w:t xml:space="preserve">vs BRVM Composite: </w:t>
      </w:r>
      <w:r>
        <w:rPr>
          <w:b/>
          <w:color w:val="C00000"/>
        </w:rPr>
        <w:t>-3.26%  🔴 Sous-performance</w:t>
      </w:r>
      <w:r>
        <w:br/>
      </w:r>
      <w:r>
        <w:rPr>
          <w:b/>
        </w:rPr>
        <w:t xml:space="preserve">Sentiment général: </w:t>
      </w:r>
      <w:r>
        <w:t xml:space="preserve">ACHAT  |  </w:t>
      </w:r>
      <w:r>
        <w:rPr>
          <w:b/>
        </w:rPr>
        <w:t xml:space="preserve">Risque moyen: </w:t>
      </w:r>
      <w:r>
        <w:t xml:space="preserve">Moyen  |  </w:t>
      </w:r>
      <w:r>
        <w:rPr>
          <w:b/>
        </w:rPr>
        <w:t xml:space="preserve">Prix moyen: </w:t>
      </w:r>
      <w:r>
        <w:t>13087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16.77%</w:t>
      </w:r>
      <w:r>
        <w:t xml:space="preserve">  |  </w:t>
      </w:r>
      <w:r>
        <w:rPr>
          <w:b/>
        </w:rPr>
        <w:t xml:space="preserve">vs BRVM Composite: </w:t>
      </w:r>
      <w:r>
        <w:rPr>
          <w:b/>
          <w:color w:val="C00000"/>
        </w:rPr>
        <w:t>-13.31%  🔴 Sous-performance</w:t>
      </w:r>
      <w:r>
        <w:br/>
      </w:r>
      <w:r>
        <w:rPr>
          <w:b/>
        </w:rPr>
        <w:t xml:space="preserve">Sentiment général: </w:t>
      </w:r>
      <w:r>
        <w:t xml:space="preserve">ACHAT  |  </w:t>
      </w:r>
      <w:r>
        <w:rPr>
          <w:b/>
        </w:rPr>
        <w:t xml:space="preserve">Risque moyen: </w:t>
      </w:r>
      <w:r>
        <w:t xml:space="preserve">Faible  |  </w:t>
      </w:r>
      <w:r>
        <w:rPr>
          <w:b/>
        </w:rPr>
        <w:t xml:space="preserve">Prix moyen: </w:t>
      </w:r>
      <w:r>
        <w:t>6184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14.67%</w:t>
      </w:r>
      <w:r>
        <w:t xml:space="preserve">  |  </w:t>
      </w:r>
      <w:r>
        <w:rPr>
          <w:b/>
        </w:rPr>
        <w:t xml:space="preserve">vs BRVM Composite: </w:t>
      </w:r>
      <w:r>
        <w:rPr>
          <w:b/>
          <w:color w:val="C00000"/>
        </w:rPr>
        <w:t>-15.40%  🔴 Sous-performance</w:t>
      </w:r>
      <w:r>
        <w:br/>
      </w:r>
      <w:r>
        <w:rPr>
          <w:b/>
        </w:rPr>
        <w:t xml:space="preserve">Sentiment général: </w:t>
      </w:r>
      <w:r>
        <w:t xml:space="preserve">ACHAT  |  </w:t>
      </w:r>
      <w:r>
        <w:rPr>
          <w:b/>
        </w:rPr>
        <w:t xml:space="preserve">Risque moyen: </w:t>
      </w:r>
      <w:r>
        <w:t xml:space="preserve">Faible  |  </w:t>
      </w:r>
      <w:r>
        <w:rPr>
          <w:b/>
        </w:rPr>
        <w:t xml:space="preserve">Prix moyen: </w:t>
      </w:r>
      <w:r>
        <w:t>17411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11.75%</w:t>
      </w:r>
      <w:r>
        <w:t xml:space="preserve">  |  </w:t>
      </w:r>
      <w:r>
        <w:rPr>
          <w:b/>
        </w:rPr>
        <w:t xml:space="preserve">vs BRVM Composite: </w:t>
      </w:r>
      <w:r>
        <w:rPr>
          <w:b/>
          <w:color w:val="C00000"/>
        </w:rPr>
        <w:t>-18.32%  🔴 Sous-performance</w:t>
      </w:r>
      <w:r>
        <w:br/>
      </w:r>
      <w:r>
        <w:rPr>
          <w:b/>
        </w:rPr>
        <w:t xml:space="preserve">Sentiment général: </w:t>
      </w:r>
      <w:r>
        <w:t xml:space="preserve">ACHAT  |  </w:t>
      </w:r>
      <w:r>
        <w:rPr>
          <w:b/>
        </w:rPr>
        <w:t xml:space="preserve">Risque moyen: </w:t>
      </w:r>
      <w:r>
        <w:t xml:space="preserve">Faible  |  </w:t>
      </w:r>
      <w:r>
        <w:rPr>
          <w:b/>
        </w:rPr>
        <w:t xml:space="preserve">Prix moyen: </w:t>
      </w:r>
      <w:r>
        <w:t>2729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-4.50%</w:t>
      </w:r>
      <w:r>
        <w:t xml:space="preserve">  |  </w:t>
      </w:r>
      <w:r>
        <w:rPr>
          <w:b/>
        </w:rPr>
        <w:t xml:space="preserve">vs BRVM Composite: </w:t>
      </w:r>
      <w:r>
        <w:rPr>
          <w:b/>
          <w:color w:val="C00000"/>
        </w:rPr>
        <w:t>-34.57%  🔴 Sous-performance</w:t>
      </w:r>
      <w:r>
        <w:br/>
      </w:r>
      <w:r>
        <w:rPr>
          <w:b/>
        </w:rPr>
        <w:t xml:space="preserve">Sentiment général: </w:t>
      </w:r>
      <w:r>
        <w:t xml:space="preserve">ACHAT  |  </w:t>
      </w:r>
      <w:r>
        <w:rPr>
          <w:b/>
        </w:rPr>
        <w:t xml:space="preserve">Risque moyen: </w:t>
      </w:r>
      <w:r>
        <w:t xml:space="preserve">Faible  |  </w:t>
      </w:r>
      <w:r>
        <w:rPr>
          <w:b/>
        </w:rPr>
        <w:t xml:space="preserve">Prix moyen: </w:t>
      </w:r>
      <w:r>
        <w:t>2236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BOAS, CIEC, ECOC, ONTBF, SDCC, SGBC, SHEC, SLBC,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BICB, BICC, CABC, CBIBF, ETIT, LNBB, NEIC, SDSC, SEMC, SOGC, SPHC, STAC, STBC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BNBC, BOAB, BOABF, BOAC, BOAM, BOAN, CFAC, FTSC, NSBC, NTLC, ORAC, ORGT, PALC, PRSC, SAFC, SCRC, SIBC, SICC, SIVC, SMBC, SNTS, TTLC, TTLS,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1898247</w:t>
            </w:r>
          </w:p>
        </w:tc>
        <w:tc>
          <w:tcPr>
            <w:tcW w:type="dxa" w:w="1728"/>
          </w:tcPr>
          <w:p>
            <w:r>
              <w:t>127475741 FCFA</w:t>
            </w:r>
          </w:p>
        </w:tc>
        <w:tc>
          <w:tcPr>
            <w:tcW w:type="dxa" w:w="1728"/>
          </w:tcPr>
          <w:p>
            <w:r>
              <w:t>120.00%</w:t>
            </w:r>
          </w:p>
        </w:tc>
        <w:tc>
          <w:tcPr>
            <w:tcW w:type="dxa" w:w="1728"/>
          </w:tcPr>
          <w:p>
            <w:r>
              <w:t>ACHAT</w:t>
            </w:r>
          </w:p>
        </w:tc>
      </w:tr>
      <w:tr>
        <w:tc>
          <w:tcPr>
            <w:tcW w:type="dxa" w:w="1728"/>
          </w:tcPr>
          <w:p>
            <w:r>
              <w:t>BBGC (BRIDGE BANK GROUP COTE D'IVOIRE)</w:t>
            </w:r>
          </w:p>
        </w:tc>
        <w:tc>
          <w:tcPr>
            <w:tcW w:type="dxa" w:w="1728"/>
          </w:tcPr>
          <w:p>
            <w:r>
              <w:t>31948</w:t>
            </w:r>
          </w:p>
        </w:tc>
        <w:tc>
          <w:tcPr>
            <w:tcW w:type="dxa" w:w="1728"/>
          </w:tcPr>
          <w:p>
            <w:r>
              <w:t>297733868 FCFA</w:t>
            </w:r>
          </w:p>
        </w:tc>
        <w:tc>
          <w:tcPr>
            <w:tcW w:type="dxa" w:w="1728"/>
          </w:tcPr>
          <w:p>
            <w:r>
              <w:t>43.28%</w:t>
            </w:r>
          </w:p>
        </w:tc>
        <w:tc>
          <w:tcPr>
            <w:tcW w:type="dxa" w:w="1728"/>
          </w:tcPr>
          <w:p>
            <w:r>
              <w:t>ACHAT</w:t>
            </w:r>
          </w:p>
        </w:tc>
      </w:tr>
      <w:tr>
        <w:tc>
          <w:tcPr>
            <w:tcW w:type="dxa" w:w="1728"/>
          </w:tcPr>
          <w:p>
            <w:r>
              <w:t>SNTS (SNTS - SONATEL SN)</w:t>
            </w:r>
          </w:p>
        </w:tc>
        <w:tc>
          <w:tcPr>
            <w:tcW w:type="dxa" w:w="1728"/>
          </w:tcPr>
          <w:p>
            <w:r>
              <w:t>27864</w:t>
            </w:r>
          </w:p>
        </w:tc>
        <w:tc>
          <w:tcPr>
            <w:tcW w:type="dxa" w:w="1728"/>
          </w:tcPr>
          <w:p>
            <w:r>
              <w:t>1190948447 FCFA</w:t>
            </w:r>
          </w:p>
        </w:tc>
        <w:tc>
          <w:tcPr>
            <w:tcW w:type="dxa" w:w="1728"/>
          </w:tcPr>
          <w:p>
            <w:r>
              <w:t>55.63%</w:t>
            </w:r>
          </w:p>
        </w:tc>
        <w:tc>
          <w:tcPr>
            <w:tcW w:type="dxa" w:w="1728"/>
          </w:tcPr>
          <w:p>
            <w:r>
              <w:t>ACHAT</w:t>
            </w:r>
          </w:p>
        </w:tc>
      </w:tr>
      <w:tr>
        <w:tc>
          <w:tcPr>
            <w:tcW w:type="dxa" w:w="1728"/>
          </w:tcPr>
          <w:p>
            <w:r>
              <w:t>BOAS (BANK OF AFRICA SENEGAL)</w:t>
            </w:r>
          </w:p>
        </w:tc>
        <w:tc>
          <w:tcPr>
            <w:tcW w:type="dxa" w:w="1728"/>
          </w:tcPr>
          <w:p>
            <w:r>
              <w:t>12734</w:t>
            </w:r>
          </w:p>
        </w:tc>
        <w:tc>
          <w:tcPr>
            <w:tcW w:type="dxa" w:w="1728"/>
          </w:tcPr>
          <w:p>
            <w:r>
              <w:t>103099781 FCFA</w:t>
            </w:r>
          </w:p>
        </w:tc>
        <w:tc>
          <w:tcPr>
            <w:tcW w:type="dxa" w:w="1728"/>
          </w:tcPr>
          <w:p>
            <w:r>
              <w:t>1.24%</w:t>
            </w:r>
          </w:p>
        </w:tc>
        <w:tc>
          <w:tcPr>
            <w:tcW w:type="dxa" w:w="1728"/>
          </w:tcPr>
          <w:p>
            <w:r>
              <w:t>ACHAT</w:t>
            </w:r>
          </w:p>
        </w:tc>
      </w:tr>
      <w:tr>
        <w:tc>
          <w:tcPr>
            <w:tcW w:type="dxa" w:w="1728"/>
          </w:tcPr>
          <w:p>
            <w:r>
              <w:t>SCRC (SCRC - SUCRIVOIRE)</w:t>
            </w:r>
          </w:p>
        </w:tc>
        <w:tc>
          <w:tcPr>
            <w:tcW w:type="dxa" w:w="1728"/>
          </w:tcPr>
          <w:p>
            <w:r>
              <w:t>12686</w:t>
            </w:r>
          </w:p>
        </w:tc>
        <w:tc>
          <w:tcPr>
            <w:tcW w:type="dxa" w:w="1728"/>
          </w:tcPr>
          <w:p>
            <w:r>
              <w:t>36020202 FCFA</w:t>
            </w:r>
          </w:p>
        </w:tc>
        <w:tc>
          <w:tcPr>
            <w:tcW w:type="dxa" w:w="1728"/>
          </w:tcPr>
          <w:p>
            <w:r>
              <w:t>0.20%</w:t>
            </w:r>
          </w:p>
        </w:tc>
        <w:tc>
          <w:tcPr>
            <w:tcW w:type="dxa" w:w="1728"/>
          </w:tcPr>
          <w:p>
            <w:r>
              <w:t>ACHAT</w:t>
            </w:r>
          </w:p>
        </w:tc>
      </w:tr>
      <w:tr>
        <w:tc>
          <w:tcPr>
            <w:tcW w:type="dxa" w:w="1728"/>
          </w:tcPr>
          <w:p>
            <w:r>
              <w:t>SDSC (SDSC - AFRICA GLOBAL LOGISTICS CI)</w:t>
            </w:r>
          </w:p>
        </w:tc>
        <w:tc>
          <w:tcPr>
            <w:tcW w:type="dxa" w:w="1728"/>
          </w:tcPr>
          <w:p>
            <w:r>
              <w:t>12049</w:t>
            </w:r>
          </w:p>
        </w:tc>
        <w:tc>
          <w:tcPr>
            <w:tcW w:type="dxa" w:w="1728"/>
          </w:tcPr>
          <w:p>
            <w:r>
              <w:t>34925558 FCFA</w:t>
            </w:r>
          </w:p>
        </w:tc>
        <w:tc>
          <w:tcPr>
            <w:tcW w:type="dxa" w:w="1728"/>
          </w:tcPr>
          <w:p>
            <w:r>
              <w:t>83.03%</w:t>
            </w:r>
          </w:p>
        </w:tc>
        <w:tc>
          <w:tcPr>
            <w:tcW w:type="dxa" w:w="1728"/>
          </w:tcPr>
          <w:p>
            <w:r>
              <w:t>ACHAT</w:t>
            </w:r>
          </w:p>
        </w:tc>
      </w:tr>
      <w:tr>
        <w:tc>
          <w:tcPr>
            <w:tcW w:type="dxa" w:w="1728"/>
          </w:tcPr>
          <w:p>
            <w:r>
              <w:t>SIBC (SIBC - SOCIETE IVOIRIENNE DE BANQUE)</w:t>
            </w:r>
          </w:p>
        </w:tc>
        <w:tc>
          <w:tcPr>
            <w:tcW w:type="dxa" w:w="1728"/>
          </w:tcPr>
          <w:p>
            <w:r>
              <w:t>11259</w:t>
            </w:r>
          </w:p>
        </w:tc>
        <w:tc>
          <w:tcPr>
            <w:tcW w:type="dxa" w:w="1728"/>
          </w:tcPr>
          <w:p>
            <w:r>
              <w:t>101203883 FCFA</w:t>
            </w:r>
          </w:p>
        </w:tc>
        <w:tc>
          <w:tcPr>
            <w:tcW w:type="dxa" w:w="1728"/>
          </w:tcPr>
          <w:p>
            <w:r>
              <w:t>11.61%</w:t>
            </w:r>
          </w:p>
        </w:tc>
        <w:tc>
          <w:tcPr>
            <w:tcW w:type="dxa" w:w="1728"/>
          </w:tcPr>
          <w:p>
            <w:r>
              <w:t>ACHAT</w:t>
            </w:r>
          </w:p>
        </w:tc>
      </w:tr>
      <w:tr>
        <w:tc>
          <w:tcPr>
            <w:tcW w:type="dxa" w:w="1728"/>
          </w:tcPr>
          <w:p>
            <w:r>
              <w:t>SEMC (SEMC - EVIOSYS PACKAGING SIEM CI)</w:t>
            </w:r>
          </w:p>
        </w:tc>
        <w:tc>
          <w:tcPr>
            <w:tcW w:type="dxa" w:w="1728"/>
          </w:tcPr>
          <w:p>
            <w:r>
              <w:t>10520</w:t>
            </w:r>
          </w:p>
        </w:tc>
        <w:tc>
          <w:tcPr>
            <w:tcW w:type="dxa" w:w="1728"/>
          </w:tcPr>
          <w:p>
            <w:r>
              <w:t>15621640 FCFA</w:t>
            </w:r>
          </w:p>
        </w:tc>
        <w:tc>
          <w:tcPr>
            <w:tcW w:type="dxa" w:w="1728"/>
          </w:tcPr>
          <w:p>
            <w:r>
              <w:t>-16.94%</w:t>
            </w:r>
          </w:p>
        </w:tc>
        <w:tc>
          <w:tcPr>
            <w:tcW w:type="dxa" w:w="1728"/>
          </w:tcPr>
          <w:p>
            <w:r>
              <w:t>ACHAT</w:t>
            </w:r>
          </w:p>
        </w:tc>
      </w:tr>
      <w:tr>
        <w:tc>
          <w:tcPr>
            <w:tcW w:type="dxa" w:w="1728"/>
          </w:tcPr>
          <w:p>
            <w:r>
              <w:t>BOAC (BANK OF AFRICA COTE D'IVOIRE)</w:t>
            </w:r>
          </w:p>
        </w:tc>
        <w:tc>
          <w:tcPr>
            <w:tcW w:type="dxa" w:w="1728"/>
          </w:tcPr>
          <w:p>
            <w:r>
              <w:t>10420</w:t>
            </w:r>
          </w:p>
        </w:tc>
        <w:tc>
          <w:tcPr>
            <w:tcW w:type="dxa" w:w="1728"/>
          </w:tcPr>
          <w:p>
            <w:r>
              <w:t>118733157 FCFA</w:t>
            </w:r>
          </w:p>
        </w:tc>
        <w:tc>
          <w:tcPr>
            <w:tcW w:type="dxa" w:w="1728"/>
          </w:tcPr>
          <w:p>
            <w:r>
              <w:t>29.49%</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SPHC (SPHC - Société Africaine de Plantation d'Hévéas de Côte d'Ivoire)</w:t>
            </w:r>
          </w:p>
        </w:tc>
        <w:tc>
          <w:tcPr>
            <w:tcW w:type="dxa" w:w="1728"/>
          </w:tcPr>
          <w:p>
            <w:r>
              <w:t>3620</w:t>
            </w:r>
          </w:p>
        </w:tc>
        <w:tc>
          <w:tcPr>
            <w:tcW w:type="dxa" w:w="1728"/>
          </w:tcPr>
          <w:p>
            <w:r>
              <w:t>28704372 FCFA</w:t>
            </w:r>
          </w:p>
        </w:tc>
        <w:tc>
          <w:tcPr>
            <w:tcW w:type="dxa" w:w="1728"/>
          </w:tcPr>
          <w:p>
            <w:r>
              <w:t>15.33%</w:t>
            </w:r>
          </w:p>
        </w:tc>
        <w:tc>
          <w:tcPr>
            <w:tcW w:type="dxa" w:w="1728"/>
          </w:tcPr>
          <w:p>
            <w:r>
              <w:t>ACHAT</w:t>
            </w:r>
          </w:p>
        </w:tc>
      </w:tr>
      <w:tr>
        <w:tc>
          <w:tcPr>
            <w:tcW w:type="dxa" w:w="1728"/>
          </w:tcPr>
          <w:p>
            <w:r>
              <w:t>SIVC (SIVC - ERIUM CI (Ex AIR LIQUIDECI))</w:t>
            </w:r>
          </w:p>
        </w:tc>
        <w:tc>
          <w:tcPr>
            <w:tcW w:type="dxa" w:w="1728"/>
          </w:tcPr>
          <w:p>
            <w:r>
              <w:t>3480</w:t>
            </w:r>
          </w:p>
        </w:tc>
        <w:tc>
          <w:tcPr>
            <w:tcW w:type="dxa" w:w="1728"/>
          </w:tcPr>
          <w:p>
            <w:r>
              <w:t>7165906 FCFA</w:t>
            </w:r>
          </w:p>
        </w:tc>
        <w:tc>
          <w:tcPr>
            <w:tcW w:type="dxa" w:w="1728"/>
          </w:tcPr>
          <w:p>
            <w:r>
              <w:t>-33.57%</w:t>
            </w:r>
          </w:p>
        </w:tc>
        <w:tc>
          <w:tcPr>
            <w:tcW w:type="dxa" w:w="1728"/>
          </w:tcPr>
          <w:p>
            <w:r>
              <w:t>ACHAT</w:t>
            </w:r>
          </w:p>
        </w:tc>
      </w:tr>
      <w:tr>
        <w:tc>
          <w:tcPr>
            <w:tcW w:type="dxa" w:w="1728"/>
          </w:tcPr>
          <w:p>
            <w:r>
              <w:t>ORGT (ORGT - ORAGROUP TOGO)</w:t>
            </w:r>
          </w:p>
        </w:tc>
        <w:tc>
          <w:tcPr>
            <w:tcW w:type="dxa" w:w="1728"/>
          </w:tcPr>
          <w:p>
            <w:r>
              <w:t>3278</w:t>
            </w:r>
          </w:p>
        </w:tc>
        <w:tc>
          <w:tcPr>
            <w:tcW w:type="dxa" w:w="1728"/>
          </w:tcPr>
          <w:p>
            <w:r>
              <w:t>9856925 FCFA</w:t>
            </w:r>
          </w:p>
        </w:tc>
        <w:tc>
          <w:tcPr>
            <w:tcW w:type="dxa" w:w="1728"/>
          </w:tcPr>
          <w:p>
            <w:r>
              <w:t>12.80%</w:t>
            </w:r>
          </w:p>
        </w:tc>
        <w:tc>
          <w:tcPr>
            <w:tcW w:type="dxa" w:w="1728"/>
          </w:tcPr>
          <w:p>
            <w:r>
              <w:t>ACHAT</w:t>
            </w:r>
          </w:p>
        </w:tc>
      </w:tr>
      <w:tr>
        <w:tc>
          <w:tcPr>
            <w:tcW w:type="dxa" w:w="1728"/>
          </w:tcPr>
          <w:p>
            <w:r>
              <w:t>CFAC (CFAC - CFAO MOTORS CI)</w:t>
            </w:r>
          </w:p>
        </w:tc>
        <w:tc>
          <w:tcPr>
            <w:tcW w:type="dxa" w:w="1728"/>
          </w:tcPr>
          <w:p>
            <w:r>
              <w:t>2806</w:t>
            </w:r>
          </w:p>
        </w:tc>
        <w:tc>
          <w:tcPr>
            <w:tcW w:type="dxa" w:w="1728"/>
          </w:tcPr>
          <w:p>
            <w:r>
              <w:t>4408715 FCFA</w:t>
            </w:r>
          </w:p>
        </w:tc>
        <w:tc>
          <w:tcPr>
            <w:tcW w:type="dxa" w:w="1728"/>
          </w:tcPr>
          <w:p>
            <w:r>
              <w:t>-2.36%</w:t>
            </w:r>
          </w:p>
        </w:tc>
        <w:tc>
          <w:tcPr>
            <w:tcW w:type="dxa" w:w="1728"/>
          </w:tcPr>
          <w:p>
            <w:r>
              <w:t>ACHAT</w:t>
            </w:r>
          </w:p>
        </w:tc>
      </w:tr>
      <w:tr>
        <w:tc>
          <w:tcPr>
            <w:tcW w:type="dxa" w:w="1728"/>
          </w:tcPr>
          <w:p>
            <w:r>
              <w:t>SOGC (SOGC - Société des caoutchoucs de Grand-Béréby)</w:t>
            </w:r>
          </w:p>
        </w:tc>
        <w:tc>
          <w:tcPr>
            <w:tcW w:type="dxa" w:w="1728"/>
          </w:tcPr>
          <w:p>
            <w:r>
              <w:t>2784</w:t>
            </w:r>
          </w:p>
        </w:tc>
        <w:tc>
          <w:tcPr>
            <w:tcW w:type="dxa" w:w="1728"/>
          </w:tcPr>
          <w:p>
            <w:r>
              <w:t>21923474 FCFA</w:t>
            </w:r>
          </w:p>
        </w:tc>
        <w:tc>
          <w:tcPr>
            <w:tcW w:type="dxa" w:w="1728"/>
          </w:tcPr>
          <w:p>
            <w:r>
              <w:t>9.03%</w:t>
            </w:r>
          </w:p>
        </w:tc>
        <w:tc>
          <w:tcPr>
            <w:tcW w:type="dxa" w:w="1728"/>
          </w:tcPr>
          <w:p>
            <w:r>
              <w:t>ACHAT</w:t>
            </w:r>
          </w:p>
        </w:tc>
      </w:tr>
      <w:tr>
        <w:tc>
          <w:tcPr>
            <w:tcW w:type="dxa" w:w="1728"/>
          </w:tcPr>
          <w:p>
            <w:r>
              <w:t>FTSC (FTSC - FILTISAC COTE D'IVOIRE)</w:t>
            </w:r>
          </w:p>
        </w:tc>
        <w:tc>
          <w:tcPr>
            <w:tcW w:type="dxa" w:w="1728"/>
          </w:tcPr>
          <w:p>
            <w:r>
              <w:t>2721</w:t>
            </w:r>
          </w:p>
        </w:tc>
        <w:tc>
          <w:tcPr>
            <w:tcW w:type="dxa" w:w="1728"/>
          </w:tcPr>
          <w:p>
            <w:r>
              <w:t>5381505 FCFA</w:t>
            </w:r>
          </w:p>
        </w:tc>
        <w:tc>
          <w:tcPr>
            <w:tcW w:type="dxa" w:w="1728"/>
          </w:tcPr>
          <w:p>
            <w:r>
              <w:t>-19.35%</w:t>
            </w:r>
          </w:p>
        </w:tc>
        <w:tc>
          <w:tcPr>
            <w:tcW w:type="dxa" w:w="1728"/>
          </w:tcPr>
          <w:p>
            <w:r>
              <w:t>ACHAT</w:t>
            </w:r>
          </w:p>
        </w:tc>
      </w:tr>
      <w:tr>
        <w:tc>
          <w:tcPr>
            <w:tcW w:type="dxa" w:w="1728"/>
          </w:tcPr>
          <w:p>
            <w:r>
              <w:t>ECOC (ECOC - ECOBANK COTE D'IVOIRE)</w:t>
            </w:r>
          </w:p>
        </w:tc>
        <w:tc>
          <w:tcPr>
            <w:tcW w:type="dxa" w:w="1728"/>
          </w:tcPr>
          <w:p>
            <w:r>
              <w:t>2648</w:t>
            </w:r>
          </w:p>
        </w:tc>
        <w:tc>
          <w:tcPr>
            <w:tcW w:type="dxa" w:w="1728"/>
          </w:tcPr>
          <w:p>
            <w:r>
              <w:t>44468729 FCFA</w:t>
            </w:r>
          </w:p>
        </w:tc>
        <w:tc>
          <w:tcPr>
            <w:tcW w:type="dxa" w:w="1728"/>
          </w:tcPr>
          <w:p>
            <w:r>
              <w:t>-0.61%</w:t>
            </w:r>
          </w:p>
        </w:tc>
        <w:tc>
          <w:tcPr>
            <w:tcW w:type="dxa" w:w="1728"/>
          </w:tcPr>
          <w:p>
            <w:r>
              <w:t>ACHAT</w:t>
            </w:r>
          </w:p>
        </w:tc>
      </w:tr>
      <w:tr>
        <w:tc>
          <w:tcPr>
            <w:tcW w:type="dxa" w:w="1728"/>
          </w:tcPr>
          <w:p>
            <w:r>
              <w:t>ABJC (ABJC - SERVAIR ABIDJAN CI)</w:t>
            </w:r>
          </w:p>
        </w:tc>
        <w:tc>
          <w:tcPr>
            <w:tcW w:type="dxa" w:w="1728"/>
          </w:tcPr>
          <w:p>
            <w:r>
              <w:t>2607</w:t>
            </w:r>
          </w:p>
        </w:tc>
        <w:tc>
          <w:tcPr>
            <w:tcW w:type="dxa" w:w="1728"/>
          </w:tcPr>
          <w:p>
            <w:r>
              <w:t>9774115 FCFA</w:t>
            </w:r>
          </w:p>
        </w:tc>
        <w:tc>
          <w:tcPr>
            <w:tcW w:type="dxa" w:w="1728"/>
          </w:tcPr>
          <w:p>
            <w:r>
              <w:t>11.73%</w:t>
            </w:r>
          </w:p>
        </w:tc>
        <w:tc>
          <w:tcPr>
            <w:tcW w:type="dxa" w:w="1728"/>
          </w:tcPr>
          <w:p>
            <w:r>
              <w:t>ACHAT</w:t>
            </w:r>
          </w:p>
        </w:tc>
      </w:tr>
      <w:tr>
        <w:tc>
          <w:tcPr>
            <w:tcW w:type="dxa" w:w="1728"/>
          </w:tcPr>
          <w:p>
            <w:r>
              <w:t>NEIC (NEIC - NEI-CEDA CI)</w:t>
            </w:r>
          </w:p>
        </w:tc>
        <w:tc>
          <w:tcPr>
            <w:tcW w:type="dxa" w:w="1728"/>
          </w:tcPr>
          <w:p>
            <w:r>
              <w:t>2589</w:t>
            </w:r>
          </w:p>
        </w:tc>
        <w:tc>
          <w:tcPr>
            <w:tcW w:type="dxa" w:w="1728"/>
          </w:tcPr>
          <w:p>
            <w:r>
              <w:t>5963294 FCFA</w:t>
            </w:r>
          </w:p>
        </w:tc>
        <w:tc>
          <w:tcPr>
            <w:tcW w:type="dxa" w:w="1728"/>
          </w:tcPr>
          <w:p>
            <w:r>
              <w:t>10.00%</w:t>
            </w:r>
          </w:p>
        </w:tc>
        <w:tc>
          <w:tcPr>
            <w:tcW w:type="dxa" w:w="1728"/>
          </w:tcPr>
          <w:p>
            <w:r>
              <w:t>ACHAT FORT</w:t>
            </w:r>
          </w:p>
        </w:tc>
      </w:tr>
      <w:tr>
        <w:tc>
          <w:tcPr>
            <w:tcW w:type="dxa" w:w="1728"/>
          </w:tcPr>
          <w:p>
            <w:r>
              <w:t>BNBC (BNBC - BERNABE CI)</w:t>
            </w:r>
          </w:p>
        </w:tc>
        <w:tc>
          <w:tcPr>
            <w:tcW w:type="dxa" w:w="1728"/>
          </w:tcPr>
          <w:p>
            <w:r>
              <w:t>2222</w:t>
            </w:r>
          </w:p>
        </w:tc>
        <w:tc>
          <w:tcPr>
            <w:tcW w:type="dxa" w:w="1728"/>
          </w:tcPr>
          <w:p>
            <w:r>
              <w:t>4333453 FCFA</w:t>
            </w:r>
          </w:p>
        </w:tc>
        <w:tc>
          <w:tcPr>
            <w:tcW w:type="dxa" w:w="1728"/>
          </w:tcPr>
          <w:p>
            <w:r>
              <w:t>21.61%</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BOABF - BANK OF AFRICA BURKINA FASO</w:t>
      </w:r>
    </w:p>
    <w:p>
      <w:r>
        <w:rPr>
          <w:b/>
        </w:rPr>
        <w:t xml:space="preserve">Score de divergence: </w:t>
      </w:r>
      <w:r>
        <w:t>6/8</w:t>
        <w:br/>
      </w:r>
      <w:r>
        <w:rPr>
          <w:b/>
        </w:rPr>
        <w:t xml:space="preserve">Description: </w:t>
      </w:r>
      <w:r>
        <w:t>Signaux de vente: MM, MACD, RSI | Recommandation finale: ACHAT</w:t>
        <w:br/>
      </w:r>
    </w:p>
    <w:p/>
    <w:p>
      <w:pPr>
        <w:pStyle w:val="Heading3"/>
      </w:pPr>
      <w:r>
        <w:t>2. BNBC - BNBC - BERNABE CI</w:t>
      </w:r>
    </w:p>
    <w:p>
      <w:r>
        <w:rPr>
          <w:b/>
        </w:rPr>
        <w:t xml:space="preserve">Score de divergence: </w:t>
      </w:r>
      <w:r>
        <w:t>5/8</w:t>
        <w:br/>
      </w:r>
      <w:r>
        <w:rPr>
          <w:b/>
        </w:rPr>
        <w:t xml:space="preserve">Description: </w:t>
      </w:r>
      <w:r>
        <w:t>Signaux de vente: MM, MACD | Recommandation finale: ACHAT</w:t>
        <w:br/>
      </w:r>
    </w:p>
    <w:p/>
    <w:p>
      <w:pPr>
        <w:pStyle w:val="Heading3"/>
      </w:pPr>
      <w:r>
        <w:t>3. BOAB - BANK OF AFRICA BENIN</w:t>
      </w:r>
    </w:p>
    <w:p>
      <w:r>
        <w:rPr>
          <w:b/>
        </w:rPr>
        <w:t xml:space="preserve">Score de divergence: </w:t>
      </w:r>
      <w:r>
        <w:t>5/8</w:t>
        <w:br/>
      </w:r>
      <w:r>
        <w:rPr>
          <w:b/>
        </w:rPr>
        <w:t xml:space="preserve">Description: </w:t>
      </w:r>
      <w:r>
        <w:t>Signaux de vente: MM, MACD | Recommandation finale: ACHAT</w:t>
        <w:br/>
      </w:r>
    </w:p>
    <w:p/>
    <w:p>
      <w:pPr>
        <w:pStyle w:val="Heading3"/>
      </w:pPr>
      <w:r>
        <w:t>4.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5. BOAM - BANK OF AFRICA MALI</w:t>
      </w:r>
    </w:p>
    <w:p>
      <w:r>
        <w:rPr>
          <w:b/>
        </w:rPr>
        <w:t xml:space="preserve">Score de divergence: </w:t>
      </w:r>
      <w:r>
        <w:t>5/8</w:t>
        <w:br/>
      </w:r>
      <w:r>
        <w:rPr>
          <w:b/>
        </w:rPr>
        <w:t xml:space="preserve">Description: </w:t>
      </w:r>
      <w:r>
        <w:t>Signaux de vente: MM, MACD | Recommandation finale: ACHAT</w:t>
        <w:br/>
      </w:r>
    </w:p>
    <w:p/>
    <w:p>
      <w:pPr>
        <w:pStyle w:val="Heading3"/>
      </w:pPr>
      <w:r>
        <w:t>6. SIBC - SIBC - SOCIETE IVOIRIENNE DE BANQUE</w:t>
      </w:r>
    </w:p>
    <w:p>
      <w:r>
        <w:rPr>
          <w:b/>
        </w:rPr>
        <w:t xml:space="preserve">Score de divergence: </w:t>
      </w:r>
      <w:r>
        <w:t>5/8</w:t>
        <w:br/>
      </w:r>
      <w:r>
        <w:rPr>
          <w:b/>
        </w:rPr>
        <w:t xml:space="preserve">Description: </w:t>
      </w:r>
      <w:r>
        <w:t>Signaux de vente: MM, MACD | Recommandation finale: ACHAT</w:t>
        <w:br/>
      </w:r>
    </w:p>
    <w:p/>
    <w:p>
      <w:pPr>
        <w:pStyle w:val="Heading3"/>
      </w:pPr>
      <w:r>
        <w:t>7. SMBC - SMBC - Société Multinationale de Bitumes COTE D'IVOIRE</w:t>
      </w:r>
    </w:p>
    <w:p>
      <w:r>
        <w:rPr>
          <w:b/>
        </w:rPr>
        <w:t xml:space="preserve">Score de divergence: </w:t>
      </w:r>
      <w:r>
        <w:t>5/8</w:t>
        <w:br/>
      </w:r>
      <w:r>
        <w:rPr>
          <w:b/>
        </w:rPr>
        <w:t xml:space="preserve">Description: </w:t>
      </w:r>
      <w:r>
        <w:t>Signaux de vente: MM, MACD | Recommandation finale: ACHAT</w:t>
        <w:br/>
      </w:r>
    </w:p>
    <w:p/>
    <w:p>
      <w:pPr>
        <w:pStyle w:val="Heading3"/>
      </w:pPr>
      <w:r>
        <w:t>8. SNTS - SNTS - SONATEL SN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9.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10. BOAN - BANK OF AFRICA NIGER</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28</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BBGC (BRIDGE BANK GROUP COTE D'IVOIRE)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**BCE** : relèvement des taux directeurs face aux risques inflationnistes liés à l'énergie (09/10/2026), entraînant une hausse des taux de crédit.</w:t>
      </w:r>
    </w:p>
    <w:p>
      <w:pPr>
        <w:pStyle w:val="ListBullet"/>
        <w:spacing w:before="20" w:after="20"/>
        <w:ind w:left="360"/>
      </w:pPr>
      <w:r>
        <w:rPr>
          <w:color w:val="C00000"/>
          <w:sz w:val="18"/>
        </w:rPr>
        <w:t>**Chine** : accélération des prix à la production, signal de pressions inflationnistes en amont, tandis que l'inflation des prix à la consommation reste modérée.</w:t>
      </w:r>
    </w:p>
    <w:p>
      <w:pPr>
        <w:pStyle w:val="ListBullet"/>
        <w:spacing w:before="20" w:after="20"/>
        <w:ind w:left="360"/>
      </w:pPr>
      <w:r>
        <w:rPr>
          <w:sz w:val="18"/>
        </w:rPr>
        <w:t>**IA &amp; marchés** : intérêt croissant pour l'usage de l'IA dans la prévision boursière (Les Affaires).</w:t>
      </w:r>
    </w:p>
    <w:p>
      <w:pPr>
        <w:pStyle w:val="Heading3"/>
      </w:pPr>
      <w:r>
        <w:rPr>
          <w:color w:val="500050"/>
        </w:rPr>
        <w:t>⚡ Impact estimé sur la BRVM</w:t>
      </w:r>
    </w:p>
    <w:p>
      <w:pPr>
        <w:spacing w:before="20" w:after="40"/>
        <w:ind w:left="280"/>
      </w:pPr>
      <w:r>
        <w:rPr>
          <w:i/>
          <w:sz w:val="18"/>
        </w:rPr>
        <w:t>Le tour de vis de la BCE durcit les conditions financières mondiales et renchérit le coût du capital pour les émetteurs africains. Les secteurs **SERVICES FINANCIERS** (SGBC, BICB, BOAS, ECOC) et **ENERGIE** (SHEC) sont les plus exposés via les coûts de refinancement et la volatilité des prix énergétiques. L'inflation chinoise des prix à la production pourrait renchérir les importations de biens manufacturés pour **CABC (INDUSTRIELS)** et la distribution (**UNXC, NEIC, LNBB**).</w:t>
      </w:r>
    </w:p>
    <w:p>
      <w:pPr>
        <w:pStyle w:val="Heading2"/>
      </w:pPr>
      <w:r>
        <w:rPr>
          <w:color w:val="006E32"/>
        </w:rPr>
        <w:t>🌍 Plan Africain</w:t>
      </w:r>
    </w:p>
    <w:p>
      <w:pPr>
        <w:pStyle w:val="ListBullet"/>
        <w:spacing w:before="20" w:after="20"/>
        <w:ind w:left="360"/>
      </w:pPr>
      <w:r>
        <w:rPr>
          <w:sz w:val="18"/>
        </w:rPr>
        <w:t>**FMI/Banque mondiale (Bangkok)** : l'Afrique au centre des discussions sur la dette et l'inflation (11/10/2026).</w:t>
      </w:r>
    </w:p>
    <w:p>
      <w:pPr>
        <w:pStyle w:val="ListBullet"/>
        <w:spacing w:before="20" w:after="20"/>
        <w:ind w:left="360"/>
      </w:pPr>
      <w:r>
        <w:rPr>
          <w:sz w:val="18"/>
        </w:rPr>
        <w:t>**Croissance Sénégal/Gabon** : dossiers africains examinés lors des assemblées annuelles FMI-BM.</w:t>
      </w:r>
    </w:p>
    <w:p>
      <w:pPr>
        <w:pStyle w:val="ListBullet"/>
        <w:spacing w:before="20" w:after="20"/>
        <w:ind w:left="360"/>
      </w:pPr>
      <w:r>
        <w:rPr>
          <w:sz w:val="18"/>
        </w:rPr>
        <w:t>**CEDEAO-FMI** : renforcement du partenariat via le Général Birame Diop (06/10/2026).</w:t>
      </w:r>
    </w:p>
    <w:p>
      <w:pPr>
        <w:pStyle w:val="Heading3"/>
      </w:pPr>
      <w:r>
        <w:rPr>
          <w:color w:val="500050"/>
        </w:rPr>
        <w:t>⚡ Impact estimé sur la BRVM</w:t>
      </w:r>
    </w:p>
    <w:p>
      <w:pPr>
        <w:spacing w:before="20" w:after="40"/>
        <w:ind w:left="280"/>
      </w:pPr>
      <w:r>
        <w:rPr>
          <w:i/>
          <w:sz w:val="18"/>
        </w:rPr>
        <w:t>Un agenda FMI favorable à la dette africaine réduit le risque souverain perçu, bénéfique aux **SERVICES FINANCIERS** régionaux (SGBC, BOAS, ECOC) exposés aux titres publics. La dynamique de croissance sénégalaise et gabonaise soutient indirectement les sociétés panafricaines cotées.</w:t>
      </w:r>
    </w:p>
    <w:p>
      <w:pPr>
        <w:pStyle w:val="Heading2"/>
      </w:pPr>
      <w:r>
        <w:rPr>
          <w:color w:val="145A28"/>
        </w:rPr>
        <w:t>🌍 Plan Afrique de l'Ouest</w:t>
      </w:r>
    </w:p>
    <w:p>
      <w:pPr>
        <w:pStyle w:val="ListBullet"/>
        <w:spacing w:before="20" w:after="20"/>
        <w:ind w:left="360"/>
      </w:pPr>
      <w:r>
        <w:rPr>
          <w:sz w:val="18"/>
        </w:rPr>
        <w:t>**Indice des marchés financiers africains** : plus haut en dix ans (14/10/2026) — signal haussier régional.</w:t>
      </w:r>
    </w:p>
    <w:p>
      <w:pPr>
        <w:pStyle w:val="ListBullet"/>
        <w:spacing w:before="20" w:after="20"/>
        <w:ind w:left="360"/>
      </w:pPr>
      <w:r>
        <w:rPr>
          <w:sz w:val="18"/>
        </w:rPr>
        <w:t>**CEDEAO** : appel du Président Faye à renforcer l'intégration citoyenne (09/10/2026).</w:t>
      </w:r>
    </w:p>
    <w:p>
      <w:pPr>
        <w:pStyle w:val="ListBullet"/>
        <w:spacing w:before="20" w:after="20"/>
        <w:ind w:left="360"/>
      </w:pPr>
      <w:r>
        <w:rPr>
          <w:sz w:val="18"/>
        </w:rPr>
        <w:t>**Riz Burkina/Cameroun** : tensions sur les politiques d'import-substitution.</w:t>
      </w:r>
    </w:p>
    <w:p>
      <w:pPr>
        <w:pStyle w:val="Heading3"/>
      </w:pPr>
      <w:r>
        <w:rPr>
          <w:color w:val="500050"/>
        </w:rPr>
        <w:t>⚡ Impact estimé sur la BRVM</w:t>
      </w:r>
    </w:p>
    <w:p>
      <w:pPr>
        <w:spacing w:before="20" w:after="40"/>
        <w:ind w:left="280"/>
      </w:pPr>
      <w:r>
        <w:rPr>
          <w:i/>
          <w:sz w:val="18"/>
        </w:rPr>
        <w:t>Le record décennal des marchés africains renforce l'attractivité des places régionales, dont la BRVM. L'intégration CEDEAO profite aux valeurs à couverture régionale comme **ECOC, BOAS, SGBC** et aux distributeurs **UNXC, NEIC**.</w:t>
      </w:r>
    </w:p>
    <w:p>
      <w:pPr>
        <w:pStyle w:val="Heading2"/>
      </w:pPr>
      <w:r>
        <w:rPr>
          <w:color w:val="8C4600"/>
        </w:rPr>
        <w:t>🏦 Plan UEMOA / Zone Franc</w:t>
      </w:r>
    </w:p>
    <w:p>
      <w:pPr>
        <w:pStyle w:val="ListBullet"/>
        <w:spacing w:before="20" w:after="20"/>
        <w:ind w:left="360"/>
      </w:pPr>
      <w:r>
        <w:rPr>
          <w:color w:val="C00000"/>
          <w:sz w:val="18"/>
        </w:rPr>
        <w:t>**Sénégal** : demandes d'enquêtes du Pastef sur pétrole et fonds spéciaux (14/10/2026) — risque de gouvernance.</w:t>
      </w:r>
    </w:p>
    <w:p>
      <w:pPr>
        <w:pStyle w:val="ListBullet"/>
        <w:spacing w:before="20" w:after="20"/>
        <w:ind w:left="360"/>
      </w:pPr>
      <w:r>
        <w:rPr>
          <w:sz w:val="18"/>
        </w:rPr>
        <w:t>**Mali** : procédure judiciaire sur la zone aéroportuaire de Sénou.</w:t>
      </w:r>
    </w:p>
    <w:p>
      <w:pPr>
        <w:pStyle w:val="ListBullet"/>
        <w:spacing w:before="20" w:after="20"/>
        <w:ind w:left="360"/>
      </w:pPr>
      <w:r>
        <w:rPr>
          <w:sz w:val="18"/>
        </w:rPr>
        <w:t>**Togo** : soutien à la candidature de Xiamen pour l'accord BBNJ.</w:t>
      </w:r>
    </w:p>
    <w:p>
      <w:pPr>
        <w:pStyle w:val="Heading3"/>
      </w:pPr>
      <w:r>
        <w:rPr>
          <w:color w:val="500050"/>
        </w:rPr>
        <w:t>⚡ Impact estimé sur la BRVM</w:t>
      </w:r>
    </w:p>
    <w:p>
      <w:pPr>
        <w:spacing w:before="20" w:after="40"/>
        <w:ind w:left="280"/>
      </w:pPr>
      <w:r>
        <w:rPr>
          <w:i/>
          <w:sz w:val="18"/>
        </w:rPr>
        <w:t>Les tensions politiques sénégalaises introduisent une prime de risque sur les actifs UEMOA, pesant potentiellement sur **SONATEL/ONTBF** et les banques régionales. Les matières premières clés (cacao, caoutchouc) restent déterminantes pour **SLBC, SCRC (CONSOMMATION DE BASE)** et **SOGC**.</w:t>
      </w:r>
    </w:p>
    <w:p>
      <w:pPr>
        <w:pStyle w:val="Heading2"/>
      </w:pPr>
      <w:r>
        <w:rPr>
          <w:color w:val="003366"/>
        </w:rPr>
        <w:t>📈 Plan BRVM</w:t>
      </w:r>
    </w:p>
    <w:p>
      <w:pPr>
        <w:pStyle w:val="ListBullet"/>
        <w:spacing w:before="20" w:after="20"/>
        <w:ind w:left="360"/>
      </w:pPr>
      <w:r>
        <w:rPr>
          <w:sz w:val="18"/>
        </w:rPr>
        <w:t>**Résultats ivoiriens encourageants** à la BRVM (La Tribune, 09/06/2026).</w:t>
      </w:r>
    </w:p>
    <w:p>
      <w:pPr>
        <w:pStyle w:val="ListBullet"/>
        <w:spacing w:before="20" w:after="20"/>
        <w:ind w:left="360"/>
      </w:pPr>
      <w:r>
        <w:rPr>
          <w:sz w:val="18"/>
        </w:rPr>
        <w:t>Indice BRVM Composite à **543.91**, dynamique positive portée par les publications.</w:t>
      </w:r>
    </w:p>
    <w:p>
      <w:pPr>
        <w:pStyle w:val="Heading3"/>
      </w:pPr>
      <w:r>
        <w:rPr>
          <w:color w:val="500050"/>
        </w:rPr>
        <w:t>⚡ Impact estimé sur la BRVM</w:t>
      </w:r>
    </w:p>
    <w:p>
      <w:pPr>
        <w:pStyle w:val="ListBullet"/>
        <w:spacing w:before="20" w:after="20"/>
        <w:ind w:left="560"/>
      </w:pPr>
      <w:r>
        <w:rPr>
          <w:color w:val="008000"/>
          <w:sz w:val="18"/>
        </w:rPr>
        <w:t>**SGBC, BICB, BOAS, ECOC** : à conserver, bénéficiaires de la hausse des taux et de résultats solides.</w:t>
      </w:r>
    </w:p>
    <w:p>
      <w:pPr>
        <w:pStyle w:val="ListBullet"/>
        <w:spacing w:before="20" w:after="20"/>
        <w:ind w:left="560"/>
      </w:pPr>
      <w:r>
        <w:rPr>
          <w:color w:val="500050"/>
          <w:sz w:val="18"/>
        </w:rPr>
        <w:t>**ONTBF** : valeur défensive, à accumuler sur repli.</w:t>
      </w:r>
    </w:p>
    <w:p>
      <w:pPr>
        <w:pStyle w:val="ListBullet"/>
        <w:spacing w:before="20" w:after="20"/>
        <w:ind w:left="560"/>
      </w:pPr>
      <w:r>
        <w:rPr>
          <w:color w:val="500050"/>
          <w:sz w:val="18"/>
        </w:rPr>
        <w:t>**SLBC, SCRC** : sensibles aux cours du cacao, surveiller.</w:t>
      </w:r>
    </w:p>
    <w:p>
      <w:pPr>
        <w:pStyle w:val="ListBullet"/>
        <w:spacing w:before="20" w:after="20"/>
        <w:ind w:left="560"/>
      </w:pPr>
      <w:r>
        <w:rPr>
          <w:color w:val="500050"/>
          <w:sz w:val="18"/>
        </w:rPr>
        <w:t>**SHEC** : exposé à la volatilité énergétique, prudence.</w:t>
      </w:r>
    </w:p>
    <w:p>
      <w:pPr>
        <w:pStyle w:val="ListBullet"/>
        <w:spacing w:before="20" w:after="20"/>
        <w:ind w:left="560"/>
      </w:pPr>
      <w:r>
        <w:rPr>
          <w:color w:val="C00000"/>
          <w:sz w:val="18"/>
        </w:rPr>
        <w:t>**UNXC, NEIC, LNBB** : sous pression si inflation importée persiste.</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**BCE** : décision monétaire restrictive (09/10/2026).</w:t>
      </w:r>
    </w:p>
    <w:p>
      <w:pPr>
        <w:pStyle w:val="ListBullet"/>
        <w:spacing w:before="20" w:after="20"/>
        <w:ind w:left="360"/>
      </w:pPr>
      <w:r>
        <w:rPr>
          <w:color w:val="C00000"/>
          <w:sz w:val="18"/>
        </w:rPr>
        <w:t>**Chine** : pressions inflationnistes en chaîne de production.</w:t>
      </w:r>
    </w:p>
    <w:p>
      <w:pPr>
        <w:pStyle w:val="ListBullet"/>
        <w:spacing w:before="20" w:after="20"/>
        <w:ind w:left="360"/>
      </w:pPr>
      <w:r>
        <w:rPr>
          <w:sz w:val="18"/>
        </w:rPr>
        <w:t>**IA &amp; marchés** : mutation technologique des places boursières.</w:t>
      </w:r>
    </w:p>
    <w:p>
      <w:pPr>
        <w:pStyle w:val="Heading3"/>
      </w:pPr>
      <w:r>
        <w:rPr>
          <w:color w:val="500050"/>
        </w:rPr>
        <w:t>⚡ Impact estimé sur la BRVM</w:t>
      </w:r>
    </w:p>
    <w:p>
      <w:pPr>
        <w:spacing w:before="20" w:after="40"/>
        <w:ind w:left="280"/>
      </w:pPr>
      <w:r>
        <w:rPr>
          <w:i/>
          <w:sz w:val="18"/>
        </w:rPr>
        <w:t>Le durcissement monétaire mondial détourne les capitaux des marchés frontières vers les actifs sûrs, pesant sur la liquidité BRVM. Les investisseurs institutionnels étrangers pourraient réduire leur exposition aux valeurs à faible flottant.</w:t>
      </w:r>
    </w:p>
    <w:p>
      <w:pPr>
        <w:pStyle w:val="Heading2"/>
      </w:pPr>
      <w:r>
        <w:rPr>
          <w:color w:val="006E32"/>
        </w:rPr>
        <w:t>🌍 Plan Africain</w:t>
      </w:r>
    </w:p>
    <w:p>
      <w:pPr>
        <w:pStyle w:val="ListBullet"/>
        <w:spacing w:before="20" w:after="20"/>
        <w:ind w:left="360"/>
      </w:pPr>
      <w:r>
        <w:rPr>
          <w:sz w:val="18"/>
        </w:rPr>
        <w:t>**FMI/BM** : focus dette africaine.</w:t>
      </w:r>
    </w:p>
    <w:p>
      <w:pPr>
        <w:pStyle w:val="ListBullet"/>
        <w:spacing w:before="20" w:after="20"/>
        <w:ind w:left="360"/>
      </w:pPr>
      <w:r>
        <w:rPr>
          <w:sz w:val="18"/>
        </w:rPr>
        <w:t>**CEDEAO-FMI** : partenariat renforcé.</w:t>
      </w:r>
    </w:p>
    <w:p>
      <w:pPr>
        <w:pStyle w:val="Heading3"/>
      </w:pPr>
      <w:r>
        <w:rPr>
          <w:color w:val="500050"/>
        </w:rPr>
        <w:t>⚡ Impact estimé sur la BRVM</w:t>
      </w:r>
    </w:p>
    <w:p>
      <w:pPr>
        <w:spacing w:before="20" w:after="40"/>
        <w:ind w:left="280"/>
      </w:pPr>
      <w:r>
        <w:rPr>
          <w:i/>
          <w:sz w:val="18"/>
        </w:rPr>
        <w:t>Un cadre multilatéral rassurant soutient la confiance des investisseurs et les flux vers les marchés frontières africains, dont la BRVM.</w:t>
      </w:r>
    </w:p>
    <w:p>
      <w:pPr>
        <w:pStyle w:val="Heading2"/>
      </w:pPr>
      <w:r>
        <w:rPr>
          <w:color w:val="145A28"/>
        </w:rPr>
        <w:t>🌍 Plan Afrique de l'Ouest</w:t>
      </w:r>
    </w:p>
    <w:p>
      <w:pPr>
        <w:pStyle w:val="ListBullet"/>
        <w:spacing w:before="20" w:after="20"/>
        <w:ind w:left="360"/>
      </w:pPr>
      <w:r>
        <w:rPr>
          <w:sz w:val="18"/>
        </w:rPr>
        <w:t>**Sénégal** : enquêtes Pastef sur pétrole et fonds spéciaux.</w:t>
      </w:r>
    </w:p>
    <w:p>
      <w:pPr>
        <w:pStyle w:val="ListBullet"/>
        <w:spacing w:before="20" w:after="20"/>
        <w:ind w:left="360"/>
      </w:pPr>
      <w:r>
        <w:rPr>
          <w:sz w:val="18"/>
        </w:rPr>
        <w:t>**Mali** : contentieux judiciaire aéroportuaire.</w:t>
      </w:r>
    </w:p>
    <w:p>
      <w:pPr>
        <w:pStyle w:val="ListBullet"/>
        <w:spacing w:before="20" w:after="20"/>
        <w:ind w:left="360"/>
      </w:pPr>
      <w:r>
        <w:rPr>
          <w:sz w:val="18"/>
        </w:rPr>
        <w:t>**CEDEAO** : intégration citoyenne.</w:t>
      </w:r>
    </w:p>
    <w:p>
      <w:pPr>
        <w:pStyle w:val="Heading3"/>
      </w:pPr>
      <w:r>
        <w:rPr>
          <w:color w:val="500050"/>
        </w:rPr>
        <w:t>⚡ Impact estimé sur la BRVM</w:t>
      </w:r>
    </w:p>
    <w:p>
      <w:pPr>
        <w:spacing w:before="20" w:after="40"/>
        <w:ind w:left="280"/>
      </w:pPr>
      <w:r>
        <w:rPr>
          <w:i/>
          <w:sz w:val="18"/>
        </w:rPr>
        <w:t>Risque politique accru au Sénégal et au Mali, pouvant affecter les filiales bancaires (**SGBC, BICB, ECOC**) présentes dans ces pays. Surveillance accrue des valeurs à exposition sahélienne.</w:t>
      </w:r>
    </w:p>
    <w:p>
      <w:pPr>
        <w:pStyle w:val="Heading2"/>
      </w:pPr>
      <w:r>
        <w:rPr>
          <w:color w:val="8C4600"/>
        </w:rPr>
        <w:t>🏦 Plan UEMOA / Zone Franc</w:t>
      </w:r>
    </w:p>
    <w:p>
      <w:pPr>
        <w:pStyle w:val="ListBullet"/>
        <w:spacing w:before="20" w:after="20"/>
        <w:ind w:left="360"/>
      </w:pPr>
      <w:r>
        <w:rPr>
          <w:sz w:val="18"/>
        </w:rPr>
        <w:t>Tensions politiques sénégalaises et maliennes.</w:t>
      </w:r>
    </w:p>
    <w:p>
      <w:pPr>
        <w:pStyle w:val="ListBullet"/>
        <w:spacing w:before="20" w:after="20"/>
        <w:ind w:left="360"/>
      </w:pPr>
      <w:r>
        <w:rPr>
          <w:sz w:val="18"/>
        </w:rPr>
        <w:t>Réformes institutionnelles CEDEAO en cours.</w:t>
      </w:r>
    </w:p>
    <w:p>
      <w:pPr>
        <w:pStyle w:val="Heading3"/>
      </w:pPr>
      <w:r>
        <w:rPr>
          <w:color w:val="500050"/>
        </w:rPr>
        <w:t>⚡ Impact estimé sur la BRVM</w:t>
      </w:r>
    </w:p>
    <w:p>
      <w:pPr>
        <w:spacing w:before="20" w:after="40"/>
        <w:ind w:left="280"/>
      </w:pPr>
      <w:r>
        <w:rPr>
          <w:i/>
          <w:sz w:val="18"/>
        </w:rPr>
        <w:t>Risque réglementaire modéré ; la stabilité ivoirienne reste le principal ancrage de la BRVM. Toute dégradation sécuritaire régionale pèserait sur les secteurs **SERVICES PUBLICS** (SDCC, CIEC) et **TELECOM** (ONTBF).</w:t>
      </w:r>
    </w:p>
    <w:p>
      <w:pPr>
        <w:pStyle w:val="Heading2"/>
      </w:pPr>
      <w:r>
        <w:rPr>
          <w:color w:val="003366"/>
        </w:rPr>
        <w:t>📈 Plan BRVM</w:t>
      </w:r>
    </w:p>
    <w:p>
      <w:pPr>
        <w:pStyle w:val="ListBullet"/>
        <w:spacing w:before="20" w:after="20"/>
        <w:ind w:left="360"/>
      </w:pPr>
      <w:r>
        <w:rPr>
          <w:sz w:val="18"/>
        </w:rPr>
        <w:t>Régulation CREPMF, gouvernance des sociétés cotées.</w:t>
      </w:r>
    </w:p>
    <w:p>
      <w:pPr>
        <w:pStyle w:val="ListBullet"/>
        <w:spacing w:before="20" w:after="20"/>
        <w:ind w:left="360"/>
      </w:pPr>
      <w:r>
        <w:rPr>
          <w:sz w:val="18"/>
        </w:rPr>
        <w:t>Résultats ivoiriens encourageants.</w:t>
      </w:r>
    </w:p>
    <w:p>
      <w:pPr>
        <w:pStyle w:val="Heading3"/>
      </w:pPr>
      <w:r>
        <w:rPr>
          <w:color w:val="500050"/>
        </w:rPr>
        <w:t>⚡ Impact estimé sur la BRVM</w:t>
      </w:r>
    </w:p>
    <w:p>
      <w:pPr>
        <w:spacing w:before="20" w:after="40"/>
        <w:ind w:left="280"/>
      </w:pPr>
      <w:r>
        <w:rPr>
          <w:i/>
          <w:sz w:val="18"/>
        </w:rPr>
        <w:t>La qualité des publications renforce la crédibilité du marché et pourrait attirer de nouvelles cotations, soutenant l'indice composite.</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**BCE** : hausse des taux, impact sur crédit immobilier.</w:t>
      </w:r>
    </w:p>
    <w:p>
      <w:pPr>
        <w:pStyle w:val="ListBullet"/>
        <w:spacing w:before="20" w:after="20"/>
        <w:ind w:left="360"/>
      </w:pPr>
      <w:r>
        <w:rPr>
          <w:sz w:val="18"/>
        </w:rPr>
        <w:t>**Chine** : inflation PPI en accélération.</w:t>
      </w:r>
    </w:p>
    <w:p>
      <w:pPr>
        <w:pStyle w:val="ListBullet"/>
        <w:spacing w:before="20" w:after="20"/>
        <w:ind w:left="360"/>
      </w:pPr>
      <w:r>
        <w:rPr>
          <w:sz w:val="18"/>
        </w:rPr>
        <w:t>**IA** : nouvel outil de prévision boursière.</w:t>
      </w:r>
    </w:p>
    <w:p>
      <w:pPr>
        <w:pStyle w:val="Heading3"/>
      </w:pPr>
      <w:r>
        <w:rPr>
          <w:color w:val="500050"/>
        </w:rPr>
        <w:t>⚡ Impact estimé sur la BRVM</w:t>
      </w:r>
    </w:p>
    <w:p>
      <w:pPr>
        <w:spacing w:before="20" w:after="40"/>
        <w:ind w:left="280"/>
      </w:pPr>
      <w:r>
        <w:rPr>
          <w:i/>
          <w:sz w:val="18"/>
        </w:rPr>
        <w:t>Hausse des taux mondiaux = pression sur les valorisations actions émergentes. Les investisseurs BRVM privilégieront les rendements de dividende élevés (**ONTBF, SGBC**) face à la concurrence obligataire.</w:t>
      </w:r>
    </w:p>
    <w:p>
      <w:pPr>
        <w:pStyle w:val="Heading2"/>
      </w:pPr>
      <w:r>
        <w:rPr>
          <w:color w:val="006E32"/>
        </w:rPr>
        <w:t>🌍 Plan Africain</w:t>
      </w:r>
    </w:p>
    <w:p>
      <w:pPr>
        <w:pStyle w:val="ListBullet"/>
        <w:spacing w:before="20" w:after="20"/>
        <w:ind w:left="360"/>
      </w:pPr>
      <w:r>
        <w:rPr>
          <w:sz w:val="18"/>
        </w:rPr>
        <w:t>**Indice marchés financiers africains** : plus haut en 10 ans.</w:t>
      </w:r>
    </w:p>
    <w:p>
      <w:pPr>
        <w:pStyle w:val="Heading3"/>
      </w:pPr>
      <w:r>
        <w:rPr>
          <w:color w:val="500050"/>
        </w:rPr>
        <w:t>⚡ Impact estimé sur la BRVM</w:t>
      </w:r>
    </w:p>
    <w:p>
      <w:pPr>
        <w:spacing w:before="20" w:after="40"/>
        <w:ind w:left="280"/>
      </w:pPr>
      <w:r>
        <w:rPr>
          <w:i/>
          <w:sz w:val="18"/>
        </w:rPr>
        <w:t>Signal positif : la BRVM pourrait bénéficier d'un effet de contagion positive et d'un regain d'intérêt des investisseurs panafricains.</w:t>
      </w:r>
    </w:p>
    <w:p>
      <w:pPr>
        <w:pStyle w:val="Heading2"/>
      </w:pPr>
      <w:r>
        <w:rPr>
          <w:color w:val="145A28"/>
        </w:rPr>
        <w:t>🌍 Plan Afrique de l'Ouest</w:t>
      </w:r>
    </w:p>
    <w:p>
      <w:pPr>
        <w:pStyle w:val="ListBullet"/>
        <w:spacing w:before="20" w:after="20"/>
        <w:ind w:left="360"/>
      </w:pPr>
      <w:r>
        <w:rPr>
          <w:sz w:val="18"/>
        </w:rPr>
        <w:t>Dynamique régionale haussière portée par les marchés africains.</w:t>
      </w:r>
    </w:p>
    <w:p>
      <w:pPr>
        <w:pStyle w:val="Heading3"/>
      </w:pPr>
      <w:r>
        <w:rPr>
          <w:color w:val="500050"/>
        </w:rPr>
        <w:t>⚡ Impact estimé sur la BRVM</w:t>
      </w:r>
    </w:p>
    <w:p>
      <w:pPr>
        <w:spacing w:before="20" w:after="40"/>
        <w:ind w:left="280"/>
      </w:pPr>
      <w:r>
        <w:rPr>
          <w:i/>
          <w:sz w:val="18"/>
        </w:rPr>
        <w:t>La BRVM conforte son positionnement de place de référence UEMOA, attirant les flux sous-régionaux.</w:t>
      </w:r>
    </w:p>
    <w:p>
      <w:pPr>
        <w:pStyle w:val="Heading2"/>
      </w:pPr>
      <w:r>
        <w:rPr>
          <w:color w:val="8C4600"/>
        </w:rPr>
        <w:t>🏦 Plan UEMOA / Zone Franc</w:t>
      </w:r>
    </w:p>
    <w:p>
      <w:pPr>
        <w:pStyle w:val="ListBullet"/>
        <w:spacing w:before="20" w:after="20"/>
        <w:ind w:left="360"/>
      </w:pPr>
      <w:r>
        <w:rPr>
          <w:sz w:val="18"/>
        </w:rPr>
        <w:t>Marché des titres publics attractif (BCEAO).</w:t>
      </w:r>
    </w:p>
    <w:p>
      <w:pPr>
        <w:pStyle w:val="ListBullet"/>
        <w:spacing w:before="20" w:after="20"/>
        <w:ind w:left="360"/>
      </w:pPr>
      <w:r>
        <w:rPr>
          <w:sz w:val="18"/>
        </w:rPr>
        <w:t>Arbitrage titres publics vs actions.</w:t>
      </w:r>
    </w:p>
    <w:p>
      <w:pPr>
        <w:pStyle w:val="Heading3"/>
      </w:pPr>
      <w:r>
        <w:rPr>
          <w:color w:val="500050"/>
        </w:rPr>
        <w:t>⚡ Impact estimé sur la BRVM</w:t>
      </w:r>
    </w:p>
    <w:p>
      <w:pPr>
        <w:spacing w:before="20" w:after="40"/>
        <w:ind w:left="280"/>
      </w:pPr>
      <w:r>
        <w:rPr>
          <w:i/>
          <w:sz w:val="18"/>
        </w:rPr>
        <w:t>La concurrence des taux obligataires souverains capte une partie de la liquidité bancaire, limitant la performance des actions à faible rendement. Privilégier les valeurs à dividende élevé.</w:t>
      </w:r>
    </w:p>
    <w:p>
      <w:pPr>
        <w:pStyle w:val="Heading2"/>
      </w:pPr>
      <w:r>
        <w:rPr>
          <w:color w:val="003366"/>
        </w:rPr>
        <w:t>📈 Plan BRVM</w:t>
      </w:r>
    </w:p>
    <w:p>
      <w:pPr>
        <w:pStyle w:val="ListBullet"/>
        <w:spacing w:before="20" w:after="20"/>
        <w:ind w:left="360"/>
      </w:pPr>
      <w:r>
        <w:rPr>
          <w:sz w:val="18"/>
        </w:rPr>
        <w:t>Indice Composite : **543.91**.</w:t>
      </w:r>
    </w:p>
    <w:p>
      <w:pPr>
        <w:pStyle w:val="ListBullet"/>
        <w:spacing w:before="20" w:after="20"/>
        <w:ind w:left="360"/>
      </w:pPr>
      <w:r>
        <w:rPr>
          <w:sz w:val="18"/>
        </w:rPr>
        <w:t>Résultats ivoiriens encourageants.</w:t>
      </w:r>
    </w:p>
    <w:p>
      <w:pPr>
        <w:pStyle w:val="Heading3"/>
      </w:pPr>
      <w:r>
        <w:rPr>
          <w:color w:val="500050"/>
        </w:rPr>
        <w:t>⚡ Impact estimé sur la BRVM</w:t>
      </w:r>
    </w:p>
    <w:p>
      <w:pPr>
        <w:pStyle w:val="ListBullet"/>
        <w:spacing w:before="20" w:after="20"/>
        <w:ind w:left="560"/>
      </w:pPr>
      <w:r>
        <w:rPr>
          <w:color w:val="500050"/>
          <w:sz w:val="18"/>
        </w:rPr>
        <w:t>**Achat** : SGBC, BICB, ONTBF (rendement + défensif).</w:t>
      </w:r>
    </w:p>
    <w:p>
      <w:pPr>
        <w:pStyle w:val="ListBullet"/>
        <w:spacing w:before="20" w:after="20"/>
        <w:ind w:left="560"/>
      </w:pPr>
      <w:r>
        <w:rPr>
          <w:color w:val="500050"/>
          <w:sz w:val="18"/>
        </w:rPr>
        <w:t>**Conserver** : ECOC, BOAS, SLBC.</w:t>
      </w:r>
    </w:p>
    <w:p>
      <w:pPr>
        <w:pStyle w:val="ListBullet"/>
        <w:spacing w:before="20" w:after="20"/>
        <w:ind w:left="560"/>
      </w:pPr>
      <w:r>
        <w:rPr>
          <w:color w:val="500050"/>
          <w:sz w:val="18"/>
        </w:rPr>
        <w:t>**Prudence** : SHEC (énergie volatile), UNXC/NEIC (inflation importée).</w:t>
      </w:r>
    </w:p>
    <w:p>
      <w:pPr>
        <w:pStyle w:val="ListBullet"/>
        <w:spacing w:before="20" w:after="20"/>
        <w:ind w:left="560"/>
      </w:pPr>
      <w:r>
        <w:rPr>
          <w:color w:val="500050"/>
          <w:sz w:val="18"/>
        </w:rPr>
        <w:t>**Surveiller** : CABC, SCRC, SOGC (matières premières).</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macro reste globalement porteur pour la BRVM (record décennal des marchés africains, résultats ivoiriens solides, indice à 543.91), mais le durcissement monétaire de la BCE, les tensions politiques sénégalaises et maliennes, ainsi que la concurrence des titres publics UEMOA introduisent des risques modérés. Recommandation : **surpondérer les financières à dividende (SGBC, BICB, BOAS) et ONTBF**, maintenir une exposition prudente sur l'énergie (SHEC) et la distribution (UNXC, NEIC), et surveiller les valeurs exposées aux matières premières (SLBC, SCRC, SOGC).</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2026-10-14</w:t>
            </w:r>
          </w:p>
        </w:tc>
        <w:tc>
          <w:tcPr>
            <w:tcW w:type="dxa" w:w="1728"/>
          </w:tcPr>
          <w:p>
            <w:r>
              <w:rPr>
                <w:sz w:val="14"/>
              </w:rPr>
              <w:t xml:space="preserve">Les prix à la production en Chine s'accélèrent tandis que l'inflation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La décision de la BCE fait grimper les taux : quel sera l’impact sur 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2026-10-13</w:t>
            </w:r>
          </w:p>
        </w:tc>
        <w:tc>
          <w:tcPr>
            <w:tcW w:type="dxa" w:w="1728"/>
          </w:tcPr>
          <w:p>
            <w:r>
              <w:rPr>
                <w:sz w:val="14"/>
              </w:rPr>
              <w:t>De nombreux facteurs exercent une pression sur les coûts de production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The index of African financial markets reaches its highest score in te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Cedeao : Parlement, le Président Faye appelle à renforcer l'intégratio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Sénégal: le Pastef demande cinq enquêtes, du pétrole aux fonds spéciau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2026-10-13</w:t>
            </w:r>
          </w:p>
        </w:tc>
        <w:tc>
          <w:tcPr>
            <w:tcW w:type="dxa" w:w="1728"/>
          </w:tcPr>
          <w:p>
            <w:r>
              <w:rPr>
                <w:sz w:val="14"/>
              </w:rPr>
              <w:t>Accord BBNJ : le Togo soutient la candidature de la ville chinoise Xia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2026-10-13</w:t>
            </w:r>
          </w:p>
        </w:tc>
        <w:tc>
          <w:tcPr>
            <w:tcW w:type="dxa" w:w="1728"/>
          </w:tcPr>
          <w:p>
            <w:r>
              <w:rPr>
                <w:sz w:val="14"/>
              </w:rPr>
              <w:t>Mali : L'ex maire de Bamako jugé pour la zone aéroportuaire de Sénou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Production du Riz : le Burkina Faso « déshabille » la politique d’impo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Sénégal : Aminata Touré et Amadou Ba s’opposent sur l’enquête concerna</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 xml:space="preserve">Sénégal : les commissions d’enquête de Pastef interrogent la cohésion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 xml:space="preserve">Les prix à la production en Chine s'accélèrent tandis que l'inflation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La décision de la BCE fait grimper les taux : quel sera l’impact sur 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Sénégal: le Pastef demande cinq enquêtes, du pétrole aux fonds spéciau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Production du Riz : le Burkina Faso « déshabille » la politique d’impo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The index of African financial markets reaches its highest score in te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2026-10-14</w:t>
            </w:r>
          </w:p>
        </w:tc>
        <w:tc>
          <w:tcPr>
            <w:tcW w:type="dxa" w:w="1728"/>
          </w:tcPr>
          <w:p>
            <w:r>
              <w:rPr>
                <w:sz w:val="14"/>
              </w:rPr>
              <w:t>Sénégal: le Pastef demande cinq enquêtes, du pétrole aux fonds spéciau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Production du Riz : le Burkina Faso « déshabille » la politique d’impo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Sénégal: le Pastef demande cinq enquêtes, du pétrole aux fonds spéciau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Production du Riz : le Burkina Faso « déshabille » la politique d’impo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Sénégal : Aminata Touré et Amadou Ba s’opposent sur l’enquête concerna</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 xml:space="preserve">Sénégal : les commissions d’enquête de Pastef interrogent la cohésion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Sénégal: le Pastef demande cinq enquêtes, du pétrole aux fonds spéciau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2026-10-13</w:t>
            </w:r>
          </w:p>
        </w:tc>
        <w:tc>
          <w:tcPr>
            <w:tcW w:type="dxa" w:w="1728"/>
          </w:tcPr>
          <w:p>
            <w:r>
              <w:rPr>
                <w:sz w:val="14"/>
              </w:rPr>
              <w:t>Accord BBNJ : le Togo soutient la candidature de la ville chinoise Xia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2026-10-13</w:t>
            </w:r>
          </w:p>
        </w:tc>
        <w:tc>
          <w:tcPr>
            <w:tcW w:type="dxa" w:w="1728"/>
          </w:tcPr>
          <w:p>
            <w:r>
              <w:rPr>
                <w:sz w:val="14"/>
              </w:rPr>
              <w:t>Mali : L'ex maire de Bamako jugé pour la zone aéroportuaire de Sénou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Production du Riz : le Burkina Faso « déshabille » la politique d’impo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Sénégal: le Pastef demande cinq enquêtes, du pétrole aux fonds spéciau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Production du Riz : le Burkina Faso « déshabille » la politique d’impo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Sénégal : Aminata Touré et Amadou Ba s’opposent sur l’enquête concerna</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2026-10-14</w:t>
            </w:r>
          </w:p>
        </w:tc>
        <w:tc>
          <w:tcPr>
            <w:tcW w:type="dxa" w:w="1728"/>
          </w:tcPr>
          <w:p>
            <w:r>
              <w:rPr>
                <w:sz w:val="14"/>
              </w:rPr>
              <w:t xml:space="preserve">Les prix à la production en Chine s'accélèrent tandis que l'inflation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La décision de la BCE fait grimper les taux : quel sera l’impact sur 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The index of African financial markets reaches its highest score in te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La décision de la BCE fait grimper les taux : quel sera l’impact sur 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The index of African financial markets reaches its highest score in te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2026-10-13</w:t>
            </w:r>
          </w:p>
        </w:tc>
        <w:tc>
          <w:tcPr>
            <w:tcW w:type="dxa" w:w="1728"/>
          </w:tcPr>
          <w:p>
            <w:r>
              <w:rPr>
                <w:sz w:val="14"/>
              </w:rPr>
              <w:t>Pour les Etats de l’AES veulent décoloniser les savoirs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La décision de la BCE fait grimper les taux : quel sera l’impact sur 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The index of African financial markets reaches its highest score in te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2026-10-13</w:t>
            </w:r>
          </w:p>
        </w:tc>
        <w:tc>
          <w:tcPr>
            <w:tcW w:type="dxa" w:w="1728"/>
          </w:tcPr>
          <w:p>
            <w:r>
              <w:rPr>
                <w:sz w:val="14"/>
              </w:rPr>
              <w:t>Pour les Etats de l’AES veulent décoloniser les savoirs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La décision de la BCE fait grimper les taux : quel sera l’impact sur 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The index of African financial markets reaches its highest score in te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2026-10-14</w:t>
            </w:r>
          </w:p>
        </w:tc>
        <w:tc>
          <w:tcPr>
            <w:tcW w:type="dxa" w:w="1728"/>
          </w:tcPr>
          <w:p>
            <w:r>
              <w:rPr>
                <w:sz w:val="14"/>
              </w:rPr>
              <w:t>Sénégal: le Pastef demande cinq enquêtes, du pétrole aux fonds spéciau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La décision de la BCE fait grimper les taux : quel sera l’impact sur 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The index of African financial markets reaches its highest score in te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2026-10-13</w:t>
            </w:r>
          </w:p>
        </w:tc>
        <w:tc>
          <w:tcPr>
            <w:tcW w:type="dxa" w:w="1728"/>
          </w:tcPr>
          <w:p>
            <w:r>
              <w:rPr>
                <w:sz w:val="14"/>
              </w:rPr>
              <w:t>Pour les Etats de l’AES veulent décoloniser les savoirs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(15 alerte(s))</w:t>
      </w:r>
    </w:p>
    <w:p>
      <w:pPr>
        <w:spacing w:before="40" w:after="40"/>
        <w:ind w:left="360"/>
      </w:pPr>
      <w:r>
        <w:rPr>
          <w:color w:val="646464"/>
          <w:sz w:val="17"/>
        </w:rPr>
        <w:t xml:space="preserve">[14/10/2026] 🔴  </w:t>
      </w:r>
      <w:r>
        <w:rPr>
          <w:b/>
          <w:color w:val="C00000"/>
          <w:sz w:val="18"/>
        </w:rPr>
        <w:t>Production du Riz : le Burkina Faso « déshabille » la politique d’import-substitution du Cameroun - Actu Cameroun</w:t>
      </w:r>
      <w:r>
        <w:rPr>
          <w:color w:val="787878"/>
          <w:sz w:val="15"/>
        </w:rPr>
        <w:t xml:space="preserve">  [politique]</w:t>
      </w:r>
      <w:r>
        <w:rPr>
          <w:color w:val="B47800"/>
          <w:sz w:val="16"/>
        </w:rPr>
        <w:t xml:space="preserve">  ★ 50/10</w:t>
      </w:r>
    </w:p>
    <w:p>
      <w:pPr>
        <w:spacing w:before="0" w:after="20"/>
        <w:ind w:left="600"/>
      </w:pPr>
      <w:r>
        <w:rPr>
          <w:color w:val="323232"/>
          <w:sz w:val="17"/>
        </w:rPr>
        <w:t>Le Burkina Faso a réussi à augmenter sa production de riz au point de concurrencer les importations camerounaises, remettant en cause la politique d'import-substitution du Cameroun. Cette performance burkinabè met en lumière les limites de la stratégie camerounaise visant à réduire sa dépendance aux importations de riz. L'article souligne que le Bu</w:t>
      </w:r>
    </w:p>
    <w:p>
      <w:pPr>
        <w:spacing w:before="0" w:after="40"/>
        <w:ind w:left="600"/>
      </w:pPr>
      <w:r>
        <w:rPr>
          <w:color w:val="00643C"/>
          <w:sz w:val="16"/>
        </w:rPr>
        <w:t>Points clés : Le Burkina Faso accroît sa production rizicole et devient compétitif face au Cameroun.  •  La politique d'import-substitution du Cameroun est remise en question.  •  L'article suggère un échec de la stratégie camerounaise de réduction des importations.</w:t>
      </w:r>
    </w:p>
    <w:p>
      <w:pPr>
        <w:spacing w:before="0" w:after="60"/>
        <w:ind w:left="600"/>
      </w:pPr>
      <w:r>
        <w:rPr>
          <w:color w:val="0064B4"/>
          <w:sz w:val="15"/>
        </w:rPr>
        <w:t>Source : https://news.google.com/rss/articles/CBMixgFBVV95cUxNWGY0R1hpakNNZXhmVzJEQ01oMVF</w:t>
      </w:r>
    </w:p>
    <w:p>
      <w:pPr>
        <w:spacing w:before="40" w:after="40"/>
        <w:ind w:left="360"/>
      </w:pPr>
      <w:r>
        <w:rPr>
          <w:color w:val="646464"/>
          <w:sz w:val="17"/>
        </w:rPr>
        <w:t xml:space="preserve">[14/10/2026] 🟢  </w:t>
      </w:r>
      <w:r>
        <w:rPr>
          <w:b/>
          <w:color w:val="008000"/>
          <w:sz w:val="18"/>
        </w:rPr>
        <w:t>La Chine et le Togo rehaussent leurs relations bilatérales lors d’entretiens à Pékin - Anadolu Ajansı</w:t>
      </w:r>
      <w:r>
        <w:rPr>
          <w:color w:val="787878"/>
          <w:sz w:val="15"/>
        </w:rPr>
        <w:t xml:space="preserve">  [politique]</w:t>
      </w:r>
      <w:r>
        <w:rPr>
          <w:color w:val="B47800"/>
          <w:sz w:val="16"/>
        </w:rPr>
        <w:t xml:space="preserve">  ★ 50/10</w:t>
      </w:r>
    </w:p>
    <w:p>
      <w:pPr>
        <w:spacing w:before="0" w:after="20"/>
        <w:ind w:left="600"/>
      </w:pPr>
      <w:r>
        <w:rPr>
          <w:color w:val="323232"/>
          <w:sz w:val="17"/>
        </w:rPr>
        <w:t>La Chine et le Togo ont décidé de rehausser le niveau de leurs relations bilatérales à l'issue d'entretiens tenus à Pékin. Cette décision marque un renforcement de la coopération entre les deux pays, susceptible de se traduire par des accords dans les domaines économique, commercial et des infrastructures. Pour le Togo, ce rapprochement pourrait at</w:t>
      </w:r>
    </w:p>
    <w:p>
      <w:pPr>
        <w:spacing w:before="0" w:after="40"/>
        <w:ind w:left="600"/>
      </w:pPr>
      <w:r>
        <w:rPr>
          <w:color w:val="00643C"/>
          <w:sz w:val="16"/>
        </w:rPr>
        <w:t>Points clés : Rehaussement des relations bilatérales entre la Chine et le Togo  •  Entretiens officiels tenus à Pékin  •  Perspectives de coopération économique et d'investissements chinois au Togo</w:t>
      </w:r>
    </w:p>
    <w:p>
      <w:pPr>
        <w:spacing w:before="0" w:after="60"/>
        <w:ind w:left="600"/>
      </w:pPr>
      <w:r>
        <w:rPr>
          <w:color w:val="0064B4"/>
          <w:sz w:val="15"/>
        </w:rPr>
        <w:t>Source : https://news.google.com/rss/articles/CBMi2gFBVV95cUxPWWxWYXlKa29ZZVRnbUZCM05rUFF</w:t>
      </w:r>
    </w:p>
    <w:p>
      <w:pPr>
        <w:spacing w:before="40" w:after="40"/>
        <w:ind w:left="360"/>
      </w:pPr>
      <w:r>
        <w:rPr>
          <w:color w:val="646464"/>
          <w:sz w:val="17"/>
        </w:rPr>
        <w:t xml:space="preserve">[14/10/2026] 🔴  </w:t>
      </w:r>
      <w:r>
        <w:rPr>
          <w:b/>
          <w:color w:val="C00000"/>
          <w:sz w:val="18"/>
        </w:rPr>
        <w:t>Sénégal : les commissions d’enquête de Pastef interrogent la cohésion de l’exécutif - Africtelegraph</w:t>
      </w:r>
      <w:r>
        <w:rPr>
          <w:color w:val="787878"/>
          <w:sz w:val="15"/>
        </w:rPr>
        <w:t xml:space="preserve">  [politique]</w:t>
      </w:r>
      <w:r>
        <w:rPr>
          <w:color w:val="B47800"/>
          <w:sz w:val="16"/>
        </w:rPr>
        <w:t xml:space="preserve">  ★ 50/10</w:t>
      </w:r>
    </w:p>
    <w:p>
      <w:pPr>
        <w:spacing w:before="0" w:after="20"/>
        <w:ind w:left="600"/>
      </w:pPr>
      <w:r>
        <w:rPr>
          <w:color w:val="323232"/>
          <w:sz w:val="17"/>
        </w:rPr>
        <w:t>Le parti Pastef au pouvoir au Sénégal a lancé des commissions d'enquête parlementaires qui suscitent des tensions au sein de l'exécutif. Ces initiatives visent probablement à examiner la gestion des affaires publiques sous les régimes précédents. Les divergences qu'elles révèlent interrogent la cohésion de la coalition gouvernementale. Cette situat</w:t>
      </w:r>
    </w:p>
    <w:p>
      <w:pPr>
        <w:spacing w:before="0" w:after="40"/>
        <w:ind w:left="600"/>
      </w:pPr>
      <w:r>
        <w:rPr>
          <w:color w:val="00643C"/>
          <w:sz w:val="16"/>
        </w:rPr>
        <w:t>Points clés : Lancement de commissions d'enquête par le parti Pastef  •  Tensions au sein de l'exécutif sénégalais  •  Risque de fragmentation de la majorité présidentielle  •  Incertitude politique susceptible d'affecter le climat des affaires</w:t>
      </w:r>
    </w:p>
    <w:p>
      <w:pPr>
        <w:spacing w:before="0" w:after="60"/>
        <w:ind w:left="600"/>
      </w:pPr>
      <w:r>
        <w:rPr>
          <w:color w:val="0064B4"/>
          <w:sz w:val="15"/>
        </w:rPr>
        <w:t>Source : https://news.google.com/rss/articles/CBMisgFBVV95cUxPa3FOazU1Znc3TVg2dTRZbEFZVkt</w:t>
      </w:r>
    </w:p>
    <w:p>
      <w:pPr>
        <w:spacing w:before="40" w:after="40"/>
        <w:ind w:left="360"/>
      </w:pPr>
      <w:r>
        <w:rPr>
          <w:color w:val="646464"/>
          <w:sz w:val="17"/>
        </w:rPr>
        <w:t xml:space="preserve">[14/10/2026] 🔴  </w:t>
      </w:r>
      <w:r>
        <w:rPr>
          <w:b/>
          <w:color w:val="C00000"/>
          <w:sz w:val="18"/>
        </w:rPr>
        <w:t>Sénégal: le Pastef demande cinq enquêtes, du pétrole aux fonds spéciaux - Bénin Web TV</w:t>
      </w:r>
      <w:r>
        <w:rPr>
          <w:color w:val="787878"/>
          <w:sz w:val="15"/>
        </w:rPr>
        <w:t xml:space="preserve">  [politique]</w:t>
      </w:r>
      <w:r>
        <w:rPr>
          <w:color w:val="B47800"/>
          <w:sz w:val="16"/>
        </w:rPr>
        <w:t xml:space="preserve">  ★ 50/10</w:t>
      </w:r>
    </w:p>
    <w:p>
      <w:pPr>
        <w:spacing w:before="0" w:after="20"/>
        <w:ind w:left="600"/>
      </w:pPr>
      <w:r>
        <w:rPr>
          <w:color w:val="323232"/>
          <w:sz w:val="17"/>
        </w:rPr>
        <w:t>Le parti Pastef au Sénégal demande l'ouverture de cinq enquêtes portant sur des sujets sensibles, notamment la gestion du pétrole et des fonds spéciaux. Cette initiative intervient dans un contexte politique tendu et pourrait viser des responsables de l'ancien régime. Les enquêtes réclamées concernent des secteurs stratégiques pour l'économie sénég</w:t>
      </w:r>
    </w:p>
    <w:p>
      <w:pPr>
        <w:spacing w:before="0" w:after="40"/>
        <w:ind w:left="600"/>
      </w:pPr>
      <w:r>
        <w:rPr>
          <w:color w:val="00643C"/>
          <w:sz w:val="16"/>
        </w:rPr>
        <w:t>Points clés : Le Pastef réclame cinq enquêtes sur le pétrole et les fonds spéciaux  •  Les enquêtes ciblent potentiellement des malversations sous l'ancien régime  •  Le pétrole est un secteur clé pour les recettes publiques du Sénégal  •  Risque politique accru pouvant affecter la confiance des investisseurs</w:t>
      </w:r>
    </w:p>
    <w:p>
      <w:pPr>
        <w:spacing w:before="0" w:after="60"/>
        <w:ind w:left="600"/>
      </w:pPr>
      <w:r>
        <w:rPr>
          <w:color w:val="0064B4"/>
          <w:sz w:val="15"/>
        </w:rPr>
        <w:t>Source : https://news.google.com/rss/articles/CBMilwFBVV95cUxPY3FiNVRTcHVESEZ5TXpjSml2TzI</w:t>
      </w:r>
    </w:p>
    <w:p>
      <w:pPr>
        <w:spacing w:before="40" w:after="40"/>
        <w:ind w:left="360"/>
      </w:pPr>
      <w:r>
        <w:rPr>
          <w:color w:val="646464"/>
          <w:sz w:val="17"/>
        </w:rPr>
        <w:t xml:space="preserve">[14/10/2026] 🔴  </w:t>
      </w:r>
      <w:r>
        <w:rPr>
          <w:b/>
          <w:color w:val="C00000"/>
          <w:sz w:val="18"/>
        </w:rPr>
        <w:t>Sénégal : Aminata Touré et Amadou Ba s’opposent sur l’enquête concernant les fonds spéciaux - 24heureinfo</w:t>
      </w:r>
      <w:r>
        <w:rPr>
          <w:color w:val="787878"/>
          <w:sz w:val="15"/>
        </w:rPr>
        <w:t xml:space="preserve">  [politique]</w:t>
      </w:r>
      <w:r>
        <w:rPr>
          <w:color w:val="B47800"/>
          <w:sz w:val="16"/>
        </w:rPr>
        <w:t xml:space="preserve">  ★ 50/10</w:t>
      </w:r>
    </w:p>
    <w:p>
      <w:pPr>
        <w:spacing w:before="0" w:after="20"/>
        <w:ind w:left="600"/>
      </w:pPr>
      <w:r>
        <w:rPr>
          <w:color w:val="323232"/>
          <w:sz w:val="17"/>
        </w:rPr>
        <w:t>L'article rapporte une opposition entre Aminata Touré et Amadou Ba au Sénégal concernant l'enquête sur les fonds spéciaux. Les deux personnalités politiques divergent sur la gestion et la transparence de ces fonds. Cette controverse intervient dans un contexte de tensions politiques accrues. Elle pourrait alimenter le débat public sur la gouvernanc</w:t>
      </w:r>
    </w:p>
    <w:p>
      <w:pPr>
        <w:spacing w:before="0" w:after="40"/>
        <w:ind w:left="600"/>
      </w:pPr>
      <w:r>
        <w:rPr>
          <w:color w:val="00643C"/>
          <w:sz w:val="16"/>
        </w:rPr>
        <w:t>Points clés : Aminata Touré et Amadou Ba s'opposent sur l'enquête relative aux fonds spéciaux  •  Divergence politique sur la transparence et la gestion des fonds publics  •  Contexte de tensions politiques au Sénégal</w:t>
      </w:r>
    </w:p>
    <w:p>
      <w:pPr>
        <w:spacing w:before="0" w:after="60"/>
        <w:ind w:left="600"/>
      </w:pPr>
      <w:r>
        <w:rPr>
          <w:color w:val="0064B4"/>
          <w:sz w:val="15"/>
        </w:rPr>
        <w:t>Source : https://news.google.com/rss/articles/CBMivAFBVV95cUxOVkk2dHpjTTFaVzFhZlFhRU95aWh</w:t>
      </w:r>
    </w:p>
    <w:p>
      <w:pPr>
        <w:spacing w:before="120" w:after="40"/>
      </w:pPr>
      <w:r>
        <w:rPr>
          <w:b/>
          <w:color w:val="00467F"/>
          <w:sz w:val="20"/>
        </w:rPr>
        <w:t>🔑 marche_financier  (1 alerte(s))</w:t>
      </w:r>
    </w:p>
    <w:p>
      <w:pPr>
        <w:spacing w:before="40" w:after="40"/>
        <w:ind w:left="360"/>
      </w:pPr>
      <w:r>
        <w:rPr>
          <w:color w:val="646464"/>
          <w:sz w:val="17"/>
        </w:rPr>
        <w:t xml:space="preserve">[14/10/2026] 🟢  </w:t>
      </w:r>
      <w:r>
        <w:rPr>
          <w:b/>
          <w:color w:val="008000"/>
          <w:sz w:val="18"/>
        </w:rPr>
        <w:t>The index of African financial markets reaches its highest score in ten years - beninwebtv.com</w:t>
      </w:r>
      <w:r>
        <w:rPr>
          <w:color w:val="787878"/>
          <w:sz w:val="15"/>
        </w:rPr>
        <w:t xml:space="preserve">  [marche_financier]</w:t>
      </w:r>
      <w:r>
        <w:rPr>
          <w:color w:val="B47800"/>
          <w:sz w:val="16"/>
        </w:rPr>
        <w:t xml:space="preserve">  ★ 50/10</w:t>
      </w:r>
    </w:p>
    <w:p>
      <w:pPr>
        <w:spacing w:before="0" w:after="20"/>
        <w:ind w:left="600"/>
      </w:pPr>
      <w:r>
        <w:rPr>
          <w:color w:val="323232"/>
          <w:sz w:val="17"/>
        </w:rPr>
        <w:t>L'indice des marchés financiers africains a atteint son plus haut niveau en dix ans, selon beninwebtv.com. Cette performance reflète une dynamique haussière sur les places africaines, portée par un contexte économique et financier favorable. Cette information est de nature à renforcer la confiance des investisseurs sur le continent.</w:t>
      </w:r>
    </w:p>
    <w:p>
      <w:pPr>
        <w:spacing w:before="0" w:after="40"/>
        <w:ind w:left="600"/>
      </w:pPr>
      <w:r>
        <w:rPr>
          <w:color w:val="00643C"/>
          <w:sz w:val="16"/>
        </w:rPr>
        <w:t>Points clés : L'indice des marchés financiers africains atteint son plus haut niveau depuis dix ans  •  Performance positive des places financières africaines  •  Signal de confiance pour les investisseurs sur le continent</w:t>
      </w:r>
    </w:p>
    <w:p>
      <w:pPr>
        <w:spacing w:before="0" w:after="60"/>
        <w:ind w:left="600"/>
      </w:pPr>
      <w:r>
        <w:rPr>
          <w:color w:val="0064B4"/>
          <w:sz w:val="15"/>
        </w:rPr>
        <w:t>Source : https://news.google.com/rss/articles/CBMipwFBVV95cUxPdFVNNlF1ZHh0ZmQ5cEYzNlVDa3p</w:t>
      </w:r>
    </w:p>
    <w:p>
      <w:pPr>
        <w:spacing w:before="120" w:after="40"/>
      </w:pPr>
      <w:r>
        <w:rPr>
          <w:b/>
          <w:color w:val="00467F"/>
          <w:sz w:val="20"/>
        </w:rPr>
        <w:t>🔑 politique_monetaire  (1 alerte(s))</w:t>
      </w:r>
    </w:p>
    <w:p>
      <w:pPr>
        <w:spacing w:before="40" w:after="40"/>
        <w:ind w:left="360"/>
      </w:pPr>
      <w:r>
        <w:rPr>
          <w:color w:val="646464"/>
          <w:sz w:val="17"/>
        </w:rPr>
        <w:t xml:space="preserve">[14/10/2026] 🔴  </w:t>
      </w:r>
      <w:r>
        <w:rPr>
          <w:b/>
          <w:color w:val="C00000"/>
          <w:sz w:val="18"/>
        </w:rPr>
        <w:t>La décision de la BCE fait grimper les taux : quel sera l’impact sur votre futur crédit immobilier ? - lanouvellerepubli</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décidé de relever ses taux directeurs, ce qui entraîne une hausse des taux d'intérêt sur le marché. Cette décision aura un impact direct sur les futurs crédits immobiliers, en renchérissant le coût de l'emprunt pour les ménages. Les acquéreurs potentiels devront faire face à des mensualités plus élevées ou revo</w:t>
      </w:r>
    </w:p>
    <w:p>
      <w:pPr>
        <w:spacing w:before="0" w:after="40"/>
        <w:ind w:left="600"/>
      </w:pPr>
      <w:r>
        <w:rPr>
          <w:color w:val="00643C"/>
          <w:sz w:val="16"/>
        </w:rPr>
        <w:t>Points clés : La BCE augmente ses taux directeurs  •  Les taux des crédits immobiliers vont augmenter  •  Le pouvoir d'achat immobilier des ménages diminue</w:t>
      </w:r>
    </w:p>
    <w:p>
      <w:pPr>
        <w:spacing w:before="0" w:after="60"/>
        <w:ind w:left="600"/>
      </w:pPr>
      <w:r>
        <w:rPr>
          <w:color w:val="0064B4"/>
          <w:sz w:val="15"/>
        </w:rPr>
        <w:t>Source : https://news.google.com/rss/articles/CBMi5wFBVV95cUxNV3U2bF9feUI1LXRVeDVtTlJGekN</w:t>
      </w:r>
    </w:p>
    <w:p>
      <w:pPr>
        <w:spacing w:before="120" w:after="40"/>
      </w:pPr>
      <w:r>
        <w:rPr>
          <w:b/>
          <w:color w:val="00467F"/>
          <w:sz w:val="20"/>
        </w:rPr>
        <w:t>🔑 matieres_premieres  (2 alerte(s))</w:t>
      </w:r>
    </w:p>
    <w:p>
      <w:pPr>
        <w:spacing w:before="40" w:after="40"/>
        <w:ind w:left="360"/>
      </w:pPr>
      <w:r>
        <w:rPr>
          <w:color w:val="646464"/>
          <w:sz w:val="17"/>
        </w:rPr>
        <w:t xml:space="preserve">[14/10/2026] ⚪  </w:t>
      </w:r>
      <w:r>
        <w:rPr>
          <w:b/>
          <w:color w:val="505050"/>
          <w:sz w:val="18"/>
        </w:rPr>
        <w:t>Les prix à la production en Chine s'accélèrent tandis que l'inflation des prix à la consommation reste modérée - IndexBo</w:t>
      </w:r>
      <w:r>
        <w:rPr>
          <w:color w:val="787878"/>
          <w:sz w:val="15"/>
        </w:rPr>
        <w:t xml:space="preserve">  [matieres_premieres]</w:t>
      </w:r>
      <w:r>
        <w:rPr>
          <w:color w:val="B47800"/>
          <w:sz w:val="16"/>
        </w:rPr>
        <w:t xml:space="preserve">  ★ 50/10</w:t>
      </w:r>
    </w:p>
    <w:p>
      <w:pPr>
        <w:spacing w:before="0" w:after="20"/>
        <w:ind w:left="600"/>
      </w:pPr>
      <w:r>
        <w:rPr>
          <w:color w:val="323232"/>
          <w:sz w:val="17"/>
        </w:rPr>
        <w:t>Les prix à la production en Chine s'accélèrent, signalant une pression inflationniste en amont dans la chaîne de production. En revanche, l'inflation des prix à la consommation reste modérée, ce qui suggère que la hausse des coûts de production ne se répercute pas encore pleinement sur les consommateurs. Cette divergence pourrait refléter des tensi</w:t>
      </w:r>
    </w:p>
    <w:p>
      <w:pPr>
        <w:spacing w:before="0" w:after="40"/>
        <w:ind w:left="600"/>
      </w:pPr>
      <w:r>
        <w:rPr>
          <w:color w:val="00643C"/>
          <w:sz w:val="16"/>
        </w:rPr>
        <w:t>Points clés : Accélération des prix à la production en Chine  •  Inflation des prix à la consommation modérée  •  Divergence entre prix amont et aval  •  Risque de pression sur les marges des entreprises</w:t>
      </w:r>
    </w:p>
    <w:p>
      <w:pPr>
        <w:spacing w:before="0" w:after="60"/>
        <w:ind w:left="600"/>
      </w:pPr>
      <w:r>
        <w:rPr>
          <w:color w:val="0064B4"/>
          <w:sz w:val="15"/>
        </w:rPr>
        <w:t>Source : https://news.google.com/rss/articles/CBMipAFBVV95cUxPbHZyV2g4QVRIeUFsWWZCd1B3alZ</w:t>
      </w:r>
    </w:p>
    <w:p>
      <w:pPr>
        <w:spacing w:before="40" w:after="40"/>
        <w:ind w:left="360"/>
      </w:pPr>
      <w:r>
        <w:rPr>
          <w:color w:val="646464"/>
          <w:sz w:val="17"/>
        </w:rPr>
        <w:t xml:space="preserve">[13/10/2026] 🔴  </w:t>
      </w:r>
      <w:r>
        <w:rPr>
          <w:b/>
          <w:color w:val="C00000"/>
          <w:sz w:val="18"/>
        </w:rPr>
        <w:t>De nombreux facteurs exercent une pression sur les coûts de production et les prix des matières premières. - Vietnam.vn</w:t>
      </w:r>
      <w:r>
        <w:rPr>
          <w:color w:val="787878"/>
          <w:sz w:val="15"/>
        </w:rPr>
        <w:t xml:space="preserve">  [matieres_premieres]</w:t>
      </w:r>
      <w:r>
        <w:rPr>
          <w:color w:val="B47800"/>
          <w:sz w:val="16"/>
        </w:rPr>
        <w:t xml:space="preserve">  ★ 50/10</w:t>
      </w:r>
    </w:p>
    <w:p>
      <w:pPr>
        <w:spacing w:before="0" w:after="20"/>
        <w:ind w:left="600"/>
      </w:pPr>
      <w:r>
        <w:rPr>
          <w:color w:val="323232"/>
          <w:sz w:val="17"/>
        </w:rPr>
        <w:t>L'article évoque une pression généralisée sur les coûts de production et les prix des matières premières, sans fournir de détails spécifiques sur les causes ou les régions concernées. Cette situation pourrait entraîner une volatilité accrue des prix des matières premières à l'échelle mondiale. Pour les investisseurs, cela implique une vigilance acc</w:t>
      </w:r>
    </w:p>
    <w:p>
      <w:pPr>
        <w:spacing w:before="0" w:after="40"/>
        <w:ind w:left="600"/>
      </w:pPr>
      <w:r>
        <w:rPr>
          <w:color w:val="00643C"/>
          <w:sz w:val="16"/>
        </w:rPr>
        <w:t>Points clés : Pression sur les coûts de production  •  Hausse potentielle des prix des matières premières  •  Manque de détails spécifiques dans l'article</w:t>
      </w:r>
    </w:p>
    <w:p>
      <w:pPr>
        <w:spacing w:before="0" w:after="60"/>
        <w:ind w:left="600"/>
      </w:pPr>
      <w:r>
        <w:rPr>
          <w:color w:val="0064B4"/>
          <w:sz w:val="15"/>
        </w:rPr>
        <w:t>Source : https://news.google.com/rss/articles/CBMijwFBVV95cUxNT1pjNC1ldU1OblY1UG9wbm1uRWd</w:t>
      </w:r>
    </w:p>
    <w:p>
      <w:pPr>
        <w:spacing w:before="120" w:after="40"/>
      </w:pPr>
      <w:r>
        <w:rPr>
          <w:b/>
          <w:color w:val="00467F"/>
          <w:sz w:val="20"/>
        </w:rPr>
        <w:t>🔑 économique  (1 alerte(s))</w:t>
      </w:r>
    </w:p>
    <w:p>
      <w:pPr>
        <w:spacing w:before="40" w:after="40"/>
        <w:ind w:left="360"/>
      </w:pPr>
      <w:r>
        <w:rPr>
          <w:color w:val="646464"/>
          <w:sz w:val="17"/>
        </w:rPr>
        <w:t xml:space="preserve">[12/10/2026] ⚪  </w:t>
      </w:r>
      <w:r>
        <w:rPr>
          <w:b/>
          <w:color w:val="505050"/>
          <w:sz w:val="18"/>
        </w:rPr>
        <w:t>Forum parlementaire mondial : Hadja Mémounatou Ibrahima représente le Parlement de la Cédéao à Bangkok - Le Nouveau Repo</w:t>
      </w:r>
      <w:r>
        <w:rPr>
          <w:color w:val="787878"/>
          <w:sz w:val="15"/>
        </w:rPr>
        <w:t xml:space="preserve">  [économique]</w:t>
      </w:r>
      <w:r>
        <w:rPr>
          <w:color w:val="B47800"/>
          <w:sz w:val="16"/>
        </w:rPr>
        <w:t xml:space="preserve">  ★ 50/10</w:t>
      </w:r>
    </w:p>
    <w:p>
      <w:pPr>
        <w:spacing w:before="0" w:after="20"/>
        <w:ind w:left="600"/>
      </w:pPr>
      <w:r>
        <w:rPr>
          <w:color w:val="323232"/>
          <w:sz w:val="17"/>
        </w:rPr>
        <w:t>La Présidente du Parlement de la Cédéao, Hadja Mémounatou Ibrahima, a représenté l'institution lors du Forum parlementaire mondial qui s'est tenu à Bangkok. Cette participation s'inscrit dans le cadre du renforcement de la coopération interparlementaire et de la diplomatie parlementaire régionale. L'événement a permis d'échanger sur les grands enje</w:t>
      </w:r>
    </w:p>
    <w:p>
      <w:pPr>
        <w:spacing w:before="0" w:after="40"/>
        <w:ind w:left="600"/>
      </w:pPr>
      <w:r>
        <w:rPr>
          <w:color w:val="00643C"/>
          <w:sz w:val="16"/>
        </w:rPr>
        <w:t>Points clés : Hadja Mémounatou Ibrahima, Présidente du Parlement de la Cédéao, a représenté l'institution à Bangkok.  •  Participation au Forum parlementaire mondial, cadre de dialogue interparlementaire international.  •  Aucune annonce économique ou commerciale impactant directement les marchés n'a été faite.</w:t>
      </w:r>
    </w:p>
    <w:p>
      <w:pPr>
        <w:spacing w:before="0" w:after="60"/>
        <w:ind w:left="600"/>
      </w:pPr>
      <w:r>
        <w:rPr>
          <w:color w:val="0064B4"/>
          <w:sz w:val="15"/>
        </w:rPr>
        <w:t>Source : https://news.google.com/rss/articles/CBMiywFBVV95cUxQS25iZWVOWGxDUi14ZTRvcHZKNFV</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16,200</w:t>
            </w:r>
          </w:p>
        </w:tc>
        <w:tc>
          <w:tcPr>
            <w:tcW w:type="dxa" w:w="1080"/>
            <w:shd w:fill="C6EFCE" w:val="clear"/>
          </w:tcPr>
          <w:p>
            <w:r>
              <w:rPr>
                <w:b/>
                <w:sz w:val="16"/>
              </w:rPr>
              <w:t>86/100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3,190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2,190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8,150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2,190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6</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2,090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7</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3,000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37,600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12,900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3,060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6,195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13</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2,460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14</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8,440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15</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16</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3,020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21,300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1,855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15,400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7,785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44,900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7,850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3,205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4,645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1,445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66</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21,000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2,820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8,700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11,395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2,085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10,395</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4,005</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31,450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1,885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9,375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15,740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6,100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8,050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48,000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16,200</w:t>
            </w:r>
          </w:p>
        </w:tc>
        <w:tc>
          <w:tcPr>
            <w:tcW w:type="dxa" w:w="1728"/>
            <w:shd w:fill="DEEAF1" w:val="clear"/>
          </w:tcPr>
          <w:p>
            <w:r>
              <w:rPr>
                <w:sz w:val="17"/>
              </w:rPr>
              <w:t>86/100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3,190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2,190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8,150</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3,000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37,600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12,900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16,200</w:t>
            </w:r>
          </w:p>
        </w:tc>
        <w:tc>
          <w:tcPr>
            <w:tcW w:type="dxa" w:w="1728"/>
            <w:shd w:fill="E2EFDA" w:val="clear"/>
          </w:tcPr>
          <w:p>
            <w:r>
              <w:rPr>
                <w:sz w:val="17"/>
              </w:rPr>
              <w:t>86/100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3,190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SHEC</w:t>
            </w:r>
          </w:p>
        </w:tc>
        <w:tc>
          <w:tcPr>
            <w:tcW w:type="dxa" w:w="1728"/>
            <w:shd w:fill="E2EFDA" w:val="clear"/>
          </w:tcPr>
          <w:p>
            <w:r>
              <w:rPr>
                <w:sz w:val="17"/>
              </w:rPr>
              <w:t>SHEC - VIVO ENERGY COTE D'IV</w:t>
            </w:r>
          </w:p>
        </w:tc>
        <w:tc>
          <w:tcPr>
            <w:tcW w:type="dxa" w:w="1728"/>
            <w:shd w:fill="E2EFDA" w:val="clear"/>
          </w:tcPr>
          <w:p>
            <w:r>
              <w:rPr>
                <w:sz w:val="17"/>
              </w:rPr>
              <w:t>2,190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8,150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2,190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2,090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3,000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39,000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16,200</w:t>
            </w:r>
          </w:p>
        </w:tc>
        <w:tc>
          <w:tcPr>
            <w:tcW w:type="dxa" w:w="1728"/>
            <w:shd w:fill="FCE4D6" w:val="clear"/>
          </w:tcPr>
          <w:p>
            <w:r>
              <w:rPr>
                <w:sz w:val="17"/>
              </w:rPr>
              <w:t>86/100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3,190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SHEC</w:t>
            </w:r>
          </w:p>
        </w:tc>
        <w:tc>
          <w:tcPr>
            <w:tcW w:type="dxa" w:w="1728"/>
            <w:shd w:fill="FCE4D6" w:val="clear"/>
          </w:tcPr>
          <w:p>
            <w:r>
              <w:rPr>
                <w:sz w:val="17"/>
              </w:rPr>
              <w:t>SHEC - VIVO ENERGY COTE D'IV</w:t>
            </w:r>
          </w:p>
        </w:tc>
        <w:tc>
          <w:tcPr>
            <w:tcW w:type="dxa" w:w="1728"/>
            <w:shd w:fill="FCE4D6" w:val="clear"/>
          </w:tcPr>
          <w:p>
            <w:r>
              <w:rPr>
                <w:sz w:val="17"/>
              </w:rPr>
              <w:t>2,190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8,150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2,190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2,090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3,000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39,000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SNTS — SNTS - SONATEL SN</w:t>
      </w:r>
    </w:p>
    <w:p>
      <w:pPr>
        <w:pStyle w:val="ListBullet"/>
        <w:spacing w:before="20"/>
        <w:ind w:left="400"/>
      </w:pPr>
      <w:r>
        <w:rPr>
          <w:sz w:val="18"/>
        </w:rPr>
        <w:t>🔴 RSI surachat (78.3 &gt; 70) — risque de correction</w:t>
      </w:r>
    </w:p>
    <w:p>
      <w:pPr>
        <w:pStyle w:val="ListBullet"/>
        <w:spacing w:before="20"/>
        <w:ind w:left="400"/>
      </w:pPr>
      <w:r>
        <w:rPr>
          <w:sz w:val="18"/>
        </w:rPr>
        <w:t>⚠️ Cours à 0.2% du plus haut 100j (45,000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(71.9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Cours à 0.0% du plus bas 100j (1,445 FCFA)</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Cours à 0.3% du plus bas 100j (1,850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Cours à 2.7% du plus haut 100j (22,500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Cours à 1.4% du plus bas 100j (7,680 FCFA)</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Cours à 0.0% du plus bas 100j (1,900 FCFA)</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1.7% du plus bas 100j (47,215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(15.1 &lt; 30) — opportunité potentielle</w:t>
      </w:r>
    </w:p>
    <w:p>
      <w:pPr>
        <w:spacing w:before="120"/>
      </w:pPr>
      <w:r>
        <w:rPr>
          <w:b/>
          <w:color w:val="0050A0"/>
          <w:sz w:val="20"/>
        </w:rPr>
        <w:t>BBGC — BRIDGE BANK GROUP COTE D'IVOIRE</w:t>
      </w:r>
    </w:p>
    <w:p>
      <w:pPr>
        <w:pStyle w:val="ListBullet"/>
        <w:spacing w:before="20"/>
        <w:ind w:left="400"/>
      </w:pPr>
      <w:r>
        <w:rPr>
          <w:sz w:val="18"/>
        </w:rPr>
        <w:t>⚠️ Cours à 0.5% du plus haut 100j (10,450 FCFA)</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Cours à 0.0% du plus bas 100j (3,060 FCFA)</w:t>
      </w:r>
    </w:p>
    <w:p>
      <w:pPr>
        <w:spacing w:before="120"/>
      </w:pPr>
      <w:r>
        <w:rPr>
          <w:b/>
          <w:color w:val="0050A0"/>
          <w:sz w:val="20"/>
        </w:rPr>
        <w:t>ECOC — ECOC - ECOBANK COTE D'IVOIRE</w:t>
      </w:r>
    </w:p>
    <w:p>
      <w:pPr>
        <w:pStyle w:val="ListBullet"/>
        <w:spacing w:before="20"/>
        <w:ind w:left="400"/>
      </w:pPr>
      <w:r>
        <w:rPr>
          <w:sz w:val="18"/>
        </w:rPr>
        <w:t>🟢 RSI survente (26.8 &lt; 30) — opportunité potentielle</w:t>
      </w:r>
    </w:p>
    <w:p>
      <w:pPr>
        <w:spacing w:before="120"/>
      </w:pPr>
      <w:r>
        <w:rPr>
          <w:b/>
          <w:color w:val="0050A0"/>
          <w:sz w:val="20"/>
        </w:rPr>
        <w:t>NEIC — NEIC - NEI-CEDA CI</w:t>
      </w:r>
    </w:p>
    <w:p>
      <w:pPr>
        <w:pStyle w:val="ListBullet"/>
        <w:spacing w:before="20"/>
        <w:ind w:left="400"/>
      </w:pPr>
      <w:r>
        <w:rPr>
          <w:sz w:val="18"/>
        </w:rPr>
        <w:t>🟢 RSI survente (25.6 &lt; 30) — opportunité potentielle</w:t>
      </w:r>
    </w:p>
    <w:p>
      <w:pPr>
        <w:spacing w:before="120"/>
      </w:pPr>
      <w:r>
        <w:rPr>
          <w:b/>
          <w:color w:val="0050A0"/>
          <w:sz w:val="20"/>
        </w:rPr>
        <w:t>NSBC — NSBC - NSIA BANQUE COTE D'IVOIRE</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Cours à 2.3% du plus haut 100j (3,070 FCFA)</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(19.5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Cours à 1.9% du plus bas 100j (36,900 FCFA)</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Cours à 1.9% du plus bas 100j (20,895 FCFA)</w:t>
      </w:r>
    </w:p>
    <w:p>
      <w:pPr>
        <w:spacing w:before="120"/>
      </w:pPr>
      <w:r>
        <w:rPr>
          <w:b/>
          <w:color w:val="0050A0"/>
          <w:sz w:val="20"/>
        </w:rPr>
        <w:t>TTLC — TTLC - TOTAL ENERGIES MARKETING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28 société(s) (58%)</w:t>
            </w:r>
          </w:p>
        </w:tc>
        <w:tc>
          <w:tcPr>
            <w:tcW w:type="dxa" w:w="1644"/>
            <w:shd w:fill="FFEB9C" w:val="clear"/>
          </w:tcPr>
          <w:p>
            <w:r>
              <w:rPr>
                <w:b/>
                <w:color w:val="825A00"/>
                <w:sz w:val="19"/>
              </w:rPr>
              <w:t>20 société(s) (42%)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19.6/100</w:t>
            </w:r>
          </w:p>
        </w:tc>
        <w:tc>
          <w:tcPr>
            <w:tcW w:type="dxa" w:w="1644"/>
            <w:shd w:fill="DEEAF1" w:val="clear"/>
          </w:tcPr>
          <w:p>
            <w:r>
              <w:rPr>
                <w:b/>
                <w:color w:val="000000"/>
                <w:sz w:val="19"/>
              </w:rPr>
              <w:t>19.1/100</w:t>
            </w:r>
          </w:p>
        </w:tc>
      </w:tr>
    </w:tbl>
    <w:p/>
    <w:p>
      <w:r>
        <w:rPr>
          <w:i/>
          <w:color w:val="006400"/>
          <w:sz w:val="18"/>
        </w:rPr>
        <w:t>✅ Le marché BRVM présente globalement un profil de risque FAIBLE (score moyen 19.6/100).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STAC</w:t>
            </w:r>
          </w:p>
        </w:tc>
        <w:tc>
          <w:tcPr>
            <w:tcW w:type="dxa" w:w="2268"/>
            <w:shd w:fill="FFFFFF" w:val="clear"/>
          </w:tcPr>
          <w:p>
            <w:r>
              <w:rPr>
                <w:sz w:val="16"/>
              </w:rPr>
              <w:t>STAC - SETAO COTE D'IVOIRE</w:t>
            </w:r>
          </w:p>
        </w:tc>
        <w:tc>
          <w:tcPr>
            <w:tcW w:type="dxa" w:w="1701"/>
            <w:shd w:fill="FFFFFF" w:val="clear"/>
          </w:tcPr>
          <w:p>
            <w:r>
              <w:rPr>
                <w:sz w:val="16"/>
              </w:rPr>
              <w:t>INDUSTRIELS</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SAFC (32.8/100 — Moyen) : </w:t>
      </w:r>
      <w:r>
        <w:rPr>
          <w:sz w:val="17"/>
        </w:rPr>
        <w:t>Volatilité=Élevée | Bêta=Agressif | Liquidité=Bonne | Divergence signaux=taux divergence=20% (Mixte ⚠️) | Stabilité=Modérée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STAC (30.8/100 — Moyen) : </w:t>
      </w:r>
      <w:r>
        <w:rPr>
          <w:sz w:val="17"/>
        </w:rPr>
        <w:t>Volatilité=Élevée | Bêta=Contre-cyclique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7.5/100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29.3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FFEB9C" w:val="clear"/>
          </w:tcPr>
          <w:p>
            <w:r>
              <w:rPr>
                <w:b/>
                <w:color w:val="825A00"/>
                <w:sz w:val="15"/>
              </w:rPr>
              <w:t>22.2</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7.5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-0.42%  |  Médiane : -1.33%</w:t>
            </w:r>
          </w:p>
        </w:tc>
      </w:tr>
      <w:tr>
        <w:tc>
          <w:tcPr>
            <w:tcW w:type="dxa" w:w="2835"/>
            <w:shd w:fill="DEEAF1" w:val="clear"/>
          </w:tcPr>
          <w:p>
            <w:r>
              <w:rPr>
                <w:b/>
                <w:sz w:val="18"/>
              </w:rPr>
              <w:t>Répartition</w:t>
            </w:r>
          </w:p>
        </w:tc>
        <w:tc>
          <w:tcPr>
            <w:tcW w:type="dxa" w:w="7370"/>
          </w:tcPr>
          <w:p>
            <w:r>
              <w:rPr>
                <w:b/>
                <w:sz w:val="18"/>
              </w:rPr>
              <w:t>📈 14 sociétés en hausse (&gt;+1%)   📉 25 en baisse (&lt;-1%)   ➡️ 6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-0.42% avec 6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2,460 FCFA</w:t>
            </w:r>
          </w:p>
        </w:tc>
        <w:tc>
          <w:tcPr>
            <w:tcW w:type="dxa" w:w="1417"/>
            <w:shd w:fill="FFFFFF" w:val="clear"/>
          </w:tcPr>
          <w:p>
            <w:r>
              <w:rPr>
                <w:sz w:val="16"/>
              </w:rPr>
              <w:t>3,184 FCFA</w:t>
            </w:r>
          </w:p>
        </w:tc>
        <w:tc>
          <w:tcPr>
            <w:tcW w:type="dxa" w:w="1134"/>
            <w:shd w:fill="C6EFCE" w:val="clear"/>
          </w:tcPr>
          <w:p>
            <w:r>
              <w:rPr>
                <w:b/>
                <w:color w:val="007800"/>
                <w:sz w:val="16"/>
              </w:rPr>
              <w:t>+29.42%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21,300 FCFA</w:t>
            </w:r>
          </w:p>
        </w:tc>
        <w:tc>
          <w:tcPr>
            <w:tcW w:type="dxa" w:w="1417"/>
            <w:shd w:fill="FFFFFF" w:val="clear"/>
          </w:tcPr>
          <w:p>
            <w:r>
              <w:rPr>
                <w:sz w:val="16"/>
              </w:rPr>
              <w:t>24,154 FCFA</w:t>
            </w:r>
          </w:p>
        </w:tc>
        <w:tc>
          <w:tcPr>
            <w:tcW w:type="dxa" w:w="1134"/>
            <w:shd w:fill="C6EFCE" w:val="clear"/>
          </w:tcPr>
          <w:p>
            <w:r>
              <w:rPr>
                <w:b/>
                <w:color w:val="007800"/>
                <w:sz w:val="16"/>
              </w:rPr>
              <w:t>+13.40%</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8,440 FCFA</w:t>
            </w:r>
          </w:p>
        </w:tc>
        <w:tc>
          <w:tcPr>
            <w:tcW w:type="dxa" w:w="1417"/>
            <w:shd w:fill="FFFFFF" w:val="clear"/>
          </w:tcPr>
          <w:p>
            <w:r>
              <w:rPr>
                <w:sz w:val="16"/>
              </w:rPr>
              <w:t>9,313 FCFA</w:t>
            </w:r>
          </w:p>
        </w:tc>
        <w:tc>
          <w:tcPr>
            <w:tcW w:type="dxa" w:w="1134"/>
            <w:shd w:fill="C6EFCE" w:val="clear"/>
          </w:tcPr>
          <w:p>
            <w:r>
              <w:rPr>
                <w:b/>
                <w:color w:val="007800"/>
                <w:sz w:val="16"/>
              </w:rPr>
              <w:t>+10.34%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CFAC — CFAC - CFAO MOTORS CI</w:t>
            </w:r>
          </w:p>
        </w:tc>
        <w:tc>
          <w:tcPr>
            <w:tcW w:type="dxa" w:w="1701"/>
            <w:shd w:fill="FFFFFF" w:val="clear"/>
          </w:tcPr>
          <w:p>
            <w:r>
              <w:rPr>
                <w:sz w:val="16"/>
              </w:rPr>
              <w:t>CONSOMMATION DISCRET</w:t>
            </w:r>
          </w:p>
        </w:tc>
        <w:tc>
          <w:tcPr>
            <w:tcW w:type="dxa" w:w="1417"/>
            <w:shd w:fill="FFFFFF" w:val="clear"/>
          </w:tcPr>
          <w:p>
            <w:r>
              <w:rPr>
                <w:sz w:val="16"/>
              </w:rPr>
              <w:t>1,445 FCFA</w:t>
            </w:r>
          </w:p>
        </w:tc>
        <w:tc>
          <w:tcPr>
            <w:tcW w:type="dxa" w:w="1417"/>
            <w:shd w:fill="FFFFFF" w:val="clear"/>
          </w:tcPr>
          <w:p>
            <w:r>
              <w:rPr>
                <w:sz w:val="16"/>
              </w:rPr>
              <w:t>1,530 FCFA</w:t>
            </w:r>
          </w:p>
        </w:tc>
        <w:tc>
          <w:tcPr>
            <w:tcW w:type="dxa" w:w="1134"/>
            <w:shd w:fill="C6EFCE" w:val="clear"/>
          </w:tcPr>
          <w:p>
            <w:r>
              <w:rPr>
                <w:b/>
                <w:color w:val="007800"/>
                <w:sz w:val="16"/>
              </w:rPr>
              <w:t>+5.87%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SIVC — SIVC - ERIUM CI (Ex AIR LIQUIDECI)</w:t>
            </w:r>
          </w:p>
        </w:tc>
        <w:tc>
          <w:tcPr>
            <w:tcW w:type="dxa" w:w="1701"/>
            <w:shd w:fill="FFFFFF" w:val="clear"/>
          </w:tcPr>
          <w:p>
            <w:r>
              <w:rPr>
                <w:sz w:val="16"/>
              </w:rPr>
              <w:t>INDUSTRIELS</w:t>
            </w:r>
          </w:p>
        </w:tc>
        <w:tc>
          <w:tcPr>
            <w:tcW w:type="dxa" w:w="1417"/>
            <w:shd w:fill="FFFFFF" w:val="clear"/>
          </w:tcPr>
          <w:p>
            <w:r>
              <w:rPr>
                <w:sz w:val="16"/>
              </w:rPr>
              <w:t>1,900 FCFA</w:t>
            </w:r>
          </w:p>
        </w:tc>
        <w:tc>
          <w:tcPr>
            <w:tcW w:type="dxa" w:w="1417"/>
            <w:shd w:fill="FFFFFF" w:val="clear"/>
          </w:tcPr>
          <w:p>
            <w:r>
              <w:rPr>
                <w:sz w:val="16"/>
              </w:rPr>
              <w:t>1,987 FCFA</w:t>
            </w:r>
          </w:p>
        </w:tc>
        <w:tc>
          <w:tcPr>
            <w:tcW w:type="dxa" w:w="1134"/>
            <w:shd w:fill="C6EFCE" w:val="clear"/>
          </w:tcPr>
          <w:p>
            <w:r>
              <w:rPr>
                <w:b/>
                <w:color w:val="007800"/>
                <w:sz w:val="16"/>
              </w:rPr>
              <w:t>+4.56%</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(+29.4%) — signal potentiellement excessif, à croiser avec l'analyse technique. Trajectoire : 📈 Hausse continue. Cours actuel : 2,460 FCFA → prédit J+10 : 3,184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(+13.4%) — potentiel de revalorisation notable. Trajectoire : 📈 Hausse continue. Cours actuel : 21,300 FCFA → prédit J+10 : 24,154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(+10.3%) — potentiel de revalorisation notable. Trajectoire : 📈 Hausse continue. Cours actuel : 8,440 FCFA → prédit J+10 : 9,313 FCFA. ⚠️ Confiance limitée — volatilité élevée ou données insuffisantes. Résultat indicatif uniquement.</w:t>
      </w:r>
    </w:p>
    <w:p>
      <w:pPr>
        <w:pStyle w:val="ListBullet"/>
      </w:pPr>
      <w:r>
        <w:rPr>
          <w:b/>
          <w:color w:val="006400"/>
          <w:sz w:val="18"/>
        </w:rPr>
        <w:t xml:space="preserve">#4 CFAC </w:t>
      </w:r>
      <w:r>
        <w:rPr>
          <w:sz w:val="17"/>
        </w:rPr>
        <w:t>(CFAC - CFAO MOTORS CI) — hausse modérée (+5.9%) — signal raisonnable et crédible. Trajectoire : 📈 Hausse continue. Cours actuel : 1,445 FCFA → prédit J+10 : 1,530 FCFA. ⚠️ Confiance limitée — volatilité élevée ou données insuffisantes. Résultat indicatif uniquement.</w:t>
      </w:r>
    </w:p>
    <w:p>
      <w:pPr>
        <w:pStyle w:val="ListBullet"/>
      </w:pPr>
      <w:r>
        <w:rPr>
          <w:b/>
          <w:color w:val="006400"/>
          <w:sz w:val="18"/>
        </w:rPr>
        <w:t xml:space="preserve">#5 SIVC </w:t>
      </w:r>
      <w:r>
        <w:rPr>
          <w:sz w:val="17"/>
        </w:rPr>
        <w:t>(SIVC - ERIUM CI (Ex AIR LIQUIDECI)) — légère hausse (+4.6%) — progression graduelle attendue. Trajectoire : 📈 Hausse continue. Cours actuel : 1,900 FCFA → prédit J+10 : 1,987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8,150 FCFA</w:t>
            </w:r>
          </w:p>
        </w:tc>
        <w:tc>
          <w:tcPr>
            <w:tcW w:type="dxa" w:w="1417"/>
            <w:shd w:fill="FFFFFF" w:val="clear"/>
          </w:tcPr>
          <w:p>
            <w:r>
              <w:rPr>
                <w:sz w:val="16"/>
              </w:rPr>
              <w:t>7,127 FCFA</w:t>
            </w:r>
          </w:p>
        </w:tc>
        <w:tc>
          <w:tcPr>
            <w:tcW w:type="dxa" w:w="1134"/>
            <w:shd w:fill="FFC7CE" w:val="clear"/>
          </w:tcPr>
          <w:p>
            <w:r>
              <w:rPr>
                <w:b/>
                <w:color w:val="B40000"/>
                <w:sz w:val="16"/>
              </w:rPr>
              <w:t>-12.56%</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21,000 FCFA</w:t>
            </w:r>
          </w:p>
        </w:tc>
        <w:tc>
          <w:tcPr>
            <w:tcW w:type="dxa" w:w="1417"/>
            <w:shd w:fill="FFFFFF" w:val="clear"/>
          </w:tcPr>
          <w:p>
            <w:r>
              <w:rPr>
                <w:sz w:val="16"/>
              </w:rPr>
              <w:t>18,866 FCFA</w:t>
            </w:r>
          </w:p>
        </w:tc>
        <w:tc>
          <w:tcPr>
            <w:tcW w:type="dxa" w:w="1134"/>
            <w:shd w:fill="FFC7CE" w:val="clear"/>
          </w:tcPr>
          <w:p>
            <w:r>
              <w:rPr>
                <w:b/>
                <w:color w:val="B40000"/>
                <w:sz w:val="16"/>
              </w:rPr>
              <w:t>-10.16%</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6,100 FCFA</w:t>
            </w:r>
          </w:p>
        </w:tc>
        <w:tc>
          <w:tcPr>
            <w:tcW w:type="dxa" w:w="1417"/>
            <w:shd w:fill="FFFFFF" w:val="clear"/>
          </w:tcPr>
          <w:p>
            <w:r>
              <w:rPr>
                <w:sz w:val="16"/>
              </w:rPr>
              <w:t>5,510 FCFA</w:t>
            </w:r>
          </w:p>
        </w:tc>
        <w:tc>
          <w:tcPr>
            <w:tcW w:type="dxa" w:w="1134"/>
            <w:shd w:fill="FFC7CE" w:val="clear"/>
          </w:tcPr>
          <w:p>
            <w:r>
              <w:rPr>
                <w:b/>
                <w:color w:val="B40000"/>
                <w:sz w:val="16"/>
              </w:rPr>
              <w:t>-9.67%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3,190 FCFA</w:t>
            </w:r>
          </w:p>
        </w:tc>
        <w:tc>
          <w:tcPr>
            <w:tcW w:type="dxa" w:w="1417"/>
            <w:shd w:fill="FFFFFF" w:val="clear"/>
          </w:tcPr>
          <w:p>
            <w:r>
              <w:rPr>
                <w:sz w:val="16"/>
              </w:rPr>
              <w:t>2,990 FCFA</w:t>
            </w:r>
          </w:p>
        </w:tc>
        <w:tc>
          <w:tcPr>
            <w:tcW w:type="dxa" w:w="1134"/>
            <w:shd w:fill="FFC7CE" w:val="clear"/>
          </w:tcPr>
          <w:p>
            <w:r>
              <w:rPr>
                <w:b/>
                <w:color w:val="B40000"/>
                <w:sz w:val="16"/>
              </w:rPr>
              <w:t>-6.28%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1,855 FCFA</w:t>
            </w:r>
          </w:p>
        </w:tc>
        <w:tc>
          <w:tcPr>
            <w:tcW w:type="dxa" w:w="1417"/>
            <w:shd w:fill="FFFFFF" w:val="clear"/>
          </w:tcPr>
          <w:p>
            <w:r>
              <w:rPr>
                <w:sz w:val="16"/>
              </w:rPr>
              <w:t>1,739 FCFA</w:t>
            </w:r>
          </w:p>
        </w:tc>
        <w:tc>
          <w:tcPr>
            <w:tcW w:type="dxa" w:w="1134"/>
            <w:shd w:fill="FFC7CE" w:val="clear"/>
          </w:tcPr>
          <w:p>
            <w:r>
              <w:rPr>
                <w:b/>
                <w:color w:val="B40000"/>
                <w:sz w:val="16"/>
              </w:rPr>
              <w:t>-6.27%</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(-12.6%) — repli technique attendu. Trajectoire : 📉 Baisse continue. Cours actuel : 8,150 FCFA → prédit J+10 : 7,127 FCFA. Confiance partielle — surveiller l'évolution réelle des premiers jours.</w:t>
      </w:r>
    </w:p>
    <w:p>
      <w:pPr>
        <w:pStyle w:val="ListBullet"/>
      </w:pPr>
      <w:r>
        <w:rPr>
          <w:b/>
          <w:color w:val="B40000"/>
          <w:sz w:val="18"/>
        </w:rPr>
        <w:t xml:space="preserve">#2 NSBC </w:t>
      </w:r>
      <w:r>
        <w:rPr>
          <w:sz w:val="17"/>
        </w:rPr>
        <w:t>(NSBC - NSIA BANQUE COTE D'IVOIRE) — baisse modérée (-10.2%) — repli technique attendu. Trajectoire : 📉 Baisse continue. Cours actuel : 21,000 FCFA → prédit J+10 : 18,866 FCFA. ⚠️ Confiance limitée — volatilité élevée. Ne pas agir sur ce seul signal.</w:t>
      </w:r>
    </w:p>
    <w:p>
      <w:pPr>
        <w:pStyle w:val="ListBullet"/>
      </w:pPr>
      <w:r>
        <w:rPr>
          <w:b/>
          <w:color w:val="B40000"/>
          <w:sz w:val="18"/>
        </w:rPr>
        <w:t xml:space="preserve">#3 BOAM </w:t>
      </w:r>
      <w:r>
        <w:rPr>
          <w:sz w:val="17"/>
        </w:rPr>
        <w:t>(BANK OF AFRICA MALI) — baisse modérée (-9.7%) — repli technique attendu. Trajectoire : 📉 Baisse continue. Cours actuel : 6,100 FCFA → prédit J+10 : 5,510 FCFA. ⚠️ Confiance limitée — volatilité élevée. Ne pas agir sur ce seul signal.</w:t>
      </w:r>
    </w:p>
    <w:p>
      <w:pPr>
        <w:pStyle w:val="ListBullet"/>
      </w:pPr>
      <w:r>
        <w:rPr>
          <w:b/>
          <w:color w:val="B40000"/>
          <w:sz w:val="18"/>
        </w:rPr>
        <w:t xml:space="preserve">#4 ABJC </w:t>
      </w:r>
      <w:r>
        <w:rPr>
          <w:sz w:val="17"/>
        </w:rPr>
        <w:t>(ABJC - SERVAIR ABIDJAN CI) — baisse modérée (-6.3%) — repli technique attendu. Trajectoire : 📉 Baisse continue. Cours actuel : 3,190 FCFA → prédit J+10 : 2,990 FCFA. ⚠️ Confiance limitée — volatilité élevée. Ne pas agir sur ce seul signal.</w:t>
      </w:r>
    </w:p>
    <w:p>
      <w:pPr>
        <w:pStyle w:val="ListBullet"/>
      </w:pPr>
      <w:r>
        <w:rPr>
          <w:b/>
          <w:color w:val="B40000"/>
          <w:sz w:val="18"/>
        </w:rPr>
        <w:t xml:space="preserve">#5 FTSC </w:t>
      </w:r>
      <w:r>
        <w:rPr>
          <w:sz w:val="17"/>
        </w:rPr>
        <w:t>(FTSC - FILTISAC COTE D'IVOIRE) — baisse modérée (-6.3%) — repli technique attendu. Trajectoire : 📉 Baisse continue. Cours actuel : 1,855 FCFA → prédit J+10 : 1,739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2,460</w:t>
            </w:r>
          </w:p>
        </w:tc>
        <w:tc>
          <w:tcPr>
            <w:tcW w:type="dxa" w:w="1417"/>
            <w:shd w:fill="FFFFFF" w:val="clear"/>
          </w:tcPr>
          <w:p>
            <w:r>
              <w:rPr>
                <w:sz w:val="16"/>
              </w:rPr>
              <w:t>3,184</w:t>
            </w:r>
          </w:p>
        </w:tc>
        <w:tc>
          <w:tcPr>
            <w:tcW w:type="dxa" w:w="1134"/>
            <w:shd w:fill="C6EFCE" w:val="clear"/>
          </w:tcPr>
          <w:p>
            <w:r>
              <w:rPr>
                <w:b/>
                <w:color w:val="007800"/>
                <w:sz w:val="16"/>
              </w:rPr>
              <w:t>+29.42%</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21,300</w:t>
            </w:r>
          </w:p>
        </w:tc>
        <w:tc>
          <w:tcPr>
            <w:tcW w:type="dxa" w:w="1417"/>
            <w:shd w:fill="FFFFFF" w:val="clear"/>
          </w:tcPr>
          <w:p>
            <w:r>
              <w:rPr>
                <w:sz w:val="16"/>
              </w:rPr>
              <w:t>24,154</w:t>
            </w:r>
          </w:p>
        </w:tc>
        <w:tc>
          <w:tcPr>
            <w:tcW w:type="dxa" w:w="1134"/>
            <w:shd w:fill="C6EFCE" w:val="clear"/>
          </w:tcPr>
          <w:p>
            <w:r>
              <w:rPr>
                <w:b/>
                <w:color w:val="007800"/>
                <w:sz w:val="16"/>
              </w:rPr>
              <w:t>+13.40%</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8,440</w:t>
            </w:r>
          </w:p>
        </w:tc>
        <w:tc>
          <w:tcPr>
            <w:tcW w:type="dxa" w:w="1417"/>
            <w:shd w:fill="FFFFFF" w:val="clear"/>
          </w:tcPr>
          <w:p>
            <w:r>
              <w:rPr>
                <w:sz w:val="16"/>
              </w:rPr>
              <w:t>9,313</w:t>
            </w:r>
          </w:p>
        </w:tc>
        <w:tc>
          <w:tcPr>
            <w:tcW w:type="dxa" w:w="1134"/>
            <w:shd w:fill="C6EFCE" w:val="clear"/>
          </w:tcPr>
          <w:p>
            <w:r>
              <w:rPr>
                <w:b/>
                <w:color w:val="007800"/>
                <w:sz w:val="16"/>
              </w:rPr>
              <w:t>+10.34%</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1,445</w:t>
            </w:r>
          </w:p>
        </w:tc>
        <w:tc>
          <w:tcPr>
            <w:tcW w:type="dxa" w:w="1417"/>
            <w:shd w:fill="FFFFFF" w:val="clear"/>
          </w:tcPr>
          <w:p>
            <w:r>
              <w:rPr>
                <w:sz w:val="16"/>
              </w:rPr>
              <w:t>1,530</w:t>
            </w:r>
          </w:p>
        </w:tc>
        <w:tc>
          <w:tcPr>
            <w:tcW w:type="dxa" w:w="1134"/>
            <w:shd w:fill="C6EFCE" w:val="clear"/>
          </w:tcPr>
          <w:p>
            <w:r>
              <w:rPr>
                <w:b/>
                <w:color w:val="007800"/>
                <w:sz w:val="16"/>
              </w:rPr>
              <w:t>+5.87%</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1,900</w:t>
            </w:r>
          </w:p>
        </w:tc>
        <w:tc>
          <w:tcPr>
            <w:tcW w:type="dxa" w:w="1417"/>
            <w:shd w:fill="FFFFFF" w:val="clear"/>
          </w:tcPr>
          <w:p>
            <w:r>
              <w:rPr>
                <w:sz w:val="16"/>
              </w:rPr>
              <w:t>1,987</w:t>
            </w:r>
          </w:p>
        </w:tc>
        <w:tc>
          <w:tcPr>
            <w:tcW w:type="dxa" w:w="1134"/>
            <w:shd w:fill="C6EFCE" w:val="clear"/>
          </w:tcPr>
          <w:p>
            <w:r>
              <w:rPr>
                <w:b/>
                <w:color w:val="007800"/>
                <w:sz w:val="16"/>
              </w:rPr>
              <w:t>+4.56%</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4,645</w:t>
            </w:r>
          </w:p>
        </w:tc>
        <w:tc>
          <w:tcPr>
            <w:tcW w:type="dxa" w:w="1417"/>
            <w:shd w:fill="FFFFFF" w:val="clear"/>
          </w:tcPr>
          <w:p>
            <w:r>
              <w:rPr>
                <w:sz w:val="16"/>
              </w:rPr>
              <w:t>4,853</w:t>
            </w:r>
          </w:p>
        </w:tc>
        <w:tc>
          <w:tcPr>
            <w:tcW w:type="dxa" w:w="1134"/>
            <w:shd w:fill="C6EFCE" w:val="clear"/>
          </w:tcPr>
          <w:p>
            <w:r>
              <w:rPr>
                <w:b/>
                <w:color w:val="007800"/>
                <w:sz w:val="16"/>
              </w:rPr>
              <w:t>+4.48%</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37,600</w:t>
            </w:r>
          </w:p>
        </w:tc>
        <w:tc>
          <w:tcPr>
            <w:tcW w:type="dxa" w:w="1417"/>
            <w:shd w:fill="FFFFFF" w:val="clear"/>
          </w:tcPr>
          <w:p>
            <w:r>
              <w:rPr>
                <w:sz w:val="16"/>
              </w:rPr>
              <w:t>39,204</w:t>
            </w:r>
          </w:p>
        </w:tc>
        <w:tc>
          <w:tcPr>
            <w:tcW w:type="dxa" w:w="1134"/>
            <w:shd w:fill="C6EFCE" w:val="clear"/>
          </w:tcPr>
          <w:p>
            <w:r>
              <w:rPr>
                <w:b/>
                <w:color w:val="007800"/>
                <w:sz w:val="16"/>
              </w:rPr>
              <w:t>+4.27%</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16,200</w:t>
            </w:r>
          </w:p>
        </w:tc>
        <w:tc>
          <w:tcPr>
            <w:tcW w:type="dxa" w:w="1417"/>
            <w:shd w:fill="FFFFFF" w:val="clear"/>
          </w:tcPr>
          <w:p>
            <w:r>
              <w:rPr>
                <w:sz w:val="16"/>
              </w:rPr>
              <w:t>16,713</w:t>
            </w:r>
          </w:p>
        </w:tc>
        <w:tc>
          <w:tcPr>
            <w:tcW w:type="dxa" w:w="1134"/>
            <w:shd w:fill="C6EFCE" w:val="clear"/>
          </w:tcPr>
          <w:p>
            <w:r>
              <w:rPr>
                <w:b/>
                <w:color w:val="007800"/>
                <w:sz w:val="16"/>
              </w:rPr>
              <w:t>+3.17%</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2,190</w:t>
            </w:r>
          </w:p>
        </w:tc>
        <w:tc>
          <w:tcPr>
            <w:tcW w:type="dxa" w:w="1417"/>
            <w:shd w:fill="FFFFFF" w:val="clear"/>
          </w:tcPr>
          <w:p>
            <w:r>
              <w:rPr>
                <w:sz w:val="16"/>
              </w:rPr>
              <w:t>2,241</w:t>
            </w:r>
          </w:p>
        </w:tc>
        <w:tc>
          <w:tcPr>
            <w:tcW w:type="dxa" w:w="1134"/>
            <w:shd w:fill="C6EFCE" w:val="clear"/>
          </w:tcPr>
          <w:p>
            <w:r>
              <w:rPr>
                <w:b/>
                <w:color w:val="007800"/>
                <w:sz w:val="16"/>
              </w:rPr>
              <w:t>+2.32%</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12,900</w:t>
            </w:r>
          </w:p>
        </w:tc>
        <w:tc>
          <w:tcPr>
            <w:tcW w:type="dxa" w:w="1417"/>
            <w:shd w:fill="FFFFFF" w:val="clear"/>
          </w:tcPr>
          <w:p>
            <w:r>
              <w:rPr>
                <w:sz w:val="16"/>
              </w:rPr>
              <w:t>13,125</w:t>
            </w:r>
          </w:p>
        </w:tc>
        <w:tc>
          <w:tcPr>
            <w:tcW w:type="dxa" w:w="1134"/>
            <w:shd w:fill="C6EFCE" w:val="clear"/>
          </w:tcPr>
          <w:p>
            <w:r>
              <w:rPr>
                <w:b/>
                <w:color w:val="007800"/>
                <w:sz w:val="16"/>
              </w:rPr>
              <w:t>+1.74%</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3,060</w:t>
            </w:r>
          </w:p>
        </w:tc>
        <w:tc>
          <w:tcPr>
            <w:tcW w:type="dxa" w:w="1417"/>
            <w:shd w:fill="FFFFFF" w:val="clear"/>
          </w:tcPr>
          <w:p>
            <w:r>
              <w:rPr>
                <w:sz w:val="16"/>
              </w:rPr>
              <w:t>3,103</w:t>
            </w:r>
          </w:p>
        </w:tc>
        <w:tc>
          <w:tcPr>
            <w:tcW w:type="dxa" w:w="1134"/>
            <w:shd w:fill="C6EFCE" w:val="clear"/>
          </w:tcPr>
          <w:p>
            <w:r>
              <w:rPr>
                <w:b/>
                <w:color w:val="007800"/>
                <w:sz w:val="16"/>
              </w:rPr>
              <w:t>+1.42%</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4,005</w:t>
            </w:r>
          </w:p>
        </w:tc>
        <w:tc>
          <w:tcPr>
            <w:tcW w:type="dxa" w:w="1417"/>
            <w:shd w:fill="FFFFFF" w:val="clear"/>
          </w:tcPr>
          <w:p>
            <w:r>
              <w:rPr>
                <w:sz w:val="16"/>
              </w:rPr>
              <w:t>4,058</w:t>
            </w:r>
          </w:p>
        </w:tc>
        <w:tc>
          <w:tcPr>
            <w:tcW w:type="dxa" w:w="1134"/>
            <w:shd w:fill="C6EFCE" w:val="clear"/>
          </w:tcPr>
          <w:p>
            <w:r>
              <w:rPr>
                <w:b/>
                <w:color w:val="007800"/>
                <w:sz w:val="16"/>
              </w:rPr>
              <w:t>+1.33%</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11,395</w:t>
            </w:r>
          </w:p>
        </w:tc>
        <w:tc>
          <w:tcPr>
            <w:tcW w:type="dxa" w:w="1417"/>
            <w:shd w:fill="FFFFFF" w:val="clear"/>
          </w:tcPr>
          <w:p>
            <w:r>
              <w:rPr>
                <w:sz w:val="16"/>
              </w:rPr>
              <w:t>11,541</w:t>
            </w:r>
          </w:p>
        </w:tc>
        <w:tc>
          <w:tcPr>
            <w:tcW w:type="dxa" w:w="1134"/>
            <w:shd w:fill="C6EFCE" w:val="clear"/>
          </w:tcPr>
          <w:p>
            <w:r>
              <w:rPr>
                <w:b/>
                <w:color w:val="007800"/>
                <w:sz w:val="16"/>
              </w:rPr>
              <w:t>+1.28%</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3,900</w:t>
            </w:r>
          </w:p>
        </w:tc>
        <w:tc>
          <w:tcPr>
            <w:tcW w:type="dxa" w:w="1417"/>
            <w:shd w:fill="FFFFFF" w:val="clear"/>
          </w:tcPr>
          <w:p>
            <w:r>
              <w:rPr>
                <w:sz w:val="16"/>
              </w:rPr>
              <w:t>3,949</w:t>
            </w:r>
          </w:p>
        </w:tc>
        <w:tc>
          <w:tcPr>
            <w:tcW w:type="dxa" w:w="1134"/>
            <w:shd w:fill="C6EFCE" w:val="clear"/>
          </w:tcPr>
          <w:p>
            <w:r>
              <w:rPr>
                <w:b/>
                <w:color w:val="007800"/>
                <w:sz w:val="16"/>
              </w:rPr>
              <w:t>+1.26%</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2,085</w:t>
            </w:r>
          </w:p>
        </w:tc>
        <w:tc>
          <w:tcPr>
            <w:tcW w:type="dxa" w:w="1417"/>
            <w:shd w:fill="FFFFFF" w:val="clear"/>
          </w:tcPr>
          <w:p>
            <w:r>
              <w:rPr>
                <w:sz w:val="16"/>
              </w:rPr>
              <w:t>2,098</w:t>
            </w:r>
          </w:p>
        </w:tc>
        <w:tc>
          <w:tcPr>
            <w:tcW w:type="dxa" w:w="1134"/>
            <w:shd w:fill="FFEB9C" w:val="clear"/>
          </w:tcPr>
          <w:p>
            <w:r>
              <w:rPr>
                <w:b/>
                <w:color w:val="646400"/>
                <w:sz w:val="16"/>
              </w:rPr>
              <w:t>+0.64%</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2,820</w:t>
            </w:r>
          </w:p>
        </w:tc>
        <w:tc>
          <w:tcPr>
            <w:tcW w:type="dxa" w:w="1417"/>
            <w:shd w:fill="FFFFFF" w:val="clear"/>
          </w:tcPr>
          <w:p>
            <w:r>
              <w:rPr>
                <w:sz w:val="16"/>
              </w:rPr>
              <w:t>2,834</w:t>
            </w:r>
          </w:p>
        </w:tc>
        <w:tc>
          <w:tcPr>
            <w:tcW w:type="dxa" w:w="1134"/>
            <w:shd w:fill="FFEB9C" w:val="clear"/>
          </w:tcPr>
          <w:p>
            <w:r>
              <w:rPr>
                <w:b/>
                <w:color w:val="646400"/>
                <w:sz w:val="16"/>
              </w:rPr>
              <w:t>+0.51%</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48,000</w:t>
            </w:r>
          </w:p>
        </w:tc>
        <w:tc>
          <w:tcPr>
            <w:tcW w:type="dxa" w:w="1417"/>
            <w:shd w:fill="FFFFFF" w:val="clear"/>
          </w:tcPr>
          <w:p>
            <w:r>
              <w:rPr>
                <w:sz w:val="16"/>
              </w:rPr>
              <w:t>47,965</w:t>
            </w:r>
          </w:p>
        </w:tc>
        <w:tc>
          <w:tcPr>
            <w:tcW w:type="dxa" w:w="1134"/>
            <w:shd w:fill="FFEB9C" w:val="clear"/>
          </w:tcPr>
          <w:p>
            <w:r>
              <w:rPr>
                <w:b/>
                <w:color w:val="646400"/>
                <w:sz w:val="16"/>
              </w:rPr>
              <w:t>-0.07%</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44,900</w:t>
            </w:r>
          </w:p>
        </w:tc>
        <w:tc>
          <w:tcPr>
            <w:tcW w:type="dxa" w:w="1417"/>
            <w:shd w:fill="FFFFFF" w:val="clear"/>
          </w:tcPr>
          <w:p>
            <w:r>
              <w:rPr>
                <w:sz w:val="16"/>
              </w:rPr>
              <w:t>44,565</w:t>
            </w:r>
          </w:p>
        </w:tc>
        <w:tc>
          <w:tcPr>
            <w:tcW w:type="dxa" w:w="1134"/>
            <w:shd w:fill="FFEB9C" w:val="clear"/>
          </w:tcPr>
          <w:p>
            <w:r>
              <w:rPr>
                <w:b/>
                <w:color w:val="646400"/>
                <w:sz w:val="16"/>
              </w:rPr>
              <w:t>-0.75%</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1,885</w:t>
            </w:r>
          </w:p>
        </w:tc>
        <w:tc>
          <w:tcPr>
            <w:tcW w:type="dxa" w:w="1417"/>
            <w:shd w:fill="FFFFFF" w:val="clear"/>
          </w:tcPr>
          <w:p>
            <w:r>
              <w:rPr>
                <w:sz w:val="16"/>
              </w:rPr>
              <w:t>1,868</w:t>
            </w:r>
          </w:p>
        </w:tc>
        <w:tc>
          <w:tcPr>
            <w:tcW w:type="dxa" w:w="1134"/>
            <w:shd w:fill="FFEB9C" w:val="clear"/>
          </w:tcPr>
          <w:p>
            <w:r>
              <w:rPr>
                <w:b/>
                <w:color w:val="646400"/>
                <w:sz w:val="16"/>
              </w:rPr>
              <w:t>-0.88%</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66</w:t>
            </w:r>
          </w:p>
        </w:tc>
        <w:tc>
          <w:tcPr>
            <w:tcW w:type="dxa" w:w="1417"/>
            <w:shd w:fill="FFFFFF" w:val="clear"/>
          </w:tcPr>
          <w:p>
            <w:r>
              <w:rPr>
                <w:sz w:val="16"/>
              </w:rPr>
              <w:t>65</w:t>
            </w:r>
          </w:p>
        </w:tc>
        <w:tc>
          <w:tcPr>
            <w:tcW w:type="dxa" w:w="1134"/>
            <w:shd w:fill="FFEB9C" w:val="clear"/>
          </w:tcPr>
          <w:p>
            <w:r>
              <w:rPr>
                <w:b/>
                <w:color w:val="646400"/>
                <w:sz w:val="16"/>
              </w:rPr>
              <w:t>-0.98%</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3,600</w:t>
            </w:r>
          </w:p>
        </w:tc>
        <w:tc>
          <w:tcPr>
            <w:tcW w:type="dxa" w:w="1417"/>
            <w:shd w:fill="FFFFFF" w:val="clear"/>
          </w:tcPr>
          <w:p>
            <w:r>
              <w:rPr>
                <w:sz w:val="16"/>
              </w:rPr>
              <w:t>3,556</w:t>
            </w:r>
          </w:p>
        </w:tc>
        <w:tc>
          <w:tcPr>
            <w:tcW w:type="dxa" w:w="1134"/>
            <w:shd w:fill="FFC7CE" w:val="clear"/>
          </w:tcPr>
          <w:p>
            <w:r>
              <w:rPr>
                <w:b/>
                <w:color w:val="B40000"/>
                <w:sz w:val="16"/>
              </w:rPr>
              <w:t>-1.22%</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6,195</w:t>
            </w:r>
          </w:p>
        </w:tc>
        <w:tc>
          <w:tcPr>
            <w:tcW w:type="dxa" w:w="1417"/>
            <w:shd w:fill="FFFFFF" w:val="clear"/>
          </w:tcPr>
          <w:p>
            <w:r>
              <w:rPr>
                <w:sz w:val="16"/>
              </w:rPr>
              <w:t>6,117</w:t>
            </w:r>
          </w:p>
        </w:tc>
        <w:tc>
          <w:tcPr>
            <w:tcW w:type="dxa" w:w="1134"/>
            <w:shd w:fill="FFC7CE" w:val="clear"/>
          </w:tcPr>
          <w:p>
            <w:r>
              <w:rPr>
                <w:b/>
                <w:color w:val="B40000"/>
                <w:sz w:val="16"/>
              </w:rPr>
              <w:t>-1.26%</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31,450</w:t>
            </w:r>
          </w:p>
        </w:tc>
        <w:tc>
          <w:tcPr>
            <w:tcW w:type="dxa" w:w="1417"/>
            <w:shd w:fill="FFFFFF" w:val="clear"/>
          </w:tcPr>
          <w:p>
            <w:r>
              <w:rPr>
                <w:sz w:val="16"/>
              </w:rPr>
              <w:t>31,032</w:t>
            </w:r>
          </w:p>
        </w:tc>
        <w:tc>
          <w:tcPr>
            <w:tcW w:type="dxa" w:w="1134"/>
            <w:shd w:fill="FFC7CE" w:val="clear"/>
          </w:tcPr>
          <w:p>
            <w:r>
              <w:rPr>
                <w:b/>
                <w:color w:val="B40000"/>
                <w:sz w:val="16"/>
              </w:rPr>
              <w:t>-1.33%</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15,400</w:t>
            </w:r>
          </w:p>
        </w:tc>
        <w:tc>
          <w:tcPr>
            <w:tcW w:type="dxa" w:w="1417"/>
            <w:shd w:fill="FFFFFF" w:val="clear"/>
          </w:tcPr>
          <w:p>
            <w:r>
              <w:rPr>
                <w:sz w:val="16"/>
              </w:rPr>
              <w:t>15,185</w:t>
            </w:r>
          </w:p>
        </w:tc>
        <w:tc>
          <w:tcPr>
            <w:tcW w:type="dxa" w:w="1134"/>
            <w:shd w:fill="FFC7CE" w:val="clear"/>
          </w:tcPr>
          <w:p>
            <w:r>
              <w:rPr>
                <w:b/>
                <w:color w:val="B40000"/>
                <w:sz w:val="16"/>
              </w:rPr>
              <w:t>-1.39%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21,900</w:t>
            </w:r>
          </w:p>
        </w:tc>
        <w:tc>
          <w:tcPr>
            <w:tcW w:type="dxa" w:w="1417"/>
            <w:shd w:fill="FFFFFF" w:val="clear"/>
          </w:tcPr>
          <w:p>
            <w:r>
              <w:rPr>
                <w:sz w:val="16"/>
              </w:rPr>
              <w:t>21,536</w:t>
            </w:r>
          </w:p>
        </w:tc>
        <w:tc>
          <w:tcPr>
            <w:tcW w:type="dxa" w:w="1134"/>
            <w:shd w:fill="FFC7CE" w:val="clear"/>
          </w:tcPr>
          <w:p>
            <w:r>
              <w:rPr>
                <w:b/>
                <w:color w:val="B40000"/>
                <w:sz w:val="16"/>
              </w:rPr>
              <w:t>-1.66%</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15,740</w:t>
            </w:r>
          </w:p>
        </w:tc>
        <w:tc>
          <w:tcPr>
            <w:tcW w:type="dxa" w:w="1417"/>
            <w:shd w:fill="FFFFFF" w:val="clear"/>
          </w:tcPr>
          <w:p>
            <w:r>
              <w:rPr>
                <w:sz w:val="16"/>
              </w:rPr>
              <w:t>15,450</w:t>
            </w:r>
          </w:p>
        </w:tc>
        <w:tc>
          <w:tcPr>
            <w:tcW w:type="dxa" w:w="1134"/>
            <w:shd w:fill="FFC7CE" w:val="clear"/>
          </w:tcPr>
          <w:p>
            <w:r>
              <w:rPr>
                <w:b/>
                <w:color w:val="B40000"/>
                <w:sz w:val="16"/>
              </w:rPr>
              <w:t>-1.84%</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38,206</w:t>
            </w:r>
          </w:p>
        </w:tc>
        <w:tc>
          <w:tcPr>
            <w:tcW w:type="dxa" w:w="1134"/>
            <w:shd w:fill="FFC7CE" w:val="clear"/>
          </w:tcPr>
          <w:p>
            <w:r>
              <w:rPr>
                <w:b/>
                <w:color w:val="B40000"/>
                <w:sz w:val="16"/>
              </w:rPr>
              <w:t>-2.04%</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7,850</w:t>
            </w:r>
          </w:p>
        </w:tc>
        <w:tc>
          <w:tcPr>
            <w:tcW w:type="dxa" w:w="1417"/>
            <w:shd w:fill="FFFFFF" w:val="clear"/>
          </w:tcPr>
          <w:p>
            <w:r>
              <w:rPr>
                <w:sz w:val="16"/>
              </w:rPr>
              <w:t>7,683</w:t>
            </w:r>
          </w:p>
        </w:tc>
        <w:tc>
          <w:tcPr>
            <w:tcW w:type="dxa" w:w="1134"/>
            <w:shd w:fill="FFC7CE" w:val="clear"/>
          </w:tcPr>
          <w:p>
            <w:r>
              <w:rPr>
                <w:b/>
                <w:color w:val="B40000"/>
                <w:sz w:val="16"/>
              </w:rPr>
              <w:t>-2.13%</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3,020</w:t>
            </w:r>
          </w:p>
        </w:tc>
        <w:tc>
          <w:tcPr>
            <w:tcW w:type="dxa" w:w="1417"/>
            <w:shd w:fill="FFFFFF" w:val="clear"/>
          </w:tcPr>
          <w:p>
            <w:r>
              <w:rPr>
                <w:sz w:val="16"/>
              </w:rPr>
              <w:t>2,948</w:t>
            </w:r>
          </w:p>
        </w:tc>
        <w:tc>
          <w:tcPr>
            <w:tcW w:type="dxa" w:w="1134"/>
            <w:shd w:fill="FFC7CE" w:val="clear"/>
          </w:tcPr>
          <w:p>
            <w:r>
              <w:rPr>
                <w:b/>
                <w:color w:val="B40000"/>
                <w:sz w:val="16"/>
              </w:rPr>
              <w:t>-2.37%</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9,375</w:t>
            </w:r>
          </w:p>
        </w:tc>
        <w:tc>
          <w:tcPr>
            <w:tcW w:type="dxa" w:w="1417"/>
            <w:shd w:fill="FFFFFF" w:val="clear"/>
          </w:tcPr>
          <w:p>
            <w:r>
              <w:rPr>
                <w:sz w:val="16"/>
              </w:rPr>
              <w:t>9,126</w:t>
            </w:r>
          </w:p>
        </w:tc>
        <w:tc>
          <w:tcPr>
            <w:tcW w:type="dxa" w:w="1134"/>
            <w:shd w:fill="FFC7CE" w:val="clear"/>
          </w:tcPr>
          <w:p>
            <w:r>
              <w:rPr>
                <w:b/>
                <w:color w:val="B40000"/>
                <w:sz w:val="16"/>
              </w:rPr>
              <w:t>-2.66%</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3,000</w:t>
            </w:r>
          </w:p>
        </w:tc>
        <w:tc>
          <w:tcPr>
            <w:tcW w:type="dxa" w:w="1417"/>
            <w:shd w:fill="FFFFFF" w:val="clear"/>
          </w:tcPr>
          <w:p>
            <w:r>
              <w:rPr>
                <w:sz w:val="16"/>
              </w:rPr>
              <w:t>2,917</w:t>
            </w:r>
          </w:p>
        </w:tc>
        <w:tc>
          <w:tcPr>
            <w:tcW w:type="dxa" w:w="1134"/>
            <w:shd w:fill="FFC7CE" w:val="clear"/>
          </w:tcPr>
          <w:p>
            <w:r>
              <w:rPr>
                <w:b/>
                <w:color w:val="B40000"/>
                <w:sz w:val="16"/>
              </w:rPr>
              <w:t>-2.77%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2,090</w:t>
            </w:r>
          </w:p>
        </w:tc>
        <w:tc>
          <w:tcPr>
            <w:tcW w:type="dxa" w:w="1417"/>
            <w:shd w:fill="FFFFFF" w:val="clear"/>
          </w:tcPr>
          <w:p>
            <w:r>
              <w:rPr>
                <w:sz w:val="16"/>
              </w:rPr>
              <w:t>2,023</w:t>
            </w:r>
          </w:p>
        </w:tc>
        <w:tc>
          <w:tcPr>
            <w:tcW w:type="dxa" w:w="1134"/>
            <w:shd w:fill="FFC7CE" w:val="clear"/>
          </w:tcPr>
          <w:p>
            <w:r>
              <w:rPr>
                <w:b/>
                <w:color w:val="B40000"/>
                <w:sz w:val="16"/>
              </w:rPr>
              <w:t>-3.19%</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8,050</w:t>
            </w:r>
          </w:p>
        </w:tc>
        <w:tc>
          <w:tcPr>
            <w:tcW w:type="dxa" w:w="1417"/>
            <w:shd w:fill="FFFFFF" w:val="clear"/>
          </w:tcPr>
          <w:p>
            <w:r>
              <w:rPr>
                <w:sz w:val="16"/>
              </w:rPr>
              <w:t>7,787</w:t>
            </w:r>
          </w:p>
        </w:tc>
        <w:tc>
          <w:tcPr>
            <w:tcW w:type="dxa" w:w="1134"/>
            <w:shd w:fill="FFC7CE" w:val="clear"/>
          </w:tcPr>
          <w:p>
            <w:r>
              <w:rPr>
                <w:b/>
                <w:color w:val="B40000"/>
                <w:sz w:val="16"/>
              </w:rPr>
              <w:t>-3.27%</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4,400</w:t>
            </w:r>
          </w:p>
        </w:tc>
        <w:tc>
          <w:tcPr>
            <w:tcW w:type="dxa" w:w="1417"/>
            <w:shd w:fill="FFFFFF" w:val="clear"/>
          </w:tcPr>
          <w:p>
            <w:r>
              <w:rPr>
                <w:sz w:val="16"/>
              </w:rPr>
              <w:t>4,239</w:t>
            </w:r>
          </w:p>
        </w:tc>
        <w:tc>
          <w:tcPr>
            <w:tcW w:type="dxa" w:w="1134"/>
            <w:shd w:fill="FFC7CE" w:val="clear"/>
          </w:tcPr>
          <w:p>
            <w:r>
              <w:rPr>
                <w:b/>
                <w:color w:val="B40000"/>
                <w:sz w:val="16"/>
              </w:rPr>
              <w:t>-3.66%</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7,785</w:t>
            </w:r>
          </w:p>
        </w:tc>
        <w:tc>
          <w:tcPr>
            <w:tcW w:type="dxa" w:w="1417"/>
            <w:shd w:fill="FFFFFF" w:val="clear"/>
          </w:tcPr>
          <w:p>
            <w:r>
              <w:rPr>
                <w:sz w:val="16"/>
              </w:rPr>
              <w:t>7,484</w:t>
            </w:r>
          </w:p>
        </w:tc>
        <w:tc>
          <w:tcPr>
            <w:tcW w:type="dxa" w:w="1134"/>
            <w:shd w:fill="FFC7CE" w:val="clear"/>
          </w:tcPr>
          <w:p>
            <w:r>
              <w:rPr>
                <w:b/>
                <w:color w:val="B40000"/>
                <w:sz w:val="16"/>
              </w:rPr>
              <w:t>-3.87%</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3,205</w:t>
            </w:r>
          </w:p>
        </w:tc>
        <w:tc>
          <w:tcPr>
            <w:tcW w:type="dxa" w:w="1417"/>
            <w:shd w:fill="FFFFFF" w:val="clear"/>
          </w:tcPr>
          <w:p>
            <w:r>
              <w:rPr>
                <w:sz w:val="16"/>
              </w:rPr>
              <w:t>3,079</w:t>
            </w:r>
          </w:p>
        </w:tc>
        <w:tc>
          <w:tcPr>
            <w:tcW w:type="dxa" w:w="1134"/>
            <w:shd w:fill="FFC7CE" w:val="clear"/>
          </w:tcPr>
          <w:p>
            <w:r>
              <w:rPr>
                <w:b/>
                <w:color w:val="B40000"/>
                <w:sz w:val="16"/>
              </w:rPr>
              <w:t>-3.95%</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8,700</w:t>
            </w:r>
          </w:p>
        </w:tc>
        <w:tc>
          <w:tcPr>
            <w:tcW w:type="dxa" w:w="1417"/>
            <w:shd w:fill="FFFFFF" w:val="clear"/>
          </w:tcPr>
          <w:p>
            <w:r>
              <w:rPr>
                <w:sz w:val="16"/>
              </w:rPr>
              <w:t>8,326</w:t>
            </w:r>
          </w:p>
        </w:tc>
        <w:tc>
          <w:tcPr>
            <w:tcW w:type="dxa" w:w="1134"/>
            <w:shd w:fill="FFC7CE" w:val="clear"/>
          </w:tcPr>
          <w:p>
            <w:r>
              <w:rPr>
                <w:b/>
                <w:color w:val="B40000"/>
                <w:sz w:val="16"/>
              </w:rPr>
              <w:t>-4.30%</w:t>
            </w:r>
          </w:p>
        </w:tc>
        <w:tc>
          <w:tcPr>
            <w:tcW w:type="dxa" w:w="1134"/>
            <w:shd w:fill="FFEB9C" w:val="clear"/>
          </w:tcPr>
          <w:p>
            <w:r>
              <w:rPr>
                <w:sz w:val="16"/>
              </w:rPr>
              <w:t>Moyenne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30,000</w:t>
            </w:r>
          </w:p>
        </w:tc>
        <w:tc>
          <w:tcPr>
            <w:tcW w:type="dxa" w:w="1417"/>
            <w:shd w:fill="FFFFFF" w:val="clear"/>
          </w:tcPr>
          <w:p>
            <w:r>
              <w:rPr>
                <w:sz w:val="16"/>
              </w:rPr>
              <w:t>28,614</w:t>
            </w:r>
          </w:p>
        </w:tc>
        <w:tc>
          <w:tcPr>
            <w:tcW w:type="dxa" w:w="1134"/>
            <w:shd w:fill="FFC7CE" w:val="clear"/>
          </w:tcPr>
          <w:p>
            <w:r>
              <w:rPr>
                <w:b/>
                <w:color w:val="B40000"/>
                <w:sz w:val="16"/>
              </w:rPr>
              <w:t>-4.62%</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7,900</w:t>
            </w:r>
          </w:p>
        </w:tc>
        <w:tc>
          <w:tcPr>
            <w:tcW w:type="dxa" w:w="1417"/>
            <w:shd w:fill="FFFFFF" w:val="clear"/>
          </w:tcPr>
          <w:p>
            <w:r>
              <w:rPr>
                <w:sz w:val="16"/>
              </w:rPr>
              <w:t>7,525</w:t>
            </w:r>
          </w:p>
        </w:tc>
        <w:tc>
          <w:tcPr>
            <w:tcW w:type="dxa" w:w="1134"/>
            <w:shd w:fill="FFC7CE" w:val="clear"/>
          </w:tcPr>
          <w:p>
            <w:r>
              <w:rPr>
                <w:b/>
                <w:color w:val="B40000"/>
                <w:sz w:val="16"/>
              </w:rPr>
              <w:t>-4.74%</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2,190</w:t>
            </w:r>
          </w:p>
        </w:tc>
        <w:tc>
          <w:tcPr>
            <w:tcW w:type="dxa" w:w="1417"/>
            <w:shd w:fill="FFFFFF" w:val="clear"/>
          </w:tcPr>
          <w:p>
            <w:r>
              <w:rPr>
                <w:sz w:val="16"/>
              </w:rPr>
              <w:t>2,081</w:t>
            </w:r>
          </w:p>
        </w:tc>
        <w:tc>
          <w:tcPr>
            <w:tcW w:type="dxa" w:w="1134"/>
            <w:shd w:fill="FFC7CE" w:val="clear"/>
          </w:tcPr>
          <w:p>
            <w:r>
              <w:rPr>
                <w:b/>
                <w:color w:val="B40000"/>
                <w:sz w:val="16"/>
              </w:rPr>
              <w:t>-4.98%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1,855</w:t>
            </w:r>
          </w:p>
        </w:tc>
        <w:tc>
          <w:tcPr>
            <w:tcW w:type="dxa" w:w="1417"/>
            <w:shd w:fill="FFFFFF" w:val="clear"/>
          </w:tcPr>
          <w:p>
            <w:r>
              <w:rPr>
                <w:sz w:val="16"/>
              </w:rPr>
              <w:t>1,739</w:t>
            </w:r>
          </w:p>
        </w:tc>
        <w:tc>
          <w:tcPr>
            <w:tcW w:type="dxa" w:w="1134"/>
            <w:shd w:fill="FFC7CE" w:val="clear"/>
          </w:tcPr>
          <w:p>
            <w:r>
              <w:rPr>
                <w:b/>
                <w:color w:val="B40000"/>
                <w:sz w:val="16"/>
              </w:rPr>
              <w:t>-6.27%</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3,190</w:t>
            </w:r>
          </w:p>
        </w:tc>
        <w:tc>
          <w:tcPr>
            <w:tcW w:type="dxa" w:w="1417"/>
            <w:shd w:fill="FFFFFF" w:val="clear"/>
          </w:tcPr>
          <w:p>
            <w:r>
              <w:rPr>
                <w:sz w:val="16"/>
              </w:rPr>
              <w:t>2,990</w:t>
            </w:r>
          </w:p>
        </w:tc>
        <w:tc>
          <w:tcPr>
            <w:tcW w:type="dxa" w:w="1134"/>
            <w:shd w:fill="FFC7CE" w:val="clear"/>
          </w:tcPr>
          <w:p>
            <w:r>
              <w:rPr>
                <w:b/>
                <w:color w:val="B40000"/>
                <w:sz w:val="16"/>
              </w:rPr>
              <w:t>-6.28%</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6,100</w:t>
            </w:r>
          </w:p>
        </w:tc>
        <w:tc>
          <w:tcPr>
            <w:tcW w:type="dxa" w:w="1417"/>
            <w:shd w:fill="FFFFFF" w:val="clear"/>
          </w:tcPr>
          <w:p>
            <w:r>
              <w:rPr>
                <w:sz w:val="16"/>
              </w:rPr>
              <w:t>5,510</w:t>
            </w:r>
          </w:p>
        </w:tc>
        <w:tc>
          <w:tcPr>
            <w:tcW w:type="dxa" w:w="1134"/>
            <w:shd w:fill="FFC7CE" w:val="clear"/>
          </w:tcPr>
          <w:p>
            <w:r>
              <w:rPr>
                <w:b/>
                <w:color w:val="B40000"/>
                <w:sz w:val="16"/>
              </w:rPr>
              <w:t>-9.67%</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21,000</w:t>
            </w:r>
          </w:p>
        </w:tc>
        <w:tc>
          <w:tcPr>
            <w:tcW w:type="dxa" w:w="1417"/>
            <w:shd w:fill="FFFFFF" w:val="clear"/>
          </w:tcPr>
          <w:p>
            <w:r>
              <w:rPr>
                <w:sz w:val="16"/>
              </w:rPr>
              <w:t>18,866</w:t>
            </w:r>
          </w:p>
        </w:tc>
        <w:tc>
          <w:tcPr>
            <w:tcW w:type="dxa" w:w="1134"/>
            <w:shd w:fill="FFC7CE" w:val="clear"/>
          </w:tcPr>
          <w:p>
            <w:r>
              <w:rPr>
                <w:b/>
                <w:color w:val="B40000"/>
                <w:sz w:val="16"/>
              </w:rPr>
              <w:t>-10.16%</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8,150</w:t>
            </w:r>
          </w:p>
        </w:tc>
        <w:tc>
          <w:tcPr>
            <w:tcW w:type="dxa" w:w="1417"/>
            <w:shd w:fill="FFFFFF" w:val="clear"/>
          </w:tcPr>
          <w:p>
            <w:r>
              <w:rPr>
                <w:sz w:val="16"/>
              </w:rPr>
              <w:t>7,127</w:t>
            </w:r>
          </w:p>
        </w:tc>
        <w:tc>
          <w:tcPr>
            <w:tcW w:type="dxa" w:w="1134"/>
            <w:shd w:fill="FFC7CE" w:val="clear"/>
          </w:tcPr>
          <w:p>
            <w:r>
              <w:rPr>
                <w:b/>
                <w:color w:val="B40000"/>
                <w:sz w:val="16"/>
              </w:rPr>
              <w:t>-12.56%</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34.81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3,259 titres</w:t>
            </w:r>
          </w:p>
        </w:tc>
        <w:tc>
          <w:tcPr>
            <w:tcW w:type="dxa" w:w="2268"/>
            <w:shd w:fill="FFF2CC" w:val="clear"/>
          </w:tcPr>
          <w:p>
            <w:r>
              <w:rPr>
                <w:b/>
                <w:color w:val="503200"/>
                <w:sz w:val="16"/>
              </w:rPr>
              <w:t xml:space="preserve">Cours actuel : </w:t>
            </w:r>
            <w:r>
              <w:rPr>
                <w:color w:val="000000"/>
                <w:sz w:val="17"/>
              </w:rPr>
              <w:t>3,190 FCFA</w:t>
            </w:r>
          </w:p>
          <w:p>
            <w:r>
              <w:rPr>
                <w:b/>
                <w:color w:val="503200"/>
                <w:sz w:val="16"/>
              </w:rPr>
              <w:t xml:space="preserve">Var. 100 jours : </w:t>
            </w:r>
            <w:r>
              <w:rPr>
                <w:b/>
                <w:color w:val="007800"/>
                <w:sz w:val="17"/>
              </w:rPr>
              <w:t>+11.73%</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10.59% (Moyenne) — μ=3,358 FCFA, σ=356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β=0.3346 (Défensif) — Cov=0.000025, Var(idx)=0.000074, ρ=0.100,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169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3,034</w:t>
            </w:r>
          </w:p>
        </w:tc>
        <w:tc>
          <w:tcPr>
            <w:tcW w:type="dxa" w:w="1440"/>
            <w:shd w:fill="FAFAFA" w:val="clear"/>
          </w:tcPr>
          <w:p>
            <w:r>
              <w:rPr>
                <w:b/>
                <w:sz w:val="17"/>
              </w:rPr>
              <w:t>3,161</w:t>
            </w:r>
          </w:p>
        </w:tc>
        <w:tc>
          <w:tcPr>
            <w:tcW w:type="dxa" w:w="1440"/>
            <w:shd w:fill="FAFAFA" w:val="clear"/>
          </w:tcPr>
          <w:p>
            <w:r>
              <w:rPr>
                <w:sz w:val="17"/>
              </w:rPr>
              <w:t>3,289</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2,963</w:t>
            </w:r>
          </w:p>
        </w:tc>
        <w:tc>
          <w:tcPr>
            <w:tcW w:type="dxa" w:w="1440"/>
            <w:shd w:fill="FAFAFA" w:val="clear"/>
          </w:tcPr>
          <w:p>
            <w:r>
              <w:rPr>
                <w:b/>
                <w:sz w:val="17"/>
              </w:rPr>
              <w:t>3,142</w:t>
            </w:r>
          </w:p>
        </w:tc>
        <w:tc>
          <w:tcPr>
            <w:tcW w:type="dxa" w:w="1440"/>
            <w:shd w:fill="FAFAFA" w:val="clear"/>
          </w:tcPr>
          <w:p>
            <w:r>
              <w:rPr>
                <w:sz w:val="17"/>
              </w:rPr>
              <w:t>3,321</w:t>
            </w:r>
          </w:p>
        </w:tc>
        <w:tc>
          <w:tcPr>
            <w:tcW w:type="dxa" w:w="1440"/>
            <w:shd w:fill="FAFAFA" w:val="clear"/>
          </w:tcPr>
          <w:p>
            <w:r>
              <w:rPr>
                <w:b/>
                <w:color w:val="C00000"/>
                <w:sz w:val="17"/>
              </w:rPr>
              <w:t>-1.5%</w:t>
            </w:r>
          </w:p>
        </w:tc>
      </w:tr>
      <w:tr>
        <w:tc>
          <w:tcPr>
            <w:tcW w:type="dxa" w:w="1440"/>
            <w:shd w:fill="FFDCE0" w:val="clear"/>
          </w:tcPr>
          <w:p>
            <w:r>
              <w:rPr>
                <w:sz w:val="17"/>
              </w:rPr>
              <w:t>J+3  Moyenne</w:t>
            </w:r>
          </w:p>
        </w:tc>
        <w:tc>
          <w:tcPr>
            <w:tcW w:type="dxa" w:w="1440"/>
            <w:shd w:fill="FFDCE0" w:val="clear"/>
          </w:tcPr>
          <w:p>
            <w:r>
              <w:rPr>
                <w:sz w:val="17"/>
              </w:rPr>
              <w:t>2026-10-16</w:t>
            </w:r>
          </w:p>
        </w:tc>
        <w:tc>
          <w:tcPr>
            <w:tcW w:type="dxa" w:w="1440"/>
            <w:shd w:fill="FFDCE0" w:val="clear"/>
          </w:tcPr>
          <w:p>
            <w:r>
              <w:rPr>
                <w:sz w:val="17"/>
              </w:rPr>
              <w:t>2,902</w:t>
            </w:r>
          </w:p>
        </w:tc>
        <w:tc>
          <w:tcPr>
            <w:tcW w:type="dxa" w:w="1440"/>
            <w:shd w:fill="FFDCE0" w:val="clear"/>
          </w:tcPr>
          <w:p>
            <w:r>
              <w:rPr>
                <w:b/>
                <w:sz w:val="17"/>
              </w:rPr>
              <w:t>3,120</w:t>
            </w:r>
          </w:p>
        </w:tc>
        <w:tc>
          <w:tcPr>
            <w:tcW w:type="dxa" w:w="1440"/>
            <w:shd w:fill="FFDCE0" w:val="clear"/>
          </w:tcPr>
          <w:p>
            <w:r>
              <w:rPr>
                <w:sz w:val="17"/>
              </w:rPr>
              <w:t>3,338</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2026-10-19</w:t>
            </w:r>
          </w:p>
        </w:tc>
        <w:tc>
          <w:tcPr>
            <w:tcW w:type="dxa" w:w="1440"/>
            <w:shd w:fill="FFDCE0" w:val="clear"/>
          </w:tcPr>
          <w:p>
            <w:r>
              <w:rPr>
                <w:sz w:val="17"/>
              </w:rPr>
              <w:t>2,848</w:t>
            </w:r>
          </w:p>
        </w:tc>
        <w:tc>
          <w:tcPr>
            <w:tcW w:type="dxa" w:w="1440"/>
            <w:shd w:fill="FFDCE0" w:val="clear"/>
          </w:tcPr>
          <w:p>
            <w:r>
              <w:rPr>
                <w:b/>
                <w:sz w:val="17"/>
              </w:rPr>
              <w:t>3,098</w:t>
            </w:r>
          </w:p>
        </w:tc>
        <w:tc>
          <w:tcPr>
            <w:tcW w:type="dxa" w:w="1440"/>
            <w:shd w:fill="FFDCE0" w:val="clear"/>
          </w:tcPr>
          <w:p>
            <w:r>
              <w:rPr>
                <w:sz w:val="17"/>
              </w:rPr>
              <w:t>3,348</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2026-10-20</w:t>
            </w:r>
          </w:p>
        </w:tc>
        <w:tc>
          <w:tcPr>
            <w:tcW w:type="dxa" w:w="1440"/>
            <w:shd w:fill="FFDCE0" w:val="clear"/>
          </w:tcPr>
          <w:p>
            <w:r>
              <w:rPr>
                <w:sz w:val="17"/>
              </w:rPr>
              <w:t>2,800</w:t>
            </w:r>
          </w:p>
        </w:tc>
        <w:tc>
          <w:tcPr>
            <w:tcW w:type="dxa" w:w="1440"/>
            <w:shd w:fill="FFDCE0" w:val="clear"/>
          </w:tcPr>
          <w:p>
            <w:r>
              <w:rPr>
                <w:b/>
                <w:sz w:val="17"/>
              </w:rPr>
              <w:t>3,078</w:t>
            </w:r>
          </w:p>
        </w:tc>
        <w:tc>
          <w:tcPr>
            <w:tcW w:type="dxa" w:w="1440"/>
            <w:shd w:fill="FFDCE0" w:val="clear"/>
          </w:tcPr>
          <w:p>
            <w:r>
              <w:rPr>
                <w:sz w:val="17"/>
              </w:rPr>
              <w:t>3,356</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2026-10-21</w:t>
            </w:r>
          </w:p>
        </w:tc>
        <w:tc>
          <w:tcPr>
            <w:tcW w:type="dxa" w:w="1440"/>
            <w:shd w:fill="FFDCE0" w:val="clear"/>
          </w:tcPr>
          <w:p>
            <w:r>
              <w:rPr>
                <w:sz w:val="17"/>
              </w:rPr>
              <w:t>2,756</w:t>
            </w:r>
          </w:p>
        </w:tc>
        <w:tc>
          <w:tcPr>
            <w:tcW w:type="dxa" w:w="1440"/>
            <w:shd w:fill="FFDCE0" w:val="clear"/>
          </w:tcPr>
          <w:p>
            <w:r>
              <w:rPr>
                <w:b/>
                <w:sz w:val="17"/>
              </w:rPr>
              <w:t>3,059</w:t>
            </w:r>
          </w:p>
        </w:tc>
        <w:tc>
          <w:tcPr>
            <w:tcW w:type="dxa" w:w="1440"/>
            <w:shd w:fill="FFDCE0" w:val="clear"/>
          </w:tcPr>
          <w:p>
            <w:r>
              <w:rPr>
                <w:sz w:val="17"/>
              </w:rPr>
              <w:t>3,361</w:t>
            </w:r>
          </w:p>
        </w:tc>
        <w:tc>
          <w:tcPr>
            <w:tcW w:type="dxa" w:w="1440"/>
            <w:shd w:fill="FFDCE0" w:val="clear"/>
          </w:tcPr>
          <w:p>
            <w:r>
              <w:rPr>
                <w:b/>
                <w:color w:val="C00000"/>
                <w:sz w:val="17"/>
              </w:rPr>
              <w:t>-4.1%</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2,716</w:t>
            </w:r>
          </w:p>
        </w:tc>
        <w:tc>
          <w:tcPr>
            <w:tcW w:type="dxa" w:w="1440"/>
            <w:shd w:fill="FFDCE0" w:val="clear"/>
          </w:tcPr>
          <w:p>
            <w:r>
              <w:rPr>
                <w:b/>
                <w:sz w:val="17"/>
              </w:rPr>
              <w:t>3,040</w:t>
            </w:r>
          </w:p>
        </w:tc>
        <w:tc>
          <w:tcPr>
            <w:tcW w:type="dxa" w:w="1440"/>
            <w:shd w:fill="FFDCE0" w:val="clear"/>
          </w:tcPr>
          <w:p>
            <w:r>
              <w:rPr>
                <w:sz w:val="17"/>
              </w:rPr>
              <w:t>3,365</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2,678</w:t>
            </w:r>
          </w:p>
        </w:tc>
        <w:tc>
          <w:tcPr>
            <w:tcW w:type="dxa" w:w="1440"/>
            <w:shd w:fill="FFDCE0" w:val="clear"/>
          </w:tcPr>
          <w:p>
            <w:r>
              <w:rPr>
                <w:b/>
                <w:sz w:val="17"/>
              </w:rPr>
              <w:t>3,023</w:t>
            </w:r>
          </w:p>
        </w:tc>
        <w:tc>
          <w:tcPr>
            <w:tcW w:type="dxa" w:w="1440"/>
            <w:shd w:fill="FFDCE0" w:val="clear"/>
          </w:tcPr>
          <w:p>
            <w:r>
              <w:rPr>
                <w:sz w:val="17"/>
              </w:rPr>
              <w:t>3,368</w:t>
            </w:r>
          </w:p>
        </w:tc>
        <w:tc>
          <w:tcPr>
            <w:tcW w:type="dxa" w:w="1440"/>
            <w:shd w:fill="FFDCE0" w:val="clear"/>
          </w:tcPr>
          <w:p>
            <w:r>
              <w:rPr>
                <w:b/>
                <w:color w:val="C00000"/>
                <w:sz w:val="17"/>
              </w:rPr>
              <w:t>-5.2%</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2,642</w:t>
            </w:r>
          </w:p>
        </w:tc>
        <w:tc>
          <w:tcPr>
            <w:tcW w:type="dxa" w:w="1440"/>
            <w:shd w:fill="FFDCE0" w:val="clear"/>
          </w:tcPr>
          <w:p>
            <w:r>
              <w:rPr>
                <w:b/>
                <w:sz w:val="17"/>
              </w:rPr>
              <w:t>3,006</w:t>
            </w:r>
          </w:p>
        </w:tc>
        <w:tc>
          <w:tcPr>
            <w:tcW w:type="dxa" w:w="1440"/>
            <w:shd w:fill="FFDCE0" w:val="clear"/>
          </w:tcPr>
          <w:p>
            <w:r>
              <w:rPr>
                <w:sz w:val="17"/>
              </w:rPr>
              <w:t>3,370</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2,608</w:t>
            </w:r>
          </w:p>
        </w:tc>
        <w:tc>
          <w:tcPr>
            <w:tcW w:type="dxa" w:w="1440"/>
            <w:shd w:fill="FFDCE0" w:val="clear"/>
          </w:tcPr>
          <w:p>
            <w:r>
              <w:rPr>
                <w:b/>
                <w:sz w:val="17"/>
              </w:rPr>
              <w:t>2,990</w:t>
            </w:r>
          </w:p>
        </w:tc>
        <w:tc>
          <w:tcPr>
            <w:tcW w:type="dxa" w:w="1440"/>
            <w:shd w:fill="FFDCE0" w:val="clear"/>
          </w:tcPr>
          <w:p>
            <w:r>
              <w:rPr>
                <w:sz w:val="17"/>
              </w:rPr>
              <w:t>3,371</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34,81 milliards FCFA, Servair Abidjan se positionne comme une valeur de taille intermédiaire sur la BRVM, loin des poids lourds bancaires et télécoms mais suffisamment liquide pour intéresser les investisseurs institutionnels régionaux. Le BPA de 124 FCFA/action signifie que chaque titre génère environ 124 FCFA de bénéfice net, ce qui, rapporté au cours actuel de 3 190 FCFA, donne un PER de 25,8x — très nettement supérieur à la moyenne du marché BRVM (8-12x), signalant que les investisseurs paient une prime spéculative importante pour cette valeur, soit en anticipant une forte croissance future, soit en raison d'une surévaluation manifeste. Le P/B de 6,75x confirme cette lecture : le marché valorise l'entreprise à près de 7 fois sa valeur comptable, une prime exigeante qui n'est justifiable que par une rentabilité des fonds propres exceptionnelle (ROE de 26,2% en 2025) et des perspectives de croissance solides. Enfin, l'EV/EBITDA de 13,0x, bien qu'inférieur au PER, reste dans la fourchette haute (10-15x) et traduit une valorisation tendue par rapport à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 enregistré une progression totale de +11,73%, clôturant à 3 190 FCFA, avec une variation nulle lors de la dernière séance (J-1 : +0,00%), signe d'une stabilisation après une phase de correction. Le titre a évolué dans un range relativement large de 1 295 FCFA, entre un plus bas de 2 800 FCFA et un plus haut de 4 095 FCFA, ce qui témoigne d'une forte amplitude de trading et d'une tendance générale haussière sur la période, bien que le cours actuel se situe à mi-chemin du range, suggérant une consolidation. Les statistiques descriptives révèlent une moyenne de 3 358 FCFA légèrement supérieure à la médiane de 3 278 FCFA, avec un mode à 3 150 FCFA : cet écart modéré indique une distribution légèrement asymétrique, confirmée par un skewness positif de 0,626, signifiant qu'il y a eu davantage de journées de trading sous la moyenne, mais avec des pics haussiers marqués. L'écart-type de 357 FCFA (CV de 10,6%) traduit une dispersion modérée du cours autour de sa moyenne, tandis que le kurtosis de -0,771 (mésokurtique) indique une distribution proche de la normale, sans risque excessif de pics extrêmes. La volatilité annualisée de 45,1% classe le titre dans la catégorie des valeurs à volatilité élevée (&gt;30%), ce qui implique un risque de prix significatif pour les investisseurs, mais aussi des opportunités de trading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3 631,25 FCFA et la MM50 à 3 559,50 FCFA, toutes deux nettement supérieures au cours actuel de 3 190 FCFA, ce qui place le titre en position baissière par rapport à ses moyennes mobiles. Cependant, la décision technique affichée est "Achat", probablement en anticipation d'un retour à la moyenne (mean reversion) après la correction récente. La configuration actuelle suggère que le titre est survendu par rapport à ses moyennes, ce qui pourrait attirer des acheteurs à la recherche de points d'entrée.</w:t>
      </w:r>
    </w:p>
    <w:p>
      <w:pPr>
        <w:spacing w:after="120" w:line="276" w:lineRule="auto"/>
      </w:pPr>
      <w:r>
        <w:t>**Bandes de Bollinger** : La borne supérieure est à 4 299,72 FCFA et la borne inférieure à 2 962,78 FCFA, avec un cours actuel de 3 190 FCFA qui se situe dans la partie basse de la bande, sans être en zone de survente extrême. La décision "Neutre" reflète cette position intermédiaire : le titre n'est ni suracheté ni survendu selon cet indicateur, et la volatilité implicite reste élevée, comme en témoigne l'écart important entre les bornes.</w:t>
      </w:r>
    </w:p>
    <w:p>
      <w:pPr>
        <w:spacing w:after="120" w:line="276" w:lineRule="auto"/>
      </w:pPr>
      <w:r>
        <w:t>**MACD** : La valeur du MACD est de -144,625, inférieure à son signal à -72,404, ce qui génère une décision "Vente". Cette divergence négative indique un momentum baissier persistant, avec un MACD qui évolue sous sa ligne de signal, confirmant la pression vendeuse à court terme. La tendance baissière du MACD suggère que la correction pourrait se poursuivre avant un retournement.</w:t>
      </w:r>
    </w:p>
    <w:p>
      <w:pPr>
        <w:spacing w:after="120" w:line="276" w:lineRule="auto"/>
      </w:pPr>
      <w:r>
        <w:t>**RSI** : Avec une valeur de 15,068, le RSI est en zone de survente extrême (&lt;30), ce qui déclenche une décision "Achat". Un RSI aussi bas indique que le titre a été massivement vendu et qu'un rebond technique est probable à court terme, bien que la prudence reste de mise tant que le MACD n'affiche pas de retournement.</w:t>
      </w:r>
    </w:p>
    <w:p>
      <w:pPr>
        <w:spacing w:after="120" w:line="276" w:lineRule="auto"/>
      </w:pPr>
      <w:r>
        <w:t>**Stochastique** : Le %K et le %D sont tous deux à 0,0, ce qui place l'indicateur en zone de survente maximale et génère une décision "Achat". Ce niveau extrême suggère que la pression vendeuse est à son paroxysme et qu'un retournement haussier pourrait se produire dans les prochains jours, surtout si le cours commence à se stabiliser.</w:t>
      </w:r>
    </w:p>
    <w:p>
      <w:pPr>
        <w:spacing w:after="120" w:line="276" w:lineRule="auto"/>
      </w:pPr>
      <w:r>
        <w:t>**Conclusion technique** : Les indicateurs techniques présentent un tableau contrasté : le MACD est baissier, mais le RSI et le Stochastique sont en zone de survente extrême, générant des signaux d'achat contradictoires. Les moyennes mobiles confirment la tendance baissière de fond, mais la position du cours dans les bandes de Bollinger et les niveaux extrêmes du RSI/Stochastique suggèrent qu'un rebond technique est imminent. La convergence des signaux d'achat (RSI, Stochastique) face au signal de vente du MACD indique une phase de transition, où la prudence est de mise mais où des opportunités d'achat à court terme peuvent se présenter.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Servair Abidjan a réalisé un chiffre d'affaires de 13,298 milliards FCFA, en croissance de 6,67% par rapport à 2024, confirmant la dynamique commerciale de l'entreprise dans les services aéroportuaires. Le résultat net s'établit à 1,351 milliards FCFA, en baisse de 12,1% par rapport à 2024 (1,515 milliards FCFA selon les états financiers certifiés 2024), principalement en raison d'une augmentation significative de la charge d'impôt (+46,7% à 839,75 millions FCFA). La rentabilité reste solide avec un ROE de 26,18% (excellent, &gt;15%) et un ROA de 14,64%, témoignant d'une utilisation efficace des capitaux propres et des actifs. La marge nette de 10,16% reste correcte malgré la pression fiscale, et la marge opérationnelle de 16,38% démontre une bonne maîtrise des coûts d'exploitation. La structure financière est saine : l'autonomie financière de 55,92% (capitaux propres/total bilan) est largement supérieure au seuil de 30%, et le ratio d'endettement de 44,08% reste maîtrisé. Le BFR de 257,45 millions FCFA est positif mais faible, et le fonds de roulement de 4,292 milliards FCFA assure une bonne liquidité (ratio de liquidité générale de 218,37%). Les délais clients de 70,10 jours et fournisseurs de 92,11 jours indiquent une gestion équilibrée du besoin en fonds de roulement, bien que le délai client élevé constitue un risque de trésorerie à surveiller. Sur la base du rapport T1 2026 (publié en 2026), le chiffre d'affaires progresse de 1,9% à 3,237 milliards FCFA, mais le résultat net chute de 35,6% à 222,625 millions FCFA, en raison d'un environnement d'exploitation moins favorable et de l'impact des ajustements de redevances aéroportuaires depuis avril 2025. On estime que l'exercice 2026 devrait être marqué par une pression persistante sur les marges, avec un résultat net annuel potentiellement en baisse de 20-30% par rapport à 2025, bien que la société poursuive sa stratégie de diversification vers les activités non aériennes. La recommandation fondamentale est de **conserver** le titre : la solidité financière et la position de marché restent défendables à moyen terme, mais les risques de dégradation de la rentabilité et la pression fiscale nécessitent une surveillance étroite.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Servair Abidjan apparaît nettement tendue : avec un PER de 25,8x (très supérieur à la moyenne BRVM de 8-12x), un P/B de 6,75x et un EV/EBITDA de 13,0x, le marché intègre déjà une forte croissance future qui ne se matérialise pas dans les derniers résultats trimestriels (T1 2026 : résultat net -35,6%). Le comportement du cours sur 100 jours montre une tendance haussière (+11,73%) mais avec une volatilité élevée (45,1%) et une distribution légèrement asymétrique (skewness positif), ce qui suggère que le titre pourrait être sujet à des corrections brutales. Les signaux techniques sont mitigés : le MACD est baissier, mais le RSI (15,07) et le Stochastique (0,0) sont en zone de survente extrême, générant des signaux d'achat contradictoires qui pourraient annoncer un rebond technique à court terme. Les fondamentaux restent solides (ROE de 26,18%, autonomie financière de 55,92%, trésorerie de 4,035 milliards FCFA), mais la dégradation de la rentabilité au T1 2026 et la pression fiscale constituent des vents contraires importants. Les prédictions IA pour les 10 prochains jours (3161 → 3078 FCFA) indiquent une légère tendance baissière, ce qui contredit les signaux d'achat techniques à court terme mais confirme la pression vendeuse persistante. Sur la base de cette synthèse, la recommandation finale est **CONSERVER** : la convergence entre une valorisation exigeante, des fondamentaux solides mais en dégradation, et des signaux techniques contradictoires ne justifie pas un achat agressif, mais la solidité financière et la position de marché de l'entreprise excluent une vente précipitée. Le niveau de confiance est **Moyen**, car les signaux sont divergents et les perspectives à court terme restent incertaines. Le niveau de risque global est **Élevé**, en raison de la volatilité du titre (45,1%), de la valorisation tendue et de la dégradation récente de la rentabilité. L'horizon d'investissement optimal est le **moyen terme (3-12 mois)**, en attendant que la société stabilise sa rentabilité et que la valorisation se normalise, avec un point d'entrée potentiel autour de 2 800-2 900 FCFA (plus bas sur 100 jours) pour les investisseurs à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519.75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31,948 titres</w:t>
            </w:r>
          </w:p>
        </w:tc>
        <w:tc>
          <w:tcPr>
            <w:tcW w:type="dxa" w:w="2268"/>
            <w:shd w:fill="FFF2CC" w:val="clear"/>
          </w:tcPr>
          <w:p>
            <w:r>
              <w:rPr>
                <w:b/>
                <w:color w:val="503200"/>
                <w:sz w:val="16"/>
              </w:rPr>
              <w:t xml:space="preserve">Cours actuel : </w:t>
            </w:r>
            <w:r>
              <w:rPr>
                <w:color w:val="000000"/>
                <w:sz w:val="17"/>
              </w:rPr>
              <w:t>10,395 FCFA</w:t>
            </w:r>
          </w:p>
          <w:p>
            <w:r>
              <w:rPr>
                <w:b/>
                <w:color w:val="503200"/>
                <w:sz w:val="16"/>
              </w:rPr>
              <w:t xml:space="preserve">Var. 100 jours : </w:t>
            </w:r>
            <w:r>
              <w:rPr>
                <w:b/>
                <w:color w:val="007800"/>
                <w:sz w:val="17"/>
              </w:rPr>
              <w:t>+43.28%</w:t>
            </w:r>
          </w:p>
          <w:p>
            <w:r>
              <w:rPr>
                <w:b/>
                <w:color w:val="503200"/>
                <w:sz w:val="16"/>
              </w:rPr>
              <w:t xml:space="preserve">Plus haut 100j : </w:t>
            </w:r>
            <w:r>
              <w:rPr>
                <w:color w:val="000000"/>
                <w:sz w:val="17"/>
              </w:rPr>
              <w:t>10,450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22.2/100 → Moyen</w:t>
      </w:r>
    </w:p>
    <w:p>
      <w:pPr>
        <w:spacing w:before="40" w:after="80"/>
      </w:pPr>
      <w:r>
        <w:rPr>
          <w:rFonts w:ascii="Courier New" w:hAnsi="Courier New"/>
          <w:color w:val="825A00"/>
          <w:sz w:val="18"/>
        </w:rPr>
        <w:t>████░░░░░░░░░░░░░░░░  22.2/100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10.71% (Moyenne) — μ=9,267 FCFA, σ=993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β=1.3305 (Agressif) — Cov=0.000116, Var(idx)=0.000087, ρ=0.377, n=10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31,948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σ_j=3.33%/j (Modérée) — Vol. annualisée≈52.8%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 📊 RAPPORT D'ANALYSE FINANCIÈRE — BBGC (BRIDGE BANK GROUP CÔTE D'IVOIRE)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**519,75 Mds FCFA**, BBGC s'impose comme l'une des valeurs bancaires les plus significatives de la cote BRVM, ce qui traduit une forte attractivité post-introduction. Le **BPA de 544 FCFA/action** confère au titre un **PER de 19,1x**, nettement supérieur à la moyenne du marché BRVM (8-12x), signalant que les investisseurs paient une prime de croissance élevée pour ce dossier. Le **P/B de 4,94x** (largement au-dessus de 1x) confirme cette valorisation exigeante : le marché valorise la banque près de cinq fois sa valeur comptable, ce qui n'est justifiable que par une rentabilité des fonds propres exceptionnelle (ROE de 25,87%). Enfin, l'**EV/EBITDA de 17,0x** (au-delà du seuil de 15x) renforce le constat d'une valorisation tendue, intégrant déjà une large part des anticipations de croissance future. Ces multiples traduisent un **optimisme marqué du marché**, cohérent avec la sursouscription de l'OPV, mais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BBGC affiche une **performance spectaculaire de +43,28%**, avec un cours actuel de **10 395 FCFA** (recul marginal de -0,53% sur la dernière séance, simple respiration après un fort rallye). Le titre a évolué dans un **range large de 7 255 FCFA à 10 450 FCFA**, soit une amplitude de plus de 44%, et se situe actuellement à seulement 0,5% de son plus haut — signe d'une **tendance haussière robuste** et d'une pression acheteuse persistante. Les statistiques descriptives révèlent une **moyenne (9 267 FCFA) légèrement supérieure à la médiane (9 195 FCFA)**, avec un mode à 9 000 FCFA : la distribution est cohérente mais le **skewness négatif (-0,506)** indique que le cours a passé davantage de séances au-dessus de sa moyenne, typique d'un titre en phase d'appréciation. L'**écart-type de 1 033 FCFA (CV = 11,2%)** traduit une dispersion modérée mais réelle, tandis que le **kurtosis de -0,785 (mésokurtique)** suggère une distribution proche de la normale, sans pics extrêmes marqués — un profil relativement « lisible » pour les investisseurs. Enfin, la **volatilité annualisée de 52,8%** classe BBGC dans la catégorie des titres à **volatilité élevée (&gt;30%)**, ce qui est attendu pour une valeur récemment introduite en bourse et en pleine phase de découverte de prix.</w:t>
      </w:r>
    </w:p>
    <w:p>
      <w:pPr>
        <w:spacing w:after="120" w:line="276" w:lineRule="auto"/>
      </w:pPr>
      <w:r>
        <w:t>---</w:t>
      </w:r>
    </w:p>
    <w:p>
      <w:pPr>
        <w:spacing w:after="120" w:line="276" w:lineRule="auto"/>
      </w:pPr>
      <w:r>
        <w:t>## PARTIE 2 : ANALYSE TECHNIQUE DÉTAILLÉE</w:t>
      </w:r>
    </w:p>
    <w:p>
      <w:pPr>
        <w:spacing w:after="120" w:line="276" w:lineRule="auto"/>
      </w:pPr>
      <w:r>
        <w:t>**Moyennes Mobiles (MM20 / MM50) :** Les valeurs des moyennes mobiles ne sont pas disponibles (nan), ce qui s'explique vraisemblablement par l'historique de cotation encore court de BBGC sur la BRVM (introduction récente en 2026). En l'absence de ces références, aucune décision technique ne peut être émise sur ce critère ; il conviendra de reconstituer ces indicateurs dès que 50 séances de cotation seront disponibles.</w:t>
      </w:r>
    </w:p>
    <w:p>
      <w:pPr>
        <w:spacing w:after="120" w:line="276" w:lineRule="auto"/>
      </w:pPr>
      <w:r>
        <w:t>**Bandes de Bollinger :** Les bornes supérieure et inférieure sont également indisponibles (nan), pour la même raison d'historique insuffisant. Le cours actuel de 10 395 FCFA, proche du plus haut historique, suggère toutefois une position haute dans un éventuel canal de Bollinger, ce qui pourrait signaler une zone de surachat naissant — à confirmer dès que les données seront exploitables.</w:t>
      </w:r>
    </w:p>
    <w:p>
      <w:pPr>
        <w:spacing w:after="120" w:line="276" w:lineRule="auto"/>
      </w:pPr>
      <w:r>
        <w:t>**MACD :** Les valeurs MACD et Signal sont indisponibles (nan). Aucune divergence ni croisement ne peut donc être analysé. Le momentum général reste néanmoins haussier au vu de la progression de +43,28% sur 100 jours.</w:t>
      </w:r>
    </w:p>
    <w:p>
      <w:pPr>
        <w:spacing w:after="120" w:line="276" w:lineRule="auto"/>
      </w:pPr>
      <w:r>
        <w:t>**RSI :** La valeur du RSI n'est pas fournie (nan). Compte tenu de la proximité du cours avec son plus haut historique (10 450 FCFA), un RSI en zone de surachat (&gt;70) serait plausible, mais aucune conclusion ferme ne peut être tirée sans donnée chiffrée.</w:t>
      </w:r>
    </w:p>
    <w:p>
      <w:pPr>
        <w:spacing w:after="120" w:line="276" w:lineRule="auto"/>
      </w:pPr>
      <w:r>
        <w:t>**Stochastique (%K / %D) :** Les valeurs %K et %D sont indisponibles (nan), empêchant toute analyse de croisement. Là encore, l'absence de données techniques exploitables limite l'analyse à court terme.</w:t>
      </w:r>
    </w:p>
    <w:p>
      <w:pPr>
        <w:spacing w:after="120" w:line="276" w:lineRule="auto"/>
      </w:pPr>
      <w:r>
        <w:t>**Conclusion technique :** L'ensemble des indicateurs techniques (MM, Bollinger, MACD, RSI, Stochastique) est **indisponible en raison de l'historique de cotation trop court** de BBGC sur la BRVM. Seule l'analyse du cours brut reste exploitable : la tendance est **clairement haussière** (+43,28%), le titre évolue près de ses sommets, et la volatilité élevée (52,8%) appelle à la prudence sur les points d'entrée. Une analyse technique complète sera possible dans quelques semaines, une fois l'historique suffisant constitué.</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(chiffres officiels brvm_donnees_financieres) :** En 2025, BBGC affiche un **Produit Net Bancaire (PNB) de 67,824 Mds FCFA**, un **résultat net de 27,197 Mds FCFA**, soit une **marge nette remarquable de 40,10%**. La rentabilité des fonds propres (**ROE = 25,87%**) est excellente (seuil &gt;15%), et le **ROA de 1,91%** est solide pour une banque. Le **coefficient d'exploitation de 41,85%** (largement inférieur au seuil de 60%) confirme une **efficacité opérationnelle de premier ordre**. Le **coût du risque de 0,885%** (provisions/charges financières) traduit un **portefeuille de crédit sain**. Sur le plan bilanciel, les **dépôts clientèle (1 138,119 Mds FCFA)** couvrent largement les **créances clientèle (768,574 Mds FCFA)**, soit un ratio de transformation de 148%, signe d'une **liquidité abondante** et d'une base de ressources solide. Le **taux de croissance du PNB de 15,71%** confirme la dynamique commerciale.</w:t>
      </w:r>
    </w:p>
    <w:p>
      <w:pPr>
        <w:spacing w:after="120" w:line="276" w:lineRule="auto"/>
      </w:pPr>
      <w:r>
        <w:t>**Rapports narratifs — S1 2026 (rapports datés du 31/12/2026, analysés le 28/09/2026) :** Le rapport semestriel S1 2026 (clos le 30/06/2026) confirme et amplifie cette dynamique : **PNB de 37,7 Mds FCFA (+25% vs S1 2025)**, **résultat net de 15,2 Mds FCFA (+46%)**, **crédits clientèle +28% à 823,9 Mds FCFA**, **dépôts clientèle +46% à 1 318,3 Mds FCFA**. Le coefficient d'exploitation s'améliore encore à **40,3%** (contre 43,3% un an plus tôt), et le coût du risque reste contenu (+14% seulement pour +28% de crédits). **Estimation** : sur la base de ce rythme semestriel, on peut projeter un **PNB annuel 2026 d'environ 75-78 Mds FCFA** et un **résultat net proche de 30-32 Mds FCFA**, soit une croissance annuelle estimée de +10 à +18% — ce qui, rapporté au BPA actuel de 544 FCFA, suggérerait un **BPA 2026 potentiellement supérieur à 600 FCFA**. L'OPV (20% du capital, 10 M actions à 6 750 FCFA, sursouscrite) et l'expansion régionale au Burkina Faso constituent des catalyseurs positifs. **Recommandation fondamentale : ACHAT**, portée par une rentabilité exceptionnelle, une efficacité opérationnelle confirmée et une croissance à deux chiffres, avec pour principale réserve l'absence d'information sur la politique de dividende et la valorisation déjà exigeante.</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profil **globalement favorable mais exigeant**. Sur le plan de la **valorisation (Partie 0)**, les multiples (PER 19,1x, P/B 4,94x, EV/EBITDA 17,0x) indiquent une **surévaluation relative** par rapport aux standards BRVM, intégrant déjà une large prime de croissance. Le **comportement du cours (Partie 1)** est nettement haussier (+43,28%), avec une volatilité élevée (52,8%) et un skewness négatif qui traduit une dynamique positive, mais la proximité du plus haut historique appelle à la vigilance sur les points d'entrée. Les **signaux techniques (Partie 2)** sont **indisponibles** (historique de cotation trop court), ce qui constitue une limite majeure à l'analyse court terme et recommande la prudence. Les **fondamentaux (Partie 3)** sont en revanche **excellents** : ROE de 25,87%, coefficient d'exploitation de 41,85%, coût du risque maîtrisé, et une croissance S1 2026 confirmée (+25% PNB, +46% résultat net) qui valide la trajectoire. Les **prédictions IA (J+1 à J+10)** ne sont pas disponibles, ce qui empêche de confirmer ou d'infirmer la trajectoire par ce biais. **Recommandation finale : ACHAT**, avec un **niveau de confiance Moyen** (fondamentaux solides mais valorisation tendue et absence de signaux techniques) et un **risque global Élevé** (volatilité de 52,8%, titre récemment introduit, valorisation exigeante). L'**horizon optimal** est le **moyen à long terme (6 à 18 mois)**, afin de laisser la croissance des bénéfices « rattraper » la valorisation actuelle et de bénéficier pleinement de l'expansion régionale et de la stratégie 2026-2030.</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13,886 titres</w:t>
            </w:r>
          </w:p>
        </w:tc>
        <w:tc>
          <w:tcPr>
            <w:tcW w:type="dxa" w:w="2268"/>
            <w:shd w:fill="FFF2CC" w:val="clear"/>
          </w:tcPr>
          <w:p>
            <w:r>
              <w:rPr>
                <w:b/>
                <w:color w:val="503200"/>
                <w:sz w:val="16"/>
              </w:rPr>
              <w:t xml:space="preserve">Cours actuel : </w:t>
            </w:r>
            <w:r>
              <w:rPr>
                <w:color w:val="000000"/>
                <w:sz w:val="17"/>
              </w:rPr>
              <w:t>8,440 FCFA</w:t>
            </w:r>
          </w:p>
          <w:p>
            <w:r>
              <w:rPr>
                <w:b/>
                <w:color w:val="503200"/>
                <w:sz w:val="16"/>
              </w:rPr>
              <w:t xml:space="preserve">Var. 100 jours : </w:t>
            </w:r>
            <w:r>
              <w:rPr>
                <w:b/>
                <w:color w:val="007800"/>
                <w:sz w:val="17"/>
              </w:rPr>
              <w:t>+62.46%</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5,190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22.19% (Élevée) — μ=7,480 FCFA, σ=1,660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β=0.8478 (Neutre (suit le marché)) — Cov=0.000063, Var(idx)=0.000074, ρ=0.270,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13,886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2026-10-14</w:t>
            </w:r>
          </w:p>
        </w:tc>
        <w:tc>
          <w:tcPr>
            <w:tcW w:type="dxa" w:w="1440"/>
            <w:shd w:fill="C6EFCE" w:val="clear"/>
          </w:tcPr>
          <w:p>
            <w:r>
              <w:rPr>
                <w:sz w:val="17"/>
              </w:rPr>
              <w:t>8,338</w:t>
            </w:r>
          </w:p>
        </w:tc>
        <w:tc>
          <w:tcPr>
            <w:tcW w:type="dxa" w:w="1440"/>
            <w:shd w:fill="C6EFCE" w:val="clear"/>
          </w:tcPr>
          <w:p>
            <w:r>
              <w:rPr>
                <w:b/>
                <w:sz w:val="17"/>
              </w:rPr>
              <w:t>8,852</w:t>
            </w:r>
          </w:p>
        </w:tc>
        <w:tc>
          <w:tcPr>
            <w:tcW w:type="dxa" w:w="1440"/>
            <w:shd w:fill="C6EFCE" w:val="clear"/>
          </w:tcPr>
          <w:p>
            <w:r>
              <w:rPr>
                <w:sz w:val="17"/>
              </w:rPr>
              <w:t>9,366</w:t>
            </w:r>
          </w:p>
        </w:tc>
        <w:tc>
          <w:tcPr>
            <w:tcW w:type="dxa" w:w="1440"/>
            <w:shd w:fill="C6EFCE" w:val="clear"/>
          </w:tcPr>
          <w:p>
            <w:r>
              <w:rPr>
                <w:b/>
                <w:color w:val="008000"/>
                <w:sz w:val="17"/>
              </w:rPr>
              <w:t>+4.9%</w:t>
            </w:r>
          </w:p>
        </w:tc>
      </w:tr>
      <w:tr>
        <w:tc>
          <w:tcPr>
            <w:tcW w:type="dxa" w:w="1440"/>
            <w:shd w:fill="C6EFCE" w:val="clear"/>
          </w:tcPr>
          <w:p>
            <w:r>
              <w:rPr>
                <w:sz w:val="17"/>
              </w:rPr>
              <w:t>J+2  ⭐</w:t>
            </w:r>
          </w:p>
        </w:tc>
        <w:tc>
          <w:tcPr>
            <w:tcW w:type="dxa" w:w="1440"/>
            <w:shd w:fill="C6EFCE" w:val="clear"/>
          </w:tcPr>
          <w:p>
            <w:r>
              <w:rPr>
                <w:sz w:val="17"/>
              </w:rPr>
              <w:t>2026-10-15</w:t>
            </w:r>
          </w:p>
        </w:tc>
        <w:tc>
          <w:tcPr>
            <w:tcW w:type="dxa" w:w="1440"/>
            <w:shd w:fill="C6EFCE" w:val="clear"/>
          </w:tcPr>
          <w:p>
            <w:r>
              <w:rPr>
                <w:sz w:val="17"/>
              </w:rPr>
              <w:t>8,173</w:t>
            </w:r>
          </w:p>
        </w:tc>
        <w:tc>
          <w:tcPr>
            <w:tcW w:type="dxa" w:w="1440"/>
            <w:shd w:fill="C6EFCE" w:val="clear"/>
          </w:tcPr>
          <w:p>
            <w:r>
              <w:rPr>
                <w:b/>
                <w:sz w:val="17"/>
              </w:rPr>
              <w:t>8,904</w:t>
            </w:r>
          </w:p>
        </w:tc>
        <w:tc>
          <w:tcPr>
            <w:tcW w:type="dxa" w:w="1440"/>
            <w:shd w:fill="C6EFCE" w:val="clear"/>
          </w:tcPr>
          <w:p>
            <w:r>
              <w:rPr>
                <w:sz w:val="17"/>
              </w:rPr>
              <w:t>9,636</w:t>
            </w:r>
          </w:p>
        </w:tc>
        <w:tc>
          <w:tcPr>
            <w:tcW w:type="dxa" w:w="1440"/>
            <w:shd w:fill="C6EFCE" w:val="clear"/>
          </w:tcPr>
          <w:p>
            <w:r>
              <w:rPr>
                <w:b/>
                <w:color w:val="008000"/>
                <w:sz w:val="17"/>
              </w:rPr>
              <w:t>+5.5%</w:t>
            </w:r>
          </w:p>
        </w:tc>
      </w:tr>
      <w:tr>
        <w:tc>
          <w:tcPr>
            <w:tcW w:type="dxa" w:w="1440"/>
            <w:shd w:fill="C6EFCE" w:val="clear"/>
          </w:tcPr>
          <w:p>
            <w:r>
              <w:rPr>
                <w:sz w:val="17"/>
              </w:rPr>
              <w:t>J+3  ⭐</w:t>
            </w:r>
          </w:p>
        </w:tc>
        <w:tc>
          <w:tcPr>
            <w:tcW w:type="dxa" w:w="1440"/>
            <w:shd w:fill="C6EFCE" w:val="clear"/>
          </w:tcPr>
          <w:p>
            <w:r>
              <w:rPr>
                <w:sz w:val="17"/>
              </w:rPr>
              <w:t>2026-10-16</w:t>
            </w:r>
          </w:p>
        </w:tc>
        <w:tc>
          <w:tcPr>
            <w:tcW w:type="dxa" w:w="1440"/>
            <w:shd w:fill="C6EFCE" w:val="clear"/>
          </w:tcPr>
          <w:p>
            <w:r>
              <w:rPr>
                <w:sz w:val="17"/>
              </w:rPr>
              <w:t>8,070</w:t>
            </w:r>
          </w:p>
        </w:tc>
        <w:tc>
          <w:tcPr>
            <w:tcW w:type="dxa" w:w="1440"/>
            <w:shd w:fill="C6EFCE" w:val="clear"/>
          </w:tcPr>
          <w:p>
            <w:r>
              <w:rPr>
                <w:b/>
                <w:sz w:val="17"/>
              </w:rPr>
              <w:t>8,973</w:t>
            </w:r>
          </w:p>
        </w:tc>
        <w:tc>
          <w:tcPr>
            <w:tcW w:type="dxa" w:w="1440"/>
            <w:shd w:fill="C6EFCE" w:val="clear"/>
          </w:tcPr>
          <w:p>
            <w:r>
              <w:rPr>
                <w:sz w:val="17"/>
              </w:rPr>
              <w:t>9,875</w:t>
            </w:r>
          </w:p>
        </w:tc>
        <w:tc>
          <w:tcPr>
            <w:tcW w:type="dxa" w:w="1440"/>
            <w:shd w:fill="C6EFCE" w:val="clear"/>
          </w:tcPr>
          <w:p>
            <w:r>
              <w:rPr>
                <w:b/>
                <w:color w:val="008000"/>
                <w:sz w:val="17"/>
              </w:rPr>
              <w:t>+6.3%</w:t>
            </w:r>
          </w:p>
        </w:tc>
      </w:tr>
      <w:tr>
        <w:tc>
          <w:tcPr>
            <w:tcW w:type="dxa" w:w="1440"/>
            <w:shd w:fill="C6EFCE" w:val="clear"/>
          </w:tcPr>
          <w:p>
            <w:r>
              <w:rPr>
                <w:sz w:val="17"/>
              </w:rPr>
              <w:t>J+4  ⭐</w:t>
            </w:r>
          </w:p>
        </w:tc>
        <w:tc>
          <w:tcPr>
            <w:tcW w:type="dxa" w:w="1440"/>
            <w:shd w:fill="C6EFCE" w:val="clear"/>
          </w:tcPr>
          <w:p>
            <w:r>
              <w:rPr>
                <w:sz w:val="17"/>
              </w:rPr>
              <w:t>2026-10-19</w:t>
            </w:r>
          </w:p>
        </w:tc>
        <w:tc>
          <w:tcPr>
            <w:tcW w:type="dxa" w:w="1440"/>
            <w:shd w:fill="C6EFCE" w:val="clear"/>
          </w:tcPr>
          <w:p>
            <w:r>
              <w:rPr>
                <w:sz w:val="17"/>
              </w:rPr>
              <w:t>7,990</w:t>
            </w:r>
          </w:p>
        </w:tc>
        <w:tc>
          <w:tcPr>
            <w:tcW w:type="dxa" w:w="1440"/>
            <w:shd w:fill="C6EFCE" w:val="clear"/>
          </w:tcPr>
          <w:p>
            <w:r>
              <w:rPr>
                <w:b/>
                <w:sz w:val="17"/>
              </w:rPr>
              <w:t>9,040</w:t>
            </w:r>
          </w:p>
        </w:tc>
        <w:tc>
          <w:tcPr>
            <w:tcW w:type="dxa" w:w="1440"/>
            <w:shd w:fill="C6EFCE" w:val="clear"/>
          </w:tcPr>
          <w:p>
            <w:r>
              <w:rPr>
                <w:sz w:val="17"/>
              </w:rPr>
              <w:t>10,090</w:t>
            </w:r>
          </w:p>
        </w:tc>
        <w:tc>
          <w:tcPr>
            <w:tcW w:type="dxa" w:w="1440"/>
            <w:shd w:fill="C6EFCE" w:val="clear"/>
          </w:tcPr>
          <w:p>
            <w:r>
              <w:rPr>
                <w:b/>
                <w:color w:val="008000"/>
                <w:sz w:val="17"/>
              </w:rPr>
              <w:t>+7.1%</w:t>
            </w:r>
          </w:p>
        </w:tc>
      </w:tr>
      <w:tr>
        <w:tc>
          <w:tcPr>
            <w:tcW w:type="dxa" w:w="1440"/>
            <w:shd w:fill="C6EFCE" w:val="clear"/>
          </w:tcPr>
          <w:p>
            <w:r>
              <w:rPr>
                <w:sz w:val="17"/>
              </w:rPr>
              <w:t>J+5  ⭐</w:t>
            </w:r>
          </w:p>
        </w:tc>
        <w:tc>
          <w:tcPr>
            <w:tcW w:type="dxa" w:w="1440"/>
            <w:shd w:fill="C6EFCE" w:val="clear"/>
          </w:tcPr>
          <w:p>
            <w:r>
              <w:rPr>
                <w:sz w:val="17"/>
              </w:rPr>
              <w:t>2026-10-20</w:t>
            </w:r>
          </w:p>
        </w:tc>
        <w:tc>
          <w:tcPr>
            <w:tcW w:type="dxa" w:w="1440"/>
            <w:shd w:fill="C6EFCE" w:val="clear"/>
          </w:tcPr>
          <w:p>
            <w:r>
              <w:rPr>
                <w:sz w:val="17"/>
              </w:rPr>
              <w:t>7,920</w:t>
            </w:r>
          </w:p>
        </w:tc>
        <w:tc>
          <w:tcPr>
            <w:tcW w:type="dxa" w:w="1440"/>
            <w:shd w:fill="C6EFCE" w:val="clear"/>
          </w:tcPr>
          <w:p>
            <w:r>
              <w:rPr>
                <w:b/>
                <w:sz w:val="17"/>
              </w:rPr>
              <w:t>9,102</w:t>
            </w:r>
          </w:p>
        </w:tc>
        <w:tc>
          <w:tcPr>
            <w:tcW w:type="dxa" w:w="1440"/>
            <w:shd w:fill="C6EFCE" w:val="clear"/>
          </w:tcPr>
          <w:p>
            <w:r>
              <w:rPr>
                <w:sz w:val="17"/>
              </w:rPr>
              <w:t>10,284</w:t>
            </w:r>
          </w:p>
        </w:tc>
        <w:tc>
          <w:tcPr>
            <w:tcW w:type="dxa" w:w="1440"/>
            <w:shd w:fill="C6EFCE" w:val="clear"/>
          </w:tcPr>
          <w:p>
            <w:r>
              <w:rPr>
                <w:b/>
                <w:color w:val="008000"/>
                <w:sz w:val="17"/>
              </w:rPr>
              <w:t>+7.8%</w:t>
            </w:r>
          </w:p>
        </w:tc>
      </w:tr>
      <w:tr>
        <w:tc>
          <w:tcPr>
            <w:tcW w:type="dxa" w:w="1440"/>
            <w:shd w:fill="C6EFCE" w:val="clear"/>
          </w:tcPr>
          <w:p>
            <w:r>
              <w:rPr>
                <w:sz w:val="17"/>
              </w:rPr>
              <w:t>J+6  ⭐</w:t>
            </w:r>
          </w:p>
        </w:tc>
        <w:tc>
          <w:tcPr>
            <w:tcW w:type="dxa" w:w="1440"/>
            <w:shd w:fill="C6EFCE" w:val="clear"/>
          </w:tcPr>
          <w:p>
            <w:r>
              <w:rPr>
                <w:sz w:val="17"/>
              </w:rPr>
              <w:t>2026-10-21</w:t>
            </w:r>
          </w:p>
        </w:tc>
        <w:tc>
          <w:tcPr>
            <w:tcW w:type="dxa" w:w="1440"/>
            <w:shd w:fill="C6EFCE" w:val="clear"/>
          </w:tcPr>
          <w:p>
            <w:r>
              <w:rPr>
                <w:sz w:val="17"/>
              </w:rPr>
              <w:t>7,854</w:t>
            </w:r>
          </w:p>
        </w:tc>
        <w:tc>
          <w:tcPr>
            <w:tcW w:type="dxa" w:w="1440"/>
            <w:shd w:fill="C6EFCE" w:val="clear"/>
          </w:tcPr>
          <w:p>
            <w:r>
              <w:rPr>
                <w:b/>
                <w:sz w:val="17"/>
              </w:rPr>
              <w:t>9,156</w:t>
            </w:r>
          </w:p>
        </w:tc>
        <w:tc>
          <w:tcPr>
            <w:tcW w:type="dxa" w:w="1440"/>
            <w:shd w:fill="C6EFCE" w:val="clear"/>
          </w:tcPr>
          <w:p>
            <w:r>
              <w:rPr>
                <w:sz w:val="17"/>
              </w:rPr>
              <w:t>10,459</w:t>
            </w:r>
          </w:p>
        </w:tc>
        <w:tc>
          <w:tcPr>
            <w:tcW w:type="dxa" w:w="1440"/>
            <w:shd w:fill="C6EFCE" w:val="clear"/>
          </w:tcPr>
          <w:p>
            <w:r>
              <w:rPr>
                <w:b/>
                <w:color w:val="008000"/>
                <w:sz w:val="17"/>
              </w:rPr>
              <w:t>+8.5%</w:t>
            </w:r>
          </w:p>
        </w:tc>
      </w:tr>
      <w:tr>
        <w:tc>
          <w:tcPr>
            <w:tcW w:type="dxa" w:w="1440"/>
            <w:shd w:fill="C6EFCE" w:val="clear"/>
          </w:tcPr>
          <w:p>
            <w:r>
              <w:rPr>
                <w:sz w:val="17"/>
              </w:rPr>
              <w:t>J+7  ⭐</w:t>
            </w:r>
          </w:p>
        </w:tc>
        <w:tc>
          <w:tcPr>
            <w:tcW w:type="dxa" w:w="1440"/>
            <w:shd w:fill="C6EFCE" w:val="clear"/>
          </w:tcPr>
          <w:p>
            <w:r>
              <w:rPr>
                <w:sz w:val="17"/>
              </w:rPr>
              <w:t>2026-10-22</w:t>
            </w:r>
          </w:p>
        </w:tc>
        <w:tc>
          <w:tcPr>
            <w:tcW w:type="dxa" w:w="1440"/>
            <w:shd w:fill="C6EFCE" w:val="clear"/>
          </w:tcPr>
          <w:p>
            <w:r>
              <w:rPr>
                <w:sz w:val="17"/>
              </w:rPr>
              <w:t>7,790</w:t>
            </w:r>
          </w:p>
        </w:tc>
        <w:tc>
          <w:tcPr>
            <w:tcW w:type="dxa" w:w="1440"/>
            <w:shd w:fill="C6EFCE" w:val="clear"/>
          </w:tcPr>
          <w:p>
            <w:r>
              <w:rPr>
                <w:b/>
                <w:sz w:val="17"/>
              </w:rPr>
              <w:t>9,204</w:t>
            </w:r>
          </w:p>
        </w:tc>
        <w:tc>
          <w:tcPr>
            <w:tcW w:type="dxa" w:w="1440"/>
            <w:shd w:fill="C6EFCE" w:val="clear"/>
          </w:tcPr>
          <w:p>
            <w:r>
              <w:rPr>
                <w:sz w:val="17"/>
              </w:rPr>
              <w:t>10,618</w:t>
            </w:r>
          </w:p>
        </w:tc>
        <w:tc>
          <w:tcPr>
            <w:tcW w:type="dxa" w:w="1440"/>
            <w:shd w:fill="C6EFCE" w:val="clear"/>
          </w:tcPr>
          <w:p>
            <w:r>
              <w:rPr>
                <w:b/>
                <w:color w:val="008000"/>
                <w:sz w:val="17"/>
              </w:rPr>
              <w:t>+9.1%</w:t>
            </w:r>
          </w:p>
        </w:tc>
      </w:tr>
      <w:tr>
        <w:tc>
          <w:tcPr>
            <w:tcW w:type="dxa" w:w="1440"/>
            <w:shd w:fill="C6EFCE" w:val="clear"/>
          </w:tcPr>
          <w:p>
            <w:r>
              <w:rPr>
                <w:sz w:val="17"/>
              </w:rPr>
              <w:t>J+8  ⭐</w:t>
            </w:r>
          </w:p>
        </w:tc>
        <w:tc>
          <w:tcPr>
            <w:tcW w:type="dxa" w:w="1440"/>
            <w:shd w:fill="C6EFCE" w:val="clear"/>
          </w:tcPr>
          <w:p>
            <w:r>
              <w:rPr>
                <w:sz w:val="17"/>
              </w:rPr>
              <w:t>2026-10-23</w:t>
            </w:r>
          </w:p>
        </w:tc>
        <w:tc>
          <w:tcPr>
            <w:tcW w:type="dxa" w:w="1440"/>
            <w:shd w:fill="C6EFCE" w:val="clear"/>
          </w:tcPr>
          <w:p>
            <w:r>
              <w:rPr>
                <w:sz w:val="17"/>
              </w:rPr>
              <w:t>7,727</w:t>
            </w:r>
          </w:p>
        </w:tc>
        <w:tc>
          <w:tcPr>
            <w:tcW w:type="dxa" w:w="1440"/>
            <w:shd w:fill="C6EFCE" w:val="clear"/>
          </w:tcPr>
          <w:p>
            <w:r>
              <w:rPr>
                <w:b/>
                <w:sz w:val="17"/>
              </w:rPr>
              <w:t>9,246</w:t>
            </w:r>
          </w:p>
        </w:tc>
        <w:tc>
          <w:tcPr>
            <w:tcW w:type="dxa" w:w="1440"/>
            <w:shd w:fill="C6EFCE" w:val="clear"/>
          </w:tcPr>
          <w:p>
            <w:r>
              <w:rPr>
                <w:sz w:val="17"/>
              </w:rPr>
              <w:t>10,764</w:t>
            </w:r>
          </w:p>
        </w:tc>
        <w:tc>
          <w:tcPr>
            <w:tcW w:type="dxa" w:w="1440"/>
            <w:shd w:fill="C6EFCE" w:val="clear"/>
          </w:tcPr>
          <w:p>
            <w:r>
              <w:rPr>
                <w:b/>
                <w:color w:val="008000"/>
                <w:sz w:val="17"/>
              </w:rPr>
              <w:t>+9.5%</w:t>
            </w:r>
          </w:p>
        </w:tc>
      </w:tr>
      <w:tr>
        <w:tc>
          <w:tcPr>
            <w:tcW w:type="dxa" w:w="1440"/>
            <w:shd w:fill="C6EFCE" w:val="clear"/>
          </w:tcPr>
          <w:p>
            <w:r>
              <w:rPr>
                <w:sz w:val="17"/>
              </w:rPr>
              <w:t>J+9  ⭐</w:t>
            </w:r>
          </w:p>
        </w:tc>
        <w:tc>
          <w:tcPr>
            <w:tcW w:type="dxa" w:w="1440"/>
            <w:shd w:fill="C6EFCE" w:val="clear"/>
          </w:tcPr>
          <w:p>
            <w:r>
              <w:rPr>
                <w:sz w:val="17"/>
              </w:rPr>
              <w:t>2026-10-26</w:t>
            </w:r>
          </w:p>
        </w:tc>
        <w:tc>
          <w:tcPr>
            <w:tcW w:type="dxa" w:w="1440"/>
            <w:shd w:fill="C6EFCE" w:val="clear"/>
          </w:tcPr>
          <w:p>
            <w:r>
              <w:rPr>
                <w:sz w:val="17"/>
              </w:rPr>
              <w:t>7,665</w:t>
            </w:r>
          </w:p>
        </w:tc>
        <w:tc>
          <w:tcPr>
            <w:tcW w:type="dxa" w:w="1440"/>
            <w:shd w:fill="C6EFCE" w:val="clear"/>
          </w:tcPr>
          <w:p>
            <w:r>
              <w:rPr>
                <w:b/>
                <w:sz w:val="17"/>
              </w:rPr>
              <w:t>9,282</w:t>
            </w:r>
          </w:p>
        </w:tc>
        <w:tc>
          <w:tcPr>
            <w:tcW w:type="dxa" w:w="1440"/>
            <w:shd w:fill="C6EFCE" w:val="clear"/>
          </w:tcPr>
          <w:p>
            <w:r>
              <w:rPr>
                <w:sz w:val="17"/>
              </w:rPr>
              <w:t>10,899</w:t>
            </w:r>
          </w:p>
        </w:tc>
        <w:tc>
          <w:tcPr>
            <w:tcW w:type="dxa" w:w="1440"/>
            <w:shd w:fill="C6EFCE" w:val="clear"/>
          </w:tcPr>
          <w:p>
            <w:r>
              <w:rPr>
                <w:b/>
                <w:color w:val="008000"/>
                <w:sz w:val="17"/>
              </w:rPr>
              <w:t>+10.0%</w:t>
            </w:r>
          </w:p>
        </w:tc>
      </w:tr>
      <w:tr>
        <w:tc>
          <w:tcPr>
            <w:tcW w:type="dxa" w:w="1440"/>
            <w:shd w:fill="C6EFCE" w:val="clear"/>
          </w:tcPr>
          <w:p>
            <w:r>
              <w:rPr>
                <w:sz w:val="17"/>
              </w:rPr>
              <w:t>J+10  ⭐</w:t>
            </w:r>
          </w:p>
        </w:tc>
        <w:tc>
          <w:tcPr>
            <w:tcW w:type="dxa" w:w="1440"/>
            <w:shd w:fill="C6EFCE" w:val="clear"/>
          </w:tcPr>
          <w:p>
            <w:r>
              <w:rPr>
                <w:sz w:val="17"/>
              </w:rPr>
              <w:t>2026-10-27</w:t>
            </w:r>
          </w:p>
        </w:tc>
        <w:tc>
          <w:tcPr>
            <w:tcW w:type="dxa" w:w="1440"/>
            <w:shd w:fill="C6EFCE" w:val="clear"/>
          </w:tcPr>
          <w:p>
            <w:r>
              <w:rPr>
                <w:sz w:val="17"/>
              </w:rPr>
              <w:t>7,603</w:t>
            </w:r>
          </w:p>
        </w:tc>
        <w:tc>
          <w:tcPr>
            <w:tcW w:type="dxa" w:w="1440"/>
            <w:shd w:fill="C6EFCE" w:val="clear"/>
          </w:tcPr>
          <w:p>
            <w:r>
              <w:rPr>
                <w:b/>
                <w:sz w:val="17"/>
              </w:rPr>
              <w:t>9,313</w:t>
            </w:r>
          </w:p>
        </w:tc>
        <w:tc>
          <w:tcPr>
            <w:tcW w:type="dxa" w:w="1440"/>
            <w:shd w:fill="C6EFCE" w:val="clear"/>
          </w:tcPr>
          <w:p>
            <w:r>
              <w:rPr>
                <w:sz w:val="17"/>
              </w:rPr>
              <w:t>11,023</w:t>
            </w:r>
          </w:p>
        </w:tc>
        <w:tc>
          <w:tcPr>
            <w:tcW w:type="dxa" w:w="1440"/>
            <w:shd w:fill="C6EFCE" w:val="clear"/>
          </w:tcPr>
          <w:p>
            <w:r>
              <w:rPr>
                <w:b/>
                <w:color w:val="008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487,49 milliards FCFA, la BICB s'impose comme l'une des valeurs bancaires les plus importantes de la cote BRVM, reflétant sa position de leader au Bénin. Le Bénéfice Par Action (BPA) s'établit à 627 FCFA, ce qui signifie que chaque titre détenu génère près de 627 FCFA de bénéfice net annuel. Le PER de 13,5x indique que les investisseurs paient 13,5 fois les bénéfices annuels, un niveau modéré mais légèrement supérieur à la moyenne du marché BRVM (8-12x), traduisant une prime de qualité justifiée par la solidité des fondamentaux. Le P/B de 3,61x montre que le marché valorise la banque à plus de 3,6 fois sa valeur comptable, une prime de croissance significative mais cohérente avec un ROE de 26,8%. En revanche, l'EV/EBITDA de 24,0x apparaît très exigeant (&gt;15x), signalant que la valeur d'entreprise intègre déjà une forte anticipation de croissance future, ce qui limite la marge de sécurité pour un nouvel 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la BICB a enregistré une progression spectaculaire de +62,46%, passant d'un plus bas de 5 190 FCFA à un plus haut de 10 790 FCFA, pour un cours actuel de 8 440 FCFA (variation J-1 de -0,12%). Ce range de trading de 5 600 FCFA témoigne d'une dynamique haussière puissante, bien que le titre ait récemment reflué de son sommet, suggérant une phase de consolidation après un rallye exceptionnel. La moyenne (7 480 FCFA) est légèrement inférieure à la médiane (7 600 FCFA), indiquant une distribution quasi-symétrique avec une légère prédominance des cours élevés, confirmée par un skewness de 0,286 (distribution symétrique). L'écart-type de 1 668 FCFA (CV=22,3%) révèle une dispersion modérée à élevée du cours autour de sa moyenne, tandis que le kurtosis de -1,084 (platykurtique) indique une distribution aplatie avec un risque de pics extrêmes plus faible qu'une distribution normale — un élément rassurant pour la gestion du risque. La volatilité annualisée de 42,5% positionne clairement ce titre dans la catégorie des valeurs à volatilité élevée (&gt;30%), ce qui implique un potentiel de gain attractif mais aussi un risque de correction significatif, nécessitant une tolérance au risque adaptée.</w:t>
      </w:r>
    </w:p>
    <w:p>
      <w:pPr>
        <w:spacing w:after="120" w:line="276" w:lineRule="auto"/>
      </w:pPr>
      <w:r>
        <w:t>---</w:t>
      </w:r>
    </w:p>
    <w:p>
      <w:pPr>
        <w:spacing w:after="120" w:line="276" w:lineRule="auto"/>
      </w:pPr>
      <w:r>
        <w:t>### **PARTIE 2 : ANALYSE TECHNIQUE DÉTAILLÉE**</w:t>
      </w:r>
    </w:p>
    <w:p>
      <w:pPr>
        <w:spacing w:after="120" w:line="276" w:lineRule="auto"/>
      </w:pPr>
      <w:r>
        <w:t>**Moyennes Mobiles** : La MM20 (9 017 FCFA) et la MM50 (8 915 FCFA) se situent toutes deux au-dessus du cours actuel (8 440 FCFA), ce qui place le titre en position baissière à court terme par rapport à ses moyennes. Cependant, la MM20 reste supérieure à la MM50, conservant une structure haussière de fond. La décision technique affichée est "Achat", suggérant que le repli actuel pourrait constituer une opportunité d'entrée dans une tendance haussière intacte.</w:t>
      </w:r>
    </w:p>
    <w:p>
      <w:pPr>
        <w:spacing w:after="120" w:line="276" w:lineRule="auto"/>
      </w:pPr>
      <w:r>
        <w:t>**Bandes de Bollinger** : Le cours actuel (8 440 FCFA) se situe dans la partie inférieure de la bande, entre la borne inférieure (7 384 FCFA) et la borne supérieure (10 650 FCFA), plus proche de la borne basse que de la borne haute. Cette position indique une pression vendeuse récente mais sans rupture des bornes, la décision "Neutre" reflétant l'absence de signal directionnel fort. La largeur des bandes suggère une volatilité toujours élevée.</w:t>
      </w:r>
    </w:p>
    <w:p>
      <w:pPr>
        <w:spacing w:after="120" w:line="276" w:lineRule="auto"/>
      </w:pPr>
      <w:r>
        <w:t>**MACD** : La valeur du MACD (-205,645) est inférieure à son signal (-117,955), confirmant un momentum baissier à court terme avec une divergence négative persistante. La décision "Vente" signale que la dynamique récente reste défavorable, bien que l'écart entre les deux lignes tende à se réduire, ce qui pourrait annoncer un retournement prochain.</w:t>
      </w:r>
    </w:p>
    <w:p>
      <w:pPr>
        <w:spacing w:after="120" w:line="276" w:lineRule="auto"/>
      </w:pPr>
      <w:r>
        <w:t>**RSI** : À 36,082, le RSI se situe dans la zone neutre basse (30-70), sans atteindre la zone de survente (&lt;30). La décision "Neutre" indique que le titre n'est ni suracheté ni survendu, laissant une marge de baisse limitée avant un éventuel rebond technique.</w:t>
      </w:r>
    </w:p>
    <w:p>
      <w:pPr>
        <w:spacing w:after="120" w:line="276" w:lineRule="auto"/>
      </w:pPr>
      <w:r>
        <w:t>**Stochastique** : Le %K (52,525) est supérieur au %D (39,125), avec un croisement récent à la hausse qui pourrait signaler un début de retournement positif. La décision "Neutre" tempère ce signal, le croisement n'étant pas encore confirmé par une sortie de la zone basse.</w:t>
      </w:r>
    </w:p>
    <w:p>
      <w:pPr>
        <w:spacing w:after="120" w:line="276" w:lineRule="auto"/>
      </w:pPr>
      <w:r>
        <w:t>**Conclusion technique** : Les indicateurs techniques présentent un tableau mitigé. Les moyennes mobiles conservent une structure haussière de fond mais le cours évolue en dessous, le MACD reste baissier tandis que le RSI et le stochastique suggèrent un potentiel rebond. La convergence de ces signaux pointe vers une phase de consolidation avant une reprise potentielle, justifiant une approche prudente mais opportuniste.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(PNB) de 52,805 milliards FCFA, en croissance de 16,49% sur un an, portée par une marge d'intérêt nette de 40,8 milliards FCFA et des commissions nettes de 10,6 milliards FCFA. Le résultat net s'établit à 36,237 milliards FCFA, générant un ROE exceptionnel de 26,82% (&gt;15% = excellent) et un ROA de 1,96%. Le coefficient d'exploitation de 31,12% (&lt;60% = banque très efficace) témoigne d'une maîtrise remarquable des charges, tandis que le coût du risque de 9,61% reste modéré. La structure financière affiche des capitaux propres de 135,118 milliards FCFA, des dépôts clientèle de 1 181,045 milliards FCFA et des créances clientèle de 1 151,536 milliards FCFA, soit un ratio crédits/dépôts de 97,5% — une transformation tendue mais maîtrisée. Le ratio de solvabilité de 19,64% (vs 11,5% réglementaire) offre une marge de manœuvre confortable.</w:t>
      </w:r>
    </w:p>
    <w:p>
      <w:pPr>
        <w:spacing w:after="120" w:line="276" w:lineRule="auto"/>
      </w:pPr>
      <w:r>
        <w:t>**Estimations basées sur les rapports trimestriels** : Selon le rapport S1 2026 (publié le 22 septembre 2026), le PNB progresse de 19% à 31,882 milliards FCFA, le RBE bondit de 31% à 22,910 milliards FCFA, et le résultat net atteint 18,368 milliards FCFA (+11%). Le coût du risque redevient une charge de 3,579 milliards FCFA (contre un produit net de 2,376 milliards au S1 2025), normalisant une situation exceptionnelle. Le rapport T1 2026 (publié en 2026) confirme cette dynamique avec un PNB de 14,6 milliards FCFA (+35%) et un résultat net de 8,0 milliards FCFA (+48%). Sur la base de ces tendances, on estime que l'exercice 2026 devrait afficher un PNB supérieur à 60 milliards FCFA et un résultat net proche de 38-40 milliards FCFA, maintenant un ROE supérieur à 25%.</w:t>
      </w:r>
    </w:p>
    <w:p>
      <w:pPr>
        <w:spacing w:after="120" w:line="276" w:lineRule="auto"/>
      </w:pPr>
      <w:r>
        <w:t>**Évolution pluriannuelle** : Entre 2024 et 2025, le PNB est passé de 45,2 à 52,8 milliards FCFA (+16,8%) et le résultat net de 30,3 à 36,2 milliards FCFA (+19,5%), confirmant une trajectoire de croissance rentable. Le rapport des commissaires aux comptes (exercice 2025, publié le 22 juin 2026) a émis une opinion sans réserve, validant la sincérité des états financiers IFRS.</w:t>
      </w:r>
    </w:p>
    <w:p>
      <w:pPr>
        <w:spacing w:after="120" w:line="276" w:lineRule="auto"/>
      </w:pPr>
      <w:r>
        <w:t>**Recommandation fondamentale** : La BICB présente des fondamentaux solides avec une rentabilité exceptionnelle, une efficacité opérationnelle remarquable et une solvabilité robuste. Les risques identifiés — normalisation du coût du risque, tension sur la liquidité (ratio crédits/dépôts à 97,5%) et croissance rapide des crédits (+37,3% en 2025) — nécessitent une surveillance attentive mais n'entament pas la solidité globale. La recommandation fondamentale est **ACHAT** pour un investisseur à moyen/long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La **valorisation** (Partie 0) affiche un PER de 13,5x légèrement supérieur à la moyenne du marché mais justifié par un ROE de 26,8%, tandis que le P/B de 3,61x et l'EV/EBITDA de 24,0x intègrent déjà une prime de croissance significative, limitant la marge de sécurité. Le **comportement du cours** (Partie 1) montre une tendance haussière puissante (+62,46% sur 100 jours) avec une volatilité élevée (42,5%) et une distribution platykurtique (kurtosis -1,084) réduisant le risque de pics extrêmes, mais le repli récent de -0,12% et la position sous les moyennes mobiles suggèrent une consolidation en cours. Les **signaux techniques** (Partie 2) sont mitigés : structure haussière de fond (MM20&gt;MM50) mais momentum baissier (MACD négatif), avec un RSI neutre (36,08) et un stochastique en début de retournement haussier — une divergence qui plaide pour une attente de confirmation. Les **fondamentaux** (Partie 3) demeurent excellents avec un ROE de 26,8%, un coefficient d'exploitation de 31,1% et une croissance du PNB de 16,5% en 2025, les rapports S1 2026 et T1 2026 confirmant la poursuite de cette dynamique (+19% et +35% de PNB respectivement). Les **prédictions IA** (J+1 à J+10) anticipent une trajectoire haussière de 8 852 à 9 102 FCFA, soit un potentiel de +5,5% à +7,8% sur 10 jours, confirmant les signaux de rebond technique.</w:t>
      </w:r>
    </w:p>
    <w:p>
      <w:pPr>
        <w:spacing w:after="120" w:line="276" w:lineRule="auto"/>
      </w:pPr>
      <w:r>
        <w:t>**Recommandation finale : ACHAT**</w:t>
      </w:r>
    </w:p>
    <w:p>
      <w:pPr>
        <w:spacing w:after="120" w:line="276" w:lineRule="auto"/>
      </w:pPr>
      <w:r>
        <w:t>La convergence entre des fondamentaux solides, une valorisation raisonnable malgré la prime de croissance, des signaux techniques annonçant un rebond potentiel et des prédictions IA haussières justifie une recommandation d'achat. Le niveau de confiance est **Moyen** en raison de la divergence temporaire entre le MACD baissier et les autres indicateurs, et du risque de normalisation du coût du risque. Le niveau de risque global est **Moyen à Élevé**, compte tenu de la volatilité de 42,5% et de la tension sur la liquidité (ratio crédits/dépôts de 97,5%). L'horizon d'investissement optimal est le **moyen terme (3-12 mois)**, permettant de capturer la poursuite de la croissance bénéficiaire tout en laissant le temps à la consolidation technique de s'achever et aux risques de crédit de se normaliser.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524.17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681 titres</w:t>
            </w:r>
          </w:p>
        </w:tc>
        <w:tc>
          <w:tcPr>
            <w:tcW w:type="dxa" w:w="2268"/>
            <w:shd w:fill="FFF2CC" w:val="clear"/>
          </w:tcPr>
          <w:p>
            <w:r>
              <w:rPr>
                <w:b/>
                <w:color w:val="503200"/>
                <w:sz w:val="16"/>
              </w:rPr>
              <w:t xml:space="preserve">Cours actuel : </w:t>
            </w:r>
            <w:r>
              <w:rPr>
                <w:color w:val="000000"/>
                <w:sz w:val="17"/>
              </w:rPr>
              <w:t>31,450 FCFA</w:t>
            </w:r>
          </w:p>
          <w:p>
            <w:r>
              <w:rPr>
                <w:b/>
                <w:color w:val="503200"/>
                <w:sz w:val="16"/>
              </w:rPr>
              <w:t xml:space="preserve">Var. 100 jours : </w:t>
            </w:r>
            <w:r>
              <w:rPr>
                <w:b/>
                <w:color w:val="007800"/>
                <w:sz w:val="17"/>
              </w:rPr>
              <w:t>+16.48%</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27,000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6.13% (Moyenne) — μ=29,635 FCFA, σ=1,816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β=1.0206 (Neutre (suit le marché)) — Cov=0.000076, Var(idx)=0.000074, ρ=0.372,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681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9862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29,651</w:t>
            </w:r>
          </w:p>
        </w:tc>
        <w:tc>
          <w:tcPr>
            <w:tcW w:type="dxa" w:w="1440"/>
            <w:shd w:fill="FAFAFA" w:val="clear"/>
          </w:tcPr>
          <w:p>
            <w:r>
              <w:rPr>
                <w:b/>
                <w:sz w:val="17"/>
              </w:rPr>
              <w:t>31,537</w:t>
            </w:r>
          </w:p>
        </w:tc>
        <w:tc>
          <w:tcPr>
            <w:tcW w:type="dxa" w:w="1440"/>
            <w:shd w:fill="FAFAFA" w:val="clear"/>
          </w:tcPr>
          <w:p>
            <w:r>
              <w:rPr>
                <w:sz w:val="17"/>
              </w:rPr>
              <w:t>33,422</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28,784</w:t>
            </w:r>
          </w:p>
        </w:tc>
        <w:tc>
          <w:tcPr>
            <w:tcW w:type="dxa" w:w="1440"/>
            <w:shd w:fill="FAFAFA" w:val="clear"/>
          </w:tcPr>
          <w:p>
            <w:r>
              <w:rPr>
                <w:b/>
                <w:sz w:val="17"/>
              </w:rPr>
              <w:t>31,443</w:t>
            </w:r>
          </w:p>
        </w:tc>
        <w:tc>
          <w:tcPr>
            <w:tcW w:type="dxa" w:w="1440"/>
            <w:shd w:fill="FAFAFA" w:val="clear"/>
          </w:tcPr>
          <w:p>
            <w:r>
              <w:rPr>
                <w:sz w:val="17"/>
              </w:rPr>
              <w:t>34,102</w:t>
            </w:r>
          </w:p>
        </w:tc>
        <w:tc>
          <w:tcPr>
            <w:tcW w:type="dxa" w:w="1440"/>
            <w:shd w:fill="FAFAFA" w:val="clear"/>
          </w:tcPr>
          <w:p>
            <w:r>
              <w:rPr>
                <w:b/>
                <w:color w:val="C00000"/>
                <w:sz w:val="17"/>
              </w:rPr>
              <w:t>-0.0%</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28,143</w:t>
            </w:r>
          </w:p>
        </w:tc>
        <w:tc>
          <w:tcPr>
            <w:tcW w:type="dxa" w:w="1440"/>
            <w:shd w:fill="FAFAFA" w:val="clear"/>
          </w:tcPr>
          <w:p>
            <w:r>
              <w:rPr>
                <w:b/>
                <w:sz w:val="17"/>
              </w:rPr>
              <w:t>31,395</w:t>
            </w:r>
          </w:p>
        </w:tc>
        <w:tc>
          <w:tcPr>
            <w:tcW w:type="dxa" w:w="1440"/>
            <w:shd w:fill="FAFAFA" w:val="clear"/>
          </w:tcPr>
          <w:p>
            <w:r>
              <w:rPr>
                <w:sz w:val="17"/>
              </w:rPr>
              <w:t>34,647</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27,597</w:t>
            </w:r>
          </w:p>
        </w:tc>
        <w:tc>
          <w:tcPr>
            <w:tcW w:type="dxa" w:w="1440"/>
            <w:shd w:fill="FAFAFA" w:val="clear"/>
          </w:tcPr>
          <w:p>
            <w:r>
              <w:rPr>
                <w:b/>
                <w:sz w:val="17"/>
              </w:rPr>
              <w:t>31,345</w:t>
            </w:r>
          </w:p>
        </w:tc>
        <w:tc>
          <w:tcPr>
            <w:tcW w:type="dxa" w:w="1440"/>
            <w:shd w:fill="FAFAFA" w:val="clear"/>
          </w:tcPr>
          <w:p>
            <w:r>
              <w:rPr>
                <w:sz w:val="17"/>
              </w:rPr>
              <w:t>35,094</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27,107</w:t>
            </w:r>
          </w:p>
        </w:tc>
        <w:tc>
          <w:tcPr>
            <w:tcW w:type="dxa" w:w="1440"/>
            <w:shd w:fill="FAFAFA" w:val="clear"/>
          </w:tcPr>
          <w:p>
            <w:r>
              <w:rPr>
                <w:b/>
                <w:sz w:val="17"/>
              </w:rPr>
              <w:t>31,291</w:t>
            </w:r>
          </w:p>
        </w:tc>
        <w:tc>
          <w:tcPr>
            <w:tcW w:type="dxa" w:w="1440"/>
            <w:shd w:fill="FAFAFA" w:val="clear"/>
          </w:tcPr>
          <w:p>
            <w:r>
              <w:rPr>
                <w:sz w:val="17"/>
              </w:rPr>
              <w:t>35,475</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26,660</w:t>
            </w:r>
          </w:p>
        </w:tc>
        <w:tc>
          <w:tcPr>
            <w:tcW w:type="dxa" w:w="1440"/>
            <w:shd w:fill="FAFAFA" w:val="clear"/>
          </w:tcPr>
          <w:p>
            <w:r>
              <w:rPr>
                <w:b/>
                <w:sz w:val="17"/>
              </w:rPr>
              <w:t>31,236</w:t>
            </w:r>
          </w:p>
        </w:tc>
        <w:tc>
          <w:tcPr>
            <w:tcW w:type="dxa" w:w="1440"/>
            <w:shd w:fill="FAFAFA" w:val="clear"/>
          </w:tcPr>
          <w:p>
            <w:r>
              <w:rPr>
                <w:sz w:val="17"/>
              </w:rPr>
              <w:t>35,811</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26,249</w:t>
            </w:r>
          </w:p>
        </w:tc>
        <w:tc>
          <w:tcPr>
            <w:tcW w:type="dxa" w:w="1440"/>
            <w:shd w:fill="FAFAFA" w:val="clear"/>
          </w:tcPr>
          <w:p>
            <w:r>
              <w:rPr>
                <w:b/>
                <w:sz w:val="17"/>
              </w:rPr>
              <w:t>31,182</w:t>
            </w:r>
          </w:p>
        </w:tc>
        <w:tc>
          <w:tcPr>
            <w:tcW w:type="dxa" w:w="1440"/>
            <w:shd w:fill="FAFAFA" w:val="clear"/>
          </w:tcPr>
          <w:p>
            <w:r>
              <w:rPr>
                <w:sz w:val="17"/>
              </w:rPr>
              <w:t>36,116</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25,865</w:t>
            </w:r>
          </w:p>
        </w:tc>
        <w:tc>
          <w:tcPr>
            <w:tcW w:type="dxa" w:w="1440"/>
            <w:shd w:fill="FAFAFA" w:val="clear"/>
          </w:tcPr>
          <w:p>
            <w:r>
              <w:rPr>
                <w:b/>
                <w:sz w:val="17"/>
              </w:rPr>
              <w:t>31,131</w:t>
            </w:r>
          </w:p>
        </w:tc>
        <w:tc>
          <w:tcPr>
            <w:tcW w:type="dxa" w:w="1440"/>
            <w:shd w:fill="FAFAFA" w:val="clear"/>
          </w:tcPr>
          <w:p>
            <w:r>
              <w:rPr>
                <w:sz w:val="17"/>
              </w:rPr>
              <w:t>36,396</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25,505</w:t>
            </w:r>
          </w:p>
        </w:tc>
        <w:tc>
          <w:tcPr>
            <w:tcW w:type="dxa" w:w="1440"/>
            <w:shd w:fill="FAFAFA" w:val="clear"/>
          </w:tcPr>
          <w:p>
            <w:r>
              <w:rPr>
                <w:b/>
                <w:sz w:val="17"/>
              </w:rPr>
              <w:t>31,081</w:t>
            </w:r>
          </w:p>
        </w:tc>
        <w:tc>
          <w:tcPr>
            <w:tcW w:type="dxa" w:w="1440"/>
            <w:shd w:fill="FAFAFA" w:val="clear"/>
          </w:tcPr>
          <w:p>
            <w:r>
              <w:rPr>
                <w:sz w:val="17"/>
              </w:rPr>
              <w:t>36,656</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25,164</w:t>
            </w:r>
          </w:p>
        </w:tc>
        <w:tc>
          <w:tcPr>
            <w:tcW w:type="dxa" w:w="1440"/>
            <w:shd w:fill="FAFAFA" w:val="clear"/>
          </w:tcPr>
          <w:p>
            <w:r>
              <w:rPr>
                <w:b/>
                <w:sz w:val="17"/>
              </w:rPr>
              <w:t>31,032</w:t>
            </w:r>
          </w:p>
        </w:tc>
        <w:tc>
          <w:tcPr>
            <w:tcW w:type="dxa" w:w="1440"/>
            <w:shd w:fill="FAFAFA" w:val="clear"/>
          </w:tcPr>
          <w:p>
            <w:r>
              <w:rPr>
                <w:sz w:val="17"/>
              </w:rPr>
              <w:t>36,900</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524,17 milliards FCFA, BICC s'impose comme l'une des plus importantes capitalisations du compartiment bancaire de la BRVM, ce qui lui confère une liquidité relative et une visibilité institutionnelle appréciables. Le BPA de 2 191 FCFA par action signifie que chaque titre génère près de 2 200 FCFA de bénéfice net, un niveau élevé qui traduit la forte rentabilité de la banque. Le PER de 14,4x se situe au-dessus de la moyenne du marché BRVM (généralement comprise entre 8x et 12x), indiquant que les investisseurs acceptent de payer une prime pour cette valeur bancaire de qualité, sans pour autant tomber dans une exubérance manifeste. Le P/B de 4,35x — largement supérieur au seuil de 4x — confirme cette prime, le marché valorisant la banque à plus de quatre fois sa valeur comptable, ce qui est exigeant mais cohérent avec un ROE de 30,3%. Enfin, l'EV/EBITDA de 10,3x, dans la fourchette 10-15x, signale une valorisation élevée de la capacité opérationnelle, suggérant que le titre intègre déjà une bonne partie de ses perspectives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BICC a enregistré une variation totale de +16,48%, tandis que la dernière séance (J-1) s'est soldée par une stabilité parfaite (+0,00%), le titre clôturant à 31 450 FCFA. Le range de trading s'est établi entre un plus bas de 27 000 FCFA et un plus haut de 34 895 FCFA, soit une amplitude d'environ 29%, reflétant une dynamique nettement haussière sur la période. La tendance générale est donc clairement positive, portée par la bonne tenue des résultats fondamentaux et un intérêt croissant des investisseurs pour le secteur bancaire ivoirien. Les statistiques descriptives révèlent une moyenne de 29 635 FCFA légèrement supérieure à la médiane de 29 000 FCFA (elle-même égale au mode), ce qui indique une distribution légèrement asymétrique à droite, confirmée par un skewness de 1,026 — autrement dit, davantage de séances se sont négociées sous la moyenne, avec quelques pics haussiers tirant la moyenne vers le haut. L'écart-type de 1 825 FCFA et le coefficient de variation de 6,2% traduisent une dispersion modérée du cours, tandis que le kurtosis de 0,082 (mésokurtique) indique une distribution proche de la normale, sans risque excessif de pics extrêmes. La volatilité annualisée de 37,8% classe le titre dans la catégorie des valeurs à volatilité élevée (&gt;30%), ce qui implique un potentiel de gain attractif mais aussi un risque de correction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31 817,25 FCFA et la MM50 à 30 893,5 FCFA, toutes deux inférieures au cours actuel de 31 450 FCFA pour la MM20 mais supérieures pour la MM50 — situation qui traduit une configuration haussière de fond (MM20 &gt; MM50). Le cours évoluant entre ces deux références, la décision technique affichée est « Achat », la MM50 jouant le rôle de support dynamique.</w:t>
      </w:r>
    </w:p>
    <w:p>
      <w:pPr>
        <w:spacing w:after="120" w:line="276" w:lineRule="auto"/>
      </w:pPr>
      <w:r>
        <w:t>**Bandes de Bollinger :** La borne supérieure se situe à 34 061,61 FCFA et la borne inférieure à 29 572,89 FCFA, encadrant un cours actuel de 31 450 FCFA positionné légèrement sous la médiane des bandes. Cette position centrale, dans un canal relativement large, traduit une volatilité normale sans tension extrême, justifiant la décision « Neutre » — ni signal d'achat sur rebond, ni signal de vente sur surachat.</w:t>
      </w:r>
    </w:p>
    <w:p>
      <w:pPr>
        <w:spacing w:after="120" w:line="276" w:lineRule="auto"/>
      </w:pPr>
      <w:r>
        <w:t>**MACD :** La valeur du MACD (206,33) est nettement inférieure à son signal (366,0), configuration baissière classique qui indique un essoufflement du momentum haussier. La décision « Vente » reflète cette divergence négative, suggérant que la dynamique récente perd de sa vigueur et qu'une consolidation pourrait s'installer.</w:t>
      </w:r>
    </w:p>
    <w:p>
      <w:pPr>
        <w:spacing w:after="120" w:line="276" w:lineRule="auto"/>
      </w:pPr>
      <w:r>
        <w:t>**RSI :** À 50,62, le RSI se situe exactement dans la zone neutre (30-70), à mi-chemin entre surachat et survente. Cette valeur équilibrée indique l'absence de pression acheteuse ou vendeuse dominante, justifiant la décision « Neutre » — le titre n'est ni surévalué ni survendu techniquement.</w:t>
      </w:r>
    </w:p>
    <w:p>
      <w:pPr>
        <w:spacing w:after="120" w:line="276" w:lineRule="auto"/>
      </w:pPr>
      <w:r>
        <w:t>**Stochastique :** Le %K (33,11) est inférieur au %D (42,78), configuration baissière qui suggère une pression vendeuse à court terme. Toutefois, le %K proche de la zone de survente (20) pourrait annoncer un rebond technique imminent, ce qui explique la décision « Neutre » retenue.</w:t>
      </w:r>
    </w:p>
    <w:p>
      <w:pPr>
        <w:spacing w:after="120" w:line="276" w:lineRule="auto"/>
      </w:pPr>
      <w:r>
        <w:t>**Conclusion technique :** Les indicateurs techniques présentent un tableau mitigé, avec une divergence notable entre les signaux de tendance de fond (Moyennes Mobiles haussières, décision « Achat ») et les signaux de momentum à court terme (MACD baissier, Stochastique sous son signal). Le RSI et les Bandes de Bollinger, en zone neutre, confirment l'absence de direction claire à court terme. Cette configuration suggère une phase de consolidation probable avant une reprise éventuelle de la tendance haussière de fond, les supports se situant autour de 30 900 FCFA (MM50) et 29 573 FCFA (Bollinger inférieure).</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(données officielles brvm_donnees_financieres) révèlent une banque en pleine santé : le Produit Net Bancaire (équivalent du chiffre d'affaires pour une banque) s'établit à 79 563 millions FCFA, pour un résultat net de 36 520 millions FCFA, soit une marge nette exceptionnelle de 45,9%. Le ROE atteint 30,29% — très largement supérieur au seuil de 15% considéré comme excellent — et le ROA de 3,24% confirme l'efficacité dans l'utilisation des actifs. Le coefficient d'exploitation de 50,83% place BICC parmi les banques les plus efficaces (seuil d'excellence &lt; 50%, seuil de bonne efficacité &lt; 60%), tandis que le taux de croissance du PNB de 16,90% témoigne d'une dynamique commerciale soutenue. Le bilan affiche un total de 1 126,27 milliards FCFA, avec des dépôts clientèle de 952,87 milliards FCFA face à des créances clientèle de 524,44 milliards FCFA, soit un ratio de transformation (crédits/dépôts) de 55%, indiquant une gestion prudente et liquide. Le coût du risque, à -12,15% des charges financières, reste un point de vigilance modéré, mais la couverture des intérêts par le résultat d'exploitation (329,34%) offre une marge de sécurité confortable. Les rapports narratifs confirment cette trajectoire : le rapport du T1 2026 (publié le 31 mars 2026) fait état d'un PNB de 21 214 MFCFA (+17,0%) et d'un résultat net de 10 387 MFCFA (+29,7%), avec une marge nette en hausse à 49,0% ; le rapport du S1 2026 (30 juin 2026) confirme avec un PNB de 42 637 MFCFA (+14,8%) et un résultat net de 19 948 MFCFA (+22,7%), mais signale une envolée préoccupante du coût du risque (+1 343,1%, à -1 778 MFCFA). Sur la base de ces rapports trimestriels, on peut estimer que l'exercice 2026 devrait afficher un PNB annuel compris entre 85 et 90 milliards FCFA et un résultat net de l'ordre de 40 à 42 milliards FCFA, soit une croissance de 10 à 15% par rapport à 2025 — sous réserve que le coût du risque se stabilise au second semestre. La recommandation fondamentale est donc positive (solidité, rentabilité, croissance), avec un risque principal identifié : la dégradation de la qualité du portefeuille de crédits, à surveiller de près.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Sur le plan de la **valorisation (Partie 0)**, le PER de 14,4x et le P/B de 4,35x indiquent une légère surévaluation par rapport aux standards du marché BRVM, mais cette prime se justifie par un ROE de 30,3% et une croissance à deux chiffres. Le **comportement du cours (Partie 1)** est favorable (+16,48% sur 100 jours), avec une volatilité élevée (37,8%) et une asymétrie positive (skewness 1,026) qui suggère un potentiel de hausse, mais le kurtosis proche de zéro écarte le risque de pics extrêmes. Les **signaux techniques (Partie 2)** sont divergents : les Moyennes Mobiles sont haussières (« Achat ») mais le MACD est baissier (« Vente »), le RSI et le Stochastique étant neutres — configuration de consolidation. Les **fondamentaux (Partie 3)** sont solides : ROE de 30,3%, coefficient d'exploitation de 50,8%, croissance du PNB de 16,9% en 2025, avec des estimations 2026 de 40-42 milliards FCFA de résultat net, tempérées par la hausse du coût du risque au S1 2026. Les **prédictions IA (J+1 à J+10)** anticipent une légère érosion du cours, de 31 537 FCFA (14/10) à 31 291 FCFA (20/10), soit une baisse d'environ 0,8% — trajectoire qui contredit les signaux haussiers de fond mais confirme la phase de consolidation technique. **Recommandation finale : CONSERVER**, avec un niveau de confiance **Moyen** et un risque global **Moyen**. La convergence entre valorisation exigeante, technique en consolidation et fondamentaux solides mais avec un point de vigilance sur le coût du risque ne justifie ni un achat agressif à ces niveaux, ni une vente qui sacrifierait une valeur de qualité. L'horizon d'investissement optimal est le **moyen terme (3-12 mois)**, en attendant la publication des états financiers certifiés 2026 et une clarification sur la politique de dividende — un passage à l'ACHAT serait justifié si le coût du risque se stabilise et si le titre consolide vers 30 000 FCFA.</w:t>
      </w:r>
    </w:p>
    <w:p>
      <w:pPr>
        <w:spacing w:after="120" w:line="276" w:lineRule="auto"/>
      </w:pPr>
      <w:r>
        <w:t>---</w:t>
      </w:r>
    </w:p>
    <w:p>
      <w:pPr>
        <w:spacing w:after="120" w:line="276" w:lineRule="auto"/>
      </w:pPr>
      <w:r>
        <w:t>*Rapport généré le 14 octobre 2026 — Données au 30 juin 2026 pour les rapports narratifs, exercice 2025 pour les états financiers structurés. Les analyses fondamentales utilisées proviennent des rapports T1 2026 (31/03/2026), S1 2026 (30/06/2026), T3 2025 (30/09/2025), S1 2025 (30/06/2025), T1 2025 (31/03/2025) et des états financiers 2024 (31/12/2024).*</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12.49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2,884 titres</w:t>
            </w:r>
          </w:p>
        </w:tc>
        <w:tc>
          <w:tcPr>
            <w:tcW w:type="dxa" w:w="2268"/>
            <w:shd w:fill="FFF2CC" w:val="clear"/>
          </w:tcPr>
          <w:p>
            <w:r>
              <w:rPr>
                <w:b/>
                <w:color w:val="503200"/>
                <w:sz w:val="16"/>
              </w:rPr>
              <w:t xml:space="preserve">Cours actuel : </w:t>
            </w:r>
            <w:r>
              <w:rPr>
                <w:color w:val="000000"/>
                <w:sz w:val="17"/>
              </w:rPr>
              <w:t>1,885 FCFA</w:t>
            </w:r>
          </w:p>
          <w:p>
            <w:r>
              <w:rPr>
                <w:b/>
                <w:color w:val="503200"/>
                <w:sz w:val="16"/>
              </w:rPr>
              <w:t xml:space="preserve">Var. 100 jours : </w:t>
            </w:r>
            <w:r>
              <w:rPr>
                <w:b/>
                <w:color w:val="007800"/>
                <w:sz w:val="17"/>
              </w:rPr>
              <w:t>+21.61%</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9.11% (Moyenne) — μ=1,935 FCFA, σ=176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β=0.5501 (Défensif) — Cov=0.000041, Var(idx)=0.000074, ρ=0.144,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1,764</w:t>
            </w:r>
          </w:p>
        </w:tc>
        <w:tc>
          <w:tcPr>
            <w:tcW w:type="dxa" w:w="1440"/>
            <w:shd w:fill="FAFAFA" w:val="clear"/>
          </w:tcPr>
          <w:p>
            <w:r>
              <w:rPr>
                <w:b/>
                <w:sz w:val="17"/>
              </w:rPr>
              <w:t>1,883</w:t>
            </w:r>
          </w:p>
        </w:tc>
        <w:tc>
          <w:tcPr>
            <w:tcW w:type="dxa" w:w="1440"/>
            <w:shd w:fill="FAFAFA" w:val="clear"/>
          </w:tcPr>
          <w:p>
            <w:r>
              <w:rPr>
                <w:sz w:val="17"/>
              </w:rPr>
              <w:t>2,002</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1,717</w:t>
            </w:r>
          </w:p>
        </w:tc>
        <w:tc>
          <w:tcPr>
            <w:tcW w:type="dxa" w:w="1440"/>
            <w:shd w:fill="FAFAFA" w:val="clear"/>
          </w:tcPr>
          <w:p>
            <w:r>
              <w:rPr>
                <w:b/>
                <w:sz w:val="17"/>
              </w:rPr>
              <w:t>1,885</w:t>
            </w:r>
          </w:p>
        </w:tc>
        <w:tc>
          <w:tcPr>
            <w:tcW w:type="dxa" w:w="1440"/>
            <w:shd w:fill="FAFAFA" w:val="clear"/>
          </w:tcPr>
          <w:p>
            <w:r>
              <w:rPr>
                <w:sz w:val="17"/>
              </w:rPr>
              <w:t>2,054</w:t>
            </w:r>
          </w:p>
        </w:tc>
        <w:tc>
          <w:tcPr>
            <w:tcW w:type="dxa" w:w="1440"/>
            <w:shd w:fill="FAFAFA" w:val="clear"/>
          </w:tcPr>
          <w:p>
            <w:r>
              <w:rPr>
                <w:b/>
                <w:color w:val="008000"/>
                <w:sz w:val="17"/>
              </w:rPr>
              <w:t>+0.0%</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1,677</w:t>
            </w:r>
          </w:p>
        </w:tc>
        <w:tc>
          <w:tcPr>
            <w:tcW w:type="dxa" w:w="1440"/>
            <w:shd w:fill="FAFAFA" w:val="clear"/>
          </w:tcPr>
          <w:p>
            <w:r>
              <w:rPr>
                <w:b/>
                <w:sz w:val="17"/>
              </w:rPr>
              <w:t>1,883</w:t>
            </w:r>
          </w:p>
        </w:tc>
        <w:tc>
          <w:tcPr>
            <w:tcW w:type="dxa" w:w="1440"/>
            <w:shd w:fill="FAFAFA" w:val="clear"/>
          </w:tcPr>
          <w:p>
            <w:r>
              <w:rPr>
                <w:sz w:val="17"/>
              </w:rPr>
              <w:t>2,089</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1,642</w:t>
            </w:r>
          </w:p>
        </w:tc>
        <w:tc>
          <w:tcPr>
            <w:tcW w:type="dxa" w:w="1440"/>
            <w:shd w:fill="FAFAFA" w:val="clear"/>
          </w:tcPr>
          <w:p>
            <w:r>
              <w:rPr>
                <w:b/>
                <w:sz w:val="17"/>
              </w:rPr>
              <w:t>1,880</w:t>
            </w:r>
          </w:p>
        </w:tc>
        <w:tc>
          <w:tcPr>
            <w:tcW w:type="dxa" w:w="1440"/>
            <w:shd w:fill="FAFAFA" w:val="clear"/>
          </w:tcPr>
          <w:p>
            <w:r>
              <w:rPr>
                <w:sz w:val="17"/>
              </w:rPr>
              <w:t>2,118</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1,612</w:t>
            </w:r>
          </w:p>
        </w:tc>
        <w:tc>
          <w:tcPr>
            <w:tcW w:type="dxa" w:w="1440"/>
            <w:shd w:fill="FAFAFA" w:val="clear"/>
          </w:tcPr>
          <w:p>
            <w:r>
              <w:rPr>
                <w:b/>
                <w:sz w:val="17"/>
              </w:rPr>
              <w:t>1,878</w:t>
            </w:r>
          </w:p>
        </w:tc>
        <w:tc>
          <w:tcPr>
            <w:tcW w:type="dxa" w:w="1440"/>
            <w:shd w:fill="FAFAFA" w:val="clear"/>
          </w:tcPr>
          <w:p>
            <w:r>
              <w:rPr>
                <w:sz w:val="17"/>
              </w:rPr>
              <w:t>2,143</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1,585</w:t>
            </w:r>
          </w:p>
        </w:tc>
        <w:tc>
          <w:tcPr>
            <w:tcW w:type="dxa" w:w="1440"/>
            <w:shd w:fill="FAFAFA" w:val="clear"/>
          </w:tcPr>
          <w:p>
            <w:r>
              <w:rPr>
                <w:b/>
                <w:sz w:val="17"/>
              </w:rPr>
              <w:t>1,876</w:t>
            </w:r>
          </w:p>
        </w:tc>
        <w:tc>
          <w:tcPr>
            <w:tcW w:type="dxa" w:w="1440"/>
            <w:shd w:fill="FAFAFA" w:val="clear"/>
          </w:tcPr>
          <w:p>
            <w:r>
              <w:rPr>
                <w:sz w:val="17"/>
              </w:rPr>
              <w:t>2,166</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1,560</w:t>
            </w:r>
          </w:p>
        </w:tc>
        <w:tc>
          <w:tcPr>
            <w:tcW w:type="dxa" w:w="1440"/>
            <w:shd w:fill="FAFAFA" w:val="clear"/>
          </w:tcPr>
          <w:p>
            <w:r>
              <w:rPr>
                <w:b/>
                <w:sz w:val="17"/>
              </w:rPr>
              <w:t>1,874</w:t>
            </w:r>
          </w:p>
        </w:tc>
        <w:tc>
          <w:tcPr>
            <w:tcW w:type="dxa" w:w="1440"/>
            <w:shd w:fill="FAFAFA" w:val="clear"/>
          </w:tcPr>
          <w:p>
            <w:r>
              <w:rPr>
                <w:sz w:val="17"/>
              </w:rPr>
              <w:t>2,187</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1,537</w:t>
            </w:r>
          </w:p>
        </w:tc>
        <w:tc>
          <w:tcPr>
            <w:tcW w:type="dxa" w:w="1440"/>
            <w:shd w:fill="FAFAFA" w:val="clear"/>
          </w:tcPr>
          <w:p>
            <w:r>
              <w:rPr>
                <w:b/>
                <w:sz w:val="17"/>
              </w:rPr>
              <w:t>1,872</w:t>
            </w:r>
          </w:p>
        </w:tc>
        <w:tc>
          <w:tcPr>
            <w:tcW w:type="dxa" w:w="1440"/>
            <w:shd w:fill="FAFAFA" w:val="clear"/>
          </w:tcPr>
          <w:p>
            <w:r>
              <w:rPr>
                <w:sz w:val="17"/>
              </w:rPr>
              <w:t>2,207</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1,515</w:t>
            </w:r>
          </w:p>
        </w:tc>
        <w:tc>
          <w:tcPr>
            <w:tcW w:type="dxa" w:w="1440"/>
            <w:shd w:fill="FAFAFA" w:val="clear"/>
          </w:tcPr>
          <w:p>
            <w:r>
              <w:rPr>
                <w:b/>
                <w:sz w:val="17"/>
              </w:rPr>
              <w:t>1,870</w:t>
            </w:r>
          </w:p>
        </w:tc>
        <w:tc>
          <w:tcPr>
            <w:tcW w:type="dxa" w:w="1440"/>
            <w:shd w:fill="FAFAFA" w:val="clear"/>
          </w:tcPr>
          <w:p>
            <w:r>
              <w:rPr>
                <w:sz w:val="17"/>
              </w:rPr>
              <w:t>2,225</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1,495</w:t>
            </w:r>
          </w:p>
        </w:tc>
        <w:tc>
          <w:tcPr>
            <w:tcW w:type="dxa" w:w="1440"/>
            <w:shd w:fill="FAFAFA" w:val="clear"/>
          </w:tcPr>
          <w:p>
            <w:r>
              <w:rPr>
                <w:b/>
                <w:sz w:val="17"/>
              </w:rPr>
              <w:t>1,868</w:t>
            </w:r>
          </w:p>
        </w:tc>
        <w:tc>
          <w:tcPr>
            <w:tcW w:type="dxa" w:w="1440"/>
            <w:shd w:fill="FAFAFA" w:val="clear"/>
          </w:tcPr>
          <w:p>
            <w:r>
              <w:rPr>
                <w:sz w:val="17"/>
              </w:rPr>
              <w:t>2,242</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12,49 milliards FCFA, BNBC se situe dans la catégorie des petites capitalisations de la BRVM, ce qui implique une liquidité limitée et une sensibilité accrue aux mouvements de faible volume. Le BPA de 3 FCFA/action traduit une rentabilité par titre quasi-symbolique, cohérente avec un résultat net 2025 de seulement 22,3 millions FCFA. Le PER de 559,5x est aberrent au regard de la moyenne BRVM (~8-12x) : les investisseurs paient environ 560 fois les bénéfices, ce qui signale soit une anticipation de retournement majeur, soit une décorrélation totale entre le cours et les fondamentaux. À l'inverse, le P/B de 0,70x indique que le marché valorise l'entreprise à 30% en dessous de sa valeur comptable (capitaux propres de 17,77 Mds FCFA), ce qui constitue une opportunité théorique de décote sur actifs. L'EV/EBITDA de 23,8x, très supérieur au seuil de 15x, montre que la valeur d'entreprise (incluant la dette nette négative de trésorerie) reste exigeante par rapport à la capacité opérationnelle réelle (EBE de 2,009 Mds FCFA). Le profil de valorisation est donc paradoxal : décote comptable séduisante mais multiples de résultats et d'EBITDA prohibitifs.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BNBC affiche une progression totale de +21,61%, avec une dernière séance stable (0,00% en J-1) à 1 885 FCFA. Le range de trading est large, entre un plus bas de 1 495 FCFA et un plus haut de 2 400 FCFA, soit une amplitude de 60,5% qui témoigne d'une forte nervosité du marché sur ce titre. La tendance générale est haussière sur la période, mais le cours actuel (1 885 FCFA) se situe nettement sous le plus haut, suggérant un essoufflement après le pic. Les statistiques descriptives révèlent une moyenne de 1 935 FCFA légèrement supérieure à la médiane de 1 962 FCFA — écart faible indiquant une distribution quasi-symétrique, confirmée par un skewness de -0,184 (léger étirement vers les valeurs basses). L'écart-type de 177 FCFA avec un coefficient de variation de 9,2% traduit une dispersion modérée autour de la moyenne, tandis que le kurtosis de 0,597 (mésokurtique) indique une probabilité de pics extrêmes proche d'une loi normale, sans risque de queue épaisse marqué. La volatilité annualisée de 52,0% classe ce titre dans la catégorie des valeurs très volatiles (&gt;30%), ce qui est cohérent avec sa faible liquidité (volume moyen de 2 884 titres/jour) et sa petite capitalisation.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(1 950,5 FCFA) et la MM50 (2 025,7 FCFA) se situent toutes deux au-dessus du cours actuel (1 885 FCFA), avec une MM20 inférieure à la MM50 — configuration baissière classique (croisement mort déjà effectué). Le cours évoluant sous ses deux moyennes, la pression vendeuse domine et justifie la décision technique de **Vente**.</w:t>
      </w:r>
    </w:p>
    <w:p>
      <w:pPr>
        <w:spacing w:after="120" w:line="276" w:lineRule="auto"/>
      </w:pPr>
      <w:r>
        <w:t>**Bandes de Bollinger** : Le cours (1 885 FCFA) se situe dans la moitié inférieure de la bande, entre la borne inférieure (1 732,57 FCFA) et la borne supérieure (2 168,43 FCFA), sans toucher les extrêmes. Cette position médiane, couplée à un rétrécissement apparent de la bande, traduit une volatilité en compression et une absence de signal directionnel fort — d'où la décision **Neutre**.</w:t>
      </w:r>
    </w:p>
    <w:p>
      <w:pPr>
        <w:spacing w:after="120" w:line="276" w:lineRule="auto"/>
      </w:pPr>
      <w:r>
        <w:t>**MACD** : La valeur du MACD (-54,299) est inférieure à son signal (-48,372), confirmant une divergence baissière persistante. Le momentum reste négatif et aucune inflexion haussière n'est visible, ce qui valide la décision de **Vente** émise par cet indicateur.</w:t>
      </w:r>
    </w:p>
    <w:p>
      <w:pPr>
        <w:spacing w:after="120" w:line="276" w:lineRule="auto"/>
      </w:pPr>
      <w:r>
        <w:t>**RSI** : À 49,007, le RSI se situe exactement dans la zone neutre (30-70), sans signal de surachat (&gt;70) ni de survente (&lt;30). Cette position médiane indique un équilibre entre acheteurs et vendeurs, justifiant la décision **Neutre**.</w:t>
      </w:r>
    </w:p>
    <w:p>
      <w:pPr>
        <w:spacing w:after="120" w:line="276" w:lineRule="auto"/>
      </w:pPr>
      <w:r>
        <w:t>**Stochastique** : Le %K (40,476) est supérieur au %D (26,984), avec un croisement récent potentiellement haussier en zone basse (sous 50). Toutefois, les deux lignes restent en territoire faible, ce qui maintient la décision **Neutre** en l'absence de confirmation par les volumes.</w:t>
      </w:r>
    </w:p>
    <w:p>
      <w:pPr>
        <w:spacing w:after="120" w:line="276" w:lineRule="auto"/>
      </w:pPr>
      <w:r>
        <w:t>**Conclusion technique** : Les indicateurs sont majoritairement baissiers (MM et MACD en Vente) mais tempérés par des signaux neutres (Bollinger, RSI, Stochastique). Le titre se trouve dans une phase de consolidation baissière sous ses moyennes mobiles, sans survente permettant d'anticiper un rebond technique immédiat. La convergence des signaux négatifs (MM20 &lt; MM50 &lt; cours) suggère une prudence à court terme, avec un support potentiel à 1 732 FCFA (borne inférieure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préoccupante malgré quelques améliorations. Le chiffre d'affaires 2025 s'établit à 42,454 Mds FCFA, en recul de -6,31% par rapport à 2024 (45,312 Mds FCFA), signalant une perte de dynamique commerciale. Le résultat net 2025 est positif à 22,318 millions FCFA (contre 7,313 millions en 2024, soit +205%), mais la marge nette reste quasi-nulle à 0,0526%, et le ROE de 0,1256% comme le ROA de 0,0454% sont extrêmement faibles — très loin du seuil de 15% considéré comme excellent. En tant qu'entreprise non bancaire, l'analyse des délais d'exploitation est critique : le délai clients de 104,40 jours est élevé (risque de trésorerie), le délai fournisseurs de 116,09 jours est favorable, mais la durée de stockage de 339,23 jours est anormalement longue, immobilisant massivement du capital (stocks de 28,949 Mds FCFA pour un CA de 42,454 Mds). Le BFR de 29,373 Mds FCFA est positif et lourd, et la trésorerie nette est fortement négative à -16,689 Mds FCFA, créant un risque de liquidité majeur. L'autonomie financière de 36,16% reste correcte (&gt;30%), mais le ratio d'endettement de 105,48% (dettes totales/capitaux propres) est élevé. Sur la base du rapport du 1er trimestre 2026 (publié le 31/12/2026, analysé le 01/05/2026), le CA est stable à 11,194 Mds FCFA (-0,12%) mais le résultat net devient une perte de -65,566 millions FCFA (contre +16,147 millions au T1 2025), soit une dégradation de -506% — on estime donc que l'exercice 2026 pourrait être déficitaire si cette tendance se poursuit. Le rapport du 3e trimestre 2025 (30/09/2025) confirmait déjà une perte cumulée de -157,03 millions FCFA sur 9 mois, avec un objectif d'équilibre annuel très ambitieux. La recommandation fondamentale est donc **VENTE** : la société est structurellement à l'équilibre, ne génère aucun dividende (0 FCFA en 2025), et présente des risques de liquidité et de rentabilité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très défavorable. La valorisation (Partie 0) est paradoxale : le P/B de 0,70x suggère une décote sur actifs, mais le PER de 559,5x et l'EV/EBITDA de 23,8x traduisent une surévaluation manifeste par rapport aux bénéfices et à la capacité opérationnelle. Le comportement du cours (Partie 1) montre une hausse de +21,61% sur 100 jours, mais avec une volatilité annualisée très élevée (52,0%) et une distribution quasi-symétrique (skewness -0,184, kurtosis 0,597) qui n'offre aucune prime de risque compensatoire. Les signaux techniques (Partie 2) sont majoritairement baissiers (MM en Vente, MACD en Vente) malgré des indicateurs neutres (RSI, Stochastique), et le cours évolue sous ses moyennes mobiles, ce qui plaide pour une poursuite de la consolidation. Les fondamentaux (Partie 3) sont critiques : CA en baisse (-6,31% en 2025), rentabilité anémique (ROE 0,13%, ROA 0,05%), trésorerie nette négative (-16,689 Mds FCFA), et perte nette de -65,566 millions FCFA au T1 2026 — la situation ne montre aucun signe d'amélioration durable. Les prédictions IA (J+1 à J+10) anticipent une légère dérive baissière de 1 885 FCFA à 1 878 FCFA, confirmant la pression vendeuse sans krach imminent. Sur la base de cette convergence baissière (valorisation surévaluée, technique négative, fondamentaux dégradés, prédiction baissière), la recommandation finale est **VENTE**, avec un niveau de confiance **Élevé** et un niveau de risque global **Élevé**. L'horizon d'investissement optimal est **court terme** (&lt;3 mois) pour les investisseurs cherchant à se dégager, ou **moyen terme** (3-12 mois) pour ceux qui attendent une hypothétique amélioration des résultats T2/T3 2026 — mais le profil risque/rendement reste défavorable en l'état.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380.26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5,507 titres</w:t>
            </w:r>
          </w:p>
        </w:tc>
        <w:tc>
          <w:tcPr>
            <w:tcW w:type="dxa" w:w="2268"/>
            <w:shd w:fill="FFF2CC" w:val="clear"/>
          </w:tcPr>
          <w:p>
            <w:r>
              <w:rPr>
                <w:b/>
                <w:color w:val="503200"/>
                <w:sz w:val="16"/>
              </w:rPr>
              <w:t xml:space="preserve">Cours actuel : </w:t>
            </w:r>
            <w:r>
              <w:rPr>
                <w:color w:val="000000"/>
                <w:sz w:val="17"/>
              </w:rPr>
              <w:t>9,375 FCFA</w:t>
            </w:r>
          </w:p>
          <w:p>
            <w:r>
              <w:rPr>
                <w:b/>
                <w:color w:val="503200"/>
                <w:sz w:val="16"/>
              </w:rPr>
              <w:t xml:space="preserve">Var. 100 jours : </w:t>
            </w:r>
            <w:r>
              <w:rPr>
                <w:b/>
                <w:color w:val="B40000"/>
                <w:sz w:val="17"/>
              </w:rPr>
              <w:t>-0.32%</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μ=9,172 FCFA, σ=553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β=0.5309 (Défensif) — Cov=0.000039, Var(idx)=0.000074, ρ=0.250,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9862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8,995</w:t>
            </w:r>
          </w:p>
        </w:tc>
        <w:tc>
          <w:tcPr>
            <w:tcW w:type="dxa" w:w="1440"/>
            <w:shd w:fill="FAFAFA" w:val="clear"/>
          </w:tcPr>
          <w:p>
            <w:r>
              <w:rPr>
                <w:b/>
                <w:sz w:val="17"/>
              </w:rPr>
              <w:t>9,290</w:t>
            </w:r>
          </w:p>
        </w:tc>
        <w:tc>
          <w:tcPr>
            <w:tcW w:type="dxa" w:w="1440"/>
            <w:shd w:fill="FAFAFA" w:val="clear"/>
          </w:tcPr>
          <w:p>
            <w:r>
              <w:rPr>
                <w:sz w:val="17"/>
              </w:rPr>
              <w:t>9,585</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8,856</w:t>
            </w:r>
          </w:p>
        </w:tc>
        <w:tc>
          <w:tcPr>
            <w:tcW w:type="dxa" w:w="1440"/>
            <w:shd w:fill="FAFAFA" w:val="clear"/>
          </w:tcPr>
          <w:p>
            <w:r>
              <w:rPr>
                <w:b/>
                <w:sz w:val="17"/>
              </w:rPr>
              <w:t>9,272</w:t>
            </w:r>
          </w:p>
        </w:tc>
        <w:tc>
          <w:tcPr>
            <w:tcW w:type="dxa" w:w="1440"/>
            <w:shd w:fill="FAFAFA" w:val="clear"/>
          </w:tcPr>
          <w:p>
            <w:r>
              <w:rPr>
                <w:sz w:val="17"/>
              </w:rPr>
              <w:t>9,688</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8,738</w:t>
            </w:r>
          </w:p>
        </w:tc>
        <w:tc>
          <w:tcPr>
            <w:tcW w:type="dxa" w:w="1440"/>
            <w:shd w:fill="FAFAFA" w:val="clear"/>
          </w:tcPr>
          <w:p>
            <w:r>
              <w:rPr>
                <w:b/>
                <w:sz w:val="17"/>
              </w:rPr>
              <w:t>9,246</w:t>
            </w:r>
          </w:p>
        </w:tc>
        <w:tc>
          <w:tcPr>
            <w:tcW w:type="dxa" w:w="1440"/>
            <w:shd w:fill="FAFAFA" w:val="clear"/>
          </w:tcPr>
          <w:p>
            <w:r>
              <w:rPr>
                <w:sz w:val="17"/>
              </w:rPr>
              <w:t>9,754</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2026-10-19</w:t>
            </w:r>
          </w:p>
        </w:tc>
        <w:tc>
          <w:tcPr>
            <w:tcW w:type="dxa" w:w="1440"/>
            <w:shd w:fill="FAFAFA" w:val="clear"/>
          </w:tcPr>
          <w:p>
            <w:r>
              <w:rPr>
                <w:sz w:val="17"/>
              </w:rPr>
              <w:t>8,639</w:t>
            </w:r>
          </w:p>
        </w:tc>
        <w:tc>
          <w:tcPr>
            <w:tcW w:type="dxa" w:w="1440"/>
            <w:shd w:fill="FAFAFA" w:val="clear"/>
          </w:tcPr>
          <w:p>
            <w:r>
              <w:rPr>
                <w:b/>
                <w:sz w:val="17"/>
              </w:rPr>
              <w:t>9,224</w:t>
            </w:r>
          </w:p>
        </w:tc>
        <w:tc>
          <w:tcPr>
            <w:tcW w:type="dxa" w:w="1440"/>
            <w:shd w:fill="FAFAFA" w:val="clear"/>
          </w:tcPr>
          <w:p>
            <w:r>
              <w:rPr>
                <w:sz w:val="17"/>
              </w:rPr>
              <w:t>9,810</w:t>
            </w:r>
          </w:p>
        </w:tc>
        <w:tc>
          <w:tcPr>
            <w:tcW w:type="dxa" w:w="1440"/>
            <w:shd w:fill="FAFAFA" w:val="clear"/>
          </w:tcPr>
          <w:p>
            <w:r>
              <w:rPr>
                <w:b/>
                <w:color w:val="C00000"/>
                <w:sz w:val="17"/>
              </w:rPr>
              <w:t>-1.6%</w:t>
            </w:r>
          </w:p>
        </w:tc>
      </w:tr>
      <w:tr>
        <w:tc>
          <w:tcPr>
            <w:tcW w:type="dxa" w:w="1440"/>
            <w:shd w:fill="FAFAFA" w:val="clear"/>
          </w:tcPr>
          <w:p>
            <w:r>
              <w:rPr>
                <w:sz w:val="17"/>
              </w:rPr>
              <w:t>J+5  Moyenne</w:t>
            </w:r>
          </w:p>
        </w:tc>
        <w:tc>
          <w:tcPr>
            <w:tcW w:type="dxa" w:w="1440"/>
            <w:shd w:fill="FAFAFA" w:val="clear"/>
          </w:tcPr>
          <w:p>
            <w:r>
              <w:rPr>
                <w:sz w:val="17"/>
              </w:rPr>
              <w:t>2026-10-20</w:t>
            </w:r>
          </w:p>
        </w:tc>
        <w:tc>
          <w:tcPr>
            <w:tcW w:type="dxa" w:w="1440"/>
            <w:shd w:fill="FAFAFA" w:val="clear"/>
          </w:tcPr>
          <w:p>
            <w:r>
              <w:rPr>
                <w:sz w:val="17"/>
              </w:rPr>
              <w:t>8,552</w:t>
            </w:r>
          </w:p>
        </w:tc>
        <w:tc>
          <w:tcPr>
            <w:tcW w:type="dxa" w:w="1440"/>
            <w:shd w:fill="FAFAFA" w:val="clear"/>
          </w:tcPr>
          <w:p>
            <w:r>
              <w:rPr>
                <w:b/>
                <w:sz w:val="17"/>
              </w:rPr>
              <w:t>9,206</w:t>
            </w:r>
          </w:p>
        </w:tc>
        <w:tc>
          <w:tcPr>
            <w:tcW w:type="dxa" w:w="1440"/>
            <w:shd w:fill="FAFAFA" w:val="clear"/>
          </w:tcPr>
          <w:p>
            <w:r>
              <w:rPr>
                <w:sz w:val="17"/>
              </w:rPr>
              <w:t>9,859</w:t>
            </w:r>
          </w:p>
        </w:tc>
        <w:tc>
          <w:tcPr>
            <w:tcW w:type="dxa" w:w="1440"/>
            <w:shd w:fill="FAFAFA" w:val="clear"/>
          </w:tcPr>
          <w:p>
            <w:r>
              <w:rPr>
                <w:b/>
                <w:color w:val="C00000"/>
                <w:sz w:val="17"/>
              </w:rPr>
              <w:t>-1.8%</w:t>
            </w:r>
          </w:p>
        </w:tc>
      </w:tr>
      <w:tr>
        <w:tc>
          <w:tcPr>
            <w:tcW w:type="dxa" w:w="1440"/>
            <w:shd w:fill="FAFAFA" w:val="clear"/>
          </w:tcPr>
          <w:p>
            <w:r>
              <w:rPr>
                <w:sz w:val="17"/>
              </w:rPr>
              <w:t>J+6  Moyenne</w:t>
            </w:r>
          </w:p>
        </w:tc>
        <w:tc>
          <w:tcPr>
            <w:tcW w:type="dxa" w:w="1440"/>
            <w:shd w:fill="FAFAFA" w:val="clear"/>
          </w:tcPr>
          <w:p>
            <w:r>
              <w:rPr>
                <w:sz w:val="17"/>
              </w:rPr>
              <w:t>2026-10-21</w:t>
            </w:r>
          </w:p>
        </w:tc>
        <w:tc>
          <w:tcPr>
            <w:tcW w:type="dxa" w:w="1440"/>
            <w:shd w:fill="FAFAFA" w:val="clear"/>
          </w:tcPr>
          <w:p>
            <w:r>
              <w:rPr>
                <w:sz w:val="17"/>
              </w:rPr>
              <w:t>8,474</w:t>
            </w:r>
          </w:p>
        </w:tc>
        <w:tc>
          <w:tcPr>
            <w:tcW w:type="dxa" w:w="1440"/>
            <w:shd w:fill="FAFAFA" w:val="clear"/>
          </w:tcPr>
          <w:p>
            <w:r>
              <w:rPr>
                <w:b/>
                <w:sz w:val="17"/>
              </w:rPr>
              <w:t>9,188</w:t>
            </w:r>
          </w:p>
        </w:tc>
        <w:tc>
          <w:tcPr>
            <w:tcW w:type="dxa" w:w="1440"/>
            <w:shd w:fill="FAFAFA" w:val="clear"/>
          </w:tcPr>
          <w:p>
            <w:r>
              <w:rPr>
                <w:sz w:val="17"/>
              </w:rPr>
              <w:t>9,902</w:t>
            </w:r>
          </w:p>
        </w:tc>
        <w:tc>
          <w:tcPr>
            <w:tcW w:type="dxa" w:w="1440"/>
            <w:shd w:fill="FAFAFA" w:val="clear"/>
          </w:tcPr>
          <w:p>
            <w:r>
              <w:rPr>
                <w:b/>
                <w:color w:val="C00000"/>
                <w:sz w:val="17"/>
              </w:rPr>
              <w:t>-2.0%</w:t>
            </w:r>
          </w:p>
        </w:tc>
      </w:tr>
      <w:tr>
        <w:tc>
          <w:tcPr>
            <w:tcW w:type="dxa" w:w="1440"/>
            <w:shd w:fill="FFDCE0" w:val="clear"/>
          </w:tcPr>
          <w:p>
            <w:r>
              <w:rPr>
                <w:sz w:val="17"/>
              </w:rPr>
              <w:t>J+7  Moyenne</w:t>
            </w:r>
          </w:p>
        </w:tc>
        <w:tc>
          <w:tcPr>
            <w:tcW w:type="dxa" w:w="1440"/>
            <w:shd w:fill="FFDCE0" w:val="clear"/>
          </w:tcPr>
          <w:p>
            <w:r>
              <w:rPr>
                <w:sz w:val="17"/>
              </w:rPr>
              <w:t>2026-10-22</w:t>
            </w:r>
          </w:p>
        </w:tc>
        <w:tc>
          <w:tcPr>
            <w:tcW w:type="dxa" w:w="1440"/>
            <w:shd w:fill="FFDCE0" w:val="clear"/>
          </w:tcPr>
          <w:p>
            <w:r>
              <w:rPr>
                <w:sz w:val="17"/>
              </w:rPr>
              <w:t>8,401</w:t>
            </w:r>
          </w:p>
        </w:tc>
        <w:tc>
          <w:tcPr>
            <w:tcW w:type="dxa" w:w="1440"/>
            <w:shd w:fill="FFDCE0" w:val="clear"/>
          </w:tcPr>
          <w:p>
            <w:r>
              <w:rPr>
                <w:b/>
                <w:sz w:val="17"/>
              </w:rPr>
              <w:t>9,171</w:t>
            </w:r>
          </w:p>
        </w:tc>
        <w:tc>
          <w:tcPr>
            <w:tcW w:type="dxa" w:w="1440"/>
            <w:shd w:fill="FFDCE0" w:val="clear"/>
          </w:tcPr>
          <w:p>
            <w:r>
              <w:rPr>
                <w:sz w:val="17"/>
              </w:rPr>
              <w:t>9,941</w:t>
            </w:r>
          </w:p>
        </w:tc>
        <w:tc>
          <w:tcPr>
            <w:tcW w:type="dxa" w:w="1440"/>
            <w:shd w:fill="FFDCE0" w:val="clear"/>
          </w:tcPr>
          <w:p>
            <w:r>
              <w:rPr>
                <w:b/>
                <w:color w:val="C00000"/>
                <w:sz w:val="17"/>
              </w:rPr>
              <w:t>-2.2%</w:t>
            </w:r>
          </w:p>
        </w:tc>
      </w:tr>
      <w:tr>
        <w:tc>
          <w:tcPr>
            <w:tcW w:type="dxa" w:w="1440"/>
            <w:shd w:fill="FFDCE0" w:val="clear"/>
          </w:tcPr>
          <w:p>
            <w:r>
              <w:rPr>
                <w:sz w:val="17"/>
              </w:rPr>
              <w:t>J+8  Moyenne</w:t>
            </w:r>
          </w:p>
        </w:tc>
        <w:tc>
          <w:tcPr>
            <w:tcW w:type="dxa" w:w="1440"/>
            <w:shd w:fill="FFDCE0" w:val="clear"/>
          </w:tcPr>
          <w:p>
            <w:r>
              <w:rPr>
                <w:sz w:val="17"/>
              </w:rPr>
              <w:t>2026-10-23</w:t>
            </w:r>
          </w:p>
        </w:tc>
        <w:tc>
          <w:tcPr>
            <w:tcW w:type="dxa" w:w="1440"/>
            <w:shd w:fill="FFDCE0" w:val="clear"/>
          </w:tcPr>
          <w:p>
            <w:r>
              <w:rPr>
                <w:sz w:val="17"/>
              </w:rPr>
              <w:t>8,334</w:t>
            </w:r>
          </w:p>
        </w:tc>
        <w:tc>
          <w:tcPr>
            <w:tcW w:type="dxa" w:w="1440"/>
            <w:shd w:fill="FFDCE0" w:val="clear"/>
          </w:tcPr>
          <w:p>
            <w:r>
              <w:rPr>
                <w:b/>
                <w:sz w:val="17"/>
              </w:rPr>
              <w:t>9,155</w:t>
            </w:r>
          </w:p>
        </w:tc>
        <w:tc>
          <w:tcPr>
            <w:tcW w:type="dxa" w:w="1440"/>
            <w:shd w:fill="FFDCE0" w:val="clear"/>
          </w:tcPr>
          <w:p>
            <w:r>
              <w:rPr>
                <w:sz w:val="17"/>
              </w:rPr>
              <w:t>9,977</w:t>
            </w:r>
          </w:p>
        </w:tc>
        <w:tc>
          <w:tcPr>
            <w:tcW w:type="dxa" w:w="1440"/>
            <w:shd w:fill="FFDCE0" w:val="clear"/>
          </w:tcPr>
          <w:p>
            <w:r>
              <w:rPr>
                <w:b/>
                <w:color w:val="C00000"/>
                <w:sz w:val="17"/>
              </w:rPr>
              <w:t>-2.3%</w:t>
            </w:r>
          </w:p>
        </w:tc>
      </w:tr>
      <w:tr>
        <w:tc>
          <w:tcPr>
            <w:tcW w:type="dxa" w:w="1440"/>
            <w:shd w:fill="FFDCE0" w:val="clear"/>
          </w:tcPr>
          <w:p>
            <w:r>
              <w:rPr>
                <w:sz w:val="17"/>
              </w:rPr>
              <w:t>J+9  Moyenne</w:t>
            </w:r>
          </w:p>
        </w:tc>
        <w:tc>
          <w:tcPr>
            <w:tcW w:type="dxa" w:w="1440"/>
            <w:shd w:fill="FFDCE0" w:val="clear"/>
          </w:tcPr>
          <w:p>
            <w:r>
              <w:rPr>
                <w:sz w:val="17"/>
              </w:rPr>
              <w:t>2026-10-26</w:t>
            </w:r>
          </w:p>
        </w:tc>
        <w:tc>
          <w:tcPr>
            <w:tcW w:type="dxa" w:w="1440"/>
            <w:shd w:fill="FFDCE0" w:val="clear"/>
          </w:tcPr>
          <w:p>
            <w:r>
              <w:rPr>
                <w:sz w:val="17"/>
              </w:rPr>
              <w:t>8,270</w:t>
            </w:r>
          </w:p>
        </w:tc>
        <w:tc>
          <w:tcPr>
            <w:tcW w:type="dxa" w:w="1440"/>
            <w:shd w:fill="FFDCE0" w:val="clear"/>
          </w:tcPr>
          <w:p>
            <w:r>
              <w:rPr>
                <w:b/>
                <w:sz w:val="17"/>
              </w:rPr>
              <w:t>9,140</w:t>
            </w:r>
          </w:p>
        </w:tc>
        <w:tc>
          <w:tcPr>
            <w:tcW w:type="dxa" w:w="1440"/>
            <w:shd w:fill="FFDCE0" w:val="clear"/>
          </w:tcPr>
          <w:p>
            <w:r>
              <w:rPr>
                <w:sz w:val="17"/>
              </w:rPr>
              <w:t>10,010</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2026-10-27</w:t>
            </w:r>
          </w:p>
        </w:tc>
        <w:tc>
          <w:tcPr>
            <w:tcW w:type="dxa" w:w="1440"/>
            <w:shd w:fill="FFDCE0" w:val="clear"/>
          </w:tcPr>
          <w:p>
            <w:r>
              <w:rPr>
                <w:sz w:val="17"/>
              </w:rPr>
              <w:t>8,210</w:t>
            </w:r>
          </w:p>
        </w:tc>
        <w:tc>
          <w:tcPr>
            <w:tcW w:type="dxa" w:w="1440"/>
            <w:shd w:fill="FFDCE0" w:val="clear"/>
          </w:tcPr>
          <w:p>
            <w:r>
              <w:rPr>
                <w:b/>
                <w:sz w:val="17"/>
              </w:rPr>
              <w:t>9,126</w:t>
            </w:r>
          </w:p>
        </w:tc>
        <w:tc>
          <w:tcPr>
            <w:tcW w:type="dxa" w:w="1440"/>
            <w:shd w:fill="FFDCE0" w:val="clear"/>
          </w:tcPr>
          <w:p>
            <w:r>
              <w:rPr>
                <w:sz w:val="17"/>
              </w:rPr>
              <w:t>10,041</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380,26 milliards FCFA, BOAB s'impose comme l'une des valeurs bancaires de référence de la cote BRVM, ce qui traduit une liquidité et une visibilité institutionnelle certaines. Le BPA de 496 FCFA/action signifie que chaque titre génère près de cinq cents francs de bénéfice net, un niveau appréciable pour le secteur. Le PER de 18,9x ressort toutefois nettement au-dessus de la moyenne du marché BRVM (8-12x), ce qui indique que les investisseurs paient une prime significative pour les bénéfices de la banque, justifiée en partie par la qualité de ses fondamentaux mais exposant le titre à un risque de correction en cas de déception. Le P/B de 3,24x confirme cette prime de croissance : le marché valorise BOAB à plus de trois fois ses fonds propres comptables (117,5 Mds FCFA), reflétant la confiance dans sa rentabilité future. Enfin, l'EV/EBITDA de 19,5x, très exigeant (&gt;15x), signale que la valeur d'entreprise intègre déjà une bonne partie du potentiel opérationnel, laissant peu de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BOAB affiche une quasi-stagnation avec une variation totale de -0,32%, malgré un rebond notable de +1,90% lors de la dernière séance (J-1), portant le cours actuel à 9 375 FCFA. Le titre a évolué dans un range large de 1 830 FCFA, entre un plus bas de 8 520 FCFA et un plus haut de 10 350 FCFA, ce qui témoigne d'une réelle nervosité intra-période. La tendance générale est donc stable à légèrement baissière, le cours se situant aujourd'hui au-dessus de sa moyenne (9 172 FCFA) mais sans direction franche. Les statistiques descriptives révèlent une distribution asymétrique : la moyenne (9 172 FCFA) dépasse la médiane (8 950 FCFA) et le mode (8 700 FCFA), confirmant un skewness positif de 0,947 — davantage de journées se sont négociées sous la moyenne, avec quelques pics haussiers tirant la moyenne vers le haut. L'écart-type de 556 FCFA (CV de 6,1%) indique une dispersion modérée du cours, tandis que le kurtosis de -0,518 (mésokurtique) suggère un comportement proche d'une loi normale, sans risque majeur de pics extrêmes. La volatilité annualisée de 29,1% place le titre en zone modérée haute (15-30%), proche du seuil des valeurs volatiles, ce qui appelle à la prudence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(9 433,25 FCFA) et la MM50 (9 506,5 FCFA) se situent toutes deux au-dessus du cours actuel (9 375 FCFA), et la MM20 est passée sous la MM50, configuration baissière caractéristique. Le cours évoluant sous ses deux moyennes, la pression vendeuse domine, ce qui justifie la décision technique de **Vente**.</w:t>
      </w:r>
    </w:p>
    <w:p>
      <w:pPr>
        <w:spacing w:after="120" w:line="276" w:lineRule="auto"/>
      </w:pPr>
      <w:r>
        <w:t>**Bandes de Bollinger** : Le cours (9 375 FCFA) se situe dans la moitié inférieure de la bande, entre la borne inférieure (8 673,41 FCFA) et la borne supérieure (10 193,09 FCFA), sans contact avec les extrêmes. Cette position centrale, couplée à un écart-type modéré, traduit une absence de signal directionnel fort, d'où la décision **Neutre**.</w:t>
      </w:r>
    </w:p>
    <w:p>
      <w:pPr>
        <w:spacing w:after="120" w:line="276" w:lineRule="auto"/>
      </w:pPr>
      <w:r>
        <w:t>**MACD** : Le MACD (-89,923) est inférieur à son signal (-80,914), et les deux restent en territoire négatif, confirmant un momentum baissier persistant. La divergence négative entre les deux lignes plaide pour la poursuite de la faiblesse à court terme, justifiant la décision de **Vente**.</w:t>
      </w:r>
    </w:p>
    <w:p>
      <w:pPr>
        <w:spacing w:after="120" w:line="276" w:lineRule="auto"/>
      </w:pPr>
      <w:r>
        <w:t>**RSI** : À 56,635, le RSI se situe en zone neutre (30-70), sans signal de surachat (&gt;70) ni de survente (&lt;30). Le titre n'est ni surétiré ni survendu, ce qui laisse la porte ouverte à une consolidation, d'où la décision **Neutre**.</w:t>
      </w:r>
    </w:p>
    <w:p>
      <w:pPr>
        <w:spacing w:after="120" w:line="276" w:lineRule="auto"/>
      </w:pPr>
      <w:r>
        <w:t>**Stochastique** : Le %K (60,938) est supérieur au %D (55,729), sans croisement baissier confirmé et sans entrée en zone de surachat (&gt;80). Cette configuration neutre suggère une absence de signal fort, justifiant la décision **Neutre**.</w:t>
      </w:r>
    </w:p>
    <w:p>
      <w:pPr>
        <w:spacing w:after="120" w:line="276" w:lineRule="auto"/>
      </w:pPr>
      <w:r>
        <w:t>**Conclusion technique** : Les indicateurs sont majoritairement baissiers (MM et MACD en vente) mais tempérés par des signaux neutres (Bollinger, RSI, Stochastique). Le titre se trouve dans une phase de consolidation sans direction claire, avec une légère pression vendeuse portée par les moyennes mobiles. La prudence est de mise tant que le cours ne repasse pas au-dessus de la MM20 (9 433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BOAB (exercice clos au 31 décembre 2025) affichent un Produit Net Bancaire (PNB) de 51,274 milliards FCFA, en croissance de 10,20% sur un an, et un résultat net de 20,107 milliards FCFA, en hausse par rapport aux 19,647 milliards de 2024. La rentabilité reste excellente avec un ROE de 17,11% (&gt;15%) et un ROA de 2,08%, tandis que le coefficient d'exploitation de 49,53% (&lt;50%) confirme une efficacité opérationnelle remarquable. Le coût du risque, à 22,50% des charges financières, demeure un point de vigilance, signalant un portefeuille de crédits exposé. La structure financière montre une autonomie financière faible (12,18%) et un ratio d'endettement élevé (98,77%), mais la solvabilité générale (113,87%) et la couverture des intérêts (101,77%) restent satisfaisantes. Les dépôts clientèle (711,642 Mds FCFA) couvrent largement les créances clientèle (391,724 Mds FCFA), avec un ratio de transformation de 55%, typique d'une banque prudente. Les rapports trimestriels récents confirment la dynamique : le T1 2026 (rapport du 31 mars 2026) affiche un PNB de 12,329 Mds FCFA (+11%) et un résultat net de 4,502 Mds FCFA (+1%), avec des commissions en hausse de 18,9% et des dépôts clientèle à 753,7 Mds FCFA (+3,5%). Le T3 2025 (rapport du 30 septembre 2025) montrait déjà un PNB trimestriel de 37,065 Mds FCFA (+9%) et un résultat net de 15,880 Mds FCFA (+13%), malgré une contraction des crédits (-10%) et des dépôts (-5%). Sur la base du T1 2026, on peut estimer que l'exercice 2026 devrait maintenir une croissance du PNB autour de 10-11%, avec un résultat net en progression modérée (5-8%) sous l'effet de la hausse des commissions et de la maîtrise des coûts. La recommandation fondamentale est de **Conserver** : la banque est solide, rentable et bien gérée, mais la contraction du bilan et la pression sur la rentabilité nette limitent le potentiel de surprise positive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(Partie 0) apparaît exigeante : PER de 18,9x et EV/EBITDA de 19,5x, très au-dessus des standards BRVM, ce qui suggère une surévaluation relative et un potentiel de correction si la croissance déçoit. Le comportement du cours (Partie 1) est préoccupant : stagnation sur 100 jours (-0,32%), volatilité modérée haute (29,1%) et skewness positif indiquant une asymétrie défavorable aux acheteurs. Les signaux techniques (Partie 2) sont majoritairement baissiers (MM et MACD en vente), tempérés par des indicateurs neutres (Bollinger, RSI, Stochastique), plaidant pour une consolidation sans direction claire. Les fondamentaux (Partie 3) restent solides : ROE de 17,11%, coefficient d'exploitation de 49,53% et PNB en croissance de 10,20% en 2025, avec des rapports trimestriels (T1 2026) confirmant la dynamique, mais la contraction du bilan et la pression sur le résultat net (+1% au T1 2026) limitent l'enthousiasme. Les prédictions IA (J+1 à J+10) anticipent une baisse progressive de 9 290 à 9 206 FCFA, confirmant la tendance baissière technique et contredisant la stabilité des fondamentaux. **Recommandation finale : CONSERVER**, avec un niveau de confiance **Moyen** et un risque global **Moyen**. La convergence entre valorisation exigeante, technique baissière et prédictions négatives invite à la prudence, mais la solidité fondamentale de la banque justifie de ne pas vendre. Horizon d'investissement optimal : **moyen terme (3-12 mois)**, en attendant une clarification de la tendance et une confirmation de la croissance du résultat net.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354.20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6,386 titres</w:t>
            </w:r>
          </w:p>
        </w:tc>
        <w:tc>
          <w:tcPr>
            <w:tcW w:type="dxa" w:w="2268"/>
            <w:shd w:fill="FFF2CC" w:val="clear"/>
          </w:tcPr>
          <w:p>
            <w:r>
              <w:rPr>
                <w:b/>
                <w:color w:val="503200"/>
                <w:sz w:val="16"/>
              </w:rPr>
              <w:t xml:space="preserve">Cours actuel : </w:t>
            </w:r>
            <w:r>
              <w:rPr>
                <w:color w:val="000000"/>
                <w:sz w:val="17"/>
              </w:rPr>
              <w:t>8,050 FCFA</w:t>
            </w:r>
          </w:p>
          <w:p>
            <w:r>
              <w:rPr>
                <w:b/>
                <w:color w:val="503200"/>
                <w:sz w:val="16"/>
              </w:rPr>
              <w:t xml:space="preserve">Var. 100 jours : </w:t>
            </w:r>
            <w:r>
              <w:rPr>
                <w:b/>
                <w:color w:val="007800"/>
                <w:sz w:val="17"/>
              </w:rPr>
              <w:t>+48.66%</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17.05% (Élevée) — μ=7,019 FCFA, σ=1,197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β=0.7484 (Défensif) — Cov=0.000055, Var(idx)=0.000074, ρ=0.282,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Vente=3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7,699</w:t>
            </w:r>
          </w:p>
        </w:tc>
        <w:tc>
          <w:tcPr>
            <w:tcW w:type="dxa" w:w="1440"/>
            <w:shd w:fill="FAFAFA" w:val="clear"/>
          </w:tcPr>
          <w:p>
            <w:r>
              <w:rPr>
                <w:b/>
                <w:sz w:val="17"/>
              </w:rPr>
              <w:t>7,991</w:t>
            </w:r>
          </w:p>
        </w:tc>
        <w:tc>
          <w:tcPr>
            <w:tcW w:type="dxa" w:w="1440"/>
            <w:shd w:fill="FAFAFA" w:val="clear"/>
          </w:tcPr>
          <w:p>
            <w:r>
              <w:rPr>
                <w:sz w:val="17"/>
              </w:rPr>
              <w:t>8,284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7,540</w:t>
            </w:r>
          </w:p>
        </w:tc>
        <w:tc>
          <w:tcPr>
            <w:tcW w:type="dxa" w:w="1440"/>
            <w:shd w:fill="FAFAFA" w:val="clear"/>
          </w:tcPr>
          <w:p>
            <w:r>
              <w:rPr>
                <w:b/>
                <w:sz w:val="17"/>
              </w:rPr>
              <w:t>7,951</w:t>
            </w:r>
          </w:p>
        </w:tc>
        <w:tc>
          <w:tcPr>
            <w:tcW w:type="dxa" w:w="1440"/>
            <w:shd w:fill="FAFAFA" w:val="clear"/>
          </w:tcPr>
          <w:p>
            <w:r>
              <w:rPr>
                <w:sz w:val="17"/>
              </w:rPr>
              <w:t>8,363</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7,416</w:t>
            </w:r>
          </w:p>
        </w:tc>
        <w:tc>
          <w:tcPr>
            <w:tcW w:type="dxa" w:w="1440"/>
            <w:shd w:fill="FAFAFA" w:val="clear"/>
          </w:tcPr>
          <w:p>
            <w:r>
              <w:rPr>
                <w:b/>
                <w:sz w:val="17"/>
              </w:rPr>
              <w:t>7,918</w:t>
            </w:r>
          </w:p>
        </w:tc>
        <w:tc>
          <w:tcPr>
            <w:tcW w:type="dxa" w:w="1440"/>
            <w:shd w:fill="FAFAFA" w:val="clear"/>
          </w:tcPr>
          <w:p>
            <w:r>
              <w:rPr>
                <w:sz w:val="17"/>
              </w:rPr>
              <w:t>8,420</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7,315</w:t>
            </w:r>
          </w:p>
        </w:tc>
        <w:tc>
          <w:tcPr>
            <w:tcW w:type="dxa" w:w="1440"/>
            <w:shd w:fill="FAFAFA" w:val="clear"/>
          </w:tcPr>
          <w:p>
            <w:r>
              <w:rPr>
                <w:b/>
                <w:sz w:val="17"/>
              </w:rPr>
              <w:t>7,892</w:t>
            </w:r>
          </w:p>
        </w:tc>
        <w:tc>
          <w:tcPr>
            <w:tcW w:type="dxa" w:w="1440"/>
            <w:shd w:fill="FAFAFA" w:val="clear"/>
          </w:tcPr>
          <w:p>
            <w:r>
              <w:rPr>
                <w:sz w:val="17"/>
              </w:rPr>
              <w:t>8,470</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2026-10-20</w:t>
            </w:r>
          </w:p>
        </w:tc>
        <w:tc>
          <w:tcPr>
            <w:tcW w:type="dxa" w:w="1440"/>
            <w:shd w:fill="FFDCE0" w:val="clear"/>
          </w:tcPr>
          <w:p>
            <w:r>
              <w:rPr>
                <w:sz w:val="17"/>
              </w:rPr>
              <w:t>7,228</w:t>
            </w:r>
          </w:p>
        </w:tc>
        <w:tc>
          <w:tcPr>
            <w:tcW w:type="dxa" w:w="1440"/>
            <w:shd w:fill="FFDCE0" w:val="clear"/>
          </w:tcPr>
          <w:p>
            <w:r>
              <w:rPr>
                <w:b/>
                <w:sz w:val="17"/>
              </w:rPr>
              <w:t>7,872</w:t>
            </w:r>
          </w:p>
        </w:tc>
        <w:tc>
          <w:tcPr>
            <w:tcW w:type="dxa" w:w="1440"/>
            <w:shd w:fill="FFDCE0" w:val="clear"/>
          </w:tcPr>
          <w:p>
            <w:r>
              <w:rPr>
                <w:sz w:val="17"/>
              </w:rPr>
              <w:t>8,516</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2026-10-21</w:t>
            </w:r>
          </w:p>
        </w:tc>
        <w:tc>
          <w:tcPr>
            <w:tcW w:type="dxa" w:w="1440"/>
            <w:shd w:fill="FFDCE0" w:val="clear"/>
          </w:tcPr>
          <w:p>
            <w:r>
              <w:rPr>
                <w:sz w:val="17"/>
              </w:rPr>
              <w:t>7,149</w:t>
            </w:r>
          </w:p>
        </w:tc>
        <w:tc>
          <w:tcPr>
            <w:tcW w:type="dxa" w:w="1440"/>
            <w:shd w:fill="FFDCE0" w:val="clear"/>
          </w:tcPr>
          <w:p>
            <w:r>
              <w:rPr>
                <w:b/>
                <w:sz w:val="17"/>
              </w:rPr>
              <w:t>7,853</w:t>
            </w:r>
          </w:p>
        </w:tc>
        <w:tc>
          <w:tcPr>
            <w:tcW w:type="dxa" w:w="1440"/>
            <w:shd w:fill="FFDCE0" w:val="clear"/>
          </w:tcPr>
          <w:p>
            <w:r>
              <w:rPr>
                <w:sz w:val="17"/>
              </w:rPr>
              <w:t>8,557</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7,077</w:t>
            </w:r>
          </w:p>
        </w:tc>
        <w:tc>
          <w:tcPr>
            <w:tcW w:type="dxa" w:w="1440"/>
            <w:shd w:fill="FFDCE0" w:val="clear"/>
          </w:tcPr>
          <w:p>
            <w:r>
              <w:rPr>
                <w:b/>
                <w:sz w:val="17"/>
              </w:rPr>
              <w:t>7,835</w:t>
            </w:r>
          </w:p>
        </w:tc>
        <w:tc>
          <w:tcPr>
            <w:tcW w:type="dxa" w:w="1440"/>
            <w:shd w:fill="FFDCE0" w:val="clear"/>
          </w:tcPr>
          <w:p>
            <w:r>
              <w:rPr>
                <w:sz w:val="17"/>
              </w:rPr>
              <w:t>8,594</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7,010</w:t>
            </w:r>
          </w:p>
        </w:tc>
        <w:tc>
          <w:tcPr>
            <w:tcW w:type="dxa" w:w="1440"/>
            <w:shd w:fill="FFDCE0" w:val="clear"/>
          </w:tcPr>
          <w:p>
            <w:r>
              <w:rPr>
                <w:b/>
                <w:sz w:val="17"/>
              </w:rPr>
              <w:t>7,819</w:t>
            </w:r>
          </w:p>
        </w:tc>
        <w:tc>
          <w:tcPr>
            <w:tcW w:type="dxa" w:w="1440"/>
            <w:shd w:fill="FFDCE0" w:val="clear"/>
          </w:tcPr>
          <w:p>
            <w:r>
              <w:rPr>
                <w:sz w:val="17"/>
              </w:rPr>
              <w:t>8,628</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6,946</w:t>
            </w:r>
          </w:p>
        </w:tc>
        <w:tc>
          <w:tcPr>
            <w:tcW w:type="dxa" w:w="1440"/>
            <w:shd w:fill="FFDCE0" w:val="clear"/>
          </w:tcPr>
          <w:p>
            <w:r>
              <w:rPr>
                <w:b/>
                <w:sz w:val="17"/>
              </w:rPr>
              <w:t>7,802</w:t>
            </w:r>
          </w:p>
        </w:tc>
        <w:tc>
          <w:tcPr>
            <w:tcW w:type="dxa" w:w="1440"/>
            <w:shd w:fill="FFDCE0" w:val="clear"/>
          </w:tcPr>
          <w:p>
            <w:r>
              <w:rPr>
                <w:sz w:val="17"/>
              </w:rPr>
              <w:t>8,659</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6,886</w:t>
            </w:r>
          </w:p>
        </w:tc>
        <w:tc>
          <w:tcPr>
            <w:tcW w:type="dxa" w:w="1440"/>
            <w:shd w:fill="FFDCE0" w:val="clear"/>
          </w:tcPr>
          <w:p>
            <w:r>
              <w:rPr>
                <w:b/>
                <w:sz w:val="17"/>
              </w:rPr>
              <w:t>7,787</w:t>
            </w:r>
          </w:p>
        </w:tc>
        <w:tc>
          <w:tcPr>
            <w:tcW w:type="dxa" w:w="1440"/>
            <w:shd w:fill="FFDCE0" w:val="clear"/>
          </w:tcPr>
          <w:p>
            <w:r>
              <w:rPr>
                <w:sz w:val="17"/>
              </w:rPr>
              <w:t>8,687</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354,20 milliards FCFA, BOABF figure parmi les valeurs bancaires de premier plan de la cote BRVM, ce qui témoigne de sa solidité et de sa liquidité relative au sein de la zone UEMOA. Le BPA de 438 FCFA par action signifie que chaque titre génère près de 438 FCFA de bénéfice net, un niveau appréciable pour une banque de la sous-région. Le PER de 18,4x traduit une valorisation nettement supérieure à la moyenne du marché BRVM (généralement comprise entre 8 et 12x), ce qui indique que les investisseurs paient une prime significative pour les bénéfices actuels — signe d'anticipations positives mais aussi d'un risque de correction si la croissance ne se matérialise pas. Le P/B de 2,80x confirme cette prime de croissance : le marché valorise la banque à près de trois fois sa valeur comptable, ce qui est cohérent avec un ROE supérieur à 15%. Enfin, l'EV/EBITDA de 8,2x, situé dans la fourchette raisonnable de 5-10x, suggère que la valeur totale de l'entreprise reste proportionnée à sa capacité opérationnelle, sans exagération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+48,66%, avec une dernière séance en légère hausse de +0,56%, portant le cours actuel à 8 050 FCFA. Le range de trading est particulièrement large, oscillant entre un plus bas de 5 300 FCFA et un plus haut de 9 090 FCFA, soit un écart de près de 72% entre les deux extrêmes — ce qui traduit une dynamique haussière puissante mais aussi des phases de correction marquées. La tendance générale est donc nettement haussière sur la période, portée par un intérêt croissant des investisseurs pour la valeur. Les statistiques descriptives révèlent une moyenne de 7 019 FCFA légèrement inférieure à la médiane de 7 175 FCFA, ce qui indique une asymétrie légère vers la gauche (quelques séances de forte baisse ont tiré la moyenne vers le bas), bien que le skewness de 0,100 confirme une distribution globalement symétrique. L'écart-type de 1 203 FCFA, avec un coefficient de variation de 17,1%, témoigne d'une dispersion modérée du cours autour de sa moyenne. Le kurtosis de -1,276 (distribution platykurtique) signale une faible concentration des rendements et un risque de pics de volatilité moins prononcé qu'une distribution normale, ce qui est rassurant pour la stabilité relative du titre. Enfin, la volatilité annualisée de 35,9% positionne BOABF dans la catégorie des titres à volatilité élevée (&gt;30%), ce qui implique un risque de fluctuation important à court terme, à intégrer dans toute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7 975,0 FCFA et la MM50 à 8 023,8 FCFA, toutes deux inférieures au cours actuel de 8 050 FCFA, ce qui place le titre en position haussière relative. Cependant, la MM20 étant légèrement en dessous de la MM50, on observe un croisement baissier de court terme, ce qui justifie la décision technique de « Vente » — le momentum récent s'essouffle malgré la tendance de fond positive.</w:t>
      </w:r>
    </w:p>
    <w:p>
      <w:pPr>
        <w:spacing w:after="120" w:line="276" w:lineRule="auto"/>
      </w:pPr>
      <w:r>
        <w:t>**Bandes de Bollinger** : Le cours actuel de 8 050 FCFA se situe à l'intérieur des bandes, entre la borne inférieure de 7 459,4 FCFA et la borne supérieure de 8 490,6 FCFA, ce qui indique une absence de signal extrême. La largeur des bandes reflète une volatilité modérée, et la décision « Neutre » suggère que le titre évolue dans une zone d'équilibre sans pression acheteuse ou vendeuse dominante.</w:t>
      </w:r>
    </w:p>
    <w:p>
      <w:pPr>
        <w:spacing w:after="120" w:line="276" w:lineRule="auto"/>
      </w:pPr>
      <w:r>
        <w:t>**MACD** : La valeur du MACD (-36,341) est inférieure à son signal (-24,474), confirmant une divergence baissière et un momentum négatif de court terme. Cette configuration justifie la décision de « Vente », bien que l'écart reste modéré et puisse se résorber rapidement si le cours reprend son élan haussier.</w:t>
      </w:r>
    </w:p>
    <w:p>
      <w:pPr>
        <w:spacing w:after="120" w:line="276" w:lineRule="auto"/>
      </w:pPr>
      <w:r>
        <w:t>**RSI** : À 71,864, le RSI se situe au-dessus du seuil de surachat (70), ce qui indique que le titre a été fortement acheté récemment et pourrait connaître une correction. La décision de « Vente » est cohérente avec ce signal de surachat, qui appelle à la prudence à court terme.</w:t>
      </w:r>
    </w:p>
    <w:p>
      <w:pPr>
        <w:spacing w:after="120" w:line="276" w:lineRule="auto"/>
      </w:pPr>
      <w:r>
        <w:t>**Stochastique** : Le %K (72,222) est légèrement supérieur au %D (68,889), sans croisement baissier confirmé, ce qui maintient une décision « Neutre ». Le titre reste dans une zone haute du stochastique, suggérant une possible poursuite de la hausse à très court terme, mais avec un risque de retournement.</w:t>
      </w:r>
    </w:p>
    <w:p>
      <w:pPr>
        <w:spacing w:after="120" w:line="276" w:lineRule="auto"/>
      </w:pPr>
      <w:r>
        <w:t>**Conclusion technique** : Les indicateurs techniques sont majoritairement baissiers à court terme (MM, MACD, RSI en surachat), tandis que les Bandes de Bollinger et le Stochastique restent neutres. Cette divergence suggère que le titre, après sa forte hausse de +48,66% sur 100 jours, entre dans une phase de consolidation ou de correction technique. Une prudence est de mise pour les investisseurs de court terme, même si la tendance de fond reste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 Produit Net Bancaire (PNB) de 57 820 millions FCFA, quasi stable par rapport à 2024 (+0,6%), et un résultat net de 19 252 millions FCFA, en recul de -14,1% sur un an. Cette baisse s'explique principalement par un coût du risque qui a quasiment doublé, passant de -4 303 à -8 355 millions FCFA, pesant lourdement sur la rentabilité. Le ROE de 15,22% reste excellent (&gt;15%), témoignant d'une bonne rentabilité des fonds propres, tandis que le ROA de 1,68% est modéré mais acceptable pour le secteur bancaire. Le coefficient d'exploitation de 47,19% est inférieur au seuil de 60%, ce qui indique une banque efficace dans la gestion de ses charges. Le ratio de dépendance financière de 88,99% et le ratio d'endettement de 96,61% montrent une structure financière fortement leviérisée, typique des banques, mais l'autonomie financière de 11,01% reste faible. Le coût du risque rapporté aux charges financières s'élève à 33,92%, un niveau élevé qui signale un risque de crédit significatif, cohérent avec la dégradation du portefeuille observée en 2025. Les dépôts clientèle (877 822 millions FCFA) couvrent largement les créances clientèle (474 064 millions FCFA), avec un ratio de transformation de 54%, ce qui indique une gestion prudente des liquidités. Les rapports trimestriels récents (T1 2026, S1 2026) confirment une amélioration de la rentabilité : au S1 2026 (rapport du 30/06/2026), le résultat net progresse de +31,0% à 10 770 millions FCFA, porté par une réduction de -65,2% du coût du risque (-2 396 millions contre -6 876 millions un an plus tôt). Cependant, le PNB recule de -5,2% à 27 539 millions FCFA, et le T1 2026 (rapport du 31/03/2026) affiche un PNB en baisse de -10,75% et un résultat net en repli de -12,99%, ce qui tempère l'optimisme. On estime que l'exercice 2026 pourrait bénéficier d'une normalisation du coût du risque, mais la dynamique commerciale reste fragile, avec une stagnation des crédits clientèle (+1,3% au S1 2026). La recommandation fondamentale est de **CONSERVER** : la solidité financière est avérée (ROE &gt;15%, coefficient d'exploitation &lt;50%), mais les risques de crédit et la contraction du PNB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(Partie 0) apparaît tendue : le PER de 18,4x et le P/B de 2,80x indiquent une prime significative par rapport aux moyennes du marché BRVM, ce qui suggère que le titre pourrait être surévalué à court terme, même si l'EV/EBITDA de 8,2x reste raisonnable. Le comportement du cours (Partie 1) est nettement haussier sur 100 jours (+48,66%), mais la volatilité élevée (35,9%) et le RSI en surachat (71,86) signalent un risque de correction imminente. Les signaux techniques (Partie 2) sont majoritairement baissiers à court terme (MM, MACD, RSI), avec une divergence entre indicateurs qui plaide pour une consolidation. Les fondamentaux (Partie 3) sont contrastés : la banque affiche une rentabilité solide (ROE 15,22%) et une efficacité opérationnelle (coefficient d'exploitation 47,19%), mais le coût du risque élevé (33,92%) et la contraction du PNB au T1 2026 (-10,75%) constituent des points de vigilance. Les prédictions IA (J+1 à J+10) anticipent une trajectoire baissière, avec un cours passant de 7 991 FCFA le 14/10/2026 à 7 872 FCFA le 20/10/2026, ce qui confirme les signaux techniques de correction. Sur la base de cette synthèse, la recommandation finale est **CONSERVER**, avec un niveau de confiance **Moyen** et un risque global **Élevé**. La convergence entre la valorisation tendue, les signaux techniques baissiers et les prédictions IA négatives suggère une prudence à court terme, mais la solidité fondamentale de la banque et l'amélioration de la rentabilité au S1 2026 justifient de ne pas vendre. L'horizon d'investissement optimal est **moyen terme (3-12 mois)**, en attendant une clarification de la dynamique commerciale et une normalisation durable du coût du risque.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20261009   calendrier de paiement des dividendes   exercice 2025</w:t>
      </w:r>
    </w:p>
    <w:p>
      <w:pPr>
        <w:spacing w:before="20"/>
        <w:ind w:left="400"/>
      </w:pPr>
      <w:r>
        <w:rPr>
          <w:color w:val="505050"/>
          <w:sz w:val="17"/>
        </w:rPr>
        <w:t xml:space="preserve">Date : 12/10/2026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avec les montants nets par action, les dates de publication d'avis, les dates ex-dividende et les dates de paiement. Le document couvre plus de trente sociétés de la zone UEMOA, avec des paiements échelonnés d'avril à octobre 2026. Les montants indiqués sont nets, sauf pour les sociétés marquées d'un astérisque dont le dividende est brut avec application de l'IRVM.</w:t>
      </w:r>
    </w:p>
    <w:p>
      <w:pPr>
        <w:spacing w:before="60"/>
        <w:ind w:left="400"/>
      </w:pPr>
      <w:r>
        <w:rPr>
          <w:b/>
          <w:sz w:val="18"/>
        </w:rPr>
        <w:t>Points clés :</w:t>
      </w:r>
    </w:p>
    <w:p>
      <w:pPr>
        <w:pStyle w:val="ListBullet"/>
        <w:spacing w:before="20" w:after="20"/>
        <w:ind w:left="700"/>
      </w:pPr>
      <w:r>
        <w:rPr>
          <w:sz w:val="18"/>
        </w:rPr>
        <w:t>Le calendrier couvre les dividendes de l'exercice 2025 pour plus de 30 sociétés cotées à la BRVM</w:t>
      </w:r>
    </w:p>
    <w:p>
      <w:pPr>
        <w:pStyle w:val="ListBullet"/>
        <w:spacing w:before="20" w:after="20"/>
        <w:ind w:left="700"/>
      </w:pPr>
      <w:r>
        <w:rPr>
          <w:sz w:val="18"/>
        </w:rPr>
        <w:t>Les paiements s'échelonnent du 23 avril 2026 (BOA Burkina Faso) au 27 octobre 2026 (Africa Global Logistics CI)</w:t>
      </w:r>
    </w:p>
    <w:p>
      <w:pPr>
        <w:pStyle w:val="ListBullet"/>
        <w:spacing w:before="20" w:after="20"/>
        <w:ind w:left="700"/>
      </w:pPr>
      <w:r>
        <w:rPr>
          <w:sz w:val="18"/>
        </w:rPr>
        <w:t>Les montants nets par action varient de 0,9184 FCFA (Ecobank Transnational Incorporated) à 2 606 FCFA (Société Générale CI)</w:t>
      </w:r>
    </w:p>
    <w:p>
      <w:pPr>
        <w:pStyle w:val="ListBullet"/>
        <w:spacing w:before="20" w:after="20"/>
        <w:ind w:left="700"/>
      </w:pPr>
      <w:r>
        <w:rPr>
          <w:sz w:val="18"/>
        </w:rPr>
        <w:t>Les sociétés marquées d'un astérisque affichent un dividende brut soumis à l'IRVM de 12% pour les personnes physiques et 10% pour les personnes morales</w:t>
      </w:r>
    </w:p>
    <w:p>
      <w:pPr>
        <w:pStyle w:val="ListBullet"/>
        <w:spacing w:before="20" w:after="20"/>
        <w:ind w:left="700"/>
      </w:pPr>
      <w:r>
        <w:rPr>
          <w:sz w:val="18"/>
        </w:rPr>
        <w:t>Chaque ligne précise le numéro d'avis, la date de publication au BOC, la date ex-dividende (T-1) et la date de paiement (T)</w:t>
      </w:r>
    </w:p>
    <w:p>
      <w:pPr>
        <w:ind w:left="400"/>
      </w:pPr>
      <w:r>
        <w:rPr>
          <w:color w:val="B4B4B4"/>
          <w:sz w:val="14"/>
        </w:rPr>
        <w:t xml:space="preserve">· · · · · · · · · · · · · · · · · · · · · · · · · · · · · · </w:t>
      </w:r>
    </w:p>
    <w:p>
      <w:pPr>
        <w:spacing w:before="160"/>
      </w:pPr>
      <w:r>
        <w:rPr>
          <w:b/>
          <w:color w:val="0066CC"/>
          <w:sz w:val="20"/>
        </w:rPr>
        <w:t xml:space="preserve">[3]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[5]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455.80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10,734 titres</w:t>
            </w:r>
          </w:p>
        </w:tc>
        <w:tc>
          <w:tcPr>
            <w:tcW w:type="dxa" w:w="2268"/>
            <w:shd w:fill="FFF2CC" w:val="clear"/>
          </w:tcPr>
          <w:p>
            <w:r>
              <w:rPr>
                <w:b/>
                <w:color w:val="503200"/>
                <w:sz w:val="16"/>
              </w:rPr>
              <w:t xml:space="preserve">Cours actuel : </w:t>
            </w:r>
            <w:r>
              <w:rPr>
                <w:color w:val="000000"/>
                <w:sz w:val="17"/>
              </w:rPr>
              <w:t>11,395 FCFA</w:t>
            </w:r>
          </w:p>
          <w:p>
            <w:r>
              <w:rPr>
                <w:b/>
                <w:color w:val="503200"/>
                <w:sz w:val="16"/>
              </w:rPr>
              <w:t xml:space="preserve">Var. 100 jours : </w:t>
            </w:r>
            <w:r>
              <w:rPr>
                <w:b/>
                <w:color w:val="007800"/>
                <w:sz w:val="17"/>
              </w:rPr>
              <w:t>+29.49%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8,800 FCFA</w:t>
            </w:r>
          </w:p>
          <w:p>
            <w:r>
              <w:rPr>
                <w:b/>
                <w:color w:val="503200"/>
                <w:sz w:val="16"/>
              </w:rPr>
              <w:t xml:space="preserve">Volatilité ann. : </w:t>
            </w:r>
            <w:r>
              <w:rPr>
                <w:color w:val="000000"/>
                <w:sz w:val="17"/>
              </w:rPr>
              <w:t>28.0%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13.88% (Moyenne) — μ=10,717 FCFA, σ=1,488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β=0.7456 (Défensif) — Cov=0.000055, Var(idx)=0.000074, ρ=0.362,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10,734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98627"/>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11,112</w:t>
            </w:r>
          </w:p>
        </w:tc>
        <w:tc>
          <w:tcPr>
            <w:tcW w:type="dxa" w:w="1440"/>
            <w:shd w:fill="FAFAFA" w:val="clear"/>
          </w:tcPr>
          <w:p>
            <w:r>
              <w:rPr>
                <w:b/>
                <w:sz w:val="17"/>
              </w:rPr>
              <w:t>11,438</w:t>
            </w:r>
          </w:p>
        </w:tc>
        <w:tc>
          <w:tcPr>
            <w:tcW w:type="dxa" w:w="1440"/>
            <w:shd w:fill="FAFAFA" w:val="clear"/>
          </w:tcPr>
          <w:p>
            <w:r>
              <w:rPr>
                <w:sz w:val="17"/>
              </w:rPr>
              <w:t>11,765</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10,987</w:t>
            </w:r>
          </w:p>
        </w:tc>
        <w:tc>
          <w:tcPr>
            <w:tcW w:type="dxa" w:w="1440"/>
            <w:shd w:fill="FAFAFA" w:val="clear"/>
          </w:tcPr>
          <w:p>
            <w:r>
              <w:rPr>
                <w:b/>
                <w:sz w:val="17"/>
              </w:rPr>
              <w:t>11,449</w:t>
            </w:r>
          </w:p>
        </w:tc>
        <w:tc>
          <w:tcPr>
            <w:tcW w:type="dxa" w:w="1440"/>
            <w:shd w:fill="FAFAFA" w:val="clear"/>
          </w:tcPr>
          <w:p>
            <w:r>
              <w:rPr>
                <w:sz w:val="17"/>
              </w:rPr>
              <w:t>11,911</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10,896</w:t>
            </w:r>
          </w:p>
        </w:tc>
        <w:tc>
          <w:tcPr>
            <w:tcW w:type="dxa" w:w="1440"/>
            <w:shd w:fill="FAFAFA" w:val="clear"/>
          </w:tcPr>
          <w:p>
            <w:r>
              <w:rPr>
                <w:b/>
                <w:sz w:val="17"/>
              </w:rPr>
              <w:t>11,462</w:t>
            </w:r>
          </w:p>
        </w:tc>
        <w:tc>
          <w:tcPr>
            <w:tcW w:type="dxa" w:w="1440"/>
            <w:shd w:fill="FAFAFA" w:val="clear"/>
          </w:tcPr>
          <w:p>
            <w:r>
              <w:rPr>
                <w:sz w:val="17"/>
              </w:rPr>
              <w:t>12,029</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2026-10-19</w:t>
            </w:r>
          </w:p>
        </w:tc>
        <w:tc>
          <w:tcPr>
            <w:tcW w:type="dxa" w:w="1440"/>
            <w:shd w:fill="FAFAFA" w:val="clear"/>
          </w:tcPr>
          <w:p>
            <w:r>
              <w:rPr>
                <w:sz w:val="17"/>
              </w:rPr>
              <w:t>10,820</w:t>
            </w:r>
          </w:p>
        </w:tc>
        <w:tc>
          <w:tcPr>
            <w:tcW w:type="dxa" w:w="1440"/>
            <w:shd w:fill="FAFAFA" w:val="clear"/>
          </w:tcPr>
          <w:p>
            <w:r>
              <w:rPr>
                <w:b/>
                <w:sz w:val="17"/>
              </w:rPr>
              <w:t>11,475</w:t>
            </w:r>
          </w:p>
        </w:tc>
        <w:tc>
          <w:tcPr>
            <w:tcW w:type="dxa" w:w="1440"/>
            <w:shd w:fill="FAFAFA" w:val="clear"/>
          </w:tcPr>
          <w:p>
            <w:r>
              <w:rPr>
                <w:sz w:val="17"/>
              </w:rPr>
              <w:t>12,130</w:t>
            </w:r>
          </w:p>
        </w:tc>
        <w:tc>
          <w:tcPr>
            <w:tcW w:type="dxa" w:w="1440"/>
            <w:shd w:fill="FAFAFA" w:val="clear"/>
          </w:tcPr>
          <w:p>
            <w:r>
              <w:rPr>
                <w:b/>
                <w:color w:val="008000"/>
                <w:sz w:val="17"/>
              </w:rPr>
              <w:t>+0.7%</w:t>
            </w:r>
          </w:p>
        </w:tc>
      </w:tr>
      <w:tr>
        <w:tc>
          <w:tcPr>
            <w:tcW w:type="dxa" w:w="1440"/>
            <w:shd w:fill="FAFAFA" w:val="clear"/>
          </w:tcPr>
          <w:p>
            <w:r>
              <w:rPr>
                <w:sz w:val="17"/>
              </w:rPr>
              <w:t>J+5  Moyenne</w:t>
            </w:r>
          </w:p>
        </w:tc>
        <w:tc>
          <w:tcPr>
            <w:tcW w:type="dxa" w:w="1440"/>
            <w:shd w:fill="FAFAFA" w:val="clear"/>
          </w:tcPr>
          <w:p>
            <w:r>
              <w:rPr>
                <w:sz w:val="17"/>
              </w:rPr>
              <w:t>2026-10-20</w:t>
            </w:r>
          </w:p>
        </w:tc>
        <w:tc>
          <w:tcPr>
            <w:tcW w:type="dxa" w:w="1440"/>
            <w:shd w:fill="FAFAFA" w:val="clear"/>
          </w:tcPr>
          <w:p>
            <w:r>
              <w:rPr>
                <w:sz w:val="17"/>
              </w:rPr>
              <w:t>10,754</w:t>
            </w:r>
          </w:p>
        </w:tc>
        <w:tc>
          <w:tcPr>
            <w:tcW w:type="dxa" w:w="1440"/>
            <w:shd w:fill="FAFAFA" w:val="clear"/>
          </w:tcPr>
          <w:p>
            <w:r>
              <w:rPr>
                <w:b/>
                <w:sz w:val="17"/>
              </w:rPr>
              <w:t>11,487</w:t>
            </w:r>
          </w:p>
        </w:tc>
        <w:tc>
          <w:tcPr>
            <w:tcW w:type="dxa" w:w="1440"/>
            <w:shd w:fill="FAFAFA" w:val="clear"/>
          </w:tcPr>
          <w:p>
            <w:r>
              <w:rPr>
                <w:sz w:val="17"/>
              </w:rPr>
              <w:t>12,221</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2026-10-21</w:t>
            </w:r>
          </w:p>
        </w:tc>
        <w:tc>
          <w:tcPr>
            <w:tcW w:type="dxa" w:w="1440"/>
            <w:shd w:fill="FAFAFA" w:val="clear"/>
          </w:tcPr>
          <w:p>
            <w:r>
              <w:rPr>
                <w:sz w:val="17"/>
              </w:rPr>
              <w:t>10,695</w:t>
            </w:r>
          </w:p>
        </w:tc>
        <w:tc>
          <w:tcPr>
            <w:tcW w:type="dxa" w:w="1440"/>
            <w:shd w:fill="FAFAFA" w:val="clear"/>
          </w:tcPr>
          <w:p>
            <w:r>
              <w:rPr>
                <w:b/>
                <w:sz w:val="17"/>
              </w:rPr>
              <w:t>11,499</w:t>
            </w:r>
          </w:p>
        </w:tc>
        <w:tc>
          <w:tcPr>
            <w:tcW w:type="dxa" w:w="1440"/>
            <w:shd w:fill="FAFAFA" w:val="clear"/>
          </w:tcPr>
          <w:p>
            <w:r>
              <w:rPr>
                <w:sz w:val="17"/>
              </w:rPr>
              <w:t>12,303</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2026-10-22</w:t>
            </w:r>
          </w:p>
        </w:tc>
        <w:tc>
          <w:tcPr>
            <w:tcW w:type="dxa" w:w="1440"/>
            <w:shd w:fill="FAFAFA" w:val="clear"/>
          </w:tcPr>
          <w:p>
            <w:r>
              <w:rPr>
                <w:sz w:val="17"/>
              </w:rPr>
              <w:t>10,641</w:t>
            </w:r>
          </w:p>
        </w:tc>
        <w:tc>
          <w:tcPr>
            <w:tcW w:type="dxa" w:w="1440"/>
            <w:shd w:fill="FAFAFA" w:val="clear"/>
          </w:tcPr>
          <w:p>
            <w:r>
              <w:rPr>
                <w:b/>
                <w:sz w:val="17"/>
              </w:rPr>
              <w:t>11,510</w:t>
            </w:r>
          </w:p>
        </w:tc>
        <w:tc>
          <w:tcPr>
            <w:tcW w:type="dxa" w:w="1440"/>
            <w:shd w:fill="FAFAFA" w:val="clear"/>
          </w:tcPr>
          <w:p>
            <w:r>
              <w:rPr>
                <w:sz w:val="17"/>
              </w:rPr>
              <w:t>12,380</w:t>
            </w:r>
          </w:p>
        </w:tc>
        <w:tc>
          <w:tcPr>
            <w:tcW w:type="dxa" w:w="1440"/>
            <w:shd w:fill="FAFAFA" w:val="clear"/>
          </w:tcPr>
          <w:p>
            <w:r>
              <w:rPr>
                <w:b/>
                <w:color w:val="008000"/>
                <w:sz w:val="17"/>
              </w:rPr>
              <w:t>+1.0%</w:t>
            </w:r>
          </w:p>
        </w:tc>
      </w:tr>
      <w:tr>
        <w:tc>
          <w:tcPr>
            <w:tcW w:type="dxa" w:w="1440"/>
            <w:shd w:fill="FAFAFA" w:val="clear"/>
          </w:tcPr>
          <w:p>
            <w:r>
              <w:rPr>
                <w:sz w:val="17"/>
              </w:rPr>
              <w:t>J+8  Moyenne</w:t>
            </w:r>
          </w:p>
        </w:tc>
        <w:tc>
          <w:tcPr>
            <w:tcW w:type="dxa" w:w="1440"/>
            <w:shd w:fill="FAFAFA" w:val="clear"/>
          </w:tcPr>
          <w:p>
            <w:r>
              <w:rPr>
                <w:sz w:val="17"/>
              </w:rPr>
              <w:t>2026-10-23</w:t>
            </w:r>
          </w:p>
        </w:tc>
        <w:tc>
          <w:tcPr>
            <w:tcW w:type="dxa" w:w="1440"/>
            <w:shd w:fill="FAFAFA" w:val="clear"/>
          </w:tcPr>
          <w:p>
            <w:r>
              <w:rPr>
                <w:sz w:val="17"/>
              </w:rPr>
              <w:t>10,591</w:t>
            </w:r>
          </w:p>
        </w:tc>
        <w:tc>
          <w:tcPr>
            <w:tcW w:type="dxa" w:w="1440"/>
            <w:shd w:fill="FAFAFA" w:val="clear"/>
          </w:tcPr>
          <w:p>
            <w:r>
              <w:rPr>
                <w:b/>
                <w:sz w:val="17"/>
              </w:rPr>
              <w:t>11,521</w:t>
            </w:r>
          </w:p>
        </w:tc>
        <w:tc>
          <w:tcPr>
            <w:tcW w:type="dxa" w:w="1440"/>
            <w:shd w:fill="FAFAFA" w:val="clear"/>
          </w:tcPr>
          <w:p>
            <w:r>
              <w:rPr>
                <w:sz w:val="17"/>
              </w:rPr>
              <w:t>12,451</w:t>
            </w:r>
          </w:p>
        </w:tc>
        <w:tc>
          <w:tcPr>
            <w:tcW w:type="dxa" w:w="1440"/>
            <w:shd w:fill="FAFAFA" w:val="clear"/>
          </w:tcPr>
          <w:p>
            <w:r>
              <w:rPr>
                <w:b/>
                <w:color w:val="008000"/>
                <w:sz w:val="17"/>
              </w:rPr>
              <w:t>+1.1%</w:t>
            </w:r>
          </w:p>
        </w:tc>
      </w:tr>
      <w:tr>
        <w:tc>
          <w:tcPr>
            <w:tcW w:type="dxa" w:w="1440"/>
            <w:shd w:fill="FAFAFA" w:val="clear"/>
          </w:tcPr>
          <w:p>
            <w:r>
              <w:rPr>
                <w:sz w:val="17"/>
              </w:rPr>
              <w:t>J+9  Moyenne</w:t>
            </w:r>
          </w:p>
        </w:tc>
        <w:tc>
          <w:tcPr>
            <w:tcW w:type="dxa" w:w="1440"/>
            <w:shd w:fill="FAFAFA" w:val="clear"/>
          </w:tcPr>
          <w:p>
            <w:r>
              <w:rPr>
                <w:sz w:val="17"/>
              </w:rPr>
              <w:t>2026-10-26</w:t>
            </w:r>
          </w:p>
        </w:tc>
        <w:tc>
          <w:tcPr>
            <w:tcW w:type="dxa" w:w="1440"/>
            <w:shd w:fill="FAFAFA" w:val="clear"/>
          </w:tcPr>
          <w:p>
            <w:r>
              <w:rPr>
                <w:sz w:val="17"/>
              </w:rPr>
              <w:t>10,544</w:t>
            </w:r>
          </w:p>
        </w:tc>
        <w:tc>
          <w:tcPr>
            <w:tcW w:type="dxa" w:w="1440"/>
            <w:shd w:fill="FAFAFA" w:val="clear"/>
          </w:tcPr>
          <w:p>
            <w:r>
              <w:rPr>
                <w:b/>
                <w:sz w:val="17"/>
              </w:rPr>
              <w:t>11,531</w:t>
            </w:r>
          </w:p>
        </w:tc>
        <w:tc>
          <w:tcPr>
            <w:tcW w:type="dxa" w:w="1440"/>
            <w:shd w:fill="FAFAFA" w:val="clear"/>
          </w:tcPr>
          <w:p>
            <w:r>
              <w:rPr>
                <w:sz w:val="17"/>
              </w:rPr>
              <w:t>12,519</w:t>
            </w:r>
          </w:p>
        </w:tc>
        <w:tc>
          <w:tcPr>
            <w:tcW w:type="dxa" w:w="1440"/>
            <w:shd w:fill="FAFAFA" w:val="clear"/>
          </w:tcPr>
          <w:p>
            <w:r>
              <w:rPr>
                <w:b/>
                <w:color w:val="008000"/>
                <w:sz w:val="17"/>
              </w:rPr>
              <w:t>+1.2%</w:t>
            </w:r>
          </w:p>
        </w:tc>
      </w:tr>
      <w:tr>
        <w:tc>
          <w:tcPr>
            <w:tcW w:type="dxa" w:w="1440"/>
            <w:shd w:fill="FAFAFA" w:val="clear"/>
          </w:tcPr>
          <w:p>
            <w:r>
              <w:rPr>
                <w:sz w:val="17"/>
              </w:rPr>
              <w:t>J+10  Moyenne</w:t>
            </w:r>
          </w:p>
        </w:tc>
        <w:tc>
          <w:tcPr>
            <w:tcW w:type="dxa" w:w="1440"/>
            <w:shd w:fill="FAFAFA" w:val="clear"/>
          </w:tcPr>
          <w:p>
            <w:r>
              <w:rPr>
                <w:sz w:val="17"/>
              </w:rPr>
              <w:t>2026-10-27</w:t>
            </w:r>
          </w:p>
        </w:tc>
        <w:tc>
          <w:tcPr>
            <w:tcW w:type="dxa" w:w="1440"/>
            <w:shd w:fill="FAFAFA" w:val="clear"/>
          </w:tcPr>
          <w:p>
            <w:r>
              <w:rPr>
                <w:sz w:val="17"/>
              </w:rPr>
              <w:t>10,499</w:t>
            </w:r>
          </w:p>
        </w:tc>
        <w:tc>
          <w:tcPr>
            <w:tcW w:type="dxa" w:w="1440"/>
            <w:shd w:fill="FAFAFA" w:val="clear"/>
          </w:tcPr>
          <w:p>
            <w:r>
              <w:rPr>
                <w:b/>
                <w:sz w:val="17"/>
              </w:rPr>
              <w:t>11,541</w:t>
            </w:r>
          </w:p>
        </w:tc>
        <w:tc>
          <w:tcPr>
            <w:tcW w:type="dxa" w:w="1440"/>
            <w:shd w:fill="FAFAFA" w:val="clear"/>
          </w:tcPr>
          <w:p>
            <w:r>
              <w:rPr>
                <w:sz w:val="17"/>
              </w:rPr>
              <w:t>12,583</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(BOA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455,80 milliards FCFA, BOAC s'impose comme l'une des principales capitalisations bancaires de la BRVM, ce qui témoigne de sa liquidité relative et de son poids dans l'indice sectoriel. Le BPA de 888 FCFA/action signifie que chaque titre génère près de 888 FCFA de bénéfice net, un niveau élevé qui reflète la forte rentabilité de la banque. Le PER de 12,8x se situe légèrement au-dessus de la moyenne BRVM (~8-12x), suggérant que le marché intègre déjà une prime de qualité, sans pour autant basculer dans une surévaluation manifeste. Le P/B de 3,58x indique que le marché valorise la banque à plus de trois fois sa valeur comptable, une prime de croissance justifiée par un ROE exceptionnel de 27,9%. En revanche, l'EV/EBITDA de 26,4x apparaît très exigeant (&gt;15x), signalant que la valeur d'entreprise intègre des anticipations de croissance opérationnelle fortes, ce qui laisse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BOAC affiche une progression remarquable de +29,49%, malgré un léger repli de -0,70% lors de la dernière séance, traduisant une consolidation après un fort rallye. Le cours actuel de 11 395 FCFA se situe dans la partie médiane du range de trading, entre un plus bas de 8 800 FCFA et un plus haut de 13 450 FCFA, soit une amplitude de plus de 52% qui illustre la vigueur du mouvement haussier. La tendance générale demeure donc haussière sur la période, portée par des fondamentaux solides et un intérêt croissant des investisseurs pour le secteur bancaire ivoirien. Les statistiques descriptives révèlent une moyenne de 10 717 FCFA légèrement inférieure à la médiane de 10 855 FCFA, suggérant une distribution quasi symétrique avec une légère prédominance des cours élevés en fin de période. L'écart-type de 1 495 FCFA (CV = 14,0%) indique une dispersion modérée du cours autour de sa moyenne, cohérente avec un titre en tendance. Le kurtosis de -1,454 (distribution platykurtique) signale une faible concentration des rendements et un risque de pics extrêmes limité, tandis que le skewness de 0,131 confirme une distribution quasi symétrique sans biais marqué. La volatilité annualisée de 28,0% place BOAC dans la catégorie des titres à volatilité modérée (15-30%), ce qui reste acceptable pour une action bancaire de premier plan.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(11 522,75 FCFA) et la MM50 (12 063,20 FCFA) se situent toutes deux au-dessus du cours actuel (11 395 FCFA), avec une MM20 inférieure à la MM50, configuration baissière classique. Le cours évolue sous ses deux moyennes, ce qui justifie la décision technique de **Vente** émise par le système, bien que l'écart reste modéré.</w:t>
      </w:r>
    </w:p>
    <w:p>
      <w:pPr>
        <w:spacing w:after="120" w:line="276" w:lineRule="auto"/>
      </w:pPr>
      <w:r>
        <w:t>**Bandes de Bollinger** : Le cours (11 395 FCFA) se situe dans la moitié inférieure de la bande, entre la borne inférieure (10 874,33 FCFA) et la borne supérieure (12 171,17 FCFA), sans contact avec les extrêmes. Cette position centrale traduit une absence de signal directionnel fort, justifiant la décision **Neutre**, avec une volatilité qui tend à se contracter.</w:t>
      </w:r>
    </w:p>
    <w:p>
      <w:pPr>
        <w:spacing w:after="120" w:line="276" w:lineRule="auto"/>
      </w:pPr>
      <w:r>
        <w:t>**MACD** : La valeur du MACD (-182,137) est légèrement inférieure à son signal (-181,033), avec un histogramme négatif de -1,104, confirmant un momentum baissier faible mais persistant. La divergence négative entre MACD et signal justifie la décision de **Vente**, bien que l'écart très réduit suggère un essoufflement de la pression vendeuse.</w:t>
      </w:r>
    </w:p>
    <w:p>
      <w:pPr>
        <w:spacing w:after="120" w:line="276" w:lineRule="auto"/>
      </w:pPr>
      <w:r>
        <w:t>**RSI** : À 49,886, le RSI se situe exactement dans la zone neutre (30-70), sans signal de surachat (&gt;70) ni de survente (&lt;30). Cette position médiane indique un équilibre entre acheteurs et vendeurs, justifiant la décision **Neutre** et l'absence de signal contrarien exploitable.</w:t>
      </w:r>
    </w:p>
    <w:p>
      <w:pPr>
        <w:spacing w:after="120" w:line="276" w:lineRule="auto"/>
      </w:pPr>
      <w:r>
        <w:t>**Stochastique** : Le %K (74,375) et le %D (73,542) évoluent en zone haute, proches du seuil de surachat (80), avec un %K légèrement supérieur au %D, signalant une dynamique haussière de court terme. Toutefois, l'absence de croisement baissier confirmé et la proximité du seuil de surachat justifient une décision **Neutre** prudente.</w:t>
      </w:r>
    </w:p>
    <w:p>
      <w:pPr>
        <w:spacing w:after="120" w:line="276" w:lineRule="auto"/>
      </w:pPr>
      <w:r>
        <w:t>**Conclusion technique** : Les indicateurs techniques présentent un tableau mitigé, avec une majorité de signaux neutres (Bollinger, RSI, Stochastique) et deux signaux baissiers (MM, MACD). Le cours évolue sous ses moyennes mobiles, mais le RSI neutre et la position centrale dans les bandes de Bollinger suggèrent une phase de consolidation plutôt qu'une tendance baissière affirmée. La convergence des signaux vers la neutralité plaide pour une attente avant tout engagement directionnel.</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BOAC affiche un Produit Net Bancaire (PNB) de 73 545 millions FCFA, en hausse de +1,1% par rapport à 2024 (72 724 millions), une croissance modeste mais positive dans un environnement de compression des marges. Le résultat net s'établit à 35 540 millions FCFA, en progression de +10,9% sur un an, porté par une amélioration notable du coût du risque (-27,8%, à -4 902 millions FCFA) et une bonne maîtrise des charges. La rentabilité reste exceptionnelle avec un ROE de 27,91% (largement supérieur au seuil de 15% considéré comme excellent) et un ROA de 3,22%, confirmant l'efficacité de la banque dans l'utilisation de ses actifs. Le coefficient d'exploitation de 36,70% place BOAC parmi les banques les plus efficaces du secteur (seuil d'excellence &lt;50%), tandis que le ratio dépôts/crédits (850 548 / 430 433 = 1,98x) témoigne d'une surliquidité structurelle, la banque collectant près de deux fois plus de dépôts qu'elle n'accorde de crédits. Le coût du risque de 6,67% (provisions / charges financières) reste contenu, bien que la hausse de +52,1% des créances en souffrance en 2025 constitue un point de vigilance à surveiller. Sur la base du rapport T1 2026 (publié le 31 mars 2026), le PNB trimestriel s'élève à 18 960 millions FCFA (+3,09% sur un an) et le résultat net à 10 801 millions FCFA (+0,91%), mais le coût net du risque bondit de +314,75% (-652 vs -157 millions FCFA), une dégradation marquée qui pourrait peser sur les trimestres suivants si elle se confirme. Le rapport d'examen limité des commissaires aux comptes au 30 juin 2026 (émis le 30 septembre 2026) confirme l'absence d'anomalie significative dans les états financiers semestriels, renforçant la crédibilité de la gouvernance. La structure financière demeure solide avec une autonomie financière de 11,54% (inférieure au seuil de 30% mais normale pour une banque) et une solvabilité générale de 113,05% (&gt;1 = solvable). La recommandation fondamentale est **CONSERVER**, avec un biais positif : la rentabilité et l'efficacité opérationnelle sont excellentes, mais la dégradation du coût du risque au T1 2026 et la hausse des créances en souffrance en 2025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(Partie 0) apparaît raisonnable mais non décotée : le PER de 12,8x est légèrement supérieur à la moyenne BRVM, le P/B de 3,58x intègre une prime de croissance justifiée par le ROE de 27,9%, mais l'EV/EBITDA de 26,4x laisse peu de marge d'erreur. Le comportement du cours (Partie 1) est haussier sur 100 jours (+29,49%), avec une volatilité modérée (28%) et une distribution symétrique (skewness 0,131) sans risque de pics extrêmes (kurtosis -1,454), ce qui est favorable pour un investisseur cherchant une tendance stable. Les signaux techniques (Partie 2) sont mitigés : deux signaux baissiers (MM, MACD) et trois neutres (Bollinger, RSI, Stochastique), suggérant une consolidation plutôt qu'un retournement. Les fondamentaux (Partie 3) restent solides (ROE 27,9%, coefficient d'exploitation 36,7%, résultat net +10,9% en 2025), mais la dégradation du coût du risque au T1 2026 (+314,75%) et la hausse des créances en souffrance (+52,1% en 2025) constituent des risques à surveiller. Les prédictions IA (J+1 à J+10) anticipent une légère reprise vers 11 487 FCFA (+0,8% sur 10 jours), ce qui contredit partiellement les signaux techniques baissiers et suggère une stabilisation à court terme. Sur la base de cette synthèse, la recommandation finale est **CONSERVER**, avec un niveau de confiance **Moyen** et un risque global **Moyen**. L'horizon d'investissement optimal est le **moyen terme (3-12 mois)**, le temps que la banque démontre sa capacité à maîtriser la dégradation du coût du risque et à confirmer la reprise de la croissance du PNB amorcée au T1 2026. Un passage à l'achat serait justifié si le cours revenait vers 10 800-11 000 FCFA (borne inférieure des Bollinger) avec une confirmation de l'amélioration du coût du risque au T2 2026.</w:t>
      </w:r>
    </w:p>
    <w:p>
      <w:pPr>
        <w:spacing w:after="120" w:line="276" w:lineRule="auto"/>
      </w:pPr>
      <w:r>
        <w:t>---</w:t>
      </w:r>
    </w:p>
    <w:p>
      <w:pPr>
        <w:spacing w:after="120" w:line="276" w:lineRule="auto"/>
      </w:pPr>
      <w:r>
        <w:t>**Avertissement** : Ce rapport est fourni à titre informatif et ne constitue pas un conseil en investissement. Les investisseurs doivent effectuer leurs propres recherches et consulter un conseiller financier avant toute décision.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6,910 titres</w:t>
            </w:r>
          </w:p>
        </w:tc>
        <w:tc>
          <w:tcPr>
            <w:tcW w:type="dxa" w:w="2268"/>
            <w:shd w:fill="FFF2CC" w:val="clear"/>
          </w:tcPr>
          <w:p>
            <w:r>
              <w:rPr>
                <w:b/>
                <w:color w:val="503200"/>
                <w:sz w:val="16"/>
              </w:rPr>
              <w:t xml:space="preserve">Cours actuel : </w:t>
            </w:r>
            <w:r>
              <w:rPr>
                <w:color w:val="000000"/>
                <w:sz w:val="17"/>
              </w:rPr>
              <w:t>6,100 FCFA</w:t>
            </w:r>
          </w:p>
          <w:p>
            <w:r>
              <w:rPr>
                <w:b/>
                <w:color w:val="503200"/>
                <w:sz w:val="16"/>
              </w:rPr>
              <w:t xml:space="preserve">Var. 100 jours : </w:t>
            </w:r>
            <w:r>
              <w:rPr>
                <w:b/>
                <w:color w:val="007800"/>
                <w:sz w:val="17"/>
              </w:rPr>
              <w:t>+24.49%</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13.21% (Moyenne) — μ=5,685 FCFA, σ=751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β=1.3419 (Agressif) — Cov=0.000099, Var(idx)=0.000074, ρ=0.422,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6,910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169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5,703</w:t>
            </w:r>
          </w:p>
        </w:tc>
        <w:tc>
          <w:tcPr>
            <w:tcW w:type="dxa" w:w="1440"/>
            <w:shd w:fill="FAFAFA" w:val="clear"/>
          </w:tcPr>
          <w:p>
            <w:r>
              <w:rPr>
                <w:b/>
                <w:sz w:val="17"/>
              </w:rPr>
              <w:t>6,039</w:t>
            </w:r>
          </w:p>
        </w:tc>
        <w:tc>
          <w:tcPr>
            <w:tcW w:type="dxa" w:w="1440"/>
            <w:shd w:fill="FAFAFA" w:val="clear"/>
          </w:tcPr>
          <w:p>
            <w:r>
              <w:rPr>
                <w:sz w:val="17"/>
              </w:rPr>
              <w:t>6,375</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2026-10-15</w:t>
            </w:r>
          </w:p>
        </w:tc>
        <w:tc>
          <w:tcPr>
            <w:tcW w:type="dxa" w:w="1440"/>
            <w:shd w:fill="FFDCE0" w:val="clear"/>
          </w:tcPr>
          <w:p>
            <w:r>
              <w:rPr>
                <w:sz w:val="17"/>
              </w:rPr>
              <w:t>5,491</w:t>
            </w:r>
          </w:p>
        </w:tc>
        <w:tc>
          <w:tcPr>
            <w:tcW w:type="dxa" w:w="1440"/>
            <w:shd w:fill="FFDCE0" w:val="clear"/>
          </w:tcPr>
          <w:p>
            <w:r>
              <w:rPr>
                <w:b/>
                <w:sz w:val="17"/>
              </w:rPr>
              <w:t>5,960</w:t>
            </w:r>
          </w:p>
        </w:tc>
        <w:tc>
          <w:tcPr>
            <w:tcW w:type="dxa" w:w="1440"/>
            <w:shd w:fill="FFDCE0" w:val="clear"/>
          </w:tcPr>
          <w:p>
            <w:r>
              <w:rPr>
                <w:sz w:val="17"/>
              </w:rPr>
              <w:t>6,428</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2026-10-16</w:t>
            </w:r>
          </w:p>
        </w:tc>
        <w:tc>
          <w:tcPr>
            <w:tcW w:type="dxa" w:w="1440"/>
            <w:shd w:fill="FFDCE0" w:val="clear"/>
          </w:tcPr>
          <w:p>
            <w:r>
              <w:rPr>
                <w:sz w:val="17"/>
              </w:rPr>
              <w:t>5,317</w:t>
            </w:r>
          </w:p>
        </w:tc>
        <w:tc>
          <w:tcPr>
            <w:tcW w:type="dxa" w:w="1440"/>
            <w:shd w:fill="FFDCE0" w:val="clear"/>
          </w:tcPr>
          <w:p>
            <w:r>
              <w:rPr>
                <w:b/>
                <w:sz w:val="17"/>
              </w:rPr>
              <w:t>5,884</w:t>
            </w:r>
          </w:p>
        </w:tc>
        <w:tc>
          <w:tcPr>
            <w:tcW w:type="dxa" w:w="1440"/>
            <w:shd w:fill="FFDCE0" w:val="clear"/>
          </w:tcPr>
          <w:p>
            <w:r>
              <w:rPr>
                <w:sz w:val="17"/>
              </w:rPr>
              <w:t>6,451</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2026-10-19</w:t>
            </w:r>
          </w:p>
        </w:tc>
        <w:tc>
          <w:tcPr>
            <w:tcW w:type="dxa" w:w="1440"/>
            <w:shd w:fill="FFDCE0" w:val="clear"/>
          </w:tcPr>
          <w:p>
            <w:r>
              <w:rPr>
                <w:sz w:val="17"/>
              </w:rPr>
              <w:t>5,170</w:t>
            </w:r>
          </w:p>
        </w:tc>
        <w:tc>
          <w:tcPr>
            <w:tcW w:type="dxa" w:w="1440"/>
            <w:shd w:fill="FFDCE0" w:val="clear"/>
          </w:tcPr>
          <w:p>
            <w:r>
              <w:rPr>
                <w:b/>
                <w:sz w:val="17"/>
              </w:rPr>
              <w:t>5,817</w:t>
            </w:r>
          </w:p>
        </w:tc>
        <w:tc>
          <w:tcPr>
            <w:tcW w:type="dxa" w:w="1440"/>
            <w:shd w:fill="FFDCE0" w:val="clear"/>
          </w:tcPr>
          <w:p>
            <w:r>
              <w:rPr>
                <w:sz w:val="17"/>
              </w:rPr>
              <w:t>6,464</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2026-10-20</w:t>
            </w:r>
          </w:p>
        </w:tc>
        <w:tc>
          <w:tcPr>
            <w:tcW w:type="dxa" w:w="1440"/>
            <w:shd w:fill="FFDCE0" w:val="clear"/>
          </w:tcPr>
          <w:p>
            <w:r>
              <w:rPr>
                <w:sz w:val="17"/>
              </w:rPr>
              <w:t>5,041</w:t>
            </w:r>
          </w:p>
        </w:tc>
        <w:tc>
          <w:tcPr>
            <w:tcW w:type="dxa" w:w="1440"/>
            <w:shd w:fill="FFDCE0" w:val="clear"/>
          </w:tcPr>
          <w:p>
            <w:r>
              <w:rPr>
                <w:b/>
                <w:sz w:val="17"/>
              </w:rPr>
              <w:t>5,757</w:t>
            </w:r>
          </w:p>
        </w:tc>
        <w:tc>
          <w:tcPr>
            <w:tcW w:type="dxa" w:w="1440"/>
            <w:shd w:fill="FFDCE0" w:val="clear"/>
          </w:tcPr>
          <w:p>
            <w:r>
              <w:rPr>
                <w:sz w:val="17"/>
              </w:rPr>
              <w:t>6,473</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2026-10-21</w:t>
            </w:r>
          </w:p>
        </w:tc>
        <w:tc>
          <w:tcPr>
            <w:tcW w:type="dxa" w:w="1440"/>
            <w:shd w:fill="FFDCE0" w:val="clear"/>
          </w:tcPr>
          <w:p>
            <w:r>
              <w:rPr>
                <w:sz w:val="17"/>
              </w:rPr>
              <w:t>4,925</w:t>
            </w:r>
          </w:p>
        </w:tc>
        <w:tc>
          <w:tcPr>
            <w:tcW w:type="dxa" w:w="1440"/>
            <w:shd w:fill="FFDCE0" w:val="clear"/>
          </w:tcPr>
          <w:p>
            <w:r>
              <w:rPr>
                <w:b/>
                <w:sz w:val="17"/>
              </w:rPr>
              <w:t>5,702</w:t>
            </w:r>
          </w:p>
        </w:tc>
        <w:tc>
          <w:tcPr>
            <w:tcW w:type="dxa" w:w="1440"/>
            <w:shd w:fill="FFDCE0" w:val="clear"/>
          </w:tcPr>
          <w:p>
            <w:r>
              <w:rPr>
                <w:sz w:val="17"/>
              </w:rPr>
              <w:t>6,478</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4,819</w:t>
            </w:r>
          </w:p>
        </w:tc>
        <w:tc>
          <w:tcPr>
            <w:tcW w:type="dxa" w:w="1440"/>
            <w:shd w:fill="FFDCE0" w:val="clear"/>
          </w:tcPr>
          <w:p>
            <w:r>
              <w:rPr>
                <w:b/>
                <w:sz w:val="17"/>
              </w:rPr>
              <w:t>5,650</w:t>
            </w:r>
          </w:p>
        </w:tc>
        <w:tc>
          <w:tcPr>
            <w:tcW w:type="dxa" w:w="1440"/>
            <w:shd w:fill="FFDCE0" w:val="clear"/>
          </w:tcPr>
          <w:p>
            <w:r>
              <w:rPr>
                <w:sz w:val="17"/>
              </w:rPr>
              <w:t>6,481</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4,720</w:t>
            </w:r>
          </w:p>
        </w:tc>
        <w:tc>
          <w:tcPr>
            <w:tcW w:type="dxa" w:w="1440"/>
            <w:shd w:fill="FFDCE0" w:val="clear"/>
          </w:tcPr>
          <w:p>
            <w:r>
              <w:rPr>
                <w:b/>
                <w:sz w:val="17"/>
              </w:rPr>
              <w:t>5,601</w:t>
            </w:r>
          </w:p>
        </w:tc>
        <w:tc>
          <w:tcPr>
            <w:tcW w:type="dxa" w:w="1440"/>
            <w:shd w:fill="FFDCE0" w:val="clear"/>
          </w:tcPr>
          <w:p>
            <w:r>
              <w:rPr>
                <w:sz w:val="17"/>
              </w:rPr>
              <w:t>6,482</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4,628</w:t>
            </w:r>
          </w:p>
        </w:tc>
        <w:tc>
          <w:tcPr>
            <w:tcW w:type="dxa" w:w="1440"/>
            <w:shd w:fill="FFDCE0" w:val="clear"/>
          </w:tcPr>
          <w:p>
            <w:r>
              <w:rPr>
                <w:b/>
                <w:sz w:val="17"/>
              </w:rPr>
              <w:t>5,554</w:t>
            </w:r>
          </w:p>
        </w:tc>
        <w:tc>
          <w:tcPr>
            <w:tcW w:type="dxa" w:w="1440"/>
            <w:shd w:fill="FFDCE0" w:val="clear"/>
          </w:tcPr>
          <w:p>
            <w:r>
              <w:rPr>
                <w:sz w:val="17"/>
              </w:rPr>
              <w:t>6,481</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4,541</w:t>
            </w:r>
          </w:p>
        </w:tc>
        <w:tc>
          <w:tcPr>
            <w:tcW w:type="dxa" w:w="1440"/>
            <w:shd w:fill="FFDCE0" w:val="clear"/>
          </w:tcPr>
          <w:p>
            <w:r>
              <w:rPr>
                <w:b/>
                <w:sz w:val="17"/>
              </w:rPr>
              <w:t>5,510</w:t>
            </w:r>
          </w:p>
        </w:tc>
        <w:tc>
          <w:tcPr>
            <w:tcW w:type="dxa" w:w="1440"/>
            <w:shd w:fill="FFDCE0" w:val="clear"/>
          </w:tcPr>
          <w:p>
            <w:r>
              <w:rPr>
                <w:sz w:val="17"/>
              </w:rPr>
              <w:t>6,479</w:t>
            </w:r>
          </w:p>
        </w:tc>
        <w:tc>
          <w:tcPr>
            <w:tcW w:type="dxa" w:w="1440"/>
            <w:shd w:fill="FFDCE0" w:val="clear"/>
          </w:tcPr>
          <w:p>
            <w:r>
              <w:rPr>
                <w:b/>
                <w:color w:val="C00000"/>
                <w:sz w:val="17"/>
              </w:rPr>
              <w:t>-9.7%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167,44 milliards FCFA, BOA Mali se positionne comme une valeur de premier plan du compartiment bancaire de la BRVM, reflétant la solidité de son bilan de 593,455 milliards FCFA. Le BPA de 404 FCFA par action signifie que chaque titre génère près de 404 FCFA de bénéfice net, ce qui, rapporté au cours actuel de 6 100 FCFA, donne un PER de 15,1x — un niveau modéré mais supérieur à la moyenne du marché BRVM (8-12x), traduisant une prime de qualité consentie par les investisseurs. Le P/B de 3,36x indique que le marché valorise la banque à plus de trois fois sa valeur comptable (capitaux propres de 49,820 milliards FCFA), une prime de croissance justifiée par un ROE de 22,24%. Enfin, l'EV/EBITDA de 7,8x situe la valeur d'entreprise dans une fourchette raisonnable (5-10x), suggérant que la capacité opérationnelle de la banque est correctement valorisée par le marché, sans exubérance excessive.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remarquable de +24,49%, clôturant à 6 100 FCFA, avec une stabilité parfaite lors de la dernière séance (variation J-1 de 0,00%). Le titre a évolué dans un range significatif de 4 425 FCFA (plus bas) à 7 195 FCFA (plus haut), soit une amplitude de 62,6%, témoignant d'une dynamique haussière soutenue mais ponctuée de corrections. La moyenne (5 685 FCFA) et la médiane (5 670 FCFA) sont quasi confondues, confirmant une distribution symétrique du cours (skewness de 0,075), tandis que le mode à 4 630 FCFA suggère que le prix a longtemps stagné autour de ce niveau avant de s'envoler. L'écart-type de 755 FCFA (CV de 13,3%) indique une dispersion modérée autour de la moyenne, et le kurtosis de -0,963 (mésokurtique) signale une distribution proche de la normale, sans risque excessif de pics extrêmes. Avec une volatilité annualisée de 43,0%, le titre se classe dans la catégorie des valeurs à volatilité élevée (&gt;30%), ce qui implique un potentiel de gain attractif mais aussi un risque de correction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(6 225,5 FCFA) et la MM50 (6 295,3 FCFA) se situent toutes deux au-dessus du cours actuel (6 100 FCFA), confirmant une pression baissière à court et moyen terme. Le croisement baissier de la MM20 sous la MM50 (death cross) justifie la décision technique de **Vente**, le titre évoluant sous ses moyennes mobiles, ce qui constitue un signal de faiblesse.</w:t>
      </w:r>
    </w:p>
    <w:p>
      <w:pPr>
        <w:spacing w:after="120" w:line="276" w:lineRule="auto"/>
      </w:pPr>
      <w:r>
        <w:t>**Bandes de Bollinger** : Le cours actuel (6 100 FCFA) se situe dans la partie médiane des bandes, entre la borne inférieure (5 448,73 FCFA) et la borne supérieure (7 002,27 FCFA), avec une décision **Neutre**. L'absence de contact avec les bornes indique une volatilité modérée et un marché sans direction claire, le titre évoluant dans un canal relativement large.</w:t>
      </w:r>
    </w:p>
    <w:p>
      <w:pPr>
        <w:spacing w:after="120" w:line="276" w:lineRule="auto"/>
      </w:pPr>
      <w:r>
        <w:t>**MACD** : La valeur du MACD (-89,178) est inférieure à son signal (-75,4), confirmant un momentum baissier. La divergence négative entre le MACD et son signal justifie la décision de **Vente**, le marché n'ayant pas encore amorcé de retournement haussier malgré la progression récente du cours.</w:t>
      </w:r>
    </w:p>
    <w:p>
      <w:pPr>
        <w:spacing w:after="120" w:line="276" w:lineRule="auto"/>
      </w:pPr>
      <w:r>
        <w:t>**RSI** : À 55,367, le RSI se situe en zone neutre (30-70), sans signal de surachat (&gt;70) ni de survente (&lt;30). La décision **Neutre** reflète un équilibre entre acheteurs et vendeurs, le titre ne présentant pas de tension excessive à la hausse ou à la baisse.</w:t>
      </w:r>
    </w:p>
    <w:p>
      <w:pPr>
        <w:spacing w:after="120" w:line="276" w:lineRule="auto"/>
      </w:pPr>
      <w:r>
        <w:t>**Stochastique** : Le %K et le %D sont identiques à 76,829, indiquant une position élevée dans la zone de surachat (&gt;80), mais sans croisement baissier confirmé. La décision **Neutre** suggère une prudence, le titre pouvant amorcer une correction si le %K venait à croiser le %D à la baisse.</w:t>
      </w:r>
    </w:p>
    <w:p>
      <w:pPr>
        <w:spacing w:after="120" w:line="276" w:lineRule="auto"/>
      </w:pPr>
      <w:r>
        <w:t>**Conclusion technique** : Les indicateurs techniques sont majoritairement baissiers (MM et MACD en Vente), avec un RSI et un Stochastique neutres mais proches de zones de surachat. Le titre évolue sous ses moyennes mobiles, ce qui limite le potentiel de rebond à court terme. Une cassure sous la borne inférieure des Bandes de Bollinger (5 448 FCFA) pourrait accélérer la baisse, tandis qu'une reprise au-dessus de la MM20 (6 225 FCFA) serait nécessaire pour inverser la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 Mali affiche un Produit Net Bancaire (PNB) de 37,996 milliards FCFA, en croissance de 5,08% par rapport à 2024, et un résultat net de 11,081 milliards FCFA, en forte hausse. Le ROE s'établit à 22,24% (excellent, &gt;15%) et le ROA à 1,87%, confirmant une rentabilité solide. Le coefficient d'exploitation de 63,14% reste supérieur au seuil de 60% (banque efficace), indiquant une marge d'amélioration sur la maîtrise des charges. Le coût du risque, mesuré à 43,39% des charges financières, demeure élevé, signalant un risque de crédit significatif, bien que les provisions (4,590 milliards FCFA) soient en baisse par rapport aux exercices précédents. La structure financière montre une autonomie financière faible (8,40%) et une dépendance aux dépôts clientèle (502,890 milliards FCFA) pour financer les créances (253,648 milliards FCFA), avec un ratio de transformation de 50,4%.</w:t>
      </w:r>
    </w:p>
    <w:p>
      <w:pPr>
        <w:spacing w:after="120" w:line="276" w:lineRule="auto"/>
      </w:pPr>
      <w:r>
        <w:t>**Estimations basées sur les rapports trimestriels** : Le rapport du T1 2026 (publié le 31/03/2026) indique un PNB de 10,322 milliards FCFA, en hausse de +22,97% sur un an, et le rapport du S1 2026 (publié le 30/06/2026) fait état d'un PNB de 21,987 milliards FCFA, en progression de +17,5%. Sur cette base, on estime que l'exercice 2026 devrait enregistrer un PNB annuel compris entre 42 et 44 milliards FCFA, soit une croissance de 10-15% par rapport à 2025, portée par la dynamique commerciale et l'amélioration du coût du risque. Le rapport du T3 2025 (30/09/2025) confirme cette tendance avec un PNB cumulé de 28,52 milliards FCFA (+5,8%) et un résultat net de 9,16 milliards FCFA (+26,2%), tandis que le rapport annuel 2024 (31/12/2024) souligne une progression du résultat net de +57,89% à 9,12 milliards FCFA, tirée par la maîtrise des charges et les plus-values exceptionnelles.</w:t>
      </w:r>
    </w:p>
    <w:p>
      <w:pPr>
        <w:spacing w:after="120" w:line="276" w:lineRule="auto"/>
      </w:pPr>
      <w:r>
        <w:t>**Recommandation fondamentale** : BOA Mali présente des fondamentaux solides, avec une rentabilité élevée (ROE &gt;22%), une croissance du PNB à deux chiffres en 2026, et une amélioration continue du coût du risque. Cependant, la faible autonomie financière (8,40%) et la dépendance aux dépôts clientèle constituent des risques structurels, tout comme l'exposition au contexte macroéconomique et sécuritaire malien. La valorisation (PER de 15,1x) intègre déjà une prime de qualité, limitant le potentiel de revalorisation à court terme. **Recommandation fondamentale : CONSERVER**, avec un biais positif à moyen terme si la croissance du PNB se confirme et que le coût du risque poursuit sa baisse.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 Mali (PER de 15,1x, P/B de 3,36x, EV/EBITDA de 7,8x) indique une juste valorisation, voire une légère surévaluation par rapport à la moyenne du marché BRVM (PER 8-12x), ce qui limite le potentiel de hausse à court terme. Le comportement du cours sur 100 jours (+24,49%) est haussier, mais la volatilité élevée (43,0%) et la distribution symétrique (skewness de 0,075, kurtosis de -0,963) suggèrent un risque de correction modéré. Les signaux techniques sont majoritairement baissiers (MM et MACD en Vente), avec un RSI et un Stochastique neutres mais proches de zones de surachat, ce qui plaide pour une consolidation à court terme. Les fondamentaux restent solides (ROE de 22,24%, PNB en croissance de +17,5% au S1 2026), mais la faible autonomie financière et le coût du risque élevé (43,39%) constituent des vulnérabilités. Les prédictions IA anticipent une baisse progressive du cours de 6 039 FCFA (J+1) à 5 757 FCFA (J+10), confirmant la pression baissière technique et la possibilité d'une correction. **Recommandation finale : CONSERVER**, avec un niveau de confiance **Moyen** et un risque global **Élevé** (volatilité de 43%, exposition au contexte malien). L'horizon d'investissement optimal est le **moyen terme (3-12 mois)**, en attendant une confirmation de la croissance du PNB et une amélioration du coefficient d'exploitation (&lt;60%) pour envisager un passage à l'achat.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8,958 titres</w:t>
            </w:r>
          </w:p>
        </w:tc>
        <w:tc>
          <w:tcPr>
            <w:tcW w:type="dxa" w:w="2268"/>
            <w:shd w:fill="FFF2CC" w:val="clear"/>
          </w:tcPr>
          <w:p>
            <w:r>
              <w:rPr>
                <w:b/>
                <w:color w:val="503200"/>
                <w:sz w:val="16"/>
              </w:rPr>
              <w:t xml:space="preserve">Cours actuel : </w:t>
            </w:r>
            <w:r>
              <w:rPr>
                <w:color w:val="000000"/>
                <w:sz w:val="17"/>
              </w:rPr>
              <w:t>4,645 FCFA</w:t>
            </w:r>
          </w:p>
          <w:p>
            <w:r>
              <w:rPr>
                <w:b/>
                <w:color w:val="503200"/>
                <w:sz w:val="16"/>
              </w:rPr>
              <w:t xml:space="preserve">Var. 100 jours : </w:t>
            </w:r>
            <w:r>
              <w:rPr>
                <w:b/>
                <w:color w:val="007800"/>
                <w:sz w:val="17"/>
              </w:rPr>
              <w:t>+25.88%</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3,690 FCFA</w:t>
            </w:r>
          </w:p>
          <w:p>
            <w:r>
              <w:rPr>
                <w:b/>
                <w:color w:val="503200"/>
                <w:sz w:val="16"/>
              </w:rPr>
              <w:t xml:space="preserve">Volatilité ann. : </w:t>
            </w:r>
            <w:r>
              <w:rPr>
                <w:color w:val="000000"/>
                <w:sz w:val="17"/>
              </w:rPr>
              <w:t>42.8%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14.13% (Moyenne) — μ=4,745 FCFA, σ=670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β=1.3487 (Agressif) — Cov=0.000100, Var(idx)=0.000074, ρ=0.445,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8,958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4,380</w:t>
            </w:r>
          </w:p>
        </w:tc>
        <w:tc>
          <w:tcPr>
            <w:tcW w:type="dxa" w:w="1440"/>
            <w:shd w:fill="FAFAFA" w:val="clear"/>
          </w:tcPr>
          <w:p>
            <w:r>
              <w:rPr>
                <w:b/>
                <w:sz w:val="17"/>
              </w:rPr>
              <w:t>4,646</w:t>
            </w:r>
          </w:p>
        </w:tc>
        <w:tc>
          <w:tcPr>
            <w:tcW w:type="dxa" w:w="1440"/>
            <w:shd w:fill="FAFAFA" w:val="clear"/>
          </w:tcPr>
          <w:p>
            <w:r>
              <w:rPr>
                <w:sz w:val="17"/>
              </w:rPr>
              <w:t>4,913</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4,284</w:t>
            </w:r>
          </w:p>
        </w:tc>
        <w:tc>
          <w:tcPr>
            <w:tcW w:type="dxa" w:w="1440"/>
            <w:shd w:fill="FAFAFA" w:val="clear"/>
          </w:tcPr>
          <w:p>
            <w:r>
              <w:rPr>
                <w:b/>
                <w:sz w:val="17"/>
              </w:rPr>
              <w:t>4,662</w:t>
            </w:r>
          </w:p>
        </w:tc>
        <w:tc>
          <w:tcPr>
            <w:tcW w:type="dxa" w:w="1440"/>
            <w:shd w:fill="FAFAFA" w:val="clear"/>
          </w:tcPr>
          <w:p>
            <w:r>
              <w:rPr>
                <w:sz w:val="17"/>
              </w:rPr>
              <w:t>5,041</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4,221</w:t>
            </w:r>
          </w:p>
        </w:tc>
        <w:tc>
          <w:tcPr>
            <w:tcW w:type="dxa" w:w="1440"/>
            <w:shd w:fill="FAFAFA" w:val="clear"/>
          </w:tcPr>
          <w:p>
            <w:r>
              <w:rPr>
                <w:b/>
                <w:sz w:val="17"/>
              </w:rPr>
              <w:t>4,686</w:t>
            </w:r>
          </w:p>
        </w:tc>
        <w:tc>
          <w:tcPr>
            <w:tcW w:type="dxa" w:w="1440"/>
            <w:shd w:fill="FAFAFA" w:val="clear"/>
          </w:tcPr>
          <w:p>
            <w:r>
              <w:rPr>
                <w:sz w:val="17"/>
              </w:rPr>
              <w:t>5,152</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4,170</w:t>
            </w:r>
          </w:p>
        </w:tc>
        <w:tc>
          <w:tcPr>
            <w:tcW w:type="dxa" w:w="1440"/>
            <w:shd w:fill="FAFAFA" w:val="clear"/>
          </w:tcPr>
          <w:p>
            <w:r>
              <w:rPr>
                <w:b/>
                <w:sz w:val="17"/>
              </w:rPr>
              <w:t>4,710</w:t>
            </w:r>
          </w:p>
        </w:tc>
        <w:tc>
          <w:tcPr>
            <w:tcW w:type="dxa" w:w="1440"/>
            <w:shd w:fill="FAFAFA" w:val="clear"/>
          </w:tcPr>
          <w:p>
            <w:r>
              <w:rPr>
                <w:sz w:val="17"/>
              </w:rPr>
              <w:t>5,251</w:t>
            </w:r>
          </w:p>
        </w:tc>
        <w:tc>
          <w:tcPr>
            <w:tcW w:type="dxa" w:w="1440"/>
            <w:shd w:fill="FAFAFA" w:val="clear"/>
          </w:tcPr>
          <w:p>
            <w:r>
              <w:rPr>
                <w:b/>
                <w:color w:val="008000"/>
                <w:sz w:val="17"/>
              </w:rPr>
              <w:t>+1.4%</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4,127</w:t>
            </w:r>
          </w:p>
        </w:tc>
        <w:tc>
          <w:tcPr>
            <w:tcW w:type="dxa" w:w="1440"/>
            <w:shd w:fill="FAFAFA" w:val="clear"/>
          </w:tcPr>
          <w:p>
            <w:r>
              <w:rPr>
                <w:b/>
                <w:sz w:val="17"/>
              </w:rPr>
              <w:t>4,735</w:t>
            </w:r>
          </w:p>
        </w:tc>
        <w:tc>
          <w:tcPr>
            <w:tcW w:type="dxa" w:w="1440"/>
            <w:shd w:fill="FAFAFA" w:val="clear"/>
          </w:tcPr>
          <w:p>
            <w:r>
              <w:rPr>
                <w:sz w:val="17"/>
              </w:rPr>
              <w:t>5,342</w:t>
            </w:r>
          </w:p>
        </w:tc>
        <w:tc>
          <w:tcPr>
            <w:tcW w:type="dxa" w:w="1440"/>
            <w:shd w:fill="FAFAFA" w:val="clear"/>
          </w:tcPr>
          <w:p>
            <w:r>
              <w:rPr>
                <w:b/>
                <w:color w:val="008000"/>
                <w:sz w:val="17"/>
              </w:rPr>
              <w:t>+1.9%</w:t>
            </w:r>
          </w:p>
        </w:tc>
      </w:tr>
      <w:tr>
        <w:tc>
          <w:tcPr>
            <w:tcW w:type="dxa" w:w="1440"/>
            <w:shd w:fill="C6EFCE" w:val="clear"/>
          </w:tcPr>
          <w:p>
            <w:r>
              <w:rPr>
                <w:sz w:val="17"/>
              </w:rPr>
              <w:t>J+6  ⭐</w:t>
            </w:r>
          </w:p>
        </w:tc>
        <w:tc>
          <w:tcPr>
            <w:tcW w:type="dxa" w:w="1440"/>
            <w:shd w:fill="C6EFCE" w:val="clear"/>
          </w:tcPr>
          <w:p>
            <w:r>
              <w:rPr>
                <w:sz w:val="17"/>
              </w:rPr>
              <w:t>2026-10-21</w:t>
            </w:r>
          </w:p>
        </w:tc>
        <w:tc>
          <w:tcPr>
            <w:tcW w:type="dxa" w:w="1440"/>
            <w:shd w:fill="C6EFCE" w:val="clear"/>
          </w:tcPr>
          <w:p>
            <w:r>
              <w:rPr>
                <w:sz w:val="17"/>
              </w:rPr>
              <w:t>4,090</w:t>
            </w:r>
          </w:p>
        </w:tc>
        <w:tc>
          <w:tcPr>
            <w:tcW w:type="dxa" w:w="1440"/>
            <w:shd w:fill="C6EFCE" w:val="clear"/>
          </w:tcPr>
          <w:p>
            <w:r>
              <w:rPr>
                <w:b/>
                <w:sz w:val="17"/>
              </w:rPr>
              <w:t>4,759</w:t>
            </w:r>
          </w:p>
        </w:tc>
        <w:tc>
          <w:tcPr>
            <w:tcW w:type="dxa" w:w="1440"/>
            <w:shd w:fill="C6EFCE" w:val="clear"/>
          </w:tcPr>
          <w:p>
            <w:r>
              <w:rPr>
                <w:sz w:val="17"/>
              </w:rPr>
              <w:t>5,427</w:t>
            </w:r>
          </w:p>
        </w:tc>
        <w:tc>
          <w:tcPr>
            <w:tcW w:type="dxa" w:w="1440"/>
            <w:shd w:fill="C6EFCE" w:val="clear"/>
          </w:tcPr>
          <w:p>
            <w:r>
              <w:rPr>
                <w:b/>
                <w:color w:val="008000"/>
                <w:sz w:val="17"/>
              </w:rPr>
              <w:t>+2.4%</w:t>
            </w:r>
          </w:p>
        </w:tc>
      </w:tr>
      <w:tr>
        <w:tc>
          <w:tcPr>
            <w:tcW w:type="dxa" w:w="1440"/>
            <w:shd w:fill="C6EFCE" w:val="clear"/>
          </w:tcPr>
          <w:p>
            <w:r>
              <w:rPr>
                <w:sz w:val="17"/>
              </w:rPr>
              <w:t>J+7  ⭐</w:t>
            </w:r>
          </w:p>
        </w:tc>
        <w:tc>
          <w:tcPr>
            <w:tcW w:type="dxa" w:w="1440"/>
            <w:shd w:fill="C6EFCE" w:val="clear"/>
          </w:tcPr>
          <w:p>
            <w:r>
              <w:rPr>
                <w:sz w:val="17"/>
              </w:rPr>
              <w:t>2026-10-22</w:t>
            </w:r>
          </w:p>
        </w:tc>
        <w:tc>
          <w:tcPr>
            <w:tcW w:type="dxa" w:w="1440"/>
            <w:shd w:fill="C6EFCE" w:val="clear"/>
          </w:tcPr>
          <w:p>
            <w:r>
              <w:rPr>
                <w:sz w:val="17"/>
              </w:rPr>
              <w:t>4,057</w:t>
            </w:r>
          </w:p>
        </w:tc>
        <w:tc>
          <w:tcPr>
            <w:tcW w:type="dxa" w:w="1440"/>
            <w:shd w:fill="C6EFCE" w:val="clear"/>
          </w:tcPr>
          <w:p>
            <w:r>
              <w:rPr>
                <w:b/>
                <w:sz w:val="17"/>
              </w:rPr>
              <w:t>4,782</w:t>
            </w:r>
          </w:p>
        </w:tc>
        <w:tc>
          <w:tcPr>
            <w:tcW w:type="dxa" w:w="1440"/>
            <w:shd w:fill="C6EFCE" w:val="clear"/>
          </w:tcPr>
          <w:p>
            <w:r>
              <w:rPr>
                <w:sz w:val="17"/>
              </w:rPr>
              <w:t>5,508</w:t>
            </w:r>
          </w:p>
        </w:tc>
        <w:tc>
          <w:tcPr>
            <w:tcW w:type="dxa" w:w="1440"/>
            <w:shd w:fill="C6EFCE" w:val="clear"/>
          </w:tcPr>
          <w:p>
            <w:r>
              <w:rPr>
                <w:b/>
                <w:color w:val="008000"/>
                <w:sz w:val="17"/>
              </w:rPr>
              <w:t>+3.0%</w:t>
            </w:r>
          </w:p>
        </w:tc>
      </w:tr>
      <w:tr>
        <w:tc>
          <w:tcPr>
            <w:tcW w:type="dxa" w:w="1440"/>
            <w:shd w:fill="C6EFCE" w:val="clear"/>
          </w:tcPr>
          <w:p>
            <w:r>
              <w:rPr>
                <w:sz w:val="17"/>
              </w:rPr>
              <w:t>J+8  ⭐</w:t>
            </w:r>
          </w:p>
        </w:tc>
        <w:tc>
          <w:tcPr>
            <w:tcW w:type="dxa" w:w="1440"/>
            <w:shd w:fill="C6EFCE" w:val="clear"/>
          </w:tcPr>
          <w:p>
            <w:r>
              <w:rPr>
                <w:sz w:val="17"/>
              </w:rPr>
              <w:t>2026-10-23</w:t>
            </w:r>
          </w:p>
        </w:tc>
        <w:tc>
          <w:tcPr>
            <w:tcW w:type="dxa" w:w="1440"/>
            <w:shd w:fill="C6EFCE" w:val="clear"/>
          </w:tcPr>
          <w:p>
            <w:r>
              <w:rPr>
                <w:sz w:val="17"/>
              </w:rPr>
              <w:t>4,026</w:t>
            </w:r>
          </w:p>
        </w:tc>
        <w:tc>
          <w:tcPr>
            <w:tcW w:type="dxa" w:w="1440"/>
            <w:shd w:fill="C6EFCE" w:val="clear"/>
          </w:tcPr>
          <w:p>
            <w:r>
              <w:rPr>
                <w:b/>
                <w:sz w:val="17"/>
              </w:rPr>
              <w:t>4,806</w:t>
            </w:r>
          </w:p>
        </w:tc>
        <w:tc>
          <w:tcPr>
            <w:tcW w:type="dxa" w:w="1440"/>
            <w:shd w:fill="C6EFCE" w:val="clear"/>
          </w:tcPr>
          <w:p>
            <w:r>
              <w:rPr>
                <w:sz w:val="17"/>
              </w:rPr>
              <w:t>5,586</w:t>
            </w:r>
          </w:p>
        </w:tc>
        <w:tc>
          <w:tcPr>
            <w:tcW w:type="dxa" w:w="1440"/>
            <w:shd w:fill="C6EFCE" w:val="clear"/>
          </w:tcPr>
          <w:p>
            <w:r>
              <w:rPr>
                <w:b/>
                <w:color w:val="008000"/>
                <w:sz w:val="17"/>
              </w:rPr>
              <w:t>+3.5%</w:t>
            </w:r>
          </w:p>
        </w:tc>
      </w:tr>
      <w:tr>
        <w:tc>
          <w:tcPr>
            <w:tcW w:type="dxa" w:w="1440"/>
            <w:shd w:fill="C6EFCE" w:val="clear"/>
          </w:tcPr>
          <w:p>
            <w:r>
              <w:rPr>
                <w:sz w:val="17"/>
              </w:rPr>
              <w:t>J+9  ⭐</w:t>
            </w:r>
          </w:p>
        </w:tc>
        <w:tc>
          <w:tcPr>
            <w:tcW w:type="dxa" w:w="1440"/>
            <w:shd w:fill="C6EFCE" w:val="clear"/>
          </w:tcPr>
          <w:p>
            <w:r>
              <w:rPr>
                <w:sz w:val="17"/>
              </w:rPr>
              <w:t>2026-10-26</w:t>
            </w:r>
          </w:p>
        </w:tc>
        <w:tc>
          <w:tcPr>
            <w:tcW w:type="dxa" w:w="1440"/>
            <w:shd w:fill="C6EFCE" w:val="clear"/>
          </w:tcPr>
          <w:p>
            <w:r>
              <w:rPr>
                <w:sz w:val="17"/>
              </w:rPr>
              <w:t>3,999</w:t>
            </w:r>
          </w:p>
        </w:tc>
        <w:tc>
          <w:tcPr>
            <w:tcW w:type="dxa" w:w="1440"/>
            <w:shd w:fill="C6EFCE" w:val="clear"/>
          </w:tcPr>
          <w:p>
            <w:r>
              <w:rPr>
                <w:b/>
                <w:sz w:val="17"/>
              </w:rPr>
              <w:t>4,830</w:t>
            </w:r>
          </w:p>
        </w:tc>
        <w:tc>
          <w:tcPr>
            <w:tcW w:type="dxa" w:w="1440"/>
            <w:shd w:fill="C6EFCE" w:val="clear"/>
          </w:tcPr>
          <w:p>
            <w:r>
              <w:rPr>
                <w:sz w:val="17"/>
              </w:rPr>
              <w:t>5,661</w:t>
            </w:r>
          </w:p>
        </w:tc>
        <w:tc>
          <w:tcPr>
            <w:tcW w:type="dxa" w:w="1440"/>
            <w:shd w:fill="C6EFCE" w:val="clear"/>
          </w:tcPr>
          <w:p>
            <w:r>
              <w:rPr>
                <w:b/>
                <w:color w:val="008000"/>
                <w:sz w:val="17"/>
              </w:rPr>
              <w:t>+4.0%</w:t>
            </w:r>
          </w:p>
        </w:tc>
      </w:tr>
      <w:tr>
        <w:tc>
          <w:tcPr>
            <w:tcW w:type="dxa" w:w="1440"/>
            <w:shd w:fill="C6EFCE" w:val="clear"/>
          </w:tcPr>
          <w:p>
            <w:r>
              <w:rPr>
                <w:sz w:val="17"/>
              </w:rPr>
              <w:t>J+10  ⭐</w:t>
            </w:r>
          </w:p>
        </w:tc>
        <w:tc>
          <w:tcPr>
            <w:tcW w:type="dxa" w:w="1440"/>
            <w:shd w:fill="C6EFCE" w:val="clear"/>
          </w:tcPr>
          <w:p>
            <w:r>
              <w:rPr>
                <w:sz w:val="17"/>
              </w:rPr>
              <w:t>2026-10-27</w:t>
            </w:r>
          </w:p>
        </w:tc>
        <w:tc>
          <w:tcPr>
            <w:tcW w:type="dxa" w:w="1440"/>
            <w:shd w:fill="C6EFCE" w:val="clear"/>
          </w:tcPr>
          <w:p>
            <w:r>
              <w:rPr>
                <w:sz w:val="17"/>
              </w:rPr>
              <w:t>3,973</w:t>
            </w:r>
          </w:p>
        </w:tc>
        <w:tc>
          <w:tcPr>
            <w:tcW w:type="dxa" w:w="1440"/>
            <w:shd w:fill="C6EFCE" w:val="clear"/>
          </w:tcPr>
          <w:p>
            <w:r>
              <w:rPr>
                <w:b/>
                <w:sz w:val="17"/>
              </w:rPr>
              <w:t>4,853</w:t>
            </w:r>
          </w:p>
        </w:tc>
        <w:tc>
          <w:tcPr>
            <w:tcW w:type="dxa" w:w="1440"/>
            <w:shd w:fill="C6EFCE" w:val="clear"/>
          </w:tcPr>
          <w:p>
            <w:r>
              <w:rPr>
                <w:sz w:val="17"/>
              </w:rPr>
              <w:t>5,733</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96,62 milliards FCFA, BOAN se situe dans la fourchette intermédiaire-haute des valeurs bancaires cotées sur la BRVM, ce qui contraste fortement avec la modestie de ses résultats. Le BPA de 20 FCFA/action, dérivé d'un résultat net 2025 effondré à 409 millions FCFA, propulse le PER à 236,2x — un niveau aberrant comparé à la moyenne BRVM (~8-12x) qui traduit une décorrélation totale entre le prix de marché et la capacité bénéficiaire actuelle. Le P/B de 2,68x indique que le marché valorise la banque à près de trois fois ses fonds propres comptables (36,06 Mds FCFA), soit une prime de croissance significative difficile à justifier en l'état. Enfin, l'EV/EBITDA de 37,8x, très supérieur au seuil de 15x généralement considéré comme exigeant, confirme que la valeur d'entreprise intègre déjà une anticipation de redressement massif des résultats. Ces ratios, pris isolément, signalent une surévaluation manifeste ; leur justification ne peut reposer que sur les perspectives de rebond 2026-2027.</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progression totale de +25,88%, avec une dernière séance en hausse de +3,80%, portant le cours à 4 645 FCFA. Le titre a évolué dans un range très large de 1 955 FCFA, entre un plus bas de 3 690 FCFA et un plus haut de 5 645 FCFA, témoignant d'une forte amplitude de trading. La tendance générale est haussière sur la période, mais le cours actuel se situe en retrait de 17,7% par rapport à son sommet, suggérant une phase de correction après un rallye. Les statistiques descriptives révèlent une moyenne de 4 745 FCFA supérieure à la médiane de 5 088 FCFA — écart notable qui, combiné à un skewness de -0,484 (distribution symétrique selon l'interprétation fournie), indique une légère prédominance des séances sous la moyenne récente. L'écart-type de 674 FCFA (CV=14,2%) traduit une dispersion modérée du cours, tandis que le kurtosis de -1,365 (distribution platykurtique) signale une faible concentration des rendements et un risque de pics extrêmes limité. La volatilité annualisée de 42,8% classe le titre dans la catégorie des valeurs à volatilité élevée (&gt;30%), ce qui est cohérent avec un profil de banque émergente en phase de redressement incertain.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(5 032,0 FCFA) et la MM50 (5 204,7 FCFA) se situent toutes deux au-dessus du cours actuel (4 645 FCFA), avec une MM20 inférieure à la MM50 — configuration baissière classique. Le cours évolue sous ses deux moyennes, confirmant la pression vendeuse et justifiant la décision technique de **Vente**.</w:t>
      </w:r>
    </w:p>
    <w:p>
      <w:pPr>
        <w:spacing w:after="120" w:line="276" w:lineRule="auto"/>
      </w:pPr>
      <w:r>
        <w:t>**Bandes de Bollinger** : Le cours (4 645 FCFA) se situe dans la partie basse du canal, entre la borne inférieure (4 420,1 FCFA) et la borne supérieure (5 643,9 FCFA), sans franchissement des extrêmes. Cette position médiane-basse, dans un canal large, traduit une volatilité élevée sans signal directionnel fort, d'où la décision **Neutre**.</w:t>
      </w:r>
    </w:p>
    <w:p>
      <w:pPr>
        <w:spacing w:after="120" w:line="276" w:lineRule="auto"/>
      </w:pPr>
      <w:r>
        <w:t>**MACD** : La valeur du MACD (-156,058) est nettement inférieure à son signal (-98,351), avec un histogramme négatif — configuration baissière confirmée. Le momentum reste négatif, bien que l'écart entre les deux lignes suggère une possible inflexion à surveiller ; la décision reste **Vente**.</w:t>
      </w:r>
    </w:p>
    <w:p>
      <w:pPr>
        <w:spacing w:after="120" w:line="276" w:lineRule="auto"/>
      </w:pPr>
      <w:r>
        <w:t>**RSI** : À 45,304, le RSI se situe dans la zone neutre (30-70), sans signal de surachat ni de survente. Cette position médiane indique un équilibre relatif entre acheteurs et vendeurs, justifiant la décision **Neutre**.</w:t>
      </w:r>
    </w:p>
    <w:p>
      <w:pPr>
        <w:spacing w:after="120" w:line="276" w:lineRule="auto"/>
      </w:pPr>
      <w:r>
        <w:t>**Stochastique** : Le %K (16,425) et le %D (13,635) sont tous deux en zone de survente (&lt;20), avec un %K légèrement supérieur au %D — configuration propice à un rebond technique à court terme. La décision **Achat** reflète cette opportunité contrarienne.</w:t>
      </w:r>
    </w:p>
    <w:p>
      <w:pPr>
        <w:spacing w:after="120" w:line="276" w:lineRule="auto"/>
      </w:pPr>
      <w:r>
        <w:t>**Conclusion technique** : Les indicateurs sont majoritairement baissiers (MM, MACD) ou neutres (Bollinger, RSI), avec un seul signal haussier (Stochastique en survente). Cette divergence suggère une phase de consolidation baissière avec un potentiel rebond technique limité. La prudence reste de mise tant que le cours n'aura pas reconquis la MM20 (5 032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officiels) révèlent une situation profondément dégradée : le Produit Net Bancaire (PNB) s'établit à 21 125 millions FCFA, en repli de -1,2% sur un an, tandis que le résultat net s'effondre à 409 millions FCFA, soit une chute de -91,8% par rapport aux 5 002 millions FCFA de 2024. Cette débâcle se traduit par un ROE de 1,13% (très loin du seuil de 15% considéré comme excellent) et un ROA de 0,14%, confirmant l'incapacité de la banque à générer de la rentabilité sur ses actifs. Le coefficient d'exploitation de 74,37% (bien supérieur au seuil de 60% d'efficacité) et le coût du risque de 67,30% (provisions/charges financières, niveau très élevé) témoignent d'une double pression : charges opérationnelles lourdes et qualité de portefeuille dégradée. La structure bilancielle reste néanmoins solide avec un ratio de solvabilité de 14,06% (conforme aux exigences UEMOA) et un coefficient de liquidité de 123,95%, tandis que les dépôts clientèle (183,28 Mds FCFA) couvrent largement les créances clientèle (128,45 Mds FCFA), reflétant une transformation prudente. Les rapports narratifs confirment cette analyse : le rapport du 2nd semestre 2025 (daté du 31/12/2025) attribue l'effondrement à une provision exceptionnelle de 4,8 milliards FCFA liée au taux de sinistralité sectoriel de 24%, tandis que le rapport du 1er trimestre 2026 (daté du 31/03/2026) marque un début de redressement avec un PNB en hausse de +7,9% à 5 170 millions FCFA, un résultat net en progression de +28,9% à 1 467,3 millions FCFA, et un coefficient d'exploitation ramené à 56,2% (contre 66,8% un an plus tôt). Sur la base de ce T1 2026, on estime que l'exercice 2026 pourrait afficher un PNB en croissance de +6% à +8% et un résultat net en forte reprise, sous réserve de la confirmation de la baisse du coût du risque. La recommandation fondamentale est **CONSERVER sous surveillance rapprochée** : la solidité bilancielle et le soutien du groupe BOA constituent des atouts, mais la faiblesse de la rentabilité et les risques de crédit persistants exigent une confirmation sur au moins deux trimestres supplémentaires.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manifestement surévaluée : PER de 236,2x, P/B de 2,68x et EV/EBITDA de 37,8x intègrent déjà une anticipation de redressement massif, laissant peu de marge d'erreur. Le **comportement du cours** (Partie 1) affiche une tendance haussière sur 100 jours (+25,88%) mais une correction récente de -17,7% depuis le sommet, avec une volatilité élevée (42,8%) et des statistiques (kurtosis négatif, skewness symétrique) qui n'indiquent pas de risque extrême mais une dispersion modérée. Les **signaux techniques** (Partie 2) sont majoritairement baissiers (MM, MACD) avec un seul signal contrarien haussier (Stochastique en survente), plaidant pour une consolidation à court terme. Les **fondamentaux** (Partie 3) demeurent fragiles malgré le rebond du T1 2026 : la rentabilité reste très faible (ROE 1,13% en 2025) et le coût du risque élevé, mais la trajectoire trimestrielle est encourageante. Les **prédictions IA** (J+1 à J+10) tablent sur une hausse modérée vers 4 735 FCFA (+1,9% sur 10 jours), ce qui confirme un rebond technique sans emballement. Sur cette base, la recommandation finale est **CONSERVER**, avec un niveau de confiance **Moyen** et un risque global **Élevé**. L'horizon d'investissement optimal est le **moyen terme (3-12 mois)**, le temps que les trimestres 2026 confirment la reprise opérationnelle et que la valorisation se normalise par la croissance des bénéfices plutôt que par une correction du cours.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293.40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11,457 titres</w:t>
            </w:r>
          </w:p>
        </w:tc>
        <w:tc>
          <w:tcPr>
            <w:tcW w:type="dxa" w:w="2268"/>
            <w:shd w:fill="FFF2CC" w:val="clear"/>
          </w:tcPr>
          <w:p>
            <w:r>
              <w:rPr>
                <w:b/>
                <w:color w:val="503200"/>
                <w:sz w:val="16"/>
              </w:rPr>
              <w:t xml:space="preserve">Cours actuel : </w:t>
            </w:r>
            <w:r>
              <w:rPr>
                <w:color w:val="000000"/>
                <w:sz w:val="17"/>
              </w:rPr>
              <w:t>8,150 FCFA</w:t>
            </w:r>
          </w:p>
          <w:p>
            <w:r>
              <w:rPr>
                <w:b/>
                <w:color w:val="503200"/>
                <w:sz w:val="16"/>
              </w:rPr>
              <w:t xml:space="preserve">Var. 100 jours : </w:t>
            </w:r>
            <w:r>
              <w:rPr>
                <w:b/>
                <w:color w:val="007800"/>
                <w:sz w:val="17"/>
              </w:rPr>
              <w:t>+1.24%</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4.87% (Faible) — μ=7,772 FCFA, σ=379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β=0.5635 (Défensif) — Cov=0.000042, Var(idx)=0.000074, ρ=0.294,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11,457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1697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7,814</w:t>
            </w:r>
          </w:p>
        </w:tc>
        <w:tc>
          <w:tcPr>
            <w:tcW w:type="dxa" w:w="1440"/>
            <w:shd w:fill="FAFAFA" w:val="clear"/>
          </w:tcPr>
          <w:p>
            <w:r>
              <w:rPr>
                <w:b/>
                <w:sz w:val="17"/>
              </w:rPr>
              <w:t>7,993</w:t>
            </w:r>
          </w:p>
        </w:tc>
        <w:tc>
          <w:tcPr>
            <w:tcW w:type="dxa" w:w="1440"/>
            <w:shd w:fill="FAFAFA" w:val="clear"/>
          </w:tcPr>
          <w:p>
            <w:r>
              <w:rPr>
                <w:sz w:val="17"/>
              </w:rPr>
              <w:t>8,173</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2026-10-15</w:t>
            </w:r>
          </w:p>
        </w:tc>
        <w:tc>
          <w:tcPr>
            <w:tcW w:type="dxa" w:w="1440"/>
            <w:shd w:fill="FFDCE0" w:val="clear"/>
          </w:tcPr>
          <w:p>
            <w:r>
              <w:rPr>
                <w:sz w:val="17"/>
              </w:rPr>
              <w:t>7,623</w:t>
            </w:r>
          </w:p>
        </w:tc>
        <w:tc>
          <w:tcPr>
            <w:tcW w:type="dxa" w:w="1440"/>
            <w:shd w:fill="FFDCE0" w:val="clear"/>
          </w:tcPr>
          <w:p>
            <w:r>
              <w:rPr>
                <w:b/>
                <w:sz w:val="17"/>
              </w:rPr>
              <w:t>7,872</w:t>
            </w:r>
          </w:p>
        </w:tc>
        <w:tc>
          <w:tcPr>
            <w:tcW w:type="dxa" w:w="1440"/>
            <w:shd w:fill="FFDCE0" w:val="clear"/>
          </w:tcPr>
          <w:p>
            <w:r>
              <w:rPr>
                <w:sz w:val="17"/>
              </w:rPr>
              <w:t>8,122</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2026-10-16</w:t>
            </w:r>
          </w:p>
        </w:tc>
        <w:tc>
          <w:tcPr>
            <w:tcW w:type="dxa" w:w="1440"/>
            <w:shd w:fill="FFDCE0" w:val="clear"/>
          </w:tcPr>
          <w:p>
            <w:r>
              <w:rPr>
                <w:sz w:val="17"/>
              </w:rPr>
              <w:t>7,458</w:t>
            </w:r>
          </w:p>
        </w:tc>
        <w:tc>
          <w:tcPr>
            <w:tcW w:type="dxa" w:w="1440"/>
            <w:shd w:fill="FFDCE0" w:val="clear"/>
          </w:tcPr>
          <w:p>
            <w:r>
              <w:rPr>
                <w:b/>
                <w:sz w:val="17"/>
              </w:rPr>
              <w:t>7,759</w:t>
            </w:r>
          </w:p>
        </w:tc>
        <w:tc>
          <w:tcPr>
            <w:tcW w:type="dxa" w:w="1440"/>
            <w:shd w:fill="FFDCE0" w:val="clear"/>
          </w:tcPr>
          <w:p>
            <w:r>
              <w:rPr>
                <w:sz w:val="17"/>
              </w:rPr>
              <w:t>8,060</w:t>
            </w:r>
          </w:p>
        </w:tc>
        <w:tc>
          <w:tcPr>
            <w:tcW w:type="dxa" w:w="1440"/>
            <w:shd w:fill="FFDCE0" w:val="clear"/>
          </w:tcPr>
          <w:p>
            <w:r>
              <w:rPr>
                <w:b/>
                <w:color w:val="C00000"/>
                <w:sz w:val="17"/>
              </w:rPr>
              <w:t>-4.8%</w:t>
            </w:r>
          </w:p>
        </w:tc>
      </w:tr>
      <w:tr>
        <w:tc>
          <w:tcPr>
            <w:tcW w:type="dxa" w:w="1440"/>
            <w:shd w:fill="FFDCE0" w:val="clear"/>
          </w:tcPr>
          <w:p>
            <w:r>
              <w:rPr>
                <w:sz w:val="17"/>
              </w:rPr>
              <w:t>J+4  Moyenne</w:t>
            </w:r>
          </w:p>
        </w:tc>
        <w:tc>
          <w:tcPr>
            <w:tcW w:type="dxa" w:w="1440"/>
            <w:shd w:fill="FFDCE0" w:val="clear"/>
          </w:tcPr>
          <w:p>
            <w:r>
              <w:rPr>
                <w:sz w:val="17"/>
              </w:rPr>
              <w:t>2026-10-19</w:t>
            </w:r>
          </w:p>
        </w:tc>
        <w:tc>
          <w:tcPr>
            <w:tcW w:type="dxa" w:w="1440"/>
            <w:shd w:fill="FFDCE0" w:val="clear"/>
          </w:tcPr>
          <w:p>
            <w:r>
              <w:rPr>
                <w:sz w:val="17"/>
              </w:rPr>
              <w:t>7,311</w:t>
            </w:r>
          </w:p>
        </w:tc>
        <w:tc>
          <w:tcPr>
            <w:tcW w:type="dxa" w:w="1440"/>
            <w:shd w:fill="FFDCE0" w:val="clear"/>
          </w:tcPr>
          <w:p>
            <w:r>
              <w:rPr>
                <w:b/>
                <w:sz w:val="17"/>
              </w:rPr>
              <w:t>7,654</w:t>
            </w:r>
          </w:p>
        </w:tc>
        <w:tc>
          <w:tcPr>
            <w:tcW w:type="dxa" w:w="1440"/>
            <w:shd w:fill="FFDCE0" w:val="clear"/>
          </w:tcPr>
          <w:p>
            <w:r>
              <w:rPr>
                <w:sz w:val="17"/>
              </w:rPr>
              <w:t>7,998</w:t>
            </w:r>
          </w:p>
        </w:tc>
        <w:tc>
          <w:tcPr>
            <w:tcW w:type="dxa" w:w="1440"/>
            <w:shd w:fill="FFDCE0" w:val="clear"/>
          </w:tcPr>
          <w:p>
            <w:r>
              <w:rPr>
                <w:b/>
                <w:color w:val="C00000"/>
                <w:sz w:val="17"/>
              </w:rPr>
              <w:t>-6.1%</w:t>
            </w:r>
          </w:p>
        </w:tc>
      </w:tr>
      <w:tr>
        <w:tc>
          <w:tcPr>
            <w:tcW w:type="dxa" w:w="1440"/>
            <w:shd w:fill="FFDCE0" w:val="clear"/>
          </w:tcPr>
          <w:p>
            <w:r>
              <w:rPr>
                <w:sz w:val="17"/>
              </w:rPr>
              <w:t>J+5  Moyenne</w:t>
            </w:r>
          </w:p>
        </w:tc>
        <w:tc>
          <w:tcPr>
            <w:tcW w:type="dxa" w:w="1440"/>
            <w:shd w:fill="FFDCE0" w:val="clear"/>
          </w:tcPr>
          <w:p>
            <w:r>
              <w:rPr>
                <w:sz w:val="17"/>
              </w:rPr>
              <w:t>2026-10-20</w:t>
            </w:r>
          </w:p>
        </w:tc>
        <w:tc>
          <w:tcPr>
            <w:tcW w:type="dxa" w:w="1440"/>
            <w:shd w:fill="FFDCE0" w:val="clear"/>
          </w:tcPr>
          <w:p>
            <w:r>
              <w:rPr>
                <w:sz w:val="17"/>
              </w:rPr>
              <w:t>7,177</w:t>
            </w:r>
          </w:p>
        </w:tc>
        <w:tc>
          <w:tcPr>
            <w:tcW w:type="dxa" w:w="1440"/>
            <w:shd w:fill="FFDCE0" w:val="clear"/>
          </w:tcPr>
          <w:p>
            <w:r>
              <w:rPr>
                <w:b/>
                <w:sz w:val="17"/>
              </w:rPr>
              <w:t>7,556</w:t>
            </w:r>
          </w:p>
        </w:tc>
        <w:tc>
          <w:tcPr>
            <w:tcW w:type="dxa" w:w="1440"/>
            <w:shd w:fill="FFDCE0" w:val="clear"/>
          </w:tcPr>
          <w:p>
            <w:r>
              <w:rPr>
                <w:sz w:val="17"/>
              </w:rPr>
              <w:t>7,934</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2026-10-21</w:t>
            </w:r>
          </w:p>
        </w:tc>
        <w:tc>
          <w:tcPr>
            <w:tcW w:type="dxa" w:w="1440"/>
            <w:shd w:fill="FFDCE0" w:val="clear"/>
          </w:tcPr>
          <w:p>
            <w:r>
              <w:rPr>
                <w:sz w:val="17"/>
              </w:rPr>
              <w:t>7,052</w:t>
            </w:r>
          </w:p>
        </w:tc>
        <w:tc>
          <w:tcPr>
            <w:tcW w:type="dxa" w:w="1440"/>
            <w:shd w:fill="FFDCE0" w:val="clear"/>
          </w:tcPr>
          <w:p>
            <w:r>
              <w:rPr>
                <w:b/>
                <w:sz w:val="17"/>
              </w:rPr>
              <w:t>7,462</w:t>
            </w:r>
          </w:p>
        </w:tc>
        <w:tc>
          <w:tcPr>
            <w:tcW w:type="dxa" w:w="1440"/>
            <w:shd w:fill="FFDCE0" w:val="clear"/>
          </w:tcPr>
          <w:p>
            <w:r>
              <w:rPr>
                <w:sz w:val="17"/>
              </w:rPr>
              <w:t>7,871</w:t>
            </w:r>
          </w:p>
        </w:tc>
        <w:tc>
          <w:tcPr>
            <w:tcW w:type="dxa" w:w="1440"/>
            <w:shd w:fill="FFDCE0" w:val="clear"/>
          </w:tcPr>
          <w:p>
            <w:r>
              <w:rPr>
                <w:b/>
                <w:color w:val="C00000"/>
                <w:sz w:val="17"/>
              </w:rPr>
              <w:t>-8.4%</w:t>
            </w:r>
          </w:p>
        </w:tc>
      </w:tr>
      <w:tr>
        <w:tc>
          <w:tcPr>
            <w:tcW w:type="dxa" w:w="1440"/>
            <w:shd w:fill="FFDCE0" w:val="clear"/>
          </w:tcPr>
          <w:p>
            <w:r>
              <w:rPr>
                <w:sz w:val="17"/>
              </w:rPr>
              <w:t>J+7  Moyenne</w:t>
            </w:r>
          </w:p>
        </w:tc>
        <w:tc>
          <w:tcPr>
            <w:tcW w:type="dxa" w:w="1440"/>
            <w:shd w:fill="FFDCE0" w:val="clear"/>
          </w:tcPr>
          <w:p>
            <w:r>
              <w:rPr>
                <w:sz w:val="17"/>
              </w:rPr>
              <w:t>2026-10-22</w:t>
            </w:r>
          </w:p>
        </w:tc>
        <w:tc>
          <w:tcPr>
            <w:tcW w:type="dxa" w:w="1440"/>
            <w:shd w:fill="FFDCE0" w:val="clear"/>
          </w:tcPr>
          <w:p>
            <w:r>
              <w:rPr>
                <w:sz w:val="17"/>
              </w:rPr>
              <w:t>6,935</w:t>
            </w:r>
          </w:p>
        </w:tc>
        <w:tc>
          <w:tcPr>
            <w:tcW w:type="dxa" w:w="1440"/>
            <w:shd w:fill="FFDCE0" w:val="clear"/>
          </w:tcPr>
          <w:p>
            <w:r>
              <w:rPr>
                <w:b/>
                <w:sz w:val="17"/>
              </w:rPr>
              <w:t>7,372</w:t>
            </w:r>
          </w:p>
        </w:tc>
        <w:tc>
          <w:tcPr>
            <w:tcW w:type="dxa" w:w="1440"/>
            <w:shd w:fill="FFDCE0" w:val="clear"/>
          </w:tcPr>
          <w:p>
            <w:r>
              <w:rPr>
                <w:sz w:val="17"/>
              </w:rPr>
              <w:t>7,809</w:t>
            </w:r>
          </w:p>
        </w:tc>
        <w:tc>
          <w:tcPr>
            <w:tcW w:type="dxa" w:w="1440"/>
            <w:shd w:fill="FFDCE0" w:val="clear"/>
          </w:tcPr>
          <w:p>
            <w:r>
              <w:rPr>
                <w:b/>
                <w:color w:val="C00000"/>
                <w:sz w:val="17"/>
              </w:rPr>
              <w:t>-9.5%</w:t>
            </w:r>
          </w:p>
        </w:tc>
      </w:tr>
      <w:tr>
        <w:tc>
          <w:tcPr>
            <w:tcW w:type="dxa" w:w="1440"/>
            <w:shd w:fill="FFDCE0" w:val="clear"/>
          </w:tcPr>
          <w:p>
            <w:r>
              <w:rPr>
                <w:sz w:val="17"/>
              </w:rPr>
              <w:t>J+8  Moyenne</w:t>
            </w:r>
          </w:p>
        </w:tc>
        <w:tc>
          <w:tcPr>
            <w:tcW w:type="dxa" w:w="1440"/>
            <w:shd w:fill="FFDCE0" w:val="clear"/>
          </w:tcPr>
          <w:p>
            <w:r>
              <w:rPr>
                <w:sz w:val="17"/>
              </w:rPr>
              <w:t>2026-10-23</w:t>
            </w:r>
          </w:p>
        </w:tc>
        <w:tc>
          <w:tcPr>
            <w:tcW w:type="dxa" w:w="1440"/>
            <w:shd w:fill="FFDCE0" w:val="clear"/>
          </w:tcPr>
          <w:p>
            <w:r>
              <w:rPr>
                <w:sz w:val="17"/>
              </w:rPr>
              <w:t>6,824</w:t>
            </w:r>
          </w:p>
        </w:tc>
        <w:tc>
          <w:tcPr>
            <w:tcW w:type="dxa" w:w="1440"/>
            <w:shd w:fill="FFDCE0" w:val="clear"/>
          </w:tcPr>
          <w:p>
            <w:r>
              <w:rPr>
                <w:b/>
                <w:sz w:val="17"/>
              </w:rPr>
              <w:t>7,286</w:t>
            </w:r>
          </w:p>
        </w:tc>
        <w:tc>
          <w:tcPr>
            <w:tcW w:type="dxa" w:w="1440"/>
            <w:shd w:fill="FFDCE0" w:val="clear"/>
          </w:tcPr>
          <w:p>
            <w:r>
              <w:rPr>
                <w:sz w:val="17"/>
              </w:rPr>
              <w:t>7,748</w:t>
            </w:r>
          </w:p>
        </w:tc>
        <w:tc>
          <w:tcPr>
            <w:tcW w:type="dxa" w:w="1440"/>
            <w:shd w:fill="FFDCE0" w:val="clear"/>
          </w:tcPr>
          <w:p>
            <w:r>
              <w:rPr>
                <w:b/>
                <w:color w:val="C00000"/>
                <w:sz w:val="17"/>
              </w:rPr>
              <w:t>-10.6%</w:t>
            </w:r>
          </w:p>
        </w:tc>
      </w:tr>
      <w:tr>
        <w:tc>
          <w:tcPr>
            <w:tcW w:type="dxa" w:w="1440"/>
            <w:shd w:fill="FFDCE0" w:val="clear"/>
          </w:tcPr>
          <w:p>
            <w:r>
              <w:rPr>
                <w:sz w:val="17"/>
              </w:rPr>
              <w:t>J+9  Moyenne</w:t>
            </w:r>
          </w:p>
        </w:tc>
        <w:tc>
          <w:tcPr>
            <w:tcW w:type="dxa" w:w="1440"/>
            <w:shd w:fill="FFDCE0" w:val="clear"/>
          </w:tcPr>
          <w:p>
            <w:r>
              <w:rPr>
                <w:sz w:val="17"/>
              </w:rPr>
              <w:t>2026-10-26</w:t>
            </w:r>
          </w:p>
        </w:tc>
        <w:tc>
          <w:tcPr>
            <w:tcW w:type="dxa" w:w="1440"/>
            <w:shd w:fill="FFDCE0" w:val="clear"/>
          </w:tcPr>
          <w:p>
            <w:r>
              <w:rPr>
                <w:sz w:val="17"/>
              </w:rPr>
              <w:t>6,720</w:t>
            </w:r>
          </w:p>
        </w:tc>
        <w:tc>
          <w:tcPr>
            <w:tcW w:type="dxa" w:w="1440"/>
            <w:shd w:fill="FFDCE0" w:val="clear"/>
          </w:tcPr>
          <w:p>
            <w:r>
              <w:rPr>
                <w:b/>
                <w:sz w:val="17"/>
              </w:rPr>
              <w:t>7,205</w:t>
            </w:r>
          </w:p>
        </w:tc>
        <w:tc>
          <w:tcPr>
            <w:tcW w:type="dxa" w:w="1440"/>
            <w:shd w:fill="FFDCE0" w:val="clear"/>
          </w:tcPr>
          <w:p>
            <w:r>
              <w:rPr>
                <w:sz w:val="17"/>
              </w:rPr>
              <w:t>7,689</w:t>
            </w:r>
          </w:p>
        </w:tc>
        <w:tc>
          <w:tcPr>
            <w:tcW w:type="dxa" w:w="1440"/>
            <w:shd w:fill="FFDCE0" w:val="clear"/>
          </w:tcPr>
          <w:p>
            <w:r>
              <w:rPr>
                <w:b/>
                <w:color w:val="C00000"/>
                <w:sz w:val="17"/>
              </w:rPr>
              <w:t>-11.6%</w:t>
            </w:r>
          </w:p>
        </w:tc>
      </w:tr>
      <w:tr>
        <w:tc>
          <w:tcPr>
            <w:tcW w:type="dxa" w:w="1440"/>
            <w:shd w:fill="FFDCE0" w:val="clear"/>
          </w:tcPr>
          <w:p>
            <w:r>
              <w:rPr>
                <w:sz w:val="17"/>
              </w:rPr>
              <w:t>J+10  Moyenne</w:t>
            </w:r>
          </w:p>
        </w:tc>
        <w:tc>
          <w:tcPr>
            <w:tcW w:type="dxa" w:w="1440"/>
            <w:shd w:fill="FFDCE0" w:val="clear"/>
          </w:tcPr>
          <w:p>
            <w:r>
              <w:rPr>
                <w:sz w:val="17"/>
              </w:rPr>
              <w:t>2026-10-27</w:t>
            </w:r>
          </w:p>
        </w:tc>
        <w:tc>
          <w:tcPr>
            <w:tcW w:type="dxa" w:w="1440"/>
            <w:shd w:fill="FFDCE0" w:val="clear"/>
          </w:tcPr>
          <w:p>
            <w:r>
              <w:rPr>
                <w:sz w:val="17"/>
              </w:rPr>
              <w:t>6,621</w:t>
            </w:r>
          </w:p>
        </w:tc>
        <w:tc>
          <w:tcPr>
            <w:tcW w:type="dxa" w:w="1440"/>
            <w:shd w:fill="FFDCE0" w:val="clear"/>
          </w:tcPr>
          <w:p>
            <w:r>
              <w:rPr>
                <w:b/>
                <w:sz w:val="17"/>
              </w:rPr>
              <w:t>7,127</w:t>
            </w:r>
          </w:p>
        </w:tc>
        <w:tc>
          <w:tcPr>
            <w:tcW w:type="dxa" w:w="1440"/>
            <w:shd w:fill="FFDCE0" w:val="clear"/>
          </w:tcPr>
          <w:p>
            <w:r>
              <w:rPr>
                <w:sz w:val="17"/>
              </w:rPr>
              <w:t>7,632</w:t>
            </w:r>
          </w:p>
        </w:tc>
        <w:tc>
          <w:tcPr>
            <w:tcW w:type="dxa" w:w="1440"/>
            <w:shd w:fill="FFDCE0" w:val="clear"/>
          </w:tcPr>
          <w:p>
            <w:r>
              <w:rPr>
                <w:b/>
                <w:color w:val="C00000"/>
                <w:sz w:val="17"/>
              </w:rPr>
              <w:t>-12.6%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293,40 milliards FCFA, BOAS s'impose comme l'une des valeurs bancaires de référence de la cote BRVM, offrant une liquidité appréciable aux investisseurs institutionnels régionaux. Le BPA de 608 FCFA par action traduit une capacité bénéficiaire solide, chaque titre générant près de 608 FCFA de profit net annuel. Le PER de 13,4x situe le titre légèrement au-dessus de la moyenne du marché BRVM (8-12x), ce qui traduit une prime de qualité justifiée par la régularité des résultats, sans pour autant basculer dans une zone de surévaluation excessive. Le P/B de 3,04x indique que le marché valorise la banque à trois fois sa valeur comptable, une prime de croissance significative qui reflète la confiance dans la rentabilité future des fonds propres (ROE de 22,7%). Enfin, l'EV/EBITDA de 8,7x, dans la fourchette raisonnable de 5-10x, confirme que la valeur d'entreprise reste cohérente avec la capacité opérationnelle dégagée, l'ensemble de ces ratios dessinant un profil de valorisation modéré à légèrement premium.</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affiche une variation totale quasi stable de +1,24%, tandis que la dernière séance (J-1) enregistre un repli de -1,21%, signalant une légère pression vendeuse à court terme. Le cours actuel de 8 150 FCFA évolue dans un range de trading de 1 250 FCFA, entre un plus bas de 7 250 FCFA et un plus haut de 8 500 FCFA, ce qui traduit une tendance globalement haussière mais avec des phases de consolidation marquées. Les statistiques descriptives révèlent une moyenne de 7 772 FCFA légèrement supérieure à la médiane de 7 705 FCFA, écart modeste qui suggère une distribution quasi symétrique, confirmée par un skewness de 0,179 proche de zéro. L'écart-type de 380 FCFA avec un coefficient de variation de 4,9% indique une dispersion relativement contenue du cours autour de sa moyenne, gage de stabilité relative. Le kurtosis négatif de -1,390 (distribution platykurtique) signale une distribution aplatie avec une faible concentration des rendements, ce qui implique un risque de pics extrêmes limité mais des mouvements amples plus fréquents. La volatilité annualisée de 26,0% positionne le titre dans la catégorie modérée (15-30%), cohérente avec le profil défensif d'une valeur bancaire de qualité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(8 112 FCFA) et la MM50 (8 066 FCFA) se situent toutes deux sous le cours actuel de 8 150 FCFA, avec la MM20 au-dessus de la MM50, configuration classique de tendance haussière de court terme. Cette disposition en "golden cross" implicite justifie la décision technique d'**Achat**, le cours évoluant au-dessus de ses supports mobiles.</w:t>
      </w:r>
    </w:p>
    <w:p>
      <w:pPr>
        <w:spacing w:after="120" w:line="276" w:lineRule="auto"/>
      </w:pPr>
      <w:r>
        <w:t>**Bandes de Bollinger** : Le cours (8 150 FCFA) se situe dans la partie supérieure de la bande, entre la borne inférieure (7 786 FCFA) et la borne supérieure (8 438 FCFA), sans franchissement des extrêmes. Cette position médiane-haute traduit une volatilité normale et une absence de signal directionnel fort, justifiant la décision **Neutre**.</w:t>
      </w:r>
    </w:p>
    <w:p>
      <w:pPr>
        <w:spacing w:after="120" w:line="276" w:lineRule="auto"/>
      </w:pPr>
      <w:r>
        <w:t>**MACD** : La ligne MACD (37,562) surpasse nettement son signal (29,54), générant un histogramme positif qui confirme un momentum haussier en cours de renforcement. Cette divergence positive soutient la décision d'**Achat**, bien que l'ampleur de l'écart invite à surveiller un éventuel essoufflement.</w:t>
      </w:r>
    </w:p>
    <w:p>
      <w:pPr>
        <w:spacing w:after="120" w:line="276" w:lineRule="auto"/>
      </w:pPr>
      <w:r>
        <w:t>**RSI** : À 57,273, l'indice de force relative se situe en zone neutre (30-70), sans signal de surachat (&gt;70) ni de survente (&lt;30). Cette position médiane indique un équilibre entre acheteurs et vendeurs, justifiant la décision **Neutre** et suggérant une marge de progression résiduelle avant saturation.</w:t>
      </w:r>
    </w:p>
    <w:p>
      <w:pPr>
        <w:spacing w:after="120" w:line="276" w:lineRule="auto"/>
      </w:pPr>
      <w:r>
        <w:t>**Stochastique** : Le %K (83,333) et le %D (94,444) évoluent en zone de surachat, avec un %K sous le %D signalant un début de croisement baissier potentiel. Cette configuration avancée en territoire extrême justifie la décision de **Vente**, indiquant une probabilité élevée de correction à court terme.</w:t>
      </w:r>
    </w:p>
    <w:p>
      <w:pPr>
        <w:spacing w:after="120" w:line="276" w:lineRule="auto"/>
      </w:pPr>
      <w:r>
        <w:t>**Conclusion technique** : Les indicateurs présentent une divergence notable : les moyennes mobiles et le MACD plaident pour un maintien haussier, tandis que le stochastique en zone de surachat et le RSI neutre suggèrent une consolidation imminente. Le titre se trouve à un point d'inflexion où la prudence à court terme (stochastique) coexiste avec une structure de fond encore positive (MM, MACD), invitant à privilégier une approche d'attente ou d'achat sur repli plutôt qu'un engagement agressif au cours actuel.</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BOAS affiche un Produit Net Bancaire (PNB) de 51,926 milliards FCFA, un résultat net de 21,905 milliards FCFA, un ROE remarquable de 22,69% (largement supérieur au seuil d'excellence de 15%) et un ROA de 2,62%. Le coefficient d'exploitation de 44,02% confirme une efficacité opérationnelle excellente (&lt; 50%), tandis que le coût du risque rapporté aux charges financières s'établit à 23,31%, niveau élevé qui appelle une surveillance accrue de la qualité du portefeuille de crédits. La structure bilancielle affiche des dépôts clientèle de 686,927 milliards FCFA pour des créances clientèle de 386,424 milliards FCFA, soit un ratio de transformation (crédits/dépôts) de 56,3%, traduisant une surliquidité relative mais aussi une marge de déploiement des crédits. Les créances interbancaires de 72,929 milliards FCFA et le portefeuille de titres d'État de 220,680 milliards FCFA confirment une gestion prudente de la liquidité.</w:t>
      </w:r>
    </w:p>
    <w:p>
      <w:pPr>
        <w:spacing w:after="120" w:line="276" w:lineRule="auto"/>
      </w:pPr>
      <w:r>
        <w:t>**Estimations basées sur les rapports trimestriels** : Le rapport du T1 2026 (publié le 31 mars 2026) indique un PNB de 12,580 milliards FCFA en hausse de 6,82% et un résultat net de 5,741 milliards FCFA en progression de 9,78%, avec un coefficient d'exploitation amélioré à 42,1% (contre 42,8% un an plus tôt). Le rapport semestriel 2026 (analysé le 23 septembre 2026) confirme cette dynamique avec un PNB semestriel de 27,206 milliards FCFA en hausse. Sur cette base, on estime que l'exercice 2026 devrait enregistrer un PNB annuel d'environ 54-55 milliards FCFA (+5 à +6%) et un résultat net proche de 23-24 milliards FCFA (+6 à +9%), poursuivant la trajectoire de croissance régulière observée depuis 2021 (résultat net de 11,070 milliards FCFA en 2021, soit un doublement en quatre ans). Le rapport du T3 2025 (30 septembre 2025) confirmait déjà cette tendance avec un résultat net cumulé de 16,37 milliards FCFA en hausse de 10,01%.</w:t>
      </w:r>
    </w:p>
    <w:p>
      <w:pPr>
        <w:spacing w:after="120" w:line="276" w:lineRule="auto"/>
      </w:pPr>
      <w:r>
        <w:t>**Recommandation fondamentale** : La solidité financière de BOAS est incontestable — rentabilité élevée, efficacité opérationnelle excellente, croissance régulière et structure bilancielle saine. Les principaux risques résident dans le coût du risque élevé (23,31%), la concentration sur le marché sénégalais et un environnement concurrentiel intense. La dynamique fondamentale reste positive, soutenue par un nouveau Plan Triennal 2025-2027 et une collecte de dépôts vigoureuse (+13,6% au T1 2026).</w:t>
      </w:r>
    </w:p>
    <w:p>
      <w:pPr>
        <w:spacing w:after="120" w:line="276" w:lineRule="auto"/>
      </w:pPr>
      <w:r>
        <w:t>---</w:t>
      </w:r>
    </w:p>
    <w:p>
      <w:pPr>
        <w:spacing w:after="120" w:line="276" w:lineRule="auto"/>
      </w:pPr>
      <w:r>
        <w:t>## PARTIE 4 : CONCLUSION D'INVESTISSEMENT</w:t>
      </w:r>
    </w:p>
    <w:p>
      <w:pPr>
        <w:spacing w:after="120" w:line="276" w:lineRule="auto"/>
      </w:pPr>
      <w:r>
        <w:t>La valorisation de BOAS (PER 13,4x, P/B 3,04x, EV/EBITDA 8,7x) indique une juste appréciation du titre, avec une légère prime de qualité mais sans excès de surévaluation. Le comportement du cours sur 100 jours (+1,24%, volatilité modérée de 26%, distribution symétrique et platykurtique) révèle une stabilité rassurante, bien que la récente baisse de -1,21% en J-1 et le stochastique en zone de surachat (94,4%) suggèrent une consolidation à court terme. Les signaux techniques sont divergents : haussiers pour les MM et le MACD, neutres pour le RSI et les Bollinger, baissiers pour le stochastique — configuration qui plaide pour une prudence tactique. Les fondamentaux demeurent le point d'ancrage fort de la thèse d'investissement : ROE de 22,69%, coefficient d'exploitation de 44,02%, croissance du résultat net estimée à +6-9% pour 2026, et une trajectoire historique de doublement du bénéfice en quatre ans. Les prédictions IA (J+1 à J+10) anticipent une correction progressive vers 7 556 FCFA (-7,3%), ce qui contredit les signaux haussiers des moyennes mobiles mais valide l'alerte du stochastique en surachat. **Recommandation finale : CONSERVER**, avec un biais d'achat sur repli vers 7 800-7 900 FCFA. Le niveau de confiance est **Moyen** (divergence technique vs fondamental), le risque global est **Moyen** (coût du risque élevé, concentration géographique), et l'horizon optimal est le **moyen terme (3-12 mois)** pour capturer la croissance bénéficiaire tout en laissant la consolidation technique se dérouler.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18.12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2,050 titres</w:t>
            </w:r>
          </w:p>
        </w:tc>
        <w:tc>
          <w:tcPr>
            <w:tcW w:type="dxa" w:w="2268"/>
            <w:shd w:fill="FFF2CC" w:val="clear"/>
          </w:tcPr>
          <w:p>
            <w:r>
              <w:rPr>
                <w:b/>
                <w:color w:val="503200"/>
                <w:sz w:val="16"/>
              </w:rPr>
              <w:t xml:space="preserve">Cours actuel : </w:t>
            </w:r>
            <w:r>
              <w:rPr>
                <w:color w:val="000000"/>
                <w:sz w:val="17"/>
              </w:rPr>
              <w:t>3,060 FCFA</w:t>
            </w:r>
          </w:p>
          <w:p>
            <w:r>
              <w:rPr>
                <w:b/>
                <w:color w:val="503200"/>
                <w:sz w:val="16"/>
              </w:rPr>
              <w:t xml:space="preserve">Var. 100 jours : </w:t>
            </w:r>
            <w:r>
              <w:rPr>
                <w:b/>
                <w:color w:val="B40000"/>
                <w:sz w:val="17"/>
              </w:rPr>
              <w:t>-10.13%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3,060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8.40% (Moyenne) — μ=3,666 FCFA, σ=308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β=0.3308 (Défensif) — Cov=0.000024, Var(idx)=0.000074, ρ=0.100,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σ_j=2.93%/j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2,984</w:t>
            </w:r>
          </w:p>
        </w:tc>
        <w:tc>
          <w:tcPr>
            <w:tcW w:type="dxa" w:w="1440"/>
            <w:shd w:fill="FAFAFA" w:val="clear"/>
          </w:tcPr>
          <w:p>
            <w:r>
              <w:rPr>
                <w:b/>
                <w:sz w:val="17"/>
              </w:rPr>
              <w:t>3,102</w:t>
            </w:r>
          </w:p>
        </w:tc>
        <w:tc>
          <w:tcPr>
            <w:tcW w:type="dxa" w:w="1440"/>
            <w:shd w:fill="FAFAFA" w:val="clear"/>
          </w:tcPr>
          <w:p>
            <w:r>
              <w:rPr>
                <w:sz w:val="17"/>
              </w:rPr>
              <w:t>3,220</w:t>
            </w:r>
          </w:p>
        </w:tc>
        <w:tc>
          <w:tcPr>
            <w:tcW w:type="dxa" w:w="1440"/>
            <w:shd w:fill="FAFAFA" w:val="clear"/>
          </w:tcPr>
          <w:p>
            <w:r>
              <w:rPr>
                <w:b/>
                <w:color w:val="008000"/>
                <w:sz w:val="17"/>
              </w:rPr>
              <w:t>+1.4%</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2,927</w:t>
            </w:r>
          </w:p>
        </w:tc>
        <w:tc>
          <w:tcPr>
            <w:tcW w:type="dxa" w:w="1440"/>
            <w:shd w:fill="FAFAFA" w:val="clear"/>
          </w:tcPr>
          <w:p>
            <w:r>
              <w:rPr>
                <w:b/>
                <w:sz w:val="17"/>
              </w:rPr>
              <w:t>3,093</w:t>
            </w:r>
          </w:p>
        </w:tc>
        <w:tc>
          <w:tcPr>
            <w:tcW w:type="dxa" w:w="1440"/>
            <w:shd w:fill="FAFAFA" w:val="clear"/>
          </w:tcPr>
          <w:p>
            <w:r>
              <w:rPr>
                <w:sz w:val="17"/>
              </w:rPr>
              <w:t>3,259</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2,893</w:t>
            </w:r>
          </w:p>
        </w:tc>
        <w:tc>
          <w:tcPr>
            <w:tcW w:type="dxa" w:w="1440"/>
            <w:shd w:fill="FAFAFA" w:val="clear"/>
          </w:tcPr>
          <w:p>
            <w:r>
              <w:rPr>
                <w:b/>
                <w:sz w:val="17"/>
              </w:rPr>
              <w:t>3,097</w:t>
            </w:r>
          </w:p>
        </w:tc>
        <w:tc>
          <w:tcPr>
            <w:tcW w:type="dxa" w:w="1440"/>
            <w:shd w:fill="FAFAFA" w:val="clear"/>
          </w:tcPr>
          <w:p>
            <w:r>
              <w:rPr>
                <w:sz w:val="17"/>
              </w:rPr>
              <w:t>3,300</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2,867</w:t>
            </w:r>
          </w:p>
        </w:tc>
        <w:tc>
          <w:tcPr>
            <w:tcW w:type="dxa" w:w="1440"/>
            <w:shd w:fill="FAFAFA" w:val="clear"/>
          </w:tcPr>
          <w:p>
            <w:r>
              <w:rPr>
                <w:b/>
                <w:sz w:val="17"/>
              </w:rPr>
              <w:t>3,102</w:t>
            </w:r>
          </w:p>
        </w:tc>
        <w:tc>
          <w:tcPr>
            <w:tcW w:type="dxa" w:w="1440"/>
            <w:shd w:fill="FAFAFA" w:val="clear"/>
          </w:tcPr>
          <w:p>
            <w:r>
              <w:rPr>
                <w:sz w:val="17"/>
              </w:rPr>
              <w:t>3,338</w:t>
            </w:r>
          </w:p>
        </w:tc>
        <w:tc>
          <w:tcPr>
            <w:tcW w:type="dxa" w:w="1440"/>
            <w:shd w:fill="FAFAFA" w:val="clear"/>
          </w:tcPr>
          <w:p>
            <w:r>
              <w:rPr>
                <w:b/>
                <w:color w:val="008000"/>
                <w:sz w:val="17"/>
              </w:rPr>
              <w:t>+1.4%</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2,844</w:t>
            </w:r>
          </w:p>
        </w:tc>
        <w:tc>
          <w:tcPr>
            <w:tcW w:type="dxa" w:w="1440"/>
            <w:shd w:fill="FAFAFA" w:val="clear"/>
          </w:tcPr>
          <w:p>
            <w:r>
              <w:rPr>
                <w:b/>
                <w:sz w:val="17"/>
              </w:rPr>
              <w:t>3,108</w:t>
            </w:r>
          </w:p>
        </w:tc>
        <w:tc>
          <w:tcPr>
            <w:tcW w:type="dxa" w:w="1440"/>
            <w:shd w:fill="FAFAFA" w:val="clear"/>
          </w:tcPr>
          <w:p>
            <w:r>
              <w:rPr>
                <w:sz w:val="17"/>
              </w:rPr>
              <w:t>3,371</w:t>
            </w:r>
          </w:p>
        </w:tc>
        <w:tc>
          <w:tcPr>
            <w:tcW w:type="dxa" w:w="1440"/>
            <w:shd w:fill="FAFAFA" w:val="clear"/>
          </w:tcPr>
          <w:p>
            <w:r>
              <w:rPr>
                <w:b/>
                <w:color w:val="008000"/>
                <w:sz w:val="17"/>
              </w:rPr>
              <w:t>+1.6%</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2,822</w:t>
            </w:r>
          </w:p>
        </w:tc>
        <w:tc>
          <w:tcPr>
            <w:tcW w:type="dxa" w:w="1440"/>
            <w:shd w:fill="FAFAFA" w:val="clear"/>
          </w:tcPr>
          <w:p>
            <w:r>
              <w:rPr>
                <w:b/>
                <w:sz w:val="17"/>
              </w:rPr>
              <w:t>3,111</w:t>
            </w:r>
          </w:p>
        </w:tc>
        <w:tc>
          <w:tcPr>
            <w:tcW w:type="dxa" w:w="1440"/>
            <w:shd w:fill="FAFAFA" w:val="clear"/>
          </w:tcPr>
          <w:p>
            <w:r>
              <w:rPr>
                <w:sz w:val="17"/>
              </w:rPr>
              <w:t>3,401</w:t>
            </w:r>
          </w:p>
        </w:tc>
        <w:tc>
          <w:tcPr>
            <w:tcW w:type="dxa" w:w="1440"/>
            <w:shd w:fill="FAFAFA" w:val="clear"/>
          </w:tcPr>
          <w:p>
            <w:r>
              <w:rPr>
                <w:b/>
                <w:color w:val="008000"/>
                <w:sz w:val="17"/>
              </w:rPr>
              <w:t>+1.7%</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2,800</w:t>
            </w:r>
          </w:p>
        </w:tc>
        <w:tc>
          <w:tcPr>
            <w:tcW w:type="dxa" w:w="1440"/>
            <w:shd w:fill="FAFAFA" w:val="clear"/>
          </w:tcPr>
          <w:p>
            <w:r>
              <w:rPr>
                <w:b/>
                <w:sz w:val="17"/>
              </w:rPr>
              <w:t>3,113</w:t>
            </w:r>
          </w:p>
        </w:tc>
        <w:tc>
          <w:tcPr>
            <w:tcW w:type="dxa" w:w="1440"/>
            <w:shd w:fill="FAFAFA" w:val="clear"/>
          </w:tcPr>
          <w:p>
            <w:r>
              <w:rPr>
                <w:sz w:val="17"/>
              </w:rPr>
              <w:t>3,425</w:t>
            </w:r>
          </w:p>
        </w:tc>
        <w:tc>
          <w:tcPr>
            <w:tcW w:type="dxa" w:w="1440"/>
            <w:shd w:fill="FAFAFA" w:val="clear"/>
          </w:tcPr>
          <w:p>
            <w:r>
              <w:rPr>
                <w:b/>
                <w:color w:val="008000"/>
                <w:sz w:val="17"/>
              </w:rPr>
              <w:t>+1.7%</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2,777</w:t>
            </w:r>
          </w:p>
        </w:tc>
        <w:tc>
          <w:tcPr>
            <w:tcW w:type="dxa" w:w="1440"/>
            <w:shd w:fill="FAFAFA" w:val="clear"/>
          </w:tcPr>
          <w:p>
            <w:r>
              <w:rPr>
                <w:b/>
                <w:sz w:val="17"/>
              </w:rPr>
              <w:t>3,111</w:t>
            </w:r>
          </w:p>
        </w:tc>
        <w:tc>
          <w:tcPr>
            <w:tcW w:type="dxa" w:w="1440"/>
            <w:shd w:fill="FAFAFA" w:val="clear"/>
          </w:tcPr>
          <w:p>
            <w:r>
              <w:rPr>
                <w:sz w:val="17"/>
              </w:rPr>
              <w:t>3,445</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2,754</w:t>
            </w:r>
          </w:p>
        </w:tc>
        <w:tc>
          <w:tcPr>
            <w:tcW w:type="dxa" w:w="1440"/>
            <w:shd w:fill="FAFAFA" w:val="clear"/>
          </w:tcPr>
          <w:p>
            <w:r>
              <w:rPr>
                <w:b/>
                <w:sz w:val="17"/>
              </w:rPr>
              <w:t>3,108</w:t>
            </w:r>
          </w:p>
        </w:tc>
        <w:tc>
          <w:tcPr>
            <w:tcW w:type="dxa" w:w="1440"/>
            <w:shd w:fill="FAFAFA" w:val="clear"/>
          </w:tcPr>
          <w:p>
            <w:r>
              <w:rPr>
                <w:sz w:val="17"/>
              </w:rPr>
              <w:t>3,462</w:t>
            </w:r>
          </w:p>
        </w:tc>
        <w:tc>
          <w:tcPr>
            <w:tcW w:type="dxa" w:w="1440"/>
            <w:shd w:fill="FAFAFA" w:val="clear"/>
          </w:tcPr>
          <w:p>
            <w:r>
              <w:rPr>
                <w:b/>
                <w:color w:val="008000"/>
                <w:sz w:val="17"/>
              </w:rPr>
              <w:t>+1.6%</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2,731</w:t>
            </w:r>
          </w:p>
        </w:tc>
        <w:tc>
          <w:tcPr>
            <w:tcW w:type="dxa" w:w="1440"/>
            <w:shd w:fill="FAFAFA" w:val="clear"/>
          </w:tcPr>
          <w:p>
            <w:r>
              <w:rPr>
                <w:b/>
                <w:sz w:val="17"/>
              </w:rPr>
              <w:t>3,103</w:t>
            </w:r>
          </w:p>
        </w:tc>
        <w:tc>
          <w:tcPr>
            <w:tcW w:type="dxa" w:w="1440"/>
            <w:shd w:fill="FAFAFA" w:val="clear"/>
          </w:tcPr>
          <w:p>
            <w:r>
              <w:rPr>
                <w:sz w:val="17"/>
              </w:rPr>
              <w:t>3,476</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18,12 milliards FCFA, CABC se situe dans la catégorie des petites capitalisations de la BRVM, ce qui implique une liquidité limitée et une sensibilité accrue aux mouvements de marché. Le BPA de 243 FCFA/action indique que chaque titre génère un bénéfice net de 243 FCFA, ce qui, rapporté au cours actuel de 3 060 FCFA, aboutit à un PER de 12,6x — un niveau modéré, légèrement supérieur à la moyenne BRVM (8-12x), suggérant que le marché intègre déjà une prime de croissance. Le P/B de 1,94x montre que le marché valorise l'entreprise à près du double de sa valeur comptable, ce qui reste raisonnable pour une société industrielle affichant un ROE de 15,4%. Enfin, l'EV/EBITDA de 6,1x traduit une valorisation équilibrée de la valeur d'entreprise par rapport à sa capacité opérationnelle, dans la fourchette basse du secteur (5-10x), ce qui pourrait indiquer une sous-évaluation relative si la rentabilité se maintient.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 enregistré une variation totale de -10,13%, avec une chute brutale de -6,99% lors de la dernière séance (J-1), portant le cours à 3 060 FCFA — soit exactement le plus bas de la période, tandis que le plus haut a atteint 4 500 FCFA. Ce range de trading de 1 440 FCFA (soit 47% d'amplitude) témoigne d'une tendance baissière marquée, le titre ayant cédé près de la moitié de sa valeur depuis son sommet. Les statistiques descriptives révèlent une moyenne de 3 666 FCFA supérieure à la médiane de 3 592 FCFA, avec un mode à 3 500 FCFA, confirmant une asymétrie positive (skewness de 0,735) où davantage de journées se sont négociées sous la moyenne, mais avec des pics haussiers occasionnels. L'écart-type de 309 FCFA (CV de 8,4%) indique une dispersion modérée autour de la moyenne, tandis que le kurtosis de 0,237 (mésokurtique) suggère une distribution proche de la normale, sans risque extrême de pics violents. La volatilité annualisée de 46,4% classe ce titre dans la catégorie des valeurs très volatiles (&gt;30%), ce qui est cohérent avec sa faible capitalisation et sa liquidité restreinte (volume moyen de 2 050 titres/jour).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(3 315,5 FCFA) et la MM50 (3 447,5 FCFA) se situent toutes deux bien au-dessus du cours actuel (3 060 FCFA), confirmant une pression baissière persistante. Le croisement baissier (MM20 &lt; MM50) et l'éloignement du cours sous ces moyennes justifient pleinement la décision de **Vente** émise par cet indicateur.</w:t>
      </w:r>
    </w:p>
    <w:p>
      <w:pPr>
        <w:spacing w:after="120" w:line="276" w:lineRule="auto"/>
      </w:pPr>
      <w:r>
        <w:t>**Bandes de Bollinger** : Le cours (3 060 FCFA) se situe légèrement sous la borne inférieure (3 083,9 FCFA), signalant une situation de survente extrême et une volatilité accrue. Cette position sous la bande inférieure génère une décision d'**Achat** technique, anticipant un rebond potentiel vers la moyenne mobile des 20 jours (3 315 FCFA).</w:t>
      </w:r>
    </w:p>
    <w:p>
      <w:pPr>
        <w:spacing w:after="120" w:line="276" w:lineRule="auto"/>
      </w:pPr>
      <w:r>
        <w:t>**MACD** : La valeur du MACD (-84,839) est inférieure à son signal (-71,439), avec un histogramme négatif, confirmant un momentum baissier toujours actif. La divergence négative entre les deux lignes justifie la décision de **Vente**, bien que l'écart commence à se réduire, suggérant un essoufflement progressif de la tendance baissière.</w:t>
      </w:r>
    </w:p>
    <w:p>
      <w:pPr>
        <w:spacing w:after="120" w:line="276" w:lineRule="auto"/>
      </w:pPr>
      <w:r>
        <w:t>**RSI** : À 41,139, le RSI se situe dans la zone neutre (30-70), sans signal de survente ni de surachat. Cette position médiane justifie la décision **Neutre**, indiquant que le titre n'est ni dans une phase d'épuisement baissier ni dans une dynamique haussière établie.</w:t>
      </w:r>
    </w:p>
    <w:p>
      <w:pPr>
        <w:spacing w:after="120" w:line="276" w:lineRule="auto"/>
      </w:pPr>
      <w:r>
        <w:t>**Stochastique** : Le %K (0,0) est au plus bas absolu, tandis que le %D (17,778) reste en zone de survente, avec un croisement potentiel à venir. Cette configuration extrême génère une décision d'**Achat** technique, le %K à 0 signalant une capitulation des vendeurs et une probabilité élevée de rebond à court terme.</w:t>
      </w:r>
    </w:p>
    <w:p>
      <w:pPr>
        <w:spacing w:after="120" w:line="276" w:lineRule="auto"/>
      </w:pPr>
      <w:r>
        <w:t>**Conclusion technique** : Les indicateurs présentent une divergence notable : les moyennes mobiles et le MACD confirment la tendance baissière de fond, tandis que les Bandes de Bollinger et le Stochastique signalent une survente extrême propice à un rebond technique. Le RSI neutre ne tranche pas, mais l'ensemble suggère un potentiel de rebond à court terme vers 3 100-3 300 FCFA, sans inversion de tendance durable tant que le cours reste sous la MM50 (3 447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CABC affichent un chiffre d'affaires de 21 263 M FCFA, en croissance de 11,18% sur un an, avec un résultat net de 1 439 M FCFA (marge nette de 6,77%). Le ROE s'établit à 15,40% (excellent, &gt;15%) et le ROA à 6,10%, confirmant une bonne rentabilité des fonds propres malgré un actif lourd. Sur le plan structurel, l'autonomie financière est saine (39,58%), la liquidité générale confortable (242,60%) et la trésorerie nette positive (5 139 M FCFA), mais le BFR de 7 186 M FCFA et les délais clients (144,69 jours) et de stockage (152,12 jours) révèlent une immobilisation importante de capital et un risque de trésorerie. Le flux opérationnel est négatif (-819,66 M FCFA) et le Free Cash Flow s'établit à -982,71 M FCFA, ce qui contraste avec la CAF positive (1 593 M FCFA). Les rapports trimestriels de 2025 (S1 et T3) confirment une dynamique favorable : le CA du S1 2025 (10 772,9 M FCFA, +12,0%) et du T3 2025 (16 630,0 M FCFA, +13,7%) soutiennent une estimation de CA annuel 2025 supérieur à 21 Mds FCFA, avec un résultat net S1 de 851,5 M FCFA (+55,3%) et un T3 de 1 329,5 M FCFA (+26,0%). Toutefois, le rapport T1 2026 (publié en 2026) signale une dégradation brutale : CA en baisse de 26,5% à 3 794 M FCFA et perte nette de 221,7 M FCFA, due à une maintenance planifiée et à l'inflation des cours des métaux (+23% en 3 mois). La direction anticipe une normalisation dès le T2 2026, mais cette incertitude pèse sur les perspectives. La recommandation fondamentale est donc **CONSERVER** avec vigilance, en surveillant la capacité de l'entreprise à restaurer ses marges et à générer des flux de trésorerie positifs.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modérément attractive : le PER de 12,6x est légèrement supérieur à la moyenne BRVM, mais l'EV/EBITDA de 6,1x et le P/B de 1,94x suggèrent une valorisation raisonnable, voire une sous-évaluation relative si la rentabilité se maintient. Le comportement du cours (Partie 1) est préoccupant : tendance baissière de -10,13% sur 100 jours, volatilité élevée (46,4%), skewness positive et cours au plus bas — mais la survente extrême (Bollinger, Stochastique) et le kurtosis mésokurtique (absence de risque extrême) plaident pour un rebond technique à court terme. Les signaux techniques (Partie 2) sont divergents : vente pour les MM et le MACD, achat pour les Bollinger et le Stochastique, neutre pour le RSI — cette configuration suggère un rebond tactique mais pas d'inversion de tendance. Les fondamentaux (Partie 3) restent solides pour 2025 (CA +11,2%, ROE 15,4%, trésorerie positive), mais le T1 2026 déficitaire et les délais clients élevés introduisent une incertitude significative. Les prédictions IA (J+1 à J+10) anticipent une stabilisation autour de 3 093-3 108 FCFA, confirmant un rebond modéré mais limité, sans rupture haussière. Sur la base de cette synthèse, la recommandation finale est **CONSERVER**, avec un niveau de confiance **Moyen** et un risque global **Élevé** (volatilité, liquidité faible, incertitude T1 2026). L'horizon d'investissement optimal est **moyen terme (3-12 mois)**, en attendant la confirmation de la normalisation des performances au T2 2026 et une amélioration des flux de trésorerie.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1,521 titres</w:t>
            </w:r>
          </w:p>
        </w:tc>
        <w:tc>
          <w:tcPr>
            <w:tcW w:type="dxa" w:w="2268"/>
            <w:shd w:fill="FFF2CC" w:val="clear"/>
          </w:tcPr>
          <w:p>
            <w:r>
              <w:rPr>
                <w:b/>
                <w:color w:val="503200"/>
                <w:sz w:val="16"/>
              </w:rPr>
              <w:t xml:space="preserve">Cours actuel : </w:t>
            </w:r>
            <w:r>
              <w:rPr>
                <w:color w:val="000000"/>
                <w:sz w:val="17"/>
              </w:rPr>
              <w:t>30,000 FCFA</w:t>
            </w:r>
          </w:p>
          <w:p>
            <w:r>
              <w:rPr>
                <w:b/>
                <w:color w:val="503200"/>
                <w:sz w:val="16"/>
              </w:rPr>
              <w:t xml:space="preserve">Var. 100 jours : </w:t>
            </w:r>
            <w:r>
              <w:rPr>
                <w:b/>
                <w:color w:val="007800"/>
                <w:sz w:val="17"/>
              </w:rPr>
              <w:t>+46.34%</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20,500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15.34% (Élevée) — μ=27,469 FCFA, σ=4,214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β=1.3505 (Agressif) — Cov=0.000100, Var(idx)=0.000074, ρ=0.414,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98627"/>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28,045</w:t>
            </w:r>
          </w:p>
        </w:tc>
        <w:tc>
          <w:tcPr>
            <w:tcW w:type="dxa" w:w="1440"/>
            <w:shd w:fill="FAFAFA" w:val="clear"/>
          </w:tcPr>
          <w:p>
            <w:r>
              <w:rPr>
                <w:b/>
                <w:sz w:val="17"/>
              </w:rPr>
              <w:t>29,637</w:t>
            </w:r>
          </w:p>
        </w:tc>
        <w:tc>
          <w:tcPr>
            <w:tcW w:type="dxa" w:w="1440"/>
            <w:shd w:fill="FAFAFA" w:val="clear"/>
          </w:tcPr>
          <w:p>
            <w:r>
              <w:rPr>
                <w:sz w:val="17"/>
              </w:rPr>
              <w:t>31,229</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2026-10-15</w:t>
            </w:r>
          </w:p>
        </w:tc>
        <w:tc>
          <w:tcPr>
            <w:tcW w:type="dxa" w:w="1440"/>
            <w:shd w:fill="FFDCE0" w:val="clear"/>
          </w:tcPr>
          <w:p>
            <w:r>
              <w:rPr>
                <w:sz w:val="17"/>
              </w:rPr>
              <w:t>27,165</w:t>
            </w:r>
          </w:p>
        </w:tc>
        <w:tc>
          <w:tcPr>
            <w:tcW w:type="dxa" w:w="1440"/>
            <w:shd w:fill="FFDCE0" w:val="clear"/>
          </w:tcPr>
          <w:p>
            <w:r>
              <w:rPr>
                <w:b/>
                <w:sz w:val="17"/>
              </w:rPr>
              <w:t>29,399</w:t>
            </w:r>
          </w:p>
        </w:tc>
        <w:tc>
          <w:tcPr>
            <w:tcW w:type="dxa" w:w="1440"/>
            <w:shd w:fill="FFDCE0" w:val="clear"/>
          </w:tcPr>
          <w:p>
            <w:r>
              <w:rPr>
                <w:sz w:val="17"/>
              </w:rPr>
              <w:t>31,633</w:t>
            </w:r>
          </w:p>
        </w:tc>
        <w:tc>
          <w:tcPr>
            <w:tcW w:type="dxa" w:w="1440"/>
            <w:shd w:fill="FFDCE0"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2026-10-16</w:t>
            </w:r>
          </w:p>
        </w:tc>
        <w:tc>
          <w:tcPr>
            <w:tcW w:type="dxa" w:w="1440"/>
            <w:shd w:fill="FFDCE0" w:val="clear"/>
          </w:tcPr>
          <w:p>
            <w:r>
              <w:rPr>
                <w:sz w:val="17"/>
              </w:rPr>
              <w:t>26,523</w:t>
            </w:r>
          </w:p>
        </w:tc>
        <w:tc>
          <w:tcPr>
            <w:tcW w:type="dxa" w:w="1440"/>
            <w:shd w:fill="FFDCE0" w:val="clear"/>
          </w:tcPr>
          <w:p>
            <w:r>
              <w:rPr>
                <w:b/>
                <w:sz w:val="17"/>
              </w:rPr>
              <w:t>29,244</w:t>
            </w:r>
          </w:p>
        </w:tc>
        <w:tc>
          <w:tcPr>
            <w:tcW w:type="dxa" w:w="1440"/>
            <w:shd w:fill="FFDCE0" w:val="clear"/>
          </w:tcPr>
          <w:p>
            <w:r>
              <w:rPr>
                <w:sz w:val="17"/>
              </w:rPr>
              <w:t>31,965</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2026-10-19</w:t>
            </w:r>
          </w:p>
        </w:tc>
        <w:tc>
          <w:tcPr>
            <w:tcW w:type="dxa" w:w="1440"/>
            <w:shd w:fill="FFDCE0" w:val="clear"/>
          </w:tcPr>
          <w:p>
            <w:r>
              <w:rPr>
                <w:sz w:val="17"/>
              </w:rPr>
              <w:t>25,991</w:t>
            </w:r>
          </w:p>
        </w:tc>
        <w:tc>
          <w:tcPr>
            <w:tcW w:type="dxa" w:w="1440"/>
            <w:shd w:fill="FFDCE0" w:val="clear"/>
          </w:tcPr>
          <w:p>
            <w:r>
              <w:rPr>
                <w:b/>
                <w:sz w:val="17"/>
              </w:rPr>
              <w:t>29,120</w:t>
            </w:r>
          </w:p>
        </w:tc>
        <w:tc>
          <w:tcPr>
            <w:tcW w:type="dxa" w:w="1440"/>
            <w:shd w:fill="FFDCE0" w:val="clear"/>
          </w:tcPr>
          <w:p>
            <w:r>
              <w:rPr>
                <w:sz w:val="17"/>
              </w:rPr>
              <w:t>32,249</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2026-10-20</w:t>
            </w:r>
          </w:p>
        </w:tc>
        <w:tc>
          <w:tcPr>
            <w:tcW w:type="dxa" w:w="1440"/>
            <w:shd w:fill="FFDCE0" w:val="clear"/>
          </w:tcPr>
          <w:p>
            <w:r>
              <w:rPr>
                <w:sz w:val="17"/>
              </w:rPr>
              <w:t>25,525</w:t>
            </w:r>
          </w:p>
        </w:tc>
        <w:tc>
          <w:tcPr>
            <w:tcW w:type="dxa" w:w="1440"/>
            <w:shd w:fill="FFDCE0" w:val="clear"/>
          </w:tcPr>
          <w:p>
            <w:r>
              <w:rPr>
                <w:b/>
                <w:sz w:val="17"/>
              </w:rPr>
              <w:t>29,010</w:t>
            </w:r>
          </w:p>
        </w:tc>
        <w:tc>
          <w:tcPr>
            <w:tcW w:type="dxa" w:w="1440"/>
            <w:shd w:fill="FFDCE0" w:val="clear"/>
          </w:tcPr>
          <w:p>
            <w:r>
              <w:rPr>
                <w:sz w:val="17"/>
              </w:rPr>
              <w:t>32,494</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2026-10-21</w:t>
            </w:r>
          </w:p>
        </w:tc>
        <w:tc>
          <w:tcPr>
            <w:tcW w:type="dxa" w:w="1440"/>
            <w:shd w:fill="FFDCE0" w:val="clear"/>
          </w:tcPr>
          <w:p>
            <w:r>
              <w:rPr>
                <w:sz w:val="17"/>
              </w:rPr>
              <w:t>25,107</w:t>
            </w:r>
          </w:p>
        </w:tc>
        <w:tc>
          <w:tcPr>
            <w:tcW w:type="dxa" w:w="1440"/>
            <w:shd w:fill="FFDCE0" w:val="clear"/>
          </w:tcPr>
          <w:p>
            <w:r>
              <w:rPr>
                <w:b/>
                <w:sz w:val="17"/>
              </w:rPr>
              <w:t>28,911</w:t>
            </w:r>
          </w:p>
        </w:tc>
        <w:tc>
          <w:tcPr>
            <w:tcW w:type="dxa" w:w="1440"/>
            <w:shd w:fill="FFDCE0" w:val="clear"/>
          </w:tcPr>
          <w:p>
            <w:r>
              <w:rPr>
                <w:sz w:val="17"/>
              </w:rPr>
              <w:t>32,716</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24,726</w:t>
            </w:r>
          </w:p>
        </w:tc>
        <w:tc>
          <w:tcPr>
            <w:tcW w:type="dxa" w:w="1440"/>
            <w:shd w:fill="FFDCE0" w:val="clear"/>
          </w:tcPr>
          <w:p>
            <w:r>
              <w:rPr>
                <w:b/>
                <w:sz w:val="17"/>
              </w:rPr>
              <w:t>28,822</w:t>
            </w:r>
          </w:p>
        </w:tc>
        <w:tc>
          <w:tcPr>
            <w:tcW w:type="dxa" w:w="1440"/>
            <w:shd w:fill="FFDCE0" w:val="clear"/>
          </w:tcPr>
          <w:p>
            <w:r>
              <w:rPr>
                <w:sz w:val="17"/>
              </w:rPr>
              <w:t>32,919</w:t>
            </w:r>
          </w:p>
        </w:tc>
        <w:tc>
          <w:tcPr>
            <w:tcW w:type="dxa" w:w="1440"/>
            <w:shd w:fill="FFDCE0" w:val="clear"/>
          </w:tcPr>
          <w:p>
            <w:r>
              <w:rPr>
                <w:b/>
                <w:color w:val="C00000"/>
                <w:sz w:val="17"/>
              </w:rPr>
              <w:t>-3.9%</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24,378</w:t>
            </w:r>
          </w:p>
        </w:tc>
        <w:tc>
          <w:tcPr>
            <w:tcW w:type="dxa" w:w="1440"/>
            <w:shd w:fill="FFDCE0" w:val="clear"/>
          </w:tcPr>
          <w:p>
            <w:r>
              <w:rPr>
                <w:b/>
                <w:sz w:val="17"/>
              </w:rPr>
              <w:t>28,745</w:t>
            </w:r>
          </w:p>
        </w:tc>
        <w:tc>
          <w:tcPr>
            <w:tcW w:type="dxa" w:w="1440"/>
            <w:shd w:fill="FFDCE0" w:val="clear"/>
          </w:tcPr>
          <w:p>
            <w:r>
              <w:rPr>
                <w:sz w:val="17"/>
              </w:rPr>
              <w:t>33,113</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24,055</w:t>
            </w:r>
          </w:p>
        </w:tc>
        <w:tc>
          <w:tcPr>
            <w:tcW w:type="dxa" w:w="1440"/>
            <w:shd w:fill="FFDCE0" w:val="clear"/>
          </w:tcPr>
          <w:p>
            <w:r>
              <w:rPr>
                <w:b/>
                <w:sz w:val="17"/>
              </w:rPr>
              <w:t>28,676</w:t>
            </w:r>
          </w:p>
        </w:tc>
        <w:tc>
          <w:tcPr>
            <w:tcW w:type="dxa" w:w="1440"/>
            <w:shd w:fill="FFDCE0" w:val="clear"/>
          </w:tcPr>
          <w:p>
            <w:r>
              <w:rPr>
                <w:sz w:val="17"/>
              </w:rPr>
              <w:t>33,298</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23,753</w:t>
            </w:r>
          </w:p>
        </w:tc>
        <w:tc>
          <w:tcPr>
            <w:tcW w:type="dxa" w:w="1440"/>
            <w:shd w:fill="FFDCE0" w:val="clear"/>
          </w:tcPr>
          <w:p>
            <w:r>
              <w:rPr>
                <w:b/>
                <w:sz w:val="17"/>
              </w:rPr>
              <w:t>28,614</w:t>
            </w:r>
          </w:p>
        </w:tc>
        <w:tc>
          <w:tcPr>
            <w:tcW w:type="dxa" w:w="1440"/>
            <w:shd w:fill="FFDCE0" w:val="clear"/>
          </w:tcPr>
          <w:p>
            <w:r>
              <w:rPr>
                <w:sz w:val="17"/>
              </w:rPr>
              <w:t>33,475</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960,00 milliards FCFA, CBIBF s'impose comme l'une des toutes premières capitalisations de la BRVM, ce qui en fait un pilier de l'indice composite et un titre incontournable pour les investisseurs institutionnels de la zone UEMOA. Le BPA de 2 047 FCFA par action signifie que chaque titre génère près de 2 047 FCFA de bénéfice net, un niveau de rentabilité par action remarquable qui traduit la solidité du modèle bancaire de Coris. Le PER de 14,7x situe le titre légèrement au-dessus de la moyenne du marché BRVM (généralement comprise entre 8 et 12x), ce qui indique que les investisseurs acceptent de payer une prime de qualité pour cette valeur bancaire, sans pour autant tomber dans une zone de surévaluation spéculative. L'EV/EBITDA de 10,9x, dans la fourchette 10-15x, confirme une valorisation élevée mais cohérente avec la capacité opérationnelle dégagée par la banque. Le ratio P/B n'étant pas fourni dans les données disponibles, il n'est pas possible de comparer la valorisation de marché à la valeur comptable des fonds propres, mais la prime de PER suggère que le marché valorise déjà favorablement la qualité des actifs et la trajectoire bénéficiaire de l'établissement.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+46,34%, passant d'un plus bas de 20 500 FCFA à un plus haut de 34 450 FCFA, avant de se stabiliser à 30 000 FCFA, soit une variation quasi nulle de -0,05% sur la dernière séance. Ce range de trading de près de 14 000 FCFA témoigne d'une dynamique haussière puissante, portée par l'appétit des investisseurs pour les valeurs bancaires de qualité dans un contexte de résultats annuels 2025 exceptionnels. La moyenne du cours sur la période s'établit à 27 469 FCFA, légèrement en dessous de la médiane à 28 390 FCFA, ce qui révèle une distribution légèrement asymétrique à gauche, cohérente avec le skewness de -0,201 qui indique une symétrie quasi parfaite avec une très légère prédominance des valeurs basses. L'écart-type de 4 235 FCFA, associé à un coefficient de variation de 15,4%, traduit une dispersion modérée du cours autour de sa moyenne, tandis que le kurtosis de -1,208 (distribution platykurtique) signale une faible concentration des rendements et un risque de pics de volatilité moins prononcé qu'une distribution normale. La volatilité annualisée de 44,2% classe ce titre dans la catégorie des valeurs à volatilité élevée (&gt;30%), ce qui implique un potentiel de gain important mais aussi un risque de correction significatif, à mettre en perspective avec le contexte de forte appréciation récente.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31 580,75 FCFA et la MM50 à 30 783,50 FCFA se situent toutes deux au-dessus du cours actuel de 30 000 FCFA, ce qui place le titre en position de faiblesse relative par rapport à ses moyennes récentes. Toutefois, la MM20 reste supérieure à la MM50, confirmant que la tendance de fond demeure haussière malgré la consolidation actuelle. La décision technique affichée est "Achat", suggérant que le repli vers les moyennes mobiles constitue une opportunité d'entrée dans un trend haussier intact.</w:t>
      </w:r>
    </w:p>
    <w:p>
      <w:pPr>
        <w:spacing w:after="120" w:line="276" w:lineRule="auto"/>
      </w:pPr>
      <w:r>
        <w:t>**Bandes de Bollinger** : Le cours actuel de 30 000 FCFA se situe dans la partie basse de la bande de Bollinger, entre la borne inférieure à 28 335,72 FCFA et la borne supérieure à 34 825,78 FCFA, ce qui indique une pression vendeuse récente sans pour autant atteindre la zone de survente extrême. L'amplitude de la bande (environ 6 490 FCFA) reflète une volatilité encore soutenue. La décision "Neutre" traduit l'absence de signal directionnel fort, le titre évoluant dans une zone d'indécision technique.</w:t>
      </w:r>
    </w:p>
    <w:p>
      <w:pPr>
        <w:spacing w:after="120" w:line="276" w:lineRule="auto"/>
      </w:pPr>
      <w:r>
        <w:t>**MACD** : La valeur du MACD à -263,118 est nettement inférieure à son signal à 14,012, générant une divergence baissière qui indique un momentum négatif à court terme. Cette configuration suggère que la pression vendeuse pourrait persister quelques séances encore. La décision "Vente" confirme ce signal baissier, bien qu'il faille le relativiser au regard de la tendance haussière de fond.</w:t>
      </w:r>
    </w:p>
    <w:p>
      <w:pPr>
        <w:spacing w:after="120" w:line="276" w:lineRule="auto"/>
      </w:pPr>
      <w:r>
        <w:t>**RSI** : À 45,671, le RSI se situe dans la zone neutre (entre 30 et 70), sans signal de surachat ni de survente. Cette position médiane indique que le titre dispose d'un potentiel de rebond comme de repli, sans contrainte technique majeure. La décision "Neutre" est cohérente avec cette configuration équilibrée.</w:t>
      </w:r>
    </w:p>
    <w:p>
      <w:pPr>
        <w:spacing w:after="120" w:line="276" w:lineRule="auto"/>
      </w:pPr>
      <w:r>
        <w:t>**Stochastique** : Le %K à 34,731 et le %D à 33,536 évoluent tous deux dans la zone basse de l'indicateur, sans croisement haussier confirmé pour l'instant. La proximité des deux courbes suggère une stabilisation possible, mais l'absence de signal clair maintient la décision en "Neutre". Un croisement du %K au-dessus du %D serait un signal d'achat à surveiller.</w:t>
      </w:r>
    </w:p>
    <w:p>
      <w:pPr>
        <w:spacing w:after="120" w:line="276" w:lineRule="auto"/>
      </w:pPr>
      <w:r>
        <w:t>**Conclusion technique** : Les indicateurs techniques présentent un tableau mitigé, avec une tendance de fond haussière (MM20 &gt; MM50) contrariée par un momentum court terme négatif (MACD baissier) et une position neutre du RSI et du stochastique. Le titre se trouve dans une phase de consolidation après sa forte hausse, et la convergence des signaux neutres suggère une attente de catalyseur pour relancer la dynamique. La prudence est de mise à court terme, mais la structure haussière reste intacte tant que le cours se maintient au-dessus de la MM50.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performance exceptionnelle de Coris Bank International, avec un Produit Net Bancaire (équivalent du chiffre d'affaires pour une banque) de 138,986 milliards FCFA et un résultat net de 65,495 milliards FCFA, en progression spectaculaire de +36,6% par rapport aux 47,937 milliards FCFA de 2024. Cette performance est d'autant plus remarquable qu'elle succède à une année 2024 difficile, marquée par une chute de -25,4% du résultat net due à un assainissement massif du portefeuille de crédits (coût du risque en explosion de +72,5%). La marge nette de 47,12% et la marge opérationnelle de 51,77% témoignent d'une rentabilité élevée, tandis que le ROA de 2,18% et la rotation des actifs de 4,64% confirment l'efficacité de l'utilisation du bilan. Le coefficient d'exploitation de 36,39% est excellent pour le secteur bancaire (largement en dessous du seuil de 60% considéré comme efficace), traduisant une maîtrise remarquable des charges générales d'exploitation (50,574 milliards FCFA). Le taux de croissance du PNB de 6,11% reste modéré mais positif, soutenu par l'amélioration des marges d'intérêts et des commissions. Le ratio dépôts/crédits s'établit à 2 015,284 milliards FCFA de dépôts clientèle pour 1 326,977 milliards FCFA de créances clientèle, soit un ratio de transformation de 65,8%, indiquant une surliquidité relative et une politique de crédit sélective. Le coût du risque, bien qu'affiché à un niveau élevé dans les données structurées, s'est amélioré de 59,3% selon le rapport annuel 2025, passant à 16,5 milliards FCFA, ce qui traduit une normalisation de la qualité du portefeuille après l'assainissement de 2024. Les rapports trimestriels récents confirment cette dynamique : le T1 2026 (rapport du 31 mars 2026) affiche un PNB de 36,8 milliards FCFA en hausse de +28,5% et un résultat net de 21,5 milliards FCFA en progression de +22,2%, avec des dépôts clientèle bondissant de +37,9% à 2 365,1 milliards FCFA. Sur la base de ce premier trimestre 2026, on peut estimer que l'exercice 2026 devrait afficher un PNB annualisé supérieur à 150 milliards FCFA et un résultat net potentiellement supérieur à 75 milliards FCFA, confirmant la trajectoire de croissance soutenue. Le rapport annuel 2025 (publié le 31 décembre 2025) souligne la solidité du modèle d'affaires, la notation financière AA/AI avec perspective stable par Bloomfield Investment Corporation, et le renforcement de la gouvernance avec la nomination d'administrateurs indépendants. Les risques identifiés restent liés à l'environnement sécuritaire et politique du Burkina Faso, à la concentration géographique et à la persistance des incertitudes économiques régionales, mais la banque démontre une capacité de résilience et d'adaptation remarquable. La recommandation fondamentale est donc positive : solidité financière confirmée, rentabilité en forte amélioration, perspectives de croissance favorables, avec un risque modéré lié au contexte pays.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mais globalement favorable pour CBIBF. Sur le plan de la valorisation (Partie 0), le PER de 14,7x et l'EV/EBITDA de 10,9x indiquent une valorisation modérée à élevée, avec une prime de qualité justifiée par les performances exceptionnelles de 2025 et les perspectives 2026, sans toutefois offrir de décote évidente. Le comportement du cours (Partie 1) révèle une tendance haussière puissante (+46,34% sur 100 jours) mais une volatilité élevée (44,2%) et une distribution platykurtique qui suggère un risque de pics modéré, avec une consolidation récente autour de 30 000 FCFA. Les signaux techniques (Partie 2) sont mitigés : la tendance de fond reste haussière (MM20 &gt; MM50) mais le MACD baissier et les indicateurs neutres (RSI, stochastique, Bollinger) plaident pour une poursuite de la consolidation à court terme. Les fondamentaux (Partie 3) sont excellents : résultat net 2025 de 65,495 milliards FCFA (+36,6%), coefficient d'exploitation de 36,39%, ROA de 2,18%, et perspectives 2026 très favorables avec un T1 2026 affichant un PNB en hausse de +28,5% et un résultat net de 21,5 milliards FCFA (+22,2%). Les prédictions IA (J+1 à J+10) anticipent une légère correction vers 29 010 FCFA d'ici le 20 octobre 2026, ce qui contredit la dynamique fondamentale mais confirme la phase de consolidation technique en cours. Sur la base de cette synthèse globale, la recommandation finale est **ACHAT**, avec un niveau de confiance **Moyen** et un risque global **Moyen**. La convergence entre des fondamentaux solides, une tendance de fond haussière et une valorisation raisonnable justifie une position acheteuse, mais la divergence à court terme entre les signaux techniques baissiers et les prédictions IA correctrices incite à la prudence sur le timing d'entrée. L'horizon d'investissement optimal est le **moyen terme (3-12 mois)**, période qui devrait permettre à la banque de confirmer ses performances 2026 et au titre de reprendre sa trajectoire haussière après la consolidation actuelle. Les investisseurs à court terme pourraient attendre un repli vers la MM50 (30 783 FCFA) ou la borne inférieure de Bollinger (28 335 FCFA) pour optimiser leur point d'entrée, tandis que les investisseurs long terme peuvent accumuler progressivement sur les niveaux actuels en vue de bénéficier de la croissance structurelle de la banque et d'un éventuel dividende au titre de l'exercice 2025.</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262.08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3,569 titres</w:t>
            </w:r>
          </w:p>
        </w:tc>
        <w:tc>
          <w:tcPr>
            <w:tcW w:type="dxa" w:w="2268"/>
            <w:shd w:fill="FFF2CC" w:val="clear"/>
          </w:tcPr>
          <w:p>
            <w:r>
              <w:rPr>
                <w:b/>
                <w:color w:val="503200"/>
                <w:sz w:val="16"/>
              </w:rPr>
              <w:t xml:space="preserve">Cours actuel : </w:t>
            </w:r>
            <w:r>
              <w:rPr>
                <w:color w:val="000000"/>
                <w:sz w:val="17"/>
              </w:rPr>
              <w:t>1,445 FCFA</w:t>
            </w:r>
          </w:p>
          <w:p>
            <w:r>
              <w:rPr>
                <w:b/>
                <w:color w:val="503200"/>
                <w:sz w:val="16"/>
              </w:rPr>
              <w:t xml:space="preserve">Var. 100 jours : </w:t>
            </w:r>
            <w:r>
              <w:rPr>
                <w:b/>
                <w:color w:val="B40000"/>
                <w:sz w:val="17"/>
              </w:rPr>
              <w:t>-2.36%</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1,445 FCFA</w:t>
            </w:r>
          </w:p>
          <w:p>
            <w:r>
              <w:rPr>
                <w:b/>
                <w:color w:val="503200"/>
                <w:sz w:val="16"/>
              </w:rPr>
              <w:t xml:space="preserve">Volatilité ann. : </w:t>
            </w:r>
            <w:r>
              <w:rPr>
                <w:color w:val="000000"/>
                <w:sz w:val="17"/>
              </w:rPr>
              <w:t>45.5%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5.60% (Moyenne) — μ=1,635 FCFA, σ=92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β=1.1864 (Neutre (suit le marché)) — Cov=0.000088, Var(idx)=0.000074, ρ=0.354,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σ_j=2.87%/j (Stable) — Vol. annualisée≈45.5%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2026-10-14</w:t>
            </w:r>
          </w:p>
        </w:tc>
        <w:tc>
          <w:tcPr>
            <w:tcW w:type="dxa" w:w="1440"/>
            <w:shd w:fill="C6EFCE" w:val="clear"/>
          </w:tcPr>
          <w:p>
            <w:r>
              <w:rPr>
                <w:sz w:val="17"/>
              </w:rPr>
              <w:t>1,410</w:t>
            </w:r>
          </w:p>
        </w:tc>
        <w:tc>
          <w:tcPr>
            <w:tcW w:type="dxa" w:w="1440"/>
            <w:shd w:fill="C6EFCE" w:val="clear"/>
          </w:tcPr>
          <w:p>
            <w:r>
              <w:rPr>
                <w:b/>
                <w:sz w:val="17"/>
              </w:rPr>
              <w:t>1,474</w:t>
            </w:r>
          </w:p>
        </w:tc>
        <w:tc>
          <w:tcPr>
            <w:tcW w:type="dxa" w:w="1440"/>
            <w:shd w:fill="C6EFCE" w:val="clear"/>
          </w:tcPr>
          <w:p>
            <w:r>
              <w:rPr>
                <w:sz w:val="17"/>
              </w:rPr>
              <w:t>1,538</w:t>
            </w:r>
          </w:p>
        </w:tc>
        <w:tc>
          <w:tcPr>
            <w:tcW w:type="dxa" w:w="1440"/>
            <w:shd w:fill="C6EFCE" w:val="clear"/>
          </w:tcPr>
          <w:p>
            <w:r>
              <w:rPr>
                <w:b/>
                <w:color w:val="008000"/>
                <w:sz w:val="17"/>
              </w:rPr>
              <w:t>+2.0%</w:t>
            </w:r>
          </w:p>
        </w:tc>
      </w:tr>
      <w:tr>
        <w:tc>
          <w:tcPr>
            <w:tcW w:type="dxa" w:w="1440"/>
            <w:shd w:fill="C6EFCE" w:val="clear"/>
          </w:tcPr>
          <w:p>
            <w:r>
              <w:rPr>
                <w:sz w:val="17"/>
              </w:rPr>
              <w:t>J+2  Moyenne</w:t>
            </w:r>
          </w:p>
        </w:tc>
        <w:tc>
          <w:tcPr>
            <w:tcW w:type="dxa" w:w="1440"/>
            <w:shd w:fill="C6EFCE" w:val="clear"/>
          </w:tcPr>
          <w:p>
            <w:r>
              <w:rPr>
                <w:sz w:val="17"/>
              </w:rPr>
              <w:t>2026-10-15</w:t>
            </w:r>
          </w:p>
        </w:tc>
        <w:tc>
          <w:tcPr>
            <w:tcW w:type="dxa" w:w="1440"/>
            <w:shd w:fill="C6EFCE" w:val="clear"/>
          </w:tcPr>
          <w:p>
            <w:r>
              <w:rPr>
                <w:sz w:val="17"/>
              </w:rPr>
              <w:t>1,387</w:t>
            </w:r>
          </w:p>
        </w:tc>
        <w:tc>
          <w:tcPr>
            <w:tcW w:type="dxa" w:w="1440"/>
            <w:shd w:fill="C6EFCE" w:val="clear"/>
          </w:tcPr>
          <w:p>
            <w:r>
              <w:rPr>
                <w:b/>
                <w:sz w:val="17"/>
              </w:rPr>
              <w:t>1,478</w:t>
            </w:r>
          </w:p>
        </w:tc>
        <w:tc>
          <w:tcPr>
            <w:tcW w:type="dxa" w:w="1440"/>
            <w:shd w:fill="C6EFCE" w:val="clear"/>
          </w:tcPr>
          <w:p>
            <w:r>
              <w:rPr>
                <w:sz w:val="17"/>
              </w:rPr>
              <w:t>1,569</w:t>
            </w:r>
          </w:p>
        </w:tc>
        <w:tc>
          <w:tcPr>
            <w:tcW w:type="dxa" w:w="1440"/>
            <w:shd w:fill="C6EFCE" w:val="clear"/>
          </w:tcPr>
          <w:p>
            <w:r>
              <w:rPr>
                <w:b/>
                <w:color w:val="008000"/>
                <w:sz w:val="17"/>
              </w:rPr>
              <w:t>+2.3%</w:t>
            </w:r>
          </w:p>
        </w:tc>
      </w:tr>
      <w:tr>
        <w:tc>
          <w:tcPr>
            <w:tcW w:type="dxa" w:w="1440"/>
            <w:shd w:fill="C6EFCE" w:val="clear"/>
          </w:tcPr>
          <w:p>
            <w:r>
              <w:rPr>
                <w:sz w:val="17"/>
              </w:rPr>
              <w:t>J+3  Moyenne</w:t>
            </w:r>
          </w:p>
        </w:tc>
        <w:tc>
          <w:tcPr>
            <w:tcW w:type="dxa" w:w="1440"/>
            <w:shd w:fill="C6EFCE" w:val="clear"/>
          </w:tcPr>
          <w:p>
            <w:r>
              <w:rPr>
                <w:sz w:val="17"/>
              </w:rPr>
              <w:t>2026-10-16</w:t>
            </w:r>
          </w:p>
        </w:tc>
        <w:tc>
          <w:tcPr>
            <w:tcW w:type="dxa" w:w="1440"/>
            <w:shd w:fill="C6EFCE" w:val="clear"/>
          </w:tcPr>
          <w:p>
            <w:r>
              <w:rPr>
                <w:sz w:val="17"/>
              </w:rPr>
              <w:t>1,373</w:t>
            </w:r>
          </w:p>
        </w:tc>
        <w:tc>
          <w:tcPr>
            <w:tcW w:type="dxa" w:w="1440"/>
            <w:shd w:fill="C6EFCE" w:val="clear"/>
          </w:tcPr>
          <w:p>
            <w:r>
              <w:rPr>
                <w:b/>
                <w:sz w:val="17"/>
              </w:rPr>
              <w:t>1,485</w:t>
            </w:r>
          </w:p>
        </w:tc>
        <w:tc>
          <w:tcPr>
            <w:tcW w:type="dxa" w:w="1440"/>
            <w:shd w:fill="C6EFCE" w:val="clear"/>
          </w:tcPr>
          <w:p>
            <w:r>
              <w:rPr>
                <w:sz w:val="17"/>
              </w:rPr>
              <w:t>1,596</w:t>
            </w:r>
          </w:p>
        </w:tc>
        <w:tc>
          <w:tcPr>
            <w:tcW w:type="dxa" w:w="1440"/>
            <w:shd w:fill="C6EFCE" w:val="clear"/>
          </w:tcPr>
          <w:p>
            <w:r>
              <w:rPr>
                <w:b/>
                <w:color w:val="008000"/>
                <w:sz w:val="17"/>
              </w:rPr>
              <w:t>+2.7%</w:t>
            </w:r>
          </w:p>
        </w:tc>
      </w:tr>
      <w:tr>
        <w:tc>
          <w:tcPr>
            <w:tcW w:type="dxa" w:w="1440"/>
            <w:shd w:fill="C6EFCE" w:val="clear"/>
          </w:tcPr>
          <w:p>
            <w:r>
              <w:rPr>
                <w:sz w:val="17"/>
              </w:rPr>
              <w:t>J+4  ⭐</w:t>
            </w:r>
          </w:p>
        </w:tc>
        <w:tc>
          <w:tcPr>
            <w:tcW w:type="dxa" w:w="1440"/>
            <w:shd w:fill="C6EFCE" w:val="clear"/>
          </w:tcPr>
          <w:p>
            <w:r>
              <w:rPr>
                <w:sz w:val="17"/>
              </w:rPr>
              <w:t>2026-10-19</w:t>
            </w:r>
          </w:p>
        </w:tc>
        <w:tc>
          <w:tcPr>
            <w:tcW w:type="dxa" w:w="1440"/>
            <w:shd w:fill="C6EFCE" w:val="clear"/>
          </w:tcPr>
          <w:p>
            <w:r>
              <w:rPr>
                <w:sz w:val="17"/>
              </w:rPr>
              <w:t>1,362</w:t>
            </w:r>
          </w:p>
        </w:tc>
        <w:tc>
          <w:tcPr>
            <w:tcW w:type="dxa" w:w="1440"/>
            <w:shd w:fill="C6EFCE" w:val="clear"/>
          </w:tcPr>
          <w:p>
            <w:r>
              <w:rPr>
                <w:b/>
                <w:sz w:val="17"/>
              </w:rPr>
              <w:t>1,492</w:t>
            </w:r>
          </w:p>
        </w:tc>
        <w:tc>
          <w:tcPr>
            <w:tcW w:type="dxa" w:w="1440"/>
            <w:shd w:fill="C6EFCE" w:val="clear"/>
          </w:tcPr>
          <w:p>
            <w:r>
              <w:rPr>
                <w:sz w:val="17"/>
              </w:rPr>
              <w:t>1,621</w:t>
            </w:r>
          </w:p>
        </w:tc>
        <w:tc>
          <w:tcPr>
            <w:tcW w:type="dxa" w:w="1440"/>
            <w:shd w:fill="C6EFCE" w:val="clear"/>
          </w:tcPr>
          <w:p>
            <w:r>
              <w:rPr>
                <w:b/>
                <w:color w:val="008000"/>
                <w:sz w:val="17"/>
              </w:rPr>
              <w:t>+3.2%</w:t>
            </w:r>
          </w:p>
        </w:tc>
      </w:tr>
      <w:tr>
        <w:tc>
          <w:tcPr>
            <w:tcW w:type="dxa" w:w="1440"/>
            <w:shd w:fill="C6EFCE" w:val="clear"/>
          </w:tcPr>
          <w:p>
            <w:r>
              <w:rPr>
                <w:sz w:val="17"/>
              </w:rPr>
              <w:t>J+5  ⭐</w:t>
            </w:r>
          </w:p>
        </w:tc>
        <w:tc>
          <w:tcPr>
            <w:tcW w:type="dxa" w:w="1440"/>
            <w:shd w:fill="C6EFCE" w:val="clear"/>
          </w:tcPr>
          <w:p>
            <w:r>
              <w:rPr>
                <w:sz w:val="17"/>
              </w:rPr>
              <w:t>2026-10-20</w:t>
            </w:r>
          </w:p>
        </w:tc>
        <w:tc>
          <w:tcPr>
            <w:tcW w:type="dxa" w:w="1440"/>
            <w:shd w:fill="C6EFCE" w:val="clear"/>
          </w:tcPr>
          <w:p>
            <w:r>
              <w:rPr>
                <w:sz w:val="17"/>
              </w:rPr>
              <w:t>1,353</w:t>
            </w:r>
          </w:p>
        </w:tc>
        <w:tc>
          <w:tcPr>
            <w:tcW w:type="dxa" w:w="1440"/>
            <w:shd w:fill="C6EFCE" w:val="clear"/>
          </w:tcPr>
          <w:p>
            <w:r>
              <w:rPr>
                <w:b/>
                <w:sz w:val="17"/>
              </w:rPr>
              <w:t>1,498</w:t>
            </w:r>
          </w:p>
        </w:tc>
        <w:tc>
          <w:tcPr>
            <w:tcW w:type="dxa" w:w="1440"/>
            <w:shd w:fill="C6EFCE" w:val="clear"/>
          </w:tcPr>
          <w:p>
            <w:r>
              <w:rPr>
                <w:sz w:val="17"/>
              </w:rPr>
              <w:t>1,644</w:t>
            </w:r>
          </w:p>
        </w:tc>
        <w:tc>
          <w:tcPr>
            <w:tcW w:type="dxa" w:w="1440"/>
            <w:shd w:fill="C6EFCE" w:val="clear"/>
          </w:tcPr>
          <w:p>
            <w:r>
              <w:rPr>
                <w:b/>
                <w:color w:val="008000"/>
                <w:sz w:val="17"/>
              </w:rPr>
              <w:t>+3.7%</w:t>
            </w:r>
          </w:p>
        </w:tc>
      </w:tr>
      <w:tr>
        <w:tc>
          <w:tcPr>
            <w:tcW w:type="dxa" w:w="1440"/>
            <w:shd w:fill="C6EFCE" w:val="clear"/>
          </w:tcPr>
          <w:p>
            <w:r>
              <w:rPr>
                <w:sz w:val="17"/>
              </w:rPr>
              <w:t>J+6  ⭐</w:t>
            </w:r>
          </w:p>
        </w:tc>
        <w:tc>
          <w:tcPr>
            <w:tcW w:type="dxa" w:w="1440"/>
            <w:shd w:fill="C6EFCE" w:val="clear"/>
          </w:tcPr>
          <w:p>
            <w:r>
              <w:rPr>
                <w:sz w:val="17"/>
              </w:rPr>
              <w:t>2026-10-21</w:t>
            </w:r>
          </w:p>
        </w:tc>
        <w:tc>
          <w:tcPr>
            <w:tcW w:type="dxa" w:w="1440"/>
            <w:shd w:fill="C6EFCE" w:val="clear"/>
          </w:tcPr>
          <w:p>
            <w:r>
              <w:rPr>
                <w:sz w:val="17"/>
              </w:rPr>
              <w:t>1,345</w:t>
            </w:r>
          </w:p>
        </w:tc>
        <w:tc>
          <w:tcPr>
            <w:tcW w:type="dxa" w:w="1440"/>
            <w:shd w:fill="C6EFCE" w:val="clear"/>
          </w:tcPr>
          <w:p>
            <w:r>
              <w:rPr>
                <w:b/>
                <w:sz w:val="17"/>
              </w:rPr>
              <w:t>1,505</w:t>
            </w:r>
          </w:p>
        </w:tc>
        <w:tc>
          <w:tcPr>
            <w:tcW w:type="dxa" w:w="1440"/>
            <w:shd w:fill="C6EFCE" w:val="clear"/>
          </w:tcPr>
          <w:p>
            <w:r>
              <w:rPr>
                <w:sz w:val="17"/>
              </w:rPr>
              <w:t>1,665</w:t>
            </w:r>
          </w:p>
        </w:tc>
        <w:tc>
          <w:tcPr>
            <w:tcW w:type="dxa" w:w="1440"/>
            <w:shd w:fill="C6EFCE" w:val="clear"/>
          </w:tcPr>
          <w:p>
            <w:r>
              <w:rPr>
                <w:b/>
                <w:color w:val="008000"/>
                <w:sz w:val="17"/>
              </w:rPr>
              <w:t>+4.2%</w:t>
            </w:r>
          </w:p>
        </w:tc>
      </w:tr>
      <w:tr>
        <w:tc>
          <w:tcPr>
            <w:tcW w:type="dxa" w:w="1440"/>
            <w:shd w:fill="C6EFCE" w:val="clear"/>
          </w:tcPr>
          <w:p>
            <w:r>
              <w:rPr>
                <w:sz w:val="17"/>
              </w:rPr>
              <w:t>J+7  ⭐</w:t>
            </w:r>
          </w:p>
        </w:tc>
        <w:tc>
          <w:tcPr>
            <w:tcW w:type="dxa" w:w="1440"/>
            <w:shd w:fill="C6EFCE" w:val="clear"/>
          </w:tcPr>
          <w:p>
            <w:r>
              <w:rPr>
                <w:sz w:val="17"/>
              </w:rPr>
              <w:t>2026-10-22</w:t>
            </w:r>
          </w:p>
        </w:tc>
        <w:tc>
          <w:tcPr>
            <w:tcW w:type="dxa" w:w="1440"/>
            <w:shd w:fill="C6EFCE" w:val="clear"/>
          </w:tcPr>
          <w:p>
            <w:r>
              <w:rPr>
                <w:sz w:val="17"/>
              </w:rPr>
              <w:t>1,338</w:t>
            </w:r>
          </w:p>
        </w:tc>
        <w:tc>
          <w:tcPr>
            <w:tcW w:type="dxa" w:w="1440"/>
            <w:shd w:fill="C6EFCE" w:val="clear"/>
          </w:tcPr>
          <w:p>
            <w:r>
              <w:rPr>
                <w:b/>
                <w:sz w:val="17"/>
              </w:rPr>
              <w:t>1,512</w:t>
            </w:r>
          </w:p>
        </w:tc>
        <w:tc>
          <w:tcPr>
            <w:tcW w:type="dxa" w:w="1440"/>
            <w:shd w:fill="C6EFCE" w:val="clear"/>
          </w:tcPr>
          <w:p>
            <w:r>
              <w:rPr>
                <w:sz w:val="17"/>
              </w:rPr>
              <w:t>1,685</w:t>
            </w:r>
          </w:p>
        </w:tc>
        <w:tc>
          <w:tcPr>
            <w:tcW w:type="dxa" w:w="1440"/>
            <w:shd w:fill="C6EFCE" w:val="clear"/>
          </w:tcPr>
          <w:p>
            <w:r>
              <w:rPr>
                <w:b/>
                <w:color w:val="008000"/>
                <w:sz w:val="17"/>
              </w:rPr>
              <w:t>+4.6%</w:t>
            </w:r>
          </w:p>
        </w:tc>
      </w:tr>
      <w:tr>
        <w:tc>
          <w:tcPr>
            <w:tcW w:type="dxa" w:w="1440"/>
            <w:shd w:fill="C6EFCE" w:val="clear"/>
          </w:tcPr>
          <w:p>
            <w:r>
              <w:rPr>
                <w:sz w:val="17"/>
              </w:rPr>
              <w:t>J+8  ⭐</w:t>
            </w:r>
          </w:p>
        </w:tc>
        <w:tc>
          <w:tcPr>
            <w:tcW w:type="dxa" w:w="1440"/>
            <w:shd w:fill="C6EFCE" w:val="clear"/>
          </w:tcPr>
          <w:p>
            <w:r>
              <w:rPr>
                <w:sz w:val="17"/>
              </w:rPr>
              <w:t>2026-10-23</w:t>
            </w:r>
          </w:p>
        </w:tc>
        <w:tc>
          <w:tcPr>
            <w:tcW w:type="dxa" w:w="1440"/>
            <w:shd w:fill="C6EFCE" w:val="clear"/>
          </w:tcPr>
          <w:p>
            <w:r>
              <w:rPr>
                <w:sz w:val="17"/>
              </w:rPr>
              <w:t>1,331</w:t>
            </w:r>
          </w:p>
        </w:tc>
        <w:tc>
          <w:tcPr>
            <w:tcW w:type="dxa" w:w="1440"/>
            <w:shd w:fill="C6EFCE" w:val="clear"/>
          </w:tcPr>
          <w:p>
            <w:r>
              <w:rPr>
                <w:b/>
                <w:sz w:val="17"/>
              </w:rPr>
              <w:t>1,518</w:t>
            </w:r>
          </w:p>
        </w:tc>
        <w:tc>
          <w:tcPr>
            <w:tcW w:type="dxa" w:w="1440"/>
            <w:shd w:fill="C6EFCE" w:val="clear"/>
          </w:tcPr>
          <w:p>
            <w:r>
              <w:rPr>
                <w:sz w:val="17"/>
              </w:rPr>
              <w:t>1,705</w:t>
            </w:r>
          </w:p>
        </w:tc>
        <w:tc>
          <w:tcPr>
            <w:tcW w:type="dxa" w:w="1440"/>
            <w:shd w:fill="C6EFCE" w:val="clear"/>
          </w:tcPr>
          <w:p>
            <w:r>
              <w:rPr>
                <w:b/>
                <w:color w:val="008000"/>
                <w:sz w:val="17"/>
              </w:rPr>
              <w:t>+5.0%</w:t>
            </w:r>
          </w:p>
        </w:tc>
      </w:tr>
      <w:tr>
        <w:tc>
          <w:tcPr>
            <w:tcW w:type="dxa" w:w="1440"/>
            <w:shd w:fill="C6EFCE" w:val="clear"/>
          </w:tcPr>
          <w:p>
            <w:r>
              <w:rPr>
                <w:sz w:val="17"/>
              </w:rPr>
              <w:t>J+9  ⭐</w:t>
            </w:r>
          </w:p>
        </w:tc>
        <w:tc>
          <w:tcPr>
            <w:tcW w:type="dxa" w:w="1440"/>
            <w:shd w:fill="C6EFCE" w:val="clear"/>
          </w:tcPr>
          <w:p>
            <w:r>
              <w:rPr>
                <w:sz w:val="17"/>
              </w:rPr>
              <w:t>2026-10-26</w:t>
            </w:r>
          </w:p>
        </w:tc>
        <w:tc>
          <w:tcPr>
            <w:tcW w:type="dxa" w:w="1440"/>
            <w:shd w:fill="C6EFCE" w:val="clear"/>
          </w:tcPr>
          <w:p>
            <w:r>
              <w:rPr>
                <w:sz w:val="17"/>
              </w:rPr>
              <w:t>1,325</w:t>
            </w:r>
          </w:p>
        </w:tc>
        <w:tc>
          <w:tcPr>
            <w:tcW w:type="dxa" w:w="1440"/>
            <w:shd w:fill="C6EFCE" w:val="clear"/>
          </w:tcPr>
          <w:p>
            <w:r>
              <w:rPr>
                <w:b/>
                <w:sz w:val="17"/>
              </w:rPr>
              <w:t>1,524</w:t>
            </w:r>
          </w:p>
        </w:tc>
        <w:tc>
          <w:tcPr>
            <w:tcW w:type="dxa" w:w="1440"/>
            <w:shd w:fill="C6EFCE" w:val="clear"/>
          </w:tcPr>
          <w:p>
            <w:r>
              <w:rPr>
                <w:sz w:val="17"/>
              </w:rPr>
              <w:t>1,723</w:t>
            </w:r>
          </w:p>
        </w:tc>
        <w:tc>
          <w:tcPr>
            <w:tcW w:type="dxa" w:w="1440"/>
            <w:shd w:fill="C6EFCE" w:val="clear"/>
          </w:tcPr>
          <w:p>
            <w:r>
              <w:rPr>
                <w:b/>
                <w:color w:val="008000"/>
                <w:sz w:val="17"/>
              </w:rPr>
              <w:t>+5.5%</w:t>
            </w:r>
          </w:p>
        </w:tc>
      </w:tr>
      <w:tr>
        <w:tc>
          <w:tcPr>
            <w:tcW w:type="dxa" w:w="1440"/>
            <w:shd w:fill="C6EFCE" w:val="clear"/>
          </w:tcPr>
          <w:p>
            <w:r>
              <w:rPr>
                <w:sz w:val="17"/>
              </w:rPr>
              <w:t>J+10  ⭐</w:t>
            </w:r>
          </w:p>
        </w:tc>
        <w:tc>
          <w:tcPr>
            <w:tcW w:type="dxa" w:w="1440"/>
            <w:shd w:fill="C6EFCE" w:val="clear"/>
          </w:tcPr>
          <w:p>
            <w:r>
              <w:rPr>
                <w:sz w:val="17"/>
              </w:rPr>
              <w:t>2026-10-27</w:t>
            </w:r>
          </w:p>
        </w:tc>
        <w:tc>
          <w:tcPr>
            <w:tcW w:type="dxa" w:w="1440"/>
            <w:shd w:fill="C6EFCE" w:val="clear"/>
          </w:tcPr>
          <w:p>
            <w:r>
              <w:rPr>
                <w:sz w:val="17"/>
              </w:rPr>
              <w:t>1,320</w:t>
            </w:r>
          </w:p>
        </w:tc>
        <w:tc>
          <w:tcPr>
            <w:tcW w:type="dxa" w:w="1440"/>
            <w:shd w:fill="C6EFCE" w:val="clear"/>
          </w:tcPr>
          <w:p>
            <w:r>
              <w:rPr>
                <w:b/>
                <w:sz w:val="17"/>
              </w:rPr>
              <w:t>1,530</w:t>
            </w:r>
          </w:p>
        </w:tc>
        <w:tc>
          <w:tcPr>
            <w:tcW w:type="dxa" w:w="1440"/>
            <w:shd w:fill="C6EFCE" w:val="clear"/>
          </w:tcPr>
          <w:p>
            <w:r>
              <w:rPr>
                <w:sz w:val="17"/>
              </w:rPr>
              <w:t>1,740</w:t>
            </w:r>
          </w:p>
        </w:tc>
        <w:tc>
          <w:tcPr>
            <w:tcW w:type="dxa" w:w="1440"/>
            <w:shd w:fill="C6EFCE" w:val="clear"/>
          </w:tcPr>
          <w:p>
            <w:r>
              <w:rPr>
                <w:b/>
                <w:color w:val="008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 Distribution Automobile*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262,08 milliards FCFA, CFAC figure parmi les valeurs les plus importantes de la cote BRVM, ce qui témoigne de son statut de leader du marché automobile ivoirien. Le BPA s'établit à 26 FCFA par action, un niveau modeste qui, rapporté au cours actuel de 1 445 FCFA, génère un PER de 55,8x — très largement supérieur à la moyenne du marché BRVM (8-12x), signalant que les investisseurs paient une prime considérable pour les bénéfices actuels. Le P/B de 13,47x confirme cette valorisation exigeante, le marché valorisant la société à plus de treize fois sa valeur comptable, ce qui suppose des anticipations de croissance forte et durable. Enfin, l'EV/EBITDA de 28,5x, bien au-delà du seuil de 15x généralement considéré comme raisonnable, traduit une valorisation tendue au regard de la capacité opérationnelle actuelle. L'ensemble de ces ratios dessine un profil de titre « cher » dont la justification repose davantage sur les perspectives que sur les résultats présents.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CFAC a reculé de -2,36%, cette variation correspondant intégralement à la dernière séance (J-1), ce qui indique une pression vendeuse concentrée en fin de période. Le titre évolue dans un range de 380 FCFA, entre un plus haut de 1 825 FCFA et un plus bas de 1 445 FCFA — niveau où il se situe actuellement, soit au plancher de la période, signal de faiblesse. La tendance générale est donc baissière, le cours ayant abandonné près de 21% depuis son sommet. Les statistiques descriptives révèlent une moyenne de 1 635 FCFA légèrement supérieure à la médiane de 1 642 FCFA, avec un mode à 1 600 FCFA, traduisant une distribution quasi symétrique (skewness de -0,176) sans biais marqué. L'écart-type de 92 FCFA (CV de 5,6%) indique une dispersion modérée du cours autour de sa moyenne, tandis que le kurtosis de -0,969 (mésokurtique) suggère une distribution proche de la normale, sans risque de pics extrêmes prononcé. La volatilité annualisée de 45,5% classe toutefois le titre dans la catégorie des valeurs à volatilité élevée (&gt;30%), ce qui implique un risque de prix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(1 560,0) et la MM50 (1 644,1) se situent toutes deux au-dessus du cours actuel (1 445), avec la MM20 sous la MM50 — configuration baissière caractéristique. Le cours évoluant nettement sous ses deux moyennes, la pression vendeuse est confirmée, justifiant la décision « Vente ».</w:t>
      </w:r>
    </w:p>
    <w:p>
      <w:pPr>
        <w:spacing w:after="120" w:line="276" w:lineRule="auto"/>
      </w:pPr>
      <w:r>
        <w:t>**Bandes de Bollinger** : Le cours (1 445) se situe dans la partie basse du canal, au-dessus de la borne inférieure (1 403,8) mais loin de la borne supérieure (1 716,2), la largeur des bandes reflétant une volatilité encore présente. La décision « Neutre » s'explique par la proximité du support inférieur, qui limite le potentiel de baisse immédiat.</w:t>
      </w:r>
    </w:p>
    <w:p>
      <w:pPr>
        <w:spacing w:after="120" w:line="276" w:lineRule="auto"/>
      </w:pPr>
      <w:r>
        <w:t>**MACD** : La valeur du MACD (-53,043) est inférieure à son signal (-44,944), confirmant une dynamique baissière persistante et un momentum négatif. La décision « Vente » est cohérente avec cette divergence défavorable.</w:t>
      </w:r>
    </w:p>
    <w:p>
      <w:pPr>
        <w:spacing w:after="120" w:line="276" w:lineRule="auto"/>
      </w:pPr>
      <w:r>
        <w:t>**RSI** : À 36,975, le RSI se situe en zone neutre basse, sans atteindre le seuil de survente (&lt;30), ce qui indique que le titre n'est pas encore techniquement « soldé ». La décision « Neutre » reflète cette absence de signal extrême.</w:t>
      </w:r>
    </w:p>
    <w:p>
      <w:pPr>
        <w:spacing w:after="120" w:line="276" w:lineRule="auto"/>
      </w:pPr>
      <w:r>
        <w:t>**Stochastique** : Avec un %K à 0,0 et un %D à 6,452, l'indicateur est en zone de survente profonde, ce qui explique la décision « Achat » — signal potentiel de rebond technique à court terme, bien que fragile.</w:t>
      </w:r>
    </w:p>
    <w:p>
      <w:pPr>
        <w:spacing w:after="120" w:line="276" w:lineRule="auto"/>
      </w:pPr>
      <w:r>
        <w:t>**Conclusion technique** : Les indicateurs sont majoritairement baissiers (MM, MACD), avec un RSI neutre et un stochastique en survente extrême. Cette configuration suggère un titre en fin de correction, où un rebond technique est possible mais non confirmé. La convergence des signaux négatifs domine, la prudence reste de mise tant que le cours n'aura pas reconquis la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2024, CFAC a réalisé un chiffre d'affaires de 158,313 milliards FCFA, en recul de -12,1% par rapport à 2023 (180,162 Mds FCFA), conséquence d'une baisse des volumes de véhicules vendus (-5,5%) et d'un environnement réglementaire plus strict. Le résultat net s'établit à 4,693 milliards FCFA, en baisse de -26,7%, avec une marge nette de 2,96% et une marge opérationnelle de 4,96%. Le ROE demeure élevé à 24,13%, témoignant d'une bonne rentabilité des fonds propres malgré la contraction, tandis que le ROA de 5,52% reflète la lourdeur de l'actif. Sur le plan structurel, l'autonomie financière est faible (22,88%), la liquidité générale insuffisante (93,63%) et la trésorerie nette négative (-624,2 M FCFA), signaux de tension financière. Le BFR est négatif (-3,482 Mds FCFA), ce qui est favorable, mais le Free Cash Flow est également négatif (-1,650 Mds FCFA) en raison d'investissements lourds (-8,741 Mds FCFA). Les délais clients (36,64 jours) et fournisseurs (81,75 jours) sont maîtrisés, mais la durée de stockage élevée (88,35 jours) immobilise du capital. Les rapports trimestriels 2025 (T1, S1, T3) révèlent un net redressement : au T3 2025 (rapport du 30/09/2025), le CA progresse de +18,3% à 43,58 Mds FCFA et le résultat net bondit de +38,1% à 1,489 Md FCFA, avec une marge nette de 3,42%. Le S1 2025 (rapport du 30/06/2025) affiche un résultat net de 5,420 Mds FCFA (+152,7%) et une marge nette de 5,9%, confirmant l'amélioration. Sur la base de ces tendances, on estime que l'exercice 2025 devrait clôturer sur un CA en croissance à deux chiffres et un résultat net en forte hausse, potentiellement supérieur à 6 Mds FCFA. La recommandation fondamentale est de **CONSERVER** : la solidité du leadership (part de marché de 41,7%) et le redressement de la rentabilité compensent les risques liés à la valorisation élevée et à la trésorerie tendue.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CFAC apparaît nettement surévaluée (PER 55,8x, P/B 13,47x, EV/EBITDA 28,5x), les ratios dépassant largement les standards du marché BRVM et les moyennes sectorielles. Le comportement du cours est baissier sur 100 jours (-2,36%), avec un titre au plus bas de sa fourchette et une volatilité élevée (45,5%), bien que la distribution soit symétrique et sans pics extrêmes (kurtosis -0,969). Les signaux techniques sont majoritairement négatifs (MM baissières, MACD vendeur), mais le stochastique en survente extrême (%K=0) suggère un possible rebond à court terme. Les fondamentaux présentent un tableau contrasté : l'exercice 2024 a été difficile (CA -12,1%, RN -26,7%), mais les rapports trimestriels 2025 (T1, S1, T3) montrent un redressement spectaculaire de la rentabilité (+152,7% au S1), ce qui pourrait justifier une révision à la hausse des bénéfices 2025 et, par conséquent, une compression du PER. Les prédictions IA pour les 10 prochains jours (1 474 → 1 498 FCFA) anticipent une légère reprise (+3,7%), en ligne avec le signal de survente du stochastique. Compte tenu de la convergence entre valorisation exigeante, technique baissière mais proche d'un support, et fondamentaux en amélioration, la recommandation finale est **CONSERVER** avec un biais positif à moyen terme. Le niveau de confiance est **Moyen** (les signaux sont contradictoires à court terme), le risque global est **Élevé** (volatilité 45,5%, valorisation tendue), et l'horizon d'investissement optimal est **moyen terme (3-12 mois)** , le temps que la reprise des bénéfices se matérialise et que le cours retrouve ses moyennes mobiles.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346.92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6,823 titres</w:t>
            </w:r>
          </w:p>
        </w:tc>
        <w:tc>
          <w:tcPr>
            <w:tcW w:type="dxa" w:w="2268"/>
            <w:shd w:fill="FFF2CC" w:val="clear"/>
          </w:tcPr>
          <w:p>
            <w:r>
              <w:rPr>
                <w:b/>
                <w:color w:val="503200"/>
                <w:sz w:val="16"/>
              </w:rPr>
              <w:t xml:space="preserve">Cours actuel : </w:t>
            </w:r>
            <w:r>
              <w:rPr>
                <w:color w:val="000000"/>
                <w:sz w:val="17"/>
              </w:rPr>
              <w:t>6,195 FCFA</w:t>
            </w:r>
          </w:p>
          <w:p>
            <w:r>
              <w:rPr>
                <w:b/>
                <w:color w:val="503200"/>
                <w:sz w:val="16"/>
              </w:rPr>
              <w:t xml:space="preserve">Var. 100 jours : </w:t>
            </w:r>
            <w:r>
              <w:rPr>
                <w:b/>
                <w:color w:val="007800"/>
                <w:sz w:val="17"/>
              </w:rPr>
              <w:t>+77.00%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3,500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15.65% (Élevée) — μ=5,655 FCFA, σ=885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β=0.7017 (Défensif) — Cov=0.000052, Var(idx)=0.000074, ρ=0.190,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5,907</w:t>
            </w:r>
          </w:p>
        </w:tc>
        <w:tc>
          <w:tcPr>
            <w:tcW w:type="dxa" w:w="1440"/>
            <w:shd w:fill="FAFAFA" w:val="clear"/>
          </w:tcPr>
          <w:p>
            <w:r>
              <w:rPr>
                <w:b/>
                <w:sz w:val="17"/>
              </w:rPr>
              <w:t>6,182</w:t>
            </w:r>
          </w:p>
        </w:tc>
        <w:tc>
          <w:tcPr>
            <w:tcW w:type="dxa" w:w="1440"/>
            <w:shd w:fill="FAFAFA" w:val="clear"/>
          </w:tcPr>
          <w:p>
            <w:r>
              <w:rPr>
                <w:sz w:val="17"/>
              </w:rPr>
              <w:t>6,456</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5,785</w:t>
            </w:r>
          </w:p>
        </w:tc>
        <w:tc>
          <w:tcPr>
            <w:tcW w:type="dxa" w:w="1440"/>
            <w:shd w:fill="FAFAFA" w:val="clear"/>
          </w:tcPr>
          <w:p>
            <w:r>
              <w:rPr>
                <w:b/>
                <w:sz w:val="17"/>
              </w:rPr>
              <w:t>6,173</w:t>
            </w:r>
          </w:p>
        </w:tc>
        <w:tc>
          <w:tcPr>
            <w:tcW w:type="dxa" w:w="1440"/>
            <w:shd w:fill="FAFAFA" w:val="clear"/>
          </w:tcPr>
          <w:p>
            <w:r>
              <w:rPr>
                <w:sz w:val="17"/>
              </w:rPr>
              <w:t>6,560</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5,687</w:t>
            </w:r>
          </w:p>
        </w:tc>
        <w:tc>
          <w:tcPr>
            <w:tcW w:type="dxa" w:w="1440"/>
            <w:shd w:fill="FAFAFA" w:val="clear"/>
          </w:tcPr>
          <w:p>
            <w:r>
              <w:rPr>
                <w:b/>
                <w:sz w:val="17"/>
              </w:rPr>
              <w:t>6,161</w:t>
            </w:r>
          </w:p>
        </w:tc>
        <w:tc>
          <w:tcPr>
            <w:tcW w:type="dxa" w:w="1440"/>
            <w:shd w:fill="FAFAFA" w:val="clear"/>
          </w:tcPr>
          <w:p>
            <w:r>
              <w:rPr>
                <w:sz w:val="17"/>
              </w:rPr>
              <w:t>6,635</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5,605</w:t>
            </w:r>
          </w:p>
        </w:tc>
        <w:tc>
          <w:tcPr>
            <w:tcW w:type="dxa" w:w="1440"/>
            <w:shd w:fill="FAFAFA" w:val="clear"/>
          </w:tcPr>
          <w:p>
            <w:r>
              <w:rPr>
                <w:b/>
                <w:sz w:val="17"/>
              </w:rPr>
              <w:t>6,151</w:t>
            </w:r>
          </w:p>
        </w:tc>
        <w:tc>
          <w:tcPr>
            <w:tcW w:type="dxa" w:w="1440"/>
            <w:shd w:fill="FAFAFA" w:val="clear"/>
          </w:tcPr>
          <w:p>
            <w:r>
              <w:rPr>
                <w:sz w:val="17"/>
              </w:rPr>
              <w:t>6,698</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5,533</w:t>
            </w:r>
          </w:p>
        </w:tc>
        <w:tc>
          <w:tcPr>
            <w:tcW w:type="dxa" w:w="1440"/>
            <w:shd w:fill="FAFAFA" w:val="clear"/>
          </w:tcPr>
          <w:p>
            <w:r>
              <w:rPr>
                <w:b/>
                <w:sz w:val="17"/>
              </w:rPr>
              <w:t>6,143</w:t>
            </w:r>
          </w:p>
        </w:tc>
        <w:tc>
          <w:tcPr>
            <w:tcW w:type="dxa" w:w="1440"/>
            <w:shd w:fill="FAFAFA" w:val="clear"/>
          </w:tcPr>
          <w:p>
            <w:r>
              <w:rPr>
                <w:sz w:val="17"/>
              </w:rPr>
              <w:t>6,754</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5,469</w:t>
            </w:r>
          </w:p>
        </w:tc>
        <w:tc>
          <w:tcPr>
            <w:tcW w:type="dxa" w:w="1440"/>
            <w:shd w:fill="FAFAFA" w:val="clear"/>
          </w:tcPr>
          <w:p>
            <w:r>
              <w:rPr>
                <w:b/>
                <w:sz w:val="17"/>
              </w:rPr>
              <w:t>6,137</w:t>
            </w:r>
          </w:p>
        </w:tc>
        <w:tc>
          <w:tcPr>
            <w:tcW w:type="dxa" w:w="1440"/>
            <w:shd w:fill="FAFAFA" w:val="clear"/>
          </w:tcPr>
          <w:p>
            <w:r>
              <w:rPr>
                <w:sz w:val="17"/>
              </w:rPr>
              <w:t>6,805</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5,411</w:t>
            </w:r>
          </w:p>
        </w:tc>
        <w:tc>
          <w:tcPr>
            <w:tcW w:type="dxa" w:w="1440"/>
            <w:shd w:fill="FAFAFA" w:val="clear"/>
          </w:tcPr>
          <w:p>
            <w:r>
              <w:rPr>
                <w:b/>
                <w:sz w:val="17"/>
              </w:rPr>
              <w:t>6,131</w:t>
            </w:r>
          </w:p>
        </w:tc>
        <w:tc>
          <w:tcPr>
            <w:tcW w:type="dxa" w:w="1440"/>
            <w:shd w:fill="FAFAFA" w:val="clear"/>
          </w:tcPr>
          <w:p>
            <w:r>
              <w:rPr>
                <w:sz w:val="17"/>
              </w:rPr>
              <w:t>6,852</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5,356</w:t>
            </w:r>
          </w:p>
        </w:tc>
        <w:tc>
          <w:tcPr>
            <w:tcW w:type="dxa" w:w="1440"/>
            <w:shd w:fill="FAFAFA" w:val="clear"/>
          </w:tcPr>
          <w:p>
            <w:r>
              <w:rPr>
                <w:b/>
                <w:sz w:val="17"/>
              </w:rPr>
              <w:t>6,126</w:t>
            </w:r>
          </w:p>
        </w:tc>
        <w:tc>
          <w:tcPr>
            <w:tcW w:type="dxa" w:w="1440"/>
            <w:shd w:fill="FAFAFA" w:val="clear"/>
          </w:tcPr>
          <w:p>
            <w:r>
              <w:rPr>
                <w:sz w:val="17"/>
              </w:rPr>
              <w:t>6,896</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5,305</w:t>
            </w:r>
          </w:p>
        </w:tc>
        <w:tc>
          <w:tcPr>
            <w:tcW w:type="dxa" w:w="1440"/>
            <w:shd w:fill="FAFAFA" w:val="clear"/>
          </w:tcPr>
          <w:p>
            <w:r>
              <w:rPr>
                <w:b/>
                <w:sz w:val="17"/>
              </w:rPr>
              <w:t>6,121</w:t>
            </w:r>
          </w:p>
        </w:tc>
        <w:tc>
          <w:tcPr>
            <w:tcW w:type="dxa" w:w="1440"/>
            <w:shd w:fill="FAFAFA" w:val="clear"/>
          </w:tcPr>
          <w:p>
            <w:r>
              <w:rPr>
                <w:sz w:val="17"/>
              </w:rPr>
              <w:t>6,937</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5,258</w:t>
            </w:r>
          </w:p>
        </w:tc>
        <w:tc>
          <w:tcPr>
            <w:tcW w:type="dxa" w:w="1440"/>
            <w:shd w:fill="FAFAFA" w:val="clear"/>
          </w:tcPr>
          <w:p>
            <w:r>
              <w:rPr>
                <w:b/>
                <w:sz w:val="17"/>
              </w:rPr>
              <w:t>6,117</w:t>
            </w:r>
          </w:p>
        </w:tc>
        <w:tc>
          <w:tcPr>
            <w:tcW w:type="dxa" w:w="1440"/>
            <w:shd w:fill="FAFAFA" w:val="clear"/>
          </w:tcPr>
          <w:p>
            <w:r>
              <w:rPr>
                <w:sz w:val="17"/>
              </w:rPr>
              <w:t>6,977</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346,92 milliards FCFA, la CIEC s'impose comme l'une des plus importantes capitalisations de la BRVM, ce qui témoigne de son statut de valeur de référence dans le secteur des services publics. Le BPA s'établit à 234 FCFA par action, ce qui signifie que chaque titre génère 234 FCFA de bénéfice net, un niveau qui, rapporté au cours actuel de 6 195 FCFA, donne un PER de 26,4x — très nettement supérieur à la moyenne du marché BRVM (8-12x), signalant que les investisseurs paient une prime de croissance significative ou que le titre est surévalué. Le ratio P/B de 9,65x confirme cette exubérance : le marché valorise la société à près de dix fois sa valeur comptable, une prime exigeante qui n'est justifiée que par des perspectives de rentabilité futures très solides. Enfin, l'EV/EBITDA de 14,4x, dans la fourchette haute (10-15x), indique que la valeur totale de l'entreprise (incluant la dette) est chèrement valorisée par rapport à sa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CIEC a enregistré une progression spectaculaire de +77,00%, passant d'un plus bas de 3 500 FCFA à un plus haut de 7 400 FCFA, pour un cours actuel de 6 195 FCFA ; la dernière séance (J-1) affiche une quasi-stabilité avec -0,08%. Cette tendance résolument haussière, bien que le cours se situe désormais à environ 16% sous son sommet, traduit un fort engouement des investisseurs pour la valeur, probablement porté par les résultats annuels 2025 et la politique de dividende attractive. Les statistiques descriptives révèlent une moyenne de 5 655 FCFA supérieure à la médiane de 5 322 FCFA, ce qui indique une légère asymétrie positive — les périodes de prix élevés tirent la moyenne vers le haut —, tandis que le mode à 4 995 FCFA suggère que le prix le plus fréquemment observé se situe bien en dessous du cours actuel. L'écart-type de 889 FCFA (CV = 15,7%) traduit une dispersion modérée du cours autour de sa moyenne, et le kurtosis de -0,771 (mésokurtique) indique une distribution proche de la normale, sans risque excessif de pics extrêmes ; le skewness de 0,056 confirme cette symétrie quasi parfaite. La volatilité annualisée de 50,1% classe le titre dans la catégorie des valeurs très volatiles (&gt;30%), ce qui implique un risque de marché élevé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(6 413 FCFA) et la MM50 (6 336,4 FCFA) se situent toutes deux au-dessus du cours actuel (6 195 FCFA), ce qui place le titre en position de faiblesse relative à court et moyen terme. Cependant, la MM20 étant supérieure à la MM50, la configuration reste haussière de fond, et la décision affichée est "Achat" — probablement en anticipation d'un retour du cours vers ses moyennes, qui agiraient comme des niveaux de résistance à surveiller.</w:t>
      </w:r>
    </w:p>
    <w:p>
      <w:pPr>
        <w:spacing w:after="120" w:line="276" w:lineRule="auto"/>
      </w:pPr>
      <w:r>
        <w:t>**Bandes de Bollinger :** Le cours (6 195 FCFA) évolue dans la partie basse de la bande, entre la borne inférieure (6 055,9 FCFA) et la borne supérieure (6 770,1 FCFA), sans atteindre les extrêmes. Cette position médiane-basse, combinée à une largeur de bande significative, traduit une volatilité toujours présente mais sans signal directionnel fort ; la décision "Neutre" reflète cette absence de pression acheteuse ou vendeuse dominante.</w:t>
      </w:r>
    </w:p>
    <w:p>
      <w:pPr>
        <w:spacing w:after="120" w:line="276" w:lineRule="auto"/>
      </w:pPr>
      <w:r>
        <w:t>**MACD :** La valeur du MACD (-56,279) est inférieure à son signal (-13,475), et les deux sont en territoire négatif, ce qui constitue un signal baissier clair. Le momentum est négatif, et la décision "Vente" suggère que la pression vendeuse pourrait persister à court terme, en contradiction avec la tendance haussière de long terme.</w:t>
      </w:r>
    </w:p>
    <w:p>
      <w:pPr>
        <w:spacing w:after="120" w:line="276" w:lineRule="auto"/>
      </w:pPr>
      <w:r>
        <w:t>**RSI :** À 46,263, le RSI se situe dans la zone neutre (30-70), sans signal de surachat ni de survente. Cette valeur médiane indique un équilibre entre acheteurs et vendeurs, et la décision "Neutre" confirme l'absence de signal fort à court terme.</w:t>
      </w:r>
    </w:p>
    <w:p>
      <w:pPr>
        <w:spacing w:after="120" w:line="276" w:lineRule="auto"/>
      </w:pPr>
      <w:r>
        <w:t>**Stochastique :** Le %K (12,857) est inférieur au %D (17,82), et les deux se situent en zone de survente (&lt;20), ce qui déclenche une décision "Achat". Cette configuration suggère que le titre pourrait être proche d'un point de retournement à la hausse, bien que le croisement des lignes ne soit pas encore confirmé.</w:t>
      </w:r>
    </w:p>
    <w:p>
      <w:pPr>
        <w:spacing w:after="120" w:line="276" w:lineRule="auto"/>
      </w:pPr>
      <w:r>
        <w:t>**Conclusion technique :** Les indicateurs sont divergents : les moyennes mobiles et le stochastique plaident pour un achat, tandis que le MACD et les bandes de Bollinger incitent à la prudence. Le RSI neutre ne tranche pas. Dans l'ensemble, le titre se trouve dans une phase de consolidation après sa forte hausse, avec un biais haussier de fond mais des signaux court terme mitigés, ce qui appelle à la patience avant toute décision d'investissement.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société en forte croissance : le chiffre d'affaires s'établit à 302,320 milliards FCFA, en progression de +14,82% par rapport à 2024, porté par une hausse des ventes d'énergie (+8,3% en volume national, +21,7% à l'export) et un nombre de clients atteignant 5 282 283. Le résultat net s'élève à 13,127 milliards FCFA, en hausse de +30% selon le rapport annuel 2025, avec une marge nette de 4,34% — modeste mais en amélioration — et un ROE exceptionnel de 36,50%, bien supérieur au seuil de 15% considéré comme excellent. Le ROA, à 0,65%, reste faible en raison de la structure bilancielle très lourde (total actif de 2 018,446 milliards FCFA), typique d'un concessionnaire d'infrastructures. En tant qu'entreprise non bancaire, l'analyse des délais d'exploitation est cruciale : le délai clients de 164 jours constitue un risque de trésorerie significatif, tandis que le délai fournisseurs de 970 jours est exceptionnellement long et favorable à la trésorerie ; le BFR est négatif à -90,244 milliards FCFA, ce qui est un point positif majeur. Cependant, la structure financière est très déséquilibrée : l'autonomie financière n'est que de 1,78% (capitaux propres de 35,962 milliards FCFA pour un total bilan de 2 018,446 milliards), et le ratio d'endettement atteint 612,94%, ce qui expose la société à un risque financier élevé. La capacité de remboursement de 7,64 années et la couverture des intérêts de 617,75% restent acceptables. Les rapports antérieurs (S1 2025, daté du 30 juin 2025) confirment la dynamique : le CA semestriel avait progressé de +18,85% à 134,923 milliards FCFA, et le résultat net de +13,37% à 5,096 milliards FCFA. Sur cette base, on estime que l'exercice 2026 devrait maintenir une croissance à deux chiffres du chiffre d'affaires, portée par le programme PEPT et la demande régionale, mais la pression sur les marges et l'endettement massif restent des points de vigilance. La recommandation fondamentale est de **CONSERVER** : la solidité opérationnelle et le dividende attractif (234 FCFA/action, soit un rendement de 3,78% au cours actuel) justifient une exposition, mais la valorisation exigeante et le risque financier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 un PER de 26,4x et un P/B de 9,65x intègrent déjà une forte croissance, ce qui laisse peu de marge de sécurité en cas de déception. Le comportement du cours (Partie 1) est haussier sur 100 jours (+77%), mais la volatilité annualisée de 50,1% et la distribution symétrique (skewness 0,056, kurtosis -0,771) indiquent un risque de marché élevé sans biais directionnel clair à court terme. Les signaux techniques (Partie 2) sont divergents : le MACD est baissier, les bandes de Bollinger sont neutres, mais le stochastique est en zone de survente et les moyennes mobiles gardent une configuration haussière — ce qui suggère une consolidation avant une éventuelle reprise. Les fondamentaux (Partie 3) sont solides sur le plan opérationnel (CA +14,8%, RN +30%, ROE 36,5%) mais fragiles sur le plan financier (autonomie de 1,78%, endettement de 612,9%), et la dépendance au cadre réglementaire reste un risque majeur. Les prédictions IA (J+1 à J+10) anticipent une légère baisse continue, de 6 182 FCFA à 6 143 FCFA, ce qui contredit la dynamique haussière de fond et confirme la phase de consolidation technique. Sur la base de cette synthèse, la recommandation finale est **CONSERVER** : la convergence entre une valorisation tendue, des signaux techniques mitigés et des fondamentaux solides mais risqués ne justifie ni un achat agressif ni une vente. Le niveau de confiance est **Moyen** (les indicateurs sont divergents), le risque global est **Élevé** (volatilité de 50%, endettement massif, dépendance réglementaire), et l'horizon d'investissement optimal est le **moyen terme (3-12 mois)**, en attendant une clarification des signaux techniques et une confirmation de la croissance des bénéfices.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891.82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4,180 titres</w:t>
            </w:r>
          </w:p>
        </w:tc>
        <w:tc>
          <w:tcPr>
            <w:tcW w:type="dxa" w:w="2268"/>
            <w:shd w:fill="FFF2CC" w:val="clear"/>
          </w:tcPr>
          <w:p>
            <w:r>
              <w:rPr>
                <w:b/>
                <w:color w:val="503200"/>
                <w:sz w:val="16"/>
              </w:rPr>
              <w:t xml:space="preserve">Cours actuel : </w:t>
            </w:r>
            <w:r>
              <w:rPr>
                <w:color w:val="000000"/>
                <w:sz w:val="17"/>
              </w:rPr>
              <w:t>16,200 FCFA</w:t>
            </w:r>
          </w:p>
          <w:p>
            <w:r>
              <w:rPr>
                <w:b/>
                <w:color w:val="503200"/>
                <w:sz w:val="16"/>
              </w:rPr>
              <w:t xml:space="preserve">Var. 100 jours : </w:t>
            </w:r>
            <w:r>
              <w:rPr>
                <w:b/>
                <w:color w:val="B40000"/>
                <w:sz w:val="17"/>
              </w:rPr>
              <w:t>-0.61%</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2.70% (Faible) — μ=16,591 FCFA, σ=448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β=0.2648 (Défensif) — Cov=0.000020, Var(idx)=0.000074, ρ=0.132,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86/100  (Excellent)</w:t>
      </w:r>
    </w:p>
    <w:p/>
    <w:p>
      <w:pPr>
        <w:jc w:val="center"/>
      </w:pPr>
      <w:r>
        <w:drawing>
          <wp:inline xmlns:a="http://schemas.openxmlformats.org/drawingml/2006/main" xmlns:pic="http://schemas.openxmlformats.org/drawingml/2006/picture">
            <wp:extent cx="5669280" cy="259862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2026-10-14</w:t>
            </w:r>
          </w:p>
        </w:tc>
        <w:tc>
          <w:tcPr>
            <w:tcW w:type="dxa" w:w="1440"/>
            <w:shd w:fill="C6EFCE" w:val="clear"/>
          </w:tcPr>
          <w:p>
            <w:r>
              <w:rPr>
                <w:sz w:val="17"/>
              </w:rPr>
              <w:t>16,131</w:t>
            </w:r>
          </w:p>
        </w:tc>
        <w:tc>
          <w:tcPr>
            <w:tcW w:type="dxa" w:w="1440"/>
            <w:shd w:fill="C6EFCE" w:val="clear"/>
          </w:tcPr>
          <w:p>
            <w:r>
              <w:rPr>
                <w:b/>
                <w:sz w:val="17"/>
              </w:rPr>
              <w:t>16,554</w:t>
            </w:r>
          </w:p>
        </w:tc>
        <w:tc>
          <w:tcPr>
            <w:tcW w:type="dxa" w:w="1440"/>
            <w:shd w:fill="C6EFCE" w:val="clear"/>
          </w:tcPr>
          <w:p>
            <w:r>
              <w:rPr>
                <w:sz w:val="17"/>
              </w:rPr>
              <w:t>16,978</w:t>
            </w:r>
          </w:p>
        </w:tc>
        <w:tc>
          <w:tcPr>
            <w:tcW w:type="dxa" w:w="1440"/>
            <w:shd w:fill="C6EFCE" w:val="clear"/>
          </w:tcPr>
          <w:p>
            <w:r>
              <w:rPr>
                <w:b/>
                <w:color w:val="008000"/>
                <w:sz w:val="17"/>
              </w:rPr>
              <w:t>+2.2%</w:t>
            </w:r>
          </w:p>
        </w:tc>
      </w:tr>
      <w:tr>
        <w:tc>
          <w:tcPr>
            <w:tcW w:type="dxa" w:w="1440"/>
            <w:shd w:fill="C6EFCE" w:val="clear"/>
          </w:tcPr>
          <w:p>
            <w:r>
              <w:rPr>
                <w:sz w:val="17"/>
              </w:rPr>
              <w:t>J+2  ⭐⭐⭐</w:t>
            </w:r>
          </w:p>
        </w:tc>
        <w:tc>
          <w:tcPr>
            <w:tcW w:type="dxa" w:w="1440"/>
            <w:shd w:fill="C6EFCE" w:val="clear"/>
          </w:tcPr>
          <w:p>
            <w:r>
              <w:rPr>
                <w:sz w:val="17"/>
              </w:rPr>
              <w:t>2026-10-15</w:t>
            </w:r>
          </w:p>
        </w:tc>
        <w:tc>
          <w:tcPr>
            <w:tcW w:type="dxa" w:w="1440"/>
            <w:shd w:fill="C6EFCE" w:val="clear"/>
          </w:tcPr>
          <w:p>
            <w:r>
              <w:rPr>
                <w:sz w:val="17"/>
              </w:rPr>
              <w:t>15,959</w:t>
            </w:r>
          </w:p>
        </w:tc>
        <w:tc>
          <w:tcPr>
            <w:tcW w:type="dxa" w:w="1440"/>
            <w:shd w:fill="C6EFCE" w:val="clear"/>
          </w:tcPr>
          <w:p>
            <w:r>
              <w:rPr>
                <w:b/>
                <w:sz w:val="17"/>
              </w:rPr>
              <w:t>16,558</w:t>
            </w:r>
          </w:p>
        </w:tc>
        <w:tc>
          <w:tcPr>
            <w:tcW w:type="dxa" w:w="1440"/>
            <w:shd w:fill="C6EFCE" w:val="clear"/>
          </w:tcPr>
          <w:p>
            <w:r>
              <w:rPr>
                <w:sz w:val="17"/>
              </w:rPr>
              <w:t>17,156</w:t>
            </w:r>
          </w:p>
        </w:tc>
        <w:tc>
          <w:tcPr>
            <w:tcW w:type="dxa" w:w="1440"/>
            <w:shd w:fill="C6EFCE" w:val="clear"/>
          </w:tcPr>
          <w:p>
            <w:r>
              <w:rPr>
                <w:b/>
                <w:color w:val="008000"/>
                <w:sz w:val="17"/>
              </w:rPr>
              <w:t>+2.2%</w:t>
            </w:r>
          </w:p>
        </w:tc>
      </w:tr>
      <w:tr>
        <w:tc>
          <w:tcPr>
            <w:tcW w:type="dxa" w:w="1440"/>
            <w:shd w:fill="C6EFCE" w:val="clear"/>
          </w:tcPr>
          <w:p>
            <w:r>
              <w:rPr>
                <w:sz w:val="17"/>
              </w:rPr>
              <w:t>J+3  ⭐⭐⭐</w:t>
            </w:r>
          </w:p>
        </w:tc>
        <w:tc>
          <w:tcPr>
            <w:tcW w:type="dxa" w:w="1440"/>
            <w:shd w:fill="C6EFCE" w:val="clear"/>
          </w:tcPr>
          <w:p>
            <w:r>
              <w:rPr>
                <w:sz w:val="17"/>
              </w:rPr>
              <w:t>2026-10-16</w:t>
            </w:r>
          </w:p>
        </w:tc>
        <w:tc>
          <w:tcPr>
            <w:tcW w:type="dxa" w:w="1440"/>
            <w:shd w:fill="C6EFCE" w:val="clear"/>
          </w:tcPr>
          <w:p>
            <w:r>
              <w:rPr>
                <w:sz w:val="17"/>
              </w:rPr>
              <w:t>15,852</w:t>
            </w:r>
          </w:p>
        </w:tc>
        <w:tc>
          <w:tcPr>
            <w:tcW w:type="dxa" w:w="1440"/>
            <w:shd w:fill="C6EFCE" w:val="clear"/>
          </w:tcPr>
          <w:p>
            <w:r>
              <w:rPr>
                <w:b/>
                <w:sz w:val="17"/>
              </w:rPr>
              <w:t>16,586</w:t>
            </w:r>
          </w:p>
        </w:tc>
        <w:tc>
          <w:tcPr>
            <w:tcW w:type="dxa" w:w="1440"/>
            <w:shd w:fill="C6EFCE" w:val="clear"/>
          </w:tcPr>
          <w:p>
            <w:r>
              <w:rPr>
                <w:sz w:val="17"/>
              </w:rPr>
              <w:t>17,320</w:t>
            </w:r>
          </w:p>
        </w:tc>
        <w:tc>
          <w:tcPr>
            <w:tcW w:type="dxa" w:w="1440"/>
            <w:shd w:fill="C6EFCE" w:val="clear"/>
          </w:tcPr>
          <w:p>
            <w:r>
              <w:rPr>
                <w:b/>
                <w:color w:val="008000"/>
                <w:sz w:val="17"/>
              </w:rPr>
              <w:t>+2.4%</w:t>
            </w:r>
          </w:p>
        </w:tc>
      </w:tr>
      <w:tr>
        <w:tc>
          <w:tcPr>
            <w:tcW w:type="dxa" w:w="1440"/>
            <w:shd w:fill="C6EFCE" w:val="clear"/>
          </w:tcPr>
          <w:p>
            <w:r>
              <w:rPr>
                <w:sz w:val="17"/>
              </w:rPr>
              <w:t>J+4  Moyenne</w:t>
            </w:r>
          </w:p>
        </w:tc>
        <w:tc>
          <w:tcPr>
            <w:tcW w:type="dxa" w:w="1440"/>
            <w:shd w:fill="C6EFCE" w:val="clear"/>
          </w:tcPr>
          <w:p>
            <w:r>
              <w:rPr>
                <w:sz w:val="17"/>
              </w:rPr>
              <w:t>2026-10-19</w:t>
            </w:r>
          </w:p>
        </w:tc>
        <w:tc>
          <w:tcPr>
            <w:tcW w:type="dxa" w:w="1440"/>
            <w:shd w:fill="C6EFCE" w:val="clear"/>
          </w:tcPr>
          <w:p>
            <w:r>
              <w:rPr>
                <w:sz w:val="17"/>
              </w:rPr>
              <w:t>15,760</w:t>
            </w:r>
          </w:p>
        </w:tc>
        <w:tc>
          <w:tcPr>
            <w:tcW w:type="dxa" w:w="1440"/>
            <w:shd w:fill="C6EFCE" w:val="clear"/>
          </w:tcPr>
          <w:p>
            <w:r>
              <w:rPr>
                <w:b/>
                <w:sz w:val="17"/>
              </w:rPr>
              <w:t>16,609</w:t>
            </w:r>
          </w:p>
        </w:tc>
        <w:tc>
          <w:tcPr>
            <w:tcW w:type="dxa" w:w="1440"/>
            <w:shd w:fill="C6EFCE" w:val="clear"/>
          </w:tcPr>
          <w:p>
            <w:r>
              <w:rPr>
                <w:sz w:val="17"/>
              </w:rPr>
              <w:t>17,458</w:t>
            </w:r>
          </w:p>
        </w:tc>
        <w:tc>
          <w:tcPr>
            <w:tcW w:type="dxa" w:w="1440"/>
            <w:shd w:fill="C6EFCE" w:val="clear"/>
          </w:tcPr>
          <w:p>
            <w:r>
              <w:rPr>
                <w:b/>
                <w:color w:val="008000"/>
                <w:sz w:val="17"/>
              </w:rPr>
              <w:t>+2.5%</w:t>
            </w:r>
          </w:p>
        </w:tc>
      </w:tr>
      <w:tr>
        <w:tc>
          <w:tcPr>
            <w:tcW w:type="dxa" w:w="1440"/>
            <w:shd w:fill="C6EFCE" w:val="clear"/>
          </w:tcPr>
          <w:p>
            <w:r>
              <w:rPr>
                <w:sz w:val="17"/>
              </w:rPr>
              <w:t>J+5  Moyenne</w:t>
            </w:r>
          </w:p>
        </w:tc>
        <w:tc>
          <w:tcPr>
            <w:tcW w:type="dxa" w:w="1440"/>
            <w:shd w:fill="C6EFCE" w:val="clear"/>
          </w:tcPr>
          <w:p>
            <w:r>
              <w:rPr>
                <w:sz w:val="17"/>
              </w:rPr>
              <w:t>2026-10-20</w:t>
            </w:r>
          </w:p>
        </w:tc>
        <w:tc>
          <w:tcPr>
            <w:tcW w:type="dxa" w:w="1440"/>
            <w:shd w:fill="C6EFCE" w:val="clear"/>
          </w:tcPr>
          <w:p>
            <w:r>
              <w:rPr>
                <w:sz w:val="17"/>
              </w:rPr>
              <w:t>15,678</w:t>
            </w:r>
          </w:p>
        </w:tc>
        <w:tc>
          <w:tcPr>
            <w:tcW w:type="dxa" w:w="1440"/>
            <w:shd w:fill="C6EFCE" w:val="clear"/>
          </w:tcPr>
          <w:p>
            <w:r>
              <w:rPr>
                <w:b/>
                <w:sz w:val="17"/>
              </w:rPr>
              <w:t>16,628</w:t>
            </w:r>
          </w:p>
        </w:tc>
        <w:tc>
          <w:tcPr>
            <w:tcW w:type="dxa" w:w="1440"/>
            <w:shd w:fill="C6EFCE" w:val="clear"/>
          </w:tcPr>
          <w:p>
            <w:r>
              <w:rPr>
                <w:sz w:val="17"/>
              </w:rPr>
              <w:t>17,578</w:t>
            </w:r>
          </w:p>
        </w:tc>
        <w:tc>
          <w:tcPr>
            <w:tcW w:type="dxa" w:w="1440"/>
            <w:shd w:fill="C6EFCE" w:val="clear"/>
          </w:tcPr>
          <w:p>
            <w:r>
              <w:rPr>
                <w:b/>
                <w:color w:val="008000"/>
                <w:sz w:val="17"/>
              </w:rPr>
              <w:t>+2.6%</w:t>
            </w:r>
          </w:p>
        </w:tc>
      </w:tr>
      <w:tr>
        <w:tc>
          <w:tcPr>
            <w:tcW w:type="dxa" w:w="1440"/>
            <w:shd w:fill="C6EFCE" w:val="clear"/>
          </w:tcPr>
          <w:p>
            <w:r>
              <w:rPr>
                <w:sz w:val="17"/>
              </w:rPr>
              <w:t>J+6  Moyenne</w:t>
            </w:r>
          </w:p>
        </w:tc>
        <w:tc>
          <w:tcPr>
            <w:tcW w:type="dxa" w:w="1440"/>
            <w:shd w:fill="C6EFCE" w:val="clear"/>
          </w:tcPr>
          <w:p>
            <w:r>
              <w:rPr>
                <w:sz w:val="17"/>
              </w:rPr>
              <w:t>2026-10-21</w:t>
            </w:r>
          </w:p>
        </w:tc>
        <w:tc>
          <w:tcPr>
            <w:tcW w:type="dxa" w:w="1440"/>
            <w:shd w:fill="C6EFCE" w:val="clear"/>
          </w:tcPr>
          <w:p>
            <w:r>
              <w:rPr>
                <w:sz w:val="17"/>
              </w:rPr>
              <w:t>15,604</w:t>
            </w:r>
          </w:p>
        </w:tc>
        <w:tc>
          <w:tcPr>
            <w:tcW w:type="dxa" w:w="1440"/>
            <w:shd w:fill="C6EFCE" w:val="clear"/>
          </w:tcPr>
          <w:p>
            <w:r>
              <w:rPr>
                <w:b/>
                <w:sz w:val="17"/>
              </w:rPr>
              <w:t>16,646</w:t>
            </w:r>
          </w:p>
        </w:tc>
        <w:tc>
          <w:tcPr>
            <w:tcW w:type="dxa" w:w="1440"/>
            <w:shd w:fill="C6EFCE" w:val="clear"/>
          </w:tcPr>
          <w:p>
            <w:r>
              <w:rPr>
                <w:sz w:val="17"/>
              </w:rPr>
              <w:t>17,688</w:t>
            </w:r>
          </w:p>
        </w:tc>
        <w:tc>
          <w:tcPr>
            <w:tcW w:type="dxa" w:w="1440"/>
            <w:shd w:fill="C6EFCE" w:val="clear"/>
          </w:tcPr>
          <w:p>
            <w:r>
              <w:rPr>
                <w:b/>
                <w:color w:val="008000"/>
                <w:sz w:val="17"/>
              </w:rPr>
              <w:t>+2.8%</w:t>
            </w:r>
          </w:p>
        </w:tc>
      </w:tr>
      <w:tr>
        <w:tc>
          <w:tcPr>
            <w:tcW w:type="dxa" w:w="1440"/>
            <w:shd w:fill="C6EFCE" w:val="clear"/>
          </w:tcPr>
          <w:p>
            <w:r>
              <w:rPr>
                <w:sz w:val="17"/>
              </w:rPr>
              <w:t>J+7  Moyenne</w:t>
            </w:r>
          </w:p>
        </w:tc>
        <w:tc>
          <w:tcPr>
            <w:tcW w:type="dxa" w:w="1440"/>
            <w:shd w:fill="C6EFCE" w:val="clear"/>
          </w:tcPr>
          <w:p>
            <w:r>
              <w:rPr>
                <w:sz w:val="17"/>
              </w:rPr>
              <w:t>2026-10-22</w:t>
            </w:r>
          </w:p>
        </w:tc>
        <w:tc>
          <w:tcPr>
            <w:tcW w:type="dxa" w:w="1440"/>
            <w:shd w:fill="C6EFCE" w:val="clear"/>
          </w:tcPr>
          <w:p>
            <w:r>
              <w:rPr>
                <w:sz w:val="17"/>
              </w:rPr>
              <w:t>15,536</w:t>
            </w:r>
          </w:p>
        </w:tc>
        <w:tc>
          <w:tcPr>
            <w:tcW w:type="dxa" w:w="1440"/>
            <w:shd w:fill="C6EFCE" w:val="clear"/>
          </w:tcPr>
          <w:p>
            <w:r>
              <w:rPr>
                <w:b/>
                <w:sz w:val="17"/>
              </w:rPr>
              <w:t>16,663</w:t>
            </w:r>
          </w:p>
        </w:tc>
        <w:tc>
          <w:tcPr>
            <w:tcW w:type="dxa" w:w="1440"/>
            <w:shd w:fill="C6EFCE" w:val="clear"/>
          </w:tcPr>
          <w:p>
            <w:r>
              <w:rPr>
                <w:sz w:val="17"/>
              </w:rPr>
              <w:t>17,789</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2026-10-23</w:t>
            </w:r>
          </w:p>
        </w:tc>
        <w:tc>
          <w:tcPr>
            <w:tcW w:type="dxa" w:w="1440"/>
            <w:shd w:fill="C6EFCE" w:val="clear"/>
          </w:tcPr>
          <w:p>
            <w:r>
              <w:rPr>
                <w:sz w:val="17"/>
              </w:rPr>
              <w:t>15,474</w:t>
            </w:r>
          </w:p>
        </w:tc>
        <w:tc>
          <w:tcPr>
            <w:tcW w:type="dxa" w:w="1440"/>
            <w:shd w:fill="C6EFCE" w:val="clear"/>
          </w:tcPr>
          <w:p>
            <w:r>
              <w:rPr>
                <w:b/>
                <w:sz w:val="17"/>
              </w:rPr>
              <w:t>16,680</w:t>
            </w:r>
          </w:p>
        </w:tc>
        <w:tc>
          <w:tcPr>
            <w:tcW w:type="dxa" w:w="1440"/>
            <w:shd w:fill="C6EFCE" w:val="clear"/>
          </w:tcPr>
          <w:p>
            <w:r>
              <w:rPr>
                <w:sz w:val="17"/>
              </w:rPr>
              <w:t>17,885</w:t>
            </w:r>
          </w:p>
        </w:tc>
        <w:tc>
          <w:tcPr>
            <w:tcW w:type="dxa" w:w="1440"/>
            <w:shd w:fill="C6EFCE" w:val="clear"/>
          </w:tcPr>
          <w:p>
            <w:r>
              <w:rPr>
                <w:b/>
                <w:color w:val="008000"/>
                <w:sz w:val="17"/>
              </w:rPr>
              <w:t>+3.0%</w:t>
            </w:r>
          </w:p>
        </w:tc>
      </w:tr>
      <w:tr>
        <w:tc>
          <w:tcPr>
            <w:tcW w:type="dxa" w:w="1440"/>
            <w:shd w:fill="C6EFCE" w:val="clear"/>
          </w:tcPr>
          <w:p>
            <w:r>
              <w:rPr>
                <w:sz w:val="17"/>
              </w:rPr>
              <w:t>J+9  Moyenne</w:t>
            </w:r>
          </w:p>
        </w:tc>
        <w:tc>
          <w:tcPr>
            <w:tcW w:type="dxa" w:w="1440"/>
            <w:shd w:fill="C6EFCE" w:val="clear"/>
          </w:tcPr>
          <w:p>
            <w:r>
              <w:rPr>
                <w:sz w:val="17"/>
              </w:rPr>
              <w:t>2026-10-26</w:t>
            </w:r>
          </w:p>
        </w:tc>
        <w:tc>
          <w:tcPr>
            <w:tcW w:type="dxa" w:w="1440"/>
            <w:shd w:fill="C6EFCE" w:val="clear"/>
          </w:tcPr>
          <w:p>
            <w:r>
              <w:rPr>
                <w:sz w:val="17"/>
              </w:rPr>
              <w:t>15,417</w:t>
            </w:r>
          </w:p>
        </w:tc>
        <w:tc>
          <w:tcPr>
            <w:tcW w:type="dxa" w:w="1440"/>
            <w:shd w:fill="C6EFCE" w:val="clear"/>
          </w:tcPr>
          <w:p>
            <w:r>
              <w:rPr>
                <w:b/>
                <w:sz w:val="17"/>
              </w:rPr>
              <w:t>16,697</w:t>
            </w:r>
          </w:p>
        </w:tc>
        <w:tc>
          <w:tcPr>
            <w:tcW w:type="dxa" w:w="1440"/>
            <w:shd w:fill="C6EFCE" w:val="clear"/>
          </w:tcPr>
          <w:p>
            <w:r>
              <w:rPr>
                <w:sz w:val="17"/>
              </w:rPr>
              <w:t>17,977</w:t>
            </w:r>
          </w:p>
        </w:tc>
        <w:tc>
          <w:tcPr>
            <w:tcW w:type="dxa" w:w="1440"/>
            <w:shd w:fill="C6EFCE" w:val="clear"/>
          </w:tcPr>
          <w:p>
            <w:r>
              <w:rPr>
                <w:b/>
                <w:color w:val="008000"/>
                <w:sz w:val="17"/>
              </w:rPr>
              <w:t>+3.1%</w:t>
            </w:r>
          </w:p>
        </w:tc>
      </w:tr>
      <w:tr>
        <w:tc>
          <w:tcPr>
            <w:tcW w:type="dxa" w:w="1440"/>
            <w:shd w:fill="C6EFCE" w:val="clear"/>
          </w:tcPr>
          <w:p>
            <w:r>
              <w:rPr>
                <w:sz w:val="17"/>
              </w:rPr>
              <w:t>J+10  Moyenne</w:t>
            </w:r>
          </w:p>
        </w:tc>
        <w:tc>
          <w:tcPr>
            <w:tcW w:type="dxa" w:w="1440"/>
            <w:shd w:fill="C6EFCE" w:val="clear"/>
          </w:tcPr>
          <w:p>
            <w:r>
              <w:rPr>
                <w:sz w:val="17"/>
              </w:rPr>
              <w:t>2026-10-27</w:t>
            </w:r>
          </w:p>
        </w:tc>
        <w:tc>
          <w:tcPr>
            <w:tcW w:type="dxa" w:w="1440"/>
            <w:shd w:fill="C6EFCE" w:val="clear"/>
          </w:tcPr>
          <w:p>
            <w:r>
              <w:rPr>
                <w:sz w:val="17"/>
              </w:rPr>
              <w:t>15,362</w:t>
            </w:r>
          </w:p>
        </w:tc>
        <w:tc>
          <w:tcPr>
            <w:tcW w:type="dxa" w:w="1440"/>
            <w:shd w:fill="C6EFCE" w:val="clear"/>
          </w:tcPr>
          <w:p>
            <w:r>
              <w:rPr>
                <w:b/>
                <w:sz w:val="17"/>
              </w:rPr>
              <w:t>16,713</w:t>
            </w:r>
          </w:p>
        </w:tc>
        <w:tc>
          <w:tcPr>
            <w:tcW w:type="dxa" w:w="1440"/>
            <w:shd w:fill="C6EFCE" w:val="clear"/>
          </w:tcPr>
          <w:p>
            <w:r>
              <w:rPr>
                <w:sz w:val="17"/>
              </w:rPr>
              <w:t>18,064</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 RAPPORT D'ANALYSE FINANCIÈRE — ECOBANK CÔTE D'IVOIRE (ECOC)</w:t>
        <w:br/>
        <w:t>### BRVM | Secteur Bancaire | Analyse au 13 octobre 2026</w:t>
      </w:r>
    </w:p>
    <w:p>
      <w:pPr>
        <w:spacing w:after="120" w:line="276" w:lineRule="auto"/>
      </w:pPr>
      <w:r>
        <w:t>---</w:t>
      </w:r>
    </w:p>
    <w:p>
      <w:pPr>
        <w:spacing w:after="120" w:line="276" w:lineRule="auto"/>
      </w:pPr>
      <w:r>
        <w:t>## PARTIE 0 : INDICATEURS DE VALORISATION BOURSIÈRE</w:t>
      </w:r>
    </w:p>
    <w:p>
      <w:pPr>
        <w:spacing w:after="120" w:line="276" w:lineRule="auto"/>
      </w:pPr>
      <w:r>
        <w:t>Ecobank Côte d'Ivoire affiche une capitalisation boursière de **891,82 milliards FCFA**, ce qui en fait l'une des plus importantes capitalisations du compartiment bancaire de la BRVM, témoignant de son statut de valeur de premier plan du marché régional. Le **BPA de 1 153 FCFA/action** (exercice 2025) traduit une rentabilité par titre solide, cohérente avec un résultat net de 63,482 milliards FCFA. Le **PER de 14,0x** se situe au-dessus de la moyenne du marché BRVM (généralement comprise entre 8 et 12x), signalant que les investisseurs acceptent de payer une prime pour la qualité et la régularité des bénéfices de la banque — une valorisation « modérée » mais non bon marché. Le **P/B de 4,08x** est nettement supérieur au seuil de 4x, ce qui indique que le marché valorise l'action à plus de quatre fois sa valeur comptable (capitaux propres de 218,573 Mds FCFA), une prime exigeante qui reflète la confiance dans le ROE élevé (29,04%) mais qui limite la marge de sécurité en cas de déception. Enfin, l'**EV/EBITDA de 13,8x**, situé dans la fourchette haute (10-15x), confirme que la valeur d'entreprise intègre déjà une forte capacité opérationnelle ; le titre est donc correctement valorisé, voire légèrement cher, ce qui invite à la sélectivité sur les points d'entrée.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quasi-nulle de -0,61%**, avec une dernière séance en repli marqué de **-1,82%**, portant le cours actuel à **16 200 FCFA**. Le range de trading est resté contenu entre un plus haut de **17 725 FCFA** et un plus bas de **15 520 FCFA**, soit une amplitude d'environ 14%, ce qui traduit une tendance générale **stable à légèrement baissière**, sans direction franche. Les statistiques descriptives confirment cette stabilité : la moyenne (16 591 FCFA) et la médiane (16 620 FCFA) sont quasi identiques, avec un mode à 16 500 FCFA, indiquant une distribution **symétrique** (skewness de 0,119) sans biais directionnel. L'écart-type de 451 FCFA et le **coefficient de variation de 2,7%** révèlent une dispersion très faible du cours autour de sa moyenne, signe d'un titre peu agité. Le **kurtosis de -0,198** (mésokurtique) indique une distribution proche de la normale, donc un risque de pics extrêmes limité — un profil rassurant pour un investisseur prudent. Enfin, la **volatilité annualisée de 27,5%** positionne ECOC dans la catégorie des titres à volatilité **modérée** (15-30%), cohérente avec une valeur bancaire de qualité mais sensible aux annonces de résultats et au contexte macroéconomique.</w:t>
      </w:r>
    </w:p>
    <w:p>
      <w:pPr>
        <w:spacing w:after="120" w:line="276" w:lineRule="auto"/>
      </w:pPr>
      <w:r>
        <w:t>---</w:t>
      </w:r>
    </w:p>
    <w:p>
      <w:pPr>
        <w:spacing w:after="120" w:line="276" w:lineRule="auto"/>
      </w:pPr>
      <w:r>
        <w:t>## PARTIE 2 : ANALYSE TECHNIQUE DÉTAILLÉE</w:t>
      </w:r>
    </w:p>
    <w:p>
      <w:pPr>
        <w:spacing w:after="120" w:line="276" w:lineRule="auto"/>
      </w:pPr>
      <w:r>
        <w:t>**Moyennes Mobiles** — La MM20 (16 818,75 FCFA) et la MM50 (16 747,6 FCFA) se situent toutes deux **au-dessus du cours actuel** (16 200 FCFA), ce qui place le titre en position de repli sous ses moyennes court et moyen terme. Toutefois, la MM20 reste légèrement supérieure à la MM50, configuration qui maintient un biais haussier de fond et justifie la décision **Achat** (signal de rebond potentiel vers les moyennes).</w:t>
      </w:r>
    </w:p>
    <w:p>
      <w:pPr>
        <w:spacing w:after="120" w:line="276" w:lineRule="auto"/>
      </w:pPr>
      <w:r>
        <w:t>**Bandes de Bollinger** — Le cours (16 200 FCFA) évolue **sous la borne inférieure** (16 386,292 FCFA), situation caractéristique d'une survente technique et d'une pression vendeuse excessive à court terme. La borne supérieure est à 17 251,208 FCFA, ce qui définit un canal relativement étroit ; le débordement baissier sous la bande basse plaide pour un **Achat** en anticipation d'un retour à la moyenne.</w:t>
      </w:r>
    </w:p>
    <w:p>
      <w:pPr>
        <w:spacing w:after="120" w:line="276" w:lineRule="auto"/>
      </w:pPr>
      <w:r>
        <w:t>**MACD** — La valeur du MACD (-95,846) est **nettement inférieure à son signal** (-26,365), avec un histogramme négatif traduisant un momentum baissier encore actif. Cette divergence négative justifie la décision **Vente** à court terme, bien qu'elle contraste avec les autres indicateurs, signalant une prudence sur le timing d'entrée.</w:t>
      </w:r>
    </w:p>
    <w:p>
      <w:pPr>
        <w:spacing w:after="120" w:line="276" w:lineRule="auto"/>
      </w:pPr>
      <w:r>
        <w:t>**RSI** — À **26,781**, le RSI se situe **en zone de survente** (seuil &lt;30), ce qui indique que le titre a été excessivement vendu et qu'un rebond technique est probable. Cette configuration justifie pleinement la décision **Achat** pour les investisseurs cherchant un point d'entrée contrarian.</w:t>
      </w:r>
    </w:p>
    <w:p>
      <w:pPr>
        <w:spacing w:after="120" w:line="276" w:lineRule="auto"/>
      </w:pPr>
      <w:r>
        <w:t>**Stochastique** — Le %K à **0,0** et le %D à **12,232** montrent un croisement en zone basse extrême, avec le %K collé au plancher, signal classique de **survente profonde** et de retournement imminent. La décision **Achat** est cohérente avec cette configuration de rebond.</w:t>
      </w:r>
    </w:p>
    <w:p>
      <w:pPr>
        <w:spacing w:after="120" w:line="276" w:lineRule="auto"/>
      </w:pPr>
      <w:r>
        <w:t>**Conclusion technique** — La majorité des indicateurs (Bollinger, RSI, Stochastique, MM) convergent vers un signal **Achat** en raison d'une survente technique marquée, mais le MACD reste baissier et n'a pas encore confirmé le retournement. Cette divergence suggère un **rebond technique probable à court terme**, mais qui pourrait rester fragile tant que le MACD ne s'inverse pas ; la prudence recommande d'attendre une confirmation (croisement haussier MACD/signal) avant un engagement massif.</w:t>
      </w:r>
    </w:p>
    <w:p>
      <w:pPr>
        <w:spacing w:after="120" w:line="276" w:lineRule="auto"/>
      </w:pPr>
      <w:r>
        <w:t>---</w:t>
      </w:r>
    </w:p>
    <w:p>
      <w:pPr>
        <w:spacing w:after="120" w:line="276" w:lineRule="auto"/>
      </w:pPr>
      <w:r>
        <w:t>## PARTIE 3 : ANALYSE FONDAMENTALE</w:t>
      </w:r>
    </w:p>
    <w:p>
      <w:pPr>
        <w:spacing w:after="120" w:line="276" w:lineRule="auto"/>
      </w:pPr>
      <w:r>
        <w:t>**Données structurées (exercice 2025)** : Ecobank Côte d'Ivoire affiche un **Produit Net Bancaire (PNB) de 132,725 milliards FCFA** et un **résultat net de 63,482 milliards FCFA**, avec un **ROE exceptionnel de 29,04%** (largement supérieur au seuil de 15% considéré comme excellent) et un **ROA de 3,09%**, solide pour le secteur bancaire. Le **coefficient d'exploitation de 42,89%** est inférieur au seuil de 50%, confirmant une **excellente efficacité opérationnelle**. Le **coût du risque rapporté aux charges financières s'établit à 1,36%**, niveau modéré nécessitant une surveillance, tandis que la marge nette de 47,83% et la marge opérationnelle de 55,75% témoignent d'une forte rentabilité. La structure financière montre une **autonomie financière de 10,64%** (faible, mais typique du modèle bancaire où les dépôts clientèle de 1 626,223 Mds FCFA constituent la principale ressource) et une **solvabilité générale de 111,91%** (&gt;1, donc solvable). Le ratio de transformation est sain avec des créances clientèle de 1 050,803 Mds FCFA face à des dépôts de 1 626,223 Mds FCFA.</w:t>
      </w:r>
    </w:p>
    <w:p>
      <w:pPr>
        <w:spacing w:after="120" w:line="276" w:lineRule="auto"/>
      </w:pPr>
      <w:r>
        <w:t>**Évolution temporelle et estimations issues des rapports trimestriels** : Le rapport annuel 2024 (publié le 31/12/2024) indiquait un PNB de 122,3 Mds FCFA (+11,0%) et un résultat net de 57,5 Mds FCFA (+19,6%), avec un ROE de 28,8% et un dividende brut de 804 FCFA/action (taux de distribution de 77%). Le rapport S1 2026 (publié le 26/08/2026) montre un **PNB de 64,078 Mds FCFA (+2,0%)** et un **résultat net en repli de -8,6% à 26,408 Mds FCFA**, pénalisé par un **coût du risque multiplié par 7,4 à 5,197 Mds FCFA** — conséquence d'un provisionnement volontairement prudent (créances en souffrance +21,5% à 45,3 Mds, taux de couverture de 90%). Le rapport T1 2026 (publié en 2026) confirme cette tendance avec un PNB de 30,8 Mds (+3,7%) mais un résultat net de 13,0 Mds (-1,6%) et un ROE ramené à 23,0%. **Sur la base de ces rapports, on estime que l'exercice 2026 devrait clôturer avec un résultat net en léger recul par rapport à 2025**, autour de 58-60 Mds FCFA, sous l'effet de la normalisation du coût du risque, mais avec des fondamentaux préservés (dépôts +15,1%, ratio prêts/dépôts de 56,3% offrant une capacité de déploiement). Le dividende proposé pour 2025 s'élève à **888 FCFA brut/action** (781 FCFA net), en hausse de 10,4% sur 2024, offrant un rendement attractif d'environ 5,5% au cours actuel. **Recommandation fondamentale : CONSERVER**, la banque restant un dossier de qualité (ROE élevé, bilan solide, dividende généreux) mais dont la rentabilité est temporairement pénalisée par une politique de provisionnement prudente et un environnement macroéconomique incertain.</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contrasté mais globalement équilibré**. Sur le plan de la **valorisation (Partie 0)**, les ratios PER (14,0x), P/B (4,08x) et EV/EBITDA (13,8x) indiquent une action **correctement valorisée à légèrement chère**, intégrant déjà la prime de qualité, sans marge de sécurité évidente. Le **comportement du cours (Partie 1)** est rassurant par sa stabilité (CV de 2,7%, kurtosis proche de la normale, skewness symétrique) mais affiche une tendance légèrement baissière sur 100 jours (-0,61%) et une volatilité modérée (27,5%). Les **signaux techniques (Partie 2)** sont majoritairement haussiers à court terme (RSI en survente à 26,78, cours sous la bande de Bollinger inférieure, Stochastique au plancher), mais le MACD baissier introduit une divergence qui appelle à la prudence sur le timing. Les **fondamentaux (Partie 3)** demeurent solides (ROE de 29,04% en 2025, coefficient d'exploitation de 42,89%, dividende de 888 FCFA), bien que le S1 2026 montre un repli du résultat net (-8,6%) dû à un coût du risque multiplié par 7,4 — un phénomène conjoncturel et volontaire plutôt que structurel. Enfin, les **prédictions IA (J+1 à J+10)** anticipent une trajectoire légèrement haussière de 16 554 à 16 628 FCFA, **confirmant le rebond technique** attendu sans excès. Sur la base de cette convergence partielle (technique haussier court terme, fondamental solide mais en normalisation, valorisation sans décote), la recommandation finale est **CONSERVER**, avec un **niveau de confiance Moyen** et un **risque global Moyen**. L'horizon optimal est le **moyen terme (3-12 mois)**, le temps que le coût du risque se normalise et que la trajectoire bénéficiaire se confirme ; un passage à **ACHAT** serait justifié si le titre revenait vers 15 500-15 800 FCFA (meilleur point d'entrée) ou si le MACD confirmait son retournement haussier.</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1193.55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1,694,698 titres</w:t>
            </w:r>
          </w:p>
        </w:tc>
        <w:tc>
          <w:tcPr>
            <w:tcW w:type="dxa" w:w="2268"/>
            <w:shd w:fill="FFF2CC" w:val="clear"/>
          </w:tcPr>
          <w:p>
            <w:r>
              <w:rPr>
                <w:b/>
                <w:color w:val="503200"/>
                <w:sz w:val="16"/>
              </w:rPr>
              <w:t xml:space="preserve">Cours actuel : </w:t>
            </w:r>
            <w:r>
              <w:rPr>
                <w:color w:val="000000"/>
                <w:sz w:val="17"/>
              </w:rPr>
              <w:t>66 FCFA</w:t>
            </w:r>
          </w:p>
          <w:p>
            <w:r>
              <w:rPr>
                <w:b/>
                <w:color w:val="503200"/>
                <w:sz w:val="16"/>
              </w:rPr>
              <w:t xml:space="preserve">Var. 100 jours : </w:t>
            </w:r>
            <w:r>
              <w:rPr>
                <w:b/>
                <w:color w:val="007800"/>
                <w:sz w:val="17"/>
              </w:rPr>
              <w:t>+120.00%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28.12% (Élevée) — μ=57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β=2.0254 (Très agressif) — Cov=0.000150, Var(idx)=0.000074, ρ=0.442,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1,694,698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51664"/>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5166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63</w:t>
            </w:r>
          </w:p>
        </w:tc>
        <w:tc>
          <w:tcPr>
            <w:tcW w:type="dxa" w:w="1440"/>
            <w:shd w:fill="FAFAFA" w:val="clear"/>
          </w:tcPr>
          <w:p>
            <w:r>
              <w:rPr>
                <w:b/>
                <w:sz w:val="17"/>
              </w:rPr>
              <w:t>66</w:t>
            </w:r>
          </w:p>
        </w:tc>
        <w:tc>
          <w:tcPr>
            <w:tcW w:type="dxa" w:w="1440"/>
            <w:shd w:fill="FAFAFA" w:val="clear"/>
          </w:tcPr>
          <w:p>
            <w:r>
              <w:rPr>
                <w:sz w:val="17"/>
              </w:rPr>
              <w:t>69</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62</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57</w:t>
            </w:r>
          </w:p>
        </w:tc>
        <w:tc>
          <w:tcPr>
            <w:tcW w:type="dxa" w:w="1440"/>
            <w:shd w:fill="FAFAFA" w:val="clear"/>
          </w:tcPr>
          <w:p>
            <w:r>
              <w:rPr>
                <w:b/>
                <w:sz w:val="17"/>
              </w:rPr>
              <w:t>65</w:t>
            </w:r>
          </w:p>
        </w:tc>
        <w:tc>
          <w:tcPr>
            <w:tcW w:type="dxa" w:w="1440"/>
            <w:shd w:fill="FAFAFA" w:val="clear"/>
          </w:tcPr>
          <w:p>
            <w:r>
              <w:rPr>
                <w:sz w:val="17"/>
              </w:rPr>
              <w:t>74</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1 193,55 milliards FCFA, ETIT figure parmi les valeurs les plus importantes de la cote BRVM, ce qui en fait un pilier de l'indice composite et un titre de référence pour les investisseurs institutionnels de la zone UEMOA. Le BPA de 19 FCFA par action signifie que chaque titre génère près de 19 FCFA de bénéfice net, un niveau de rentabilité par action solide pour une banque panafricaine. Le PER de 3,5x traduit un prix payé par les investisseurs très inférieur à la moyenne du marché BRVM (généralement comprise entre 8x et 12x), signalant une sous-évaluation manifeste si les bénéfices se maintiennent. Le ratio P/B de 0,75x indique que le marché valorise ETIT à seulement 75% de sa valeur comptable, une décote qui constitue une opportunité potentielle pour un investisseur value. Enfin, l'EV/EBITDA de 5,0x, inférieur au seuil de 5x, confirme que la valeur d'entreprise reste modérée au regard de la capacité opérationnelle de la banque, renforçant le diagnostic de sous-évaluation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+120,00%, passant d'un plus bas de 29 FCFA à un plus haut de 78 FCFA, pour un cours actuel de 66 FCFA, en léger repli de -1,49% lors de la dernière séance. Ce range de trading de 49 FCFA témoigne d'une tendance nettement haussière, bien que le cours se situe désormais à 15% sous son sommet, suggérant une phase de consolidation après le rallye. Les statistiques descriptives révèlent une moyenne de 57 FCFA inférieure à la médiane de 66 FCFA et au mode de 67 FCFA, ce qui indique une asymétrie négative (skewness de -0,753) : le cours a passé plus de journées au-dessus de sa moyenne, mais quelques séances de forte baisse ont tiré la moyenne vers le bas. L'écart-type de 16 FCFA, avec un coefficient de variation de 28,3%, traduit une dispersion élevée du cours, cohérente avec la volatilité annualisée de 62,1% qui positionne ETIT dans la catégorie des titres à volatilité élevée (&gt;30%). Le kurtosis de -1,198 (distribution platykurtique) indique une distribution aplatie avec une faible concentration autour de la moyenne, ce qui signifie que les rendements extrêmes sont moins fréquents qu'une loi normale, réduisant le risque de pics brutaux. Cette combinaison d'une tendance haussière forte, d'une volatilité élevée et d'une distribution aplatie suggère un titre dynamique mais dont la phase de correction actuelle pourrait offrir des points d'entrée intéressants.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(67,85 FCFA) et la MM50 (67,62 FCFA) sont toutes deux supérieures au cours actuel de 66 FCFA, mais restent très proches l'une de l'autre, indiquant une absence de tendance directionnelle claire à court terme. Le croisement imminent ou le maintien de ces moyennes au-dessus du cours justifie la décision d'**Achat** par les analystes techniques, qui anticipent un retour du cours vers ces niveaux de référence.</w:t>
      </w:r>
    </w:p>
    <w:p>
      <w:pPr>
        <w:spacing w:after="120" w:line="276" w:lineRule="auto"/>
      </w:pPr>
      <w:r>
        <w:t>**Bandes de Bollinger** : Le cours de 66 FCFA se situe dans la partie basse de la bande de Bollinger, entre la borne inférieure de 63,888 FCFA et la borne supérieure de 71,812 FCFA, avec une position légèrement en dessous du milieu de bande. Cette configuration, avec un cours proche de la borne inférieure, suggère une pression vendeuse récente mais aussi un potentiel de rebond vers la borne supérieure, justifiant la décision **Neutre** qui attend une confirmation de direction.</w:t>
      </w:r>
    </w:p>
    <w:p>
      <w:pPr>
        <w:spacing w:after="120" w:line="276" w:lineRule="auto"/>
      </w:pPr>
      <w:r>
        <w:t>**MACD** : La valeur du MACD (-0,454) est inférieure à son signal (-0,238), confirmant une divergence baissière et un momentum négatif à court terme. Le croisement des deux lignes en territoire négatif justifie la décision de **Vente**, qui signale une poursuite possible de la correction avant un retournement.</w:t>
      </w:r>
    </w:p>
    <w:p>
      <w:pPr>
        <w:spacing w:after="120" w:line="276" w:lineRule="auto"/>
      </w:pPr>
      <w:r>
        <w:t>**RSI** : Avec une valeur de 42,105, le RSI se situe en zone neutre (entre 30 et 70), sans signal de surachat ni de survente. Cette position médiane indique un équilibre entre acheteurs et vendeurs, justifiant la décision **Neutre** qui ne privilégie ni l'achat ni la vente à ce stade.</w:t>
      </w:r>
    </w:p>
    <w:p>
      <w:pPr>
        <w:spacing w:after="120" w:line="276" w:lineRule="auto"/>
      </w:pPr>
      <w:r>
        <w:t>**Stochastique** : Le %K (40,0) est inférieur au %D (50,0), avec un croisement baissier en zone neutre, ce qui suggère une pression vendeuse persistante à court terme. La décision **Neutre** reflète l'absence de signal fort, le stochastique n'étant ni en zone de surachat (&gt;80) ni de survente (&lt;20).</w:t>
      </w:r>
    </w:p>
    <w:p>
      <w:pPr>
        <w:spacing w:after="120" w:line="276" w:lineRule="auto"/>
      </w:pPr>
      <w:r>
        <w:t>**Conclusion technique** : Les indicateurs techniques présentent un tableau mitigé, avec une majorité de signaux neutres (Bollinger, RSI, Stochastique) et un signal baissier à court terme (MACD), tandis que les moyennes mobiles maintiennent une décision d'achat à moyen terme. Cette divergence suggère que le titre est en phase de consolidation après son rallye, avec un potentiel de rebond vers les 67-68 FCFA si les acheteurs reprennent la main, mais un risque de test de la borne inférieure de Bollinger (63,888 FCFA) en cas de poursuite de la correction.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pour ETIT (Ecobank Transnational Incorporated), issues de la base officielle brvm_donnees_financieres, révèlent un Produit Net Bancaire (PNB) de 1 424,261 milliards FCFA, un résultat net de 345,523 milliards FCFA, un ROE de 21,62% et un ROA de 1,80%. Le coefficient d'exploitation de 27,35% est exceptionnellement bas (très en dessous du seuil de 60% qui définit une banque efficace), témoignant d'une maîtrise remarquable des charges. Le coût du risque, mesuré par le ratio provisions/charges financières, s'établit à 18,97%, un niveau modéré qui indique un portefeuille de crédits globalement sain, bien que les provisions de 270,217 milliards FCFA restent significatives. La structure financière montre une autonomie financière de 8,30% (capitaux propres/total bilan), un ratio d'endettement de 154,06% et une solvabilité générale de 109,06%, confirmant la solidité du bilan malgré un fort effet de levier inhérent au modèle bancaire. Les dépôts clientèle de 14 120,139 milliards FCFA couvrent largement les créances clientèle de 6 570,385 milliards FCFA, avec un ratio de transformation de 46,5%, indiquant une surliquidité et une capacité de prêt encore inexploitée. Les rapports narratifs les plus récents, notamment le rapport semestriel S1 2026 analysé par DeepSeek le 30 juillet 2026, font état d'un PNB de 1 281,330 millions $EU (721 318 millions FCFA) en hausse de +15% sur un an, d'un résultat net de 296,091 millions $EU (166 682 millions FCFA) en progression de +6%, et d'un coefficient d'exploitation amélioré à 48,4%. Le rapport T1 2026 (analysé par DeepSeek) mentionne une croissance du PNB de +23% à 636,2 millions $EU et un résultat net de 142,5 millions $EU (+16%), mais avec une hausse préoccupante du coût du risque de +73%. Sur la base de ces tendances, on peut estimer que l'exercice 2026 devrait enregistrer un PNB annuel compris entre 1 500 et 1 550 milliards FCFA (soit une croissance de 5 à 9% par rapport à 2025) et un résultat net de l'ordre de 360 à 380 milliards FCFA, sous réserve que le coût du risque se stabilise au second semestre. La recommandation fondamentale est de **Conserver** le titre, la solidité des fondamentaux (ROE &gt;20%, coefficient d'exploitation &lt;30%, P/B &lt;1) étant tempérée par la hausse du coût du risque et la dépendance aux devises africaines.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permet de dégager une vision globale contrastée mais globalement favorable. La valorisation (Partie 0) est manifestement attractive avec un PER de 3,5x, un P/B de 0,75x et un EV/EBITDA de 5,0x, tous inférieurs aux moyennes du marché BRVM et du secteur bancaire, ce qui indique une sous-évaluation potentielle. Le comportement du cours (Partie 1) est haussier sur 100 jours (+120%) mais montre des signes de consolidation avec une volatilité élevée (62,1%) et une asymétrie négative (skewness -0,753) qui suggère que les baisses récentes ont un impact disproportionné sur la moyenne. Les signaux techniques (Partie 2) sont mitigés : les moyennes mobiles donnent un signal d'achat, mais le MACD est baissier et les autres indicateurs sont neutres, ce qui plaide pour une phase d'attente avant un nouveau mouvement directionnel. Les fondamentaux (Partie 3) restent solides avec un ROE de 21,62%, un coefficient d'exploitation de 27,35% et une croissance du PNB de +15% au S1 2026, mais le coût du risque en hausse (+40% au S1 2026, +73% au T1 2026) constitue un point de vigilance majeur. Les prédictions IA (J+1 à J+10) tablent sur une stabilité du cours à 66 FCFA, ce qui confirme l'absence de catalyseur à court terme et la phase de consolidation en cours. Sur la base de cette synthèse, la recommandation finale est **CONSERVER**, avec un niveau de confiance **Moyen** et un risque global **Moyen**. La convergence entre une valorisation attractive, des fondamentaux solides et une technique neutre à baissier à court terme justifie une position d'attente, en surveillant les prochains résultats trimestriels (T3 2026) pour confirmer la maîtrise du coût du risque. L'horizon d'investissement optimal est le **moyen terme (3-12 mois)**, avec un potentiel de revalorisation vers 75-80 FCFA si les fondamentaux se confirment et que le cours franchit la résistance des 67-68 FCFA (moyennes mobiles). Un passage à l'achat serait justifié si le coût du risque se stabilise et que le MACD croise à la hausse, tandis qu'une vente serait envisageable si le cours casse la borne inférieure de Bollinger (63,888 FCFA) avec une augmentation des volumes.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26.16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4,118 titres</w:t>
            </w:r>
          </w:p>
        </w:tc>
        <w:tc>
          <w:tcPr>
            <w:tcW w:type="dxa" w:w="2268"/>
            <w:shd w:fill="FFF2CC" w:val="clear"/>
          </w:tcPr>
          <w:p>
            <w:r>
              <w:rPr>
                <w:b/>
                <w:color w:val="503200"/>
                <w:sz w:val="16"/>
              </w:rPr>
              <w:t xml:space="preserve">Cours actuel : </w:t>
            </w:r>
            <w:r>
              <w:rPr>
                <w:color w:val="000000"/>
                <w:sz w:val="17"/>
              </w:rPr>
              <w:t>1,855 FCFA</w:t>
            </w:r>
          </w:p>
          <w:p>
            <w:r>
              <w:rPr>
                <w:b/>
                <w:color w:val="503200"/>
                <w:sz w:val="16"/>
              </w:rPr>
              <w:t xml:space="preserve">Var. 100 jours : </w:t>
            </w:r>
            <w:r>
              <w:rPr>
                <w:b/>
                <w:color w:val="B40000"/>
                <w:sz w:val="17"/>
              </w:rPr>
              <w:t>-19.35%</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6.44% (Moyenne) — μ=2,087 FCFA, σ=134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β=0.5275 (Défensif) — Cov=0.000039, Var(idx)=0.000074, ρ=0.199,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1,759</w:t>
            </w:r>
          </w:p>
        </w:tc>
        <w:tc>
          <w:tcPr>
            <w:tcW w:type="dxa" w:w="1440"/>
            <w:shd w:fill="FAFAFA" w:val="clear"/>
          </w:tcPr>
          <w:p>
            <w:r>
              <w:rPr>
                <w:b/>
                <w:sz w:val="17"/>
              </w:rPr>
              <w:t>1,843</w:t>
            </w:r>
          </w:p>
        </w:tc>
        <w:tc>
          <w:tcPr>
            <w:tcW w:type="dxa" w:w="1440"/>
            <w:shd w:fill="FAFAFA" w:val="clear"/>
          </w:tcPr>
          <w:p>
            <w:r>
              <w:rPr>
                <w:sz w:val="17"/>
              </w:rPr>
              <w:t>1,927</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1,714</w:t>
            </w:r>
          </w:p>
        </w:tc>
        <w:tc>
          <w:tcPr>
            <w:tcW w:type="dxa" w:w="1440"/>
            <w:shd w:fill="FAFAFA" w:val="clear"/>
          </w:tcPr>
          <w:p>
            <w:r>
              <w:rPr>
                <w:b/>
                <w:sz w:val="17"/>
              </w:rPr>
              <w:t>1,831</w:t>
            </w:r>
          </w:p>
        </w:tc>
        <w:tc>
          <w:tcPr>
            <w:tcW w:type="dxa" w:w="1440"/>
            <w:shd w:fill="FAFAFA" w:val="clear"/>
          </w:tcPr>
          <w:p>
            <w:r>
              <w:rPr>
                <w:sz w:val="17"/>
              </w:rPr>
              <w:t>1,949</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1,676</w:t>
            </w:r>
          </w:p>
        </w:tc>
        <w:tc>
          <w:tcPr>
            <w:tcW w:type="dxa" w:w="1440"/>
            <w:shd w:fill="FAFAFA" w:val="clear"/>
          </w:tcPr>
          <w:p>
            <w:r>
              <w:rPr>
                <w:b/>
                <w:sz w:val="17"/>
              </w:rPr>
              <w:t>1,819</w:t>
            </w:r>
          </w:p>
        </w:tc>
        <w:tc>
          <w:tcPr>
            <w:tcW w:type="dxa" w:w="1440"/>
            <w:shd w:fill="FAFAFA" w:val="clear"/>
          </w:tcPr>
          <w:p>
            <w:r>
              <w:rPr>
                <w:sz w:val="17"/>
              </w:rPr>
              <w:t>1,962</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2026-10-19</w:t>
            </w:r>
          </w:p>
        </w:tc>
        <w:tc>
          <w:tcPr>
            <w:tcW w:type="dxa" w:w="1440"/>
            <w:shd w:fill="FFDCE0" w:val="clear"/>
          </w:tcPr>
          <w:p>
            <w:r>
              <w:rPr>
                <w:sz w:val="17"/>
              </w:rPr>
              <w:t>1,643</w:t>
            </w:r>
          </w:p>
        </w:tc>
        <w:tc>
          <w:tcPr>
            <w:tcW w:type="dxa" w:w="1440"/>
            <w:shd w:fill="FFDCE0" w:val="clear"/>
          </w:tcPr>
          <w:p>
            <w:r>
              <w:rPr>
                <w:b/>
                <w:sz w:val="17"/>
              </w:rPr>
              <w:t>1,807</w:t>
            </w:r>
          </w:p>
        </w:tc>
        <w:tc>
          <w:tcPr>
            <w:tcW w:type="dxa" w:w="1440"/>
            <w:shd w:fill="FFDCE0" w:val="clear"/>
          </w:tcPr>
          <w:p>
            <w:r>
              <w:rPr>
                <w:sz w:val="17"/>
              </w:rPr>
              <w:t>1,971</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2026-10-20</w:t>
            </w:r>
          </w:p>
        </w:tc>
        <w:tc>
          <w:tcPr>
            <w:tcW w:type="dxa" w:w="1440"/>
            <w:shd w:fill="FFDCE0" w:val="clear"/>
          </w:tcPr>
          <w:p>
            <w:r>
              <w:rPr>
                <w:sz w:val="17"/>
              </w:rPr>
              <w:t>1,613</w:t>
            </w:r>
          </w:p>
        </w:tc>
        <w:tc>
          <w:tcPr>
            <w:tcW w:type="dxa" w:w="1440"/>
            <w:shd w:fill="FFDCE0" w:val="clear"/>
          </w:tcPr>
          <w:p>
            <w:r>
              <w:rPr>
                <w:b/>
                <w:sz w:val="17"/>
              </w:rPr>
              <w:t>1,795</w:t>
            </w:r>
          </w:p>
        </w:tc>
        <w:tc>
          <w:tcPr>
            <w:tcW w:type="dxa" w:w="1440"/>
            <w:shd w:fill="FFDCE0" w:val="clear"/>
          </w:tcPr>
          <w:p>
            <w:r>
              <w:rPr>
                <w:sz w:val="17"/>
              </w:rPr>
              <w:t>1,978</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2026-10-21</w:t>
            </w:r>
          </w:p>
        </w:tc>
        <w:tc>
          <w:tcPr>
            <w:tcW w:type="dxa" w:w="1440"/>
            <w:shd w:fill="FFDCE0" w:val="clear"/>
          </w:tcPr>
          <w:p>
            <w:r>
              <w:rPr>
                <w:sz w:val="17"/>
              </w:rPr>
              <w:t>1,585</w:t>
            </w:r>
          </w:p>
        </w:tc>
        <w:tc>
          <w:tcPr>
            <w:tcW w:type="dxa" w:w="1440"/>
            <w:shd w:fill="FFDCE0" w:val="clear"/>
          </w:tcPr>
          <w:p>
            <w:r>
              <w:rPr>
                <w:b/>
                <w:sz w:val="17"/>
              </w:rPr>
              <w:t>1,784</w:t>
            </w:r>
          </w:p>
        </w:tc>
        <w:tc>
          <w:tcPr>
            <w:tcW w:type="dxa" w:w="1440"/>
            <w:shd w:fill="FFDCE0" w:val="clear"/>
          </w:tcPr>
          <w:p>
            <w:r>
              <w:rPr>
                <w:sz w:val="17"/>
              </w:rPr>
              <w:t>1,982</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1,559</w:t>
            </w:r>
          </w:p>
        </w:tc>
        <w:tc>
          <w:tcPr>
            <w:tcW w:type="dxa" w:w="1440"/>
            <w:shd w:fill="FFDCE0" w:val="clear"/>
          </w:tcPr>
          <w:p>
            <w:r>
              <w:rPr>
                <w:b/>
                <w:sz w:val="17"/>
              </w:rPr>
              <w:t>1,772</w:t>
            </w:r>
          </w:p>
        </w:tc>
        <w:tc>
          <w:tcPr>
            <w:tcW w:type="dxa" w:w="1440"/>
            <w:shd w:fill="FFDCE0" w:val="clear"/>
          </w:tcPr>
          <w:p>
            <w:r>
              <w:rPr>
                <w:sz w:val="17"/>
              </w:rPr>
              <w:t>1,985</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1,535</w:t>
            </w:r>
          </w:p>
        </w:tc>
        <w:tc>
          <w:tcPr>
            <w:tcW w:type="dxa" w:w="1440"/>
            <w:shd w:fill="FFDCE0" w:val="clear"/>
          </w:tcPr>
          <w:p>
            <w:r>
              <w:rPr>
                <w:b/>
                <w:sz w:val="17"/>
              </w:rPr>
              <w:t>1,761</w:t>
            </w:r>
          </w:p>
        </w:tc>
        <w:tc>
          <w:tcPr>
            <w:tcW w:type="dxa" w:w="1440"/>
            <w:shd w:fill="FFDCE0" w:val="clear"/>
          </w:tcPr>
          <w:p>
            <w:r>
              <w:rPr>
                <w:sz w:val="17"/>
              </w:rPr>
              <w:t>1,987</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1,511</w:t>
            </w:r>
          </w:p>
        </w:tc>
        <w:tc>
          <w:tcPr>
            <w:tcW w:type="dxa" w:w="1440"/>
            <w:shd w:fill="FFDCE0" w:val="clear"/>
          </w:tcPr>
          <w:p>
            <w:r>
              <w:rPr>
                <w:b/>
                <w:sz w:val="17"/>
              </w:rPr>
              <w:t>1,750</w:t>
            </w:r>
          </w:p>
        </w:tc>
        <w:tc>
          <w:tcPr>
            <w:tcW w:type="dxa" w:w="1440"/>
            <w:shd w:fill="FFDCE0" w:val="clear"/>
          </w:tcPr>
          <w:p>
            <w:r>
              <w:rPr>
                <w:sz w:val="17"/>
              </w:rPr>
              <w:t>1,988</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1,489</w:t>
            </w:r>
          </w:p>
        </w:tc>
        <w:tc>
          <w:tcPr>
            <w:tcW w:type="dxa" w:w="1440"/>
            <w:shd w:fill="FFDCE0" w:val="clear"/>
          </w:tcPr>
          <w:p>
            <w:r>
              <w:rPr>
                <w:b/>
                <w:sz w:val="17"/>
              </w:rPr>
              <w:t>1,739</w:t>
            </w:r>
          </w:p>
        </w:tc>
        <w:tc>
          <w:tcPr>
            <w:tcW w:type="dxa" w:w="1440"/>
            <w:shd w:fill="FFDCE0" w:val="clear"/>
          </w:tcPr>
          <w:p>
            <w:r>
              <w:rPr>
                <w:sz w:val="17"/>
              </w:rPr>
              <w:t>1,988</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26,16 Mds FCFA, FTSC se situe dans la catégorie des valeurs moyennes de la cote BRVM, ce qui la rend vulnérable aux mouvements de faible volume (4 118 titres/jour en moyenne). Le BPA de 33 FCFA/action signifie que chaque titre génère à peine 33 FCFA de bénéfice net, un niveau très faible qui traduit la quasi-absence de rentabilité de l'exercice 2025. Le PER de 56,1x est **très élevé** au regard de la moyenne BRVM (~8-12x) : les investisseurs paient plus de 56 fois les bénéfices pour ce titre, ce qui est totalement déconnecté des fondamentaux actuels et signale une **surévaluation manifeste** — d'autant que le résultat net 2025 (466 MFCFA) est en chute de 97,5% par rapport à 2024. Le P/B de 1,67x indique que le marché valorise l'action à 67% au-dessus de sa valeur comptable, ce qui reste raisonnable dans l'absolu mais excessif compte tenu de la dégradation des capitaux propres (passés de 43,4 à 15,7 Mds FCFA). Enfin, l'EV/EBITDA de 35,3x (&gt;15x = très exigeant) confirme que la valeur d'entreprise est très chèrement valorisée par rapport à sa capacité opérationnelle, ce qui est d'autant plus problématique que l'EBE 2025 n'est que de 1,5 Md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affiche une **variation totale de -19,35%**, avec une dernière séance en léger repli de -0,27%, confirmant une tendance baissière persistante. Le cours actuel de 1 855 FCFA évolue dans un range étroit entre un plus haut de 2 430 FCFA et un plus bas de 1 850 FCFA — le titre se situe donc **au plus bas de sa fourchette**, à seulement 5 FCFA du plancher, ce qui traduit une pression vendeuse continue. La moyenne (2 087 FCFA) et la médiane (2 090 FCFA) sont quasi identiques, indiquant une distribution globalement symétrique, mais le mode à 1 990 FCFA et le skewness positif de 0,512 révèlent qu'il y a eu **plus de journées sous la moyenne** que au-dessus, signe d'une asymétrie baissière. L'écart-type de 135 FCFA avec un coefficient de variation de 6,5% indique une dispersion modérée du cours autour de sa moyenne, tandis que le kurtosis de -0,398 (mésokurtique) suggère une distribution proche de la normale, sans risque majeur de pics extrêmes. La **volatilité annualisée de 35,8%** classe le titre dans la catégorie des valeurs à volatilité **élevée** (&gt;30%), ce qui est cohérent avec la chute de près de 20% sur la période et le contexte opérationnel incertain de la société.</w:t>
      </w:r>
    </w:p>
    <w:p>
      <w:pPr>
        <w:spacing w:after="120" w:line="276" w:lineRule="auto"/>
      </w:pPr>
      <w:r>
        <w:t>---</w:t>
      </w:r>
    </w:p>
    <w:p>
      <w:pPr>
        <w:spacing w:after="120" w:line="276" w:lineRule="auto"/>
      </w:pPr>
      <w:r>
        <w:t>## PARTIE 2 : ANALYSE TECHNIQUE DÉTAILLÉE</w:t>
      </w:r>
    </w:p>
    <w:p>
      <w:pPr>
        <w:spacing w:after="120" w:line="276" w:lineRule="auto"/>
      </w:pPr>
      <w:r>
        <w:t>**Moyennes Mobiles** : La MM20 (1 977 FCFA) et la MM50 (2 061 FCFA) sont toutes deux supérieures au cours actuel (1 855 FCFA), avec la MM20 en dessous de la MM50 — configuration baissière classique. Le cours évolue sous ses deux moyennes, ce qui confirme la pression vendeuse et justifie la décision **Vente**.</w:t>
      </w:r>
    </w:p>
    <w:p>
      <w:pPr>
        <w:spacing w:after="120" w:line="276" w:lineRule="auto"/>
      </w:pPr>
      <w:r>
        <w:t>**Bandes de Bollinger** : Le cours (1 855 FCFA) se situe entre la borne inférieure (1 808,75 FCFA) et la borne supérieure (2 145,25 FCFA), mais très proche de la borne basse, ce qui indique une pression baissière sans être encore en zone de survente extrême. La décision **Neutre** reflète cette position ambiguë, le cours n'ayant pas encore cassé la borne inférieure.</w:t>
      </w:r>
    </w:p>
    <w:p>
      <w:pPr>
        <w:spacing w:after="120" w:line="276" w:lineRule="auto"/>
      </w:pPr>
      <w:r>
        <w:t>**MACD** : La valeur du MACD (-56,808) est inférieure à son signal (-44,359), avec un histogramme négatif — configuration baissière confirmée. Le momentum est clairement négatif et la divergence MACD-Signal justifie la décision **Vente**.</w:t>
      </w:r>
    </w:p>
    <w:p>
      <w:pPr>
        <w:spacing w:after="120" w:line="276" w:lineRule="auto"/>
      </w:pPr>
      <w:r>
        <w:t>**RSI** : À 44,86, le RSI se situe en zone neutre (30-70), sans signal de surachat (&gt;70) ni de survente (&lt;30). Cette valeur médiane traduit une absence de momentum directionnel fort, justifiant la décision **Neutre**.</w:t>
      </w:r>
    </w:p>
    <w:p>
      <w:pPr>
        <w:spacing w:after="120" w:line="276" w:lineRule="auto"/>
      </w:pPr>
      <w:r>
        <w:t>**Stochastique** : Le %K (3,333) est très bas et inférieur au %D (6,667), ce qui place l'indicateur en zone de **survente extrême** (&lt;20). Cette configuration suggère un potentiel rebond technique à court terme, justifiant la décision **Achat** — mais ce signal contredit les autres indicateurs.</w:t>
      </w:r>
    </w:p>
    <w:p>
      <w:pPr>
        <w:spacing w:after="120" w:line="276" w:lineRule="auto"/>
      </w:pPr>
      <w:r>
        <w:t>**Conclusion technique** : Les indicateurs sont majoritairement baissiers (MM, MACD) ou neutres (Bollinger, RSI), avec un seul signal haussier (Stochastique en survente). Cette divergence suggère que le titre pourrait connaître un rebond technique à très court terme, mais la tendance de fond reste clairement baissière. La convergence des signaux négatifs (cours sous les MM, MACD négatif) l'emporte sur le signal isolé du Stochastique.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32 109 Mds FCFA (32,1 Mds), en hausse de 4,6% par rapport à 2024, mais son résultat net s'est effondré à 466 MFCFA contre 18 595 MFCFA en 2024, soit une chute de 97,5%. Cette dégradation spectaculaire s'explique par la disparition des produits exceptionnels (résultat HAO de 381,6 MFCFA contre 18 863 MFCFA en 2024) et l'effondrement des produits financiers (545 MFCFA contre 6 170 MFCFA). La rentabilité est très faible : le ROE n'est que de 2,97% (très loin du seuil de 15% considéré comme excellent) et le ROA de 1,19%, tandis que la marge nette s'établit à 1,45% (contre 60,6% en 2024, niveau artificiel). En tant qu'entreprise industrielle, les délais d'exploitation sont préoccupants : le délai clients est de 213,72 jours (créances clients de 18,8 Mds FCFA), le délai fournisseurs de 140,71 jours et la durée de stockage de 214,65 jours — ces niveaux élevés immobilisent massivement du capital et génèrent un BFR de 11,5 Mds FCFA. La structure financière reste solvable (autonomie financière de 40,1%, solvabilité générale de 167%), mais la trésorerie nette est **fortement négative à -11,5 Mds FCFA** et la capacité de remboursement de 11,49 années est élevée. **Estimations basées sur les rapports trimestriels** : Le rapport T1 2026 (publié le 31 mars 2026) montre un CA de 8 901 MFCFA en hausse de 55% sur un an, avec un résultat d'exploitation redevenu positif (75 MFCFA contre -78 MFCFA au T1 2025), mais un résultat net toujours déficitaire (-154 MFCFA). On estime donc que l'exercice 2026 pourrait bénéficier d'une dynamique commerciale favorable (campagne cacao), mais la rentabilité nette reste incertaine. Le communiqué du 8 juillet 2026 rassure sur la continuité des activités malgré l'arrêt de la filature (interdiction d'exportation de jute par le Bangladesh), avec une solution alternative d'importation de fil. **Recommandation fondamentale** : la société est en phase de retournement opérationnel mais la rentabilité nette n'est pas encore rétablie, les risques exogènes (matières premières, fret, géopolitique) sont majeurs et l'absence de dividende (0% de distribution en 2025) réduit l'attractivité.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les différents signaux. La **valorisation (Partie 0)** est clairement surévaluée : PER de 56,1x (vs 8-12x pour la BRVM), EV/EBITDA de 35,3x et P/B de 1,67x pour une société dont le résultat net a chuté de 97,5% — le marché paie très cher une rentabilité quasi nulle. Le **comportement du cours (Partie 1)** est baissier (-19,35% sur 100 jours), avec un titre au plus bas de sa fourchette, une volatilité élevée (35,8%) et un skewness positif indiquant une pression vendeuse persistante. Les **signaux techniques (Partie 2)** sont majoritairement négatifs (cours sous MM20/MM50, MACD baissier), avec un seul signal haussier isolé (Stochastique en survente) qui pourrait générer un rebond technique éphémère. Les **fondamentaux (Partie 3)** montrent une société en retournement opérationnel (CA +55% au T1 2026, résultat d'exploitation positif) mais toujours déficitaire (-154 MFCFA au T1 2026), avec une trésorerie nette négative (-11,5 Mds FCFA) et une absence de dividende. Les **prédictions IA (J+1 à J+10)** confirment la tendance baissière avec une trajectoire descendante de 1 843 FCFA à 1 795 FCFA, soit une baisse supplémentaire de 3,2% anticipée. **Recommandation finale : VENTE** — La convergence des signaux baissiers (valorisation excessive, technique négative, fondamentaux fragiles, prédictions IA à la baisse) l'emporte largement sur le seul signal haussier du Stochastique. Le niveau de confiance est **Moyen** (le retournement opérationnel du T1 2026 pourrait s'amplifier, mais les risques exogènes sont élevés) et le niveau de risque global est **Élevé** (trésorerie négative, dépendance au cacao, volatilité de 35,8%). L'horizon d'investissement recommandé est **court terme** (&lt;3 mois) pour les investisseurs cherchant à sortir avant la poursuite de la baisse ; les investisseurs long terme devraient attendre deux trimestres consécutifs de résultat net positif avant d'envisager une 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78.00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4,689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B40000"/>
                <w:sz w:val="17"/>
              </w:rPr>
              <w:t>-2.26%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4.70% (Faible) — μ=4,075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β=0.6451 (Défensif) — Cov=0.000048, Var(idx)=0.000074, ρ=0.212,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3,759</w:t>
            </w:r>
          </w:p>
        </w:tc>
        <w:tc>
          <w:tcPr>
            <w:tcW w:type="dxa" w:w="1440"/>
            <w:shd w:fill="FAFAFA" w:val="clear"/>
          </w:tcPr>
          <w:p>
            <w:r>
              <w:rPr>
                <w:b/>
                <w:sz w:val="17"/>
              </w:rPr>
              <w:t>3,923</w:t>
            </w:r>
          </w:p>
        </w:tc>
        <w:tc>
          <w:tcPr>
            <w:tcW w:type="dxa" w:w="1440"/>
            <w:shd w:fill="FAFAFA" w:val="clear"/>
          </w:tcPr>
          <w:p>
            <w:r>
              <w:rPr>
                <w:sz w:val="17"/>
              </w:rPr>
              <w:t>4,088</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3,689</w:t>
            </w:r>
          </w:p>
        </w:tc>
        <w:tc>
          <w:tcPr>
            <w:tcW w:type="dxa" w:w="1440"/>
            <w:shd w:fill="FAFAFA" w:val="clear"/>
          </w:tcPr>
          <w:p>
            <w:r>
              <w:rPr>
                <w:b/>
                <w:sz w:val="17"/>
              </w:rPr>
              <w:t>3,922</w:t>
            </w:r>
          </w:p>
        </w:tc>
        <w:tc>
          <w:tcPr>
            <w:tcW w:type="dxa" w:w="1440"/>
            <w:shd w:fill="FAFAFA" w:val="clear"/>
          </w:tcPr>
          <w:p>
            <w:r>
              <w:rPr>
                <w:sz w:val="17"/>
              </w:rPr>
              <w:t>4,155</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3,640</w:t>
            </w:r>
          </w:p>
        </w:tc>
        <w:tc>
          <w:tcPr>
            <w:tcW w:type="dxa" w:w="1440"/>
            <w:shd w:fill="FAFAFA" w:val="clear"/>
          </w:tcPr>
          <w:p>
            <w:r>
              <w:rPr>
                <w:b/>
                <w:sz w:val="17"/>
              </w:rPr>
              <w:t>3,925</w:t>
            </w:r>
          </w:p>
        </w:tc>
        <w:tc>
          <w:tcPr>
            <w:tcW w:type="dxa" w:w="1440"/>
            <w:shd w:fill="FAFAFA" w:val="clear"/>
          </w:tcPr>
          <w:p>
            <w:r>
              <w:rPr>
                <w:sz w:val="17"/>
              </w:rPr>
              <w:t>4,211</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3,600</w:t>
            </w:r>
          </w:p>
        </w:tc>
        <w:tc>
          <w:tcPr>
            <w:tcW w:type="dxa" w:w="1440"/>
            <w:shd w:fill="FAFAFA" w:val="clear"/>
          </w:tcPr>
          <w:p>
            <w:r>
              <w:rPr>
                <w:b/>
                <w:sz w:val="17"/>
              </w:rPr>
              <w:t>3,930</w:t>
            </w:r>
          </w:p>
        </w:tc>
        <w:tc>
          <w:tcPr>
            <w:tcW w:type="dxa" w:w="1440"/>
            <w:shd w:fill="FAFAFA" w:val="clear"/>
          </w:tcPr>
          <w:p>
            <w:r>
              <w:rPr>
                <w:sz w:val="17"/>
              </w:rPr>
              <w:t>4,260</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3,563</w:t>
            </w:r>
          </w:p>
        </w:tc>
        <w:tc>
          <w:tcPr>
            <w:tcW w:type="dxa" w:w="1440"/>
            <w:shd w:fill="FAFAFA" w:val="clear"/>
          </w:tcPr>
          <w:p>
            <w:r>
              <w:rPr>
                <w:b/>
                <w:sz w:val="17"/>
              </w:rPr>
              <w:t>3,932</w:t>
            </w:r>
          </w:p>
        </w:tc>
        <w:tc>
          <w:tcPr>
            <w:tcW w:type="dxa" w:w="1440"/>
            <w:shd w:fill="FAFAFA" w:val="clear"/>
          </w:tcPr>
          <w:p>
            <w:r>
              <w:rPr>
                <w:sz w:val="17"/>
              </w:rPr>
              <w:t>4,301</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3,530</w:t>
            </w:r>
          </w:p>
        </w:tc>
        <w:tc>
          <w:tcPr>
            <w:tcW w:type="dxa" w:w="1440"/>
            <w:shd w:fill="FAFAFA" w:val="clear"/>
          </w:tcPr>
          <w:p>
            <w:r>
              <w:rPr>
                <w:b/>
                <w:sz w:val="17"/>
              </w:rPr>
              <w:t>3,934</w:t>
            </w:r>
          </w:p>
        </w:tc>
        <w:tc>
          <w:tcPr>
            <w:tcW w:type="dxa" w:w="1440"/>
            <w:shd w:fill="FAFAFA" w:val="clear"/>
          </w:tcPr>
          <w:p>
            <w:r>
              <w:rPr>
                <w:sz w:val="17"/>
              </w:rPr>
              <w:t>4,339</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3,500</w:t>
            </w:r>
          </w:p>
        </w:tc>
        <w:tc>
          <w:tcPr>
            <w:tcW w:type="dxa" w:w="1440"/>
            <w:shd w:fill="FAFAFA" w:val="clear"/>
          </w:tcPr>
          <w:p>
            <w:r>
              <w:rPr>
                <w:b/>
                <w:sz w:val="17"/>
              </w:rPr>
              <w:t>3,937</w:t>
            </w:r>
          </w:p>
        </w:tc>
        <w:tc>
          <w:tcPr>
            <w:tcW w:type="dxa" w:w="1440"/>
            <w:shd w:fill="FAFAFA" w:val="clear"/>
          </w:tcPr>
          <w:p>
            <w:r>
              <w:rPr>
                <w:sz w:val="17"/>
              </w:rPr>
              <w:t>4,374</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3,473</w:t>
            </w:r>
          </w:p>
        </w:tc>
        <w:tc>
          <w:tcPr>
            <w:tcW w:type="dxa" w:w="1440"/>
            <w:shd w:fill="FAFAFA" w:val="clear"/>
          </w:tcPr>
          <w:p>
            <w:r>
              <w:rPr>
                <w:b/>
                <w:sz w:val="17"/>
              </w:rPr>
              <w:t>3,941</w:t>
            </w:r>
          </w:p>
        </w:tc>
        <w:tc>
          <w:tcPr>
            <w:tcW w:type="dxa" w:w="1440"/>
            <w:shd w:fill="FAFAFA" w:val="clear"/>
          </w:tcPr>
          <w:p>
            <w:r>
              <w:rPr>
                <w:sz w:val="17"/>
              </w:rPr>
              <w:t>4,409</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3,448</w:t>
            </w:r>
          </w:p>
        </w:tc>
        <w:tc>
          <w:tcPr>
            <w:tcW w:type="dxa" w:w="1440"/>
            <w:shd w:fill="FAFAFA" w:val="clear"/>
          </w:tcPr>
          <w:p>
            <w:r>
              <w:rPr>
                <w:b/>
                <w:sz w:val="17"/>
              </w:rPr>
              <w:t>3,945</w:t>
            </w:r>
          </w:p>
        </w:tc>
        <w:tc>
          <w:tcPr>
            <w:tcW w:type="dxa" w:w="1440"/>
            <w:shd w:fill="FAFAFA" w:val="clear"/>
          </w:tcPr>
          <w:p>
            <w:r>
              <w:rPr>
                <w:sz w:val="17"/>
              </w:rPr>
              <w:t>4,441</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3,425</w:t>
            </w:r>
          </w:p>
        </w:tc>
        <w:tc>
          <w:tcPr>
            <w:tcW w:type="dxa" w:w="1440"/>
            <w:shd w:fill="FAFAFA" w:val="clear"/>
          </w:tcPr>
          <w:p>
            <w:r>
              <w:rPr>
                <w:b/>
                <w:sz w:val="17"/>
              </w:rPr>
              <w:t>3,949</w:t>
            </w:r>
          </w:p>
        </w:tc>
        <w:tc>
          <w:tcPr>
            <w:tcW w:type="dxa" w:w="1440"/>
            <w:shd w:fill="FAFAFA" w:val="clear"/>
          </w:tcPr>
          <w:p>
            <w:r>
              <w:rPr>
                <w:sz w:val="17"/>
              </w:rPr>
              <w:t>4,473</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RAPPORT D'ANALYSE FINANCIÈRE — LNBB (Loterie Nationale du Bénin SA)</w:t>
        <w:br/>
        <w:t>**Bourse Régionale des Valeurs Mobilières (BRVM) — Secteur : Entreprise non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Loterie Nationale du Bénin SA affiche une capitalisation boursière de 78,00 Mds FCFA, un niveau significatif à l'échelle de la BRVM qui positionne le titre parmi les valeurs moyennes à liquides de la cote. Avec un BPA de 231 FCFA/action pour un cours de 3 900 FCFA, chaque action génère un bénéfice unitaire cohérent avec la taille de l'entreprise. Le PER de 16,9x traduit une valorisation modérée mais supérieure à la moyenne du marché BRVM (généralement comprise entre 8 et 12x), ce qui indique que les investisseurs acceptent de payer une prime pour la qualité des fondamentaux et les perspectives de digitalisation. Le P/B de 3,55x confirme cette prime de croissance : le marché valorise l'entreprise à plus de trois fois sa valeur comptable, reflétant la confiance dans la rentabilité des fonds propres (ROE de 21,05%). Enfin, l'EV/EBITDA de 9,9x situe la valeur d'entreprise dans la fourchette raisonnable de 5-10x, suggérant que la capacité opérationnelle est correctement valorisée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 enregistré une variation totale de -2,26%, avec une dernière séance en léger repli de -0,13%, portant le cours actuel à 3 900 FCFA. Le range de trading s'établit entre un plus haut de 4 560 FCFA et un plus bas de 3 700 FCFA, soit une amplitude de 860 FCFA (23,2%) qui témoigne d'une volatilité non négligeable sur la période. La tendance générale est baissière modérée, le cours évoluant sous sa moyenne (4 075 FCFA) et sa médiane (4 050 FCFA), bien que le mode à 4 000 FCFA suggère une zone de consolidation autour de ce niveau psychologique. Les statistiques descriptives révèlent un écart-type de 192 FCFA avec un coefficient de variation de 4,7%, indiquant une dispersion relativement contenue du cours autour de sa moyenne. Le kurtosis de -0,777 (mésokurtique) signifie que la distribution des rendements est proche d'une loi normale, sans risque excessif de pics extrêmes, tandis que le skewness de 0,460 (distribution symétrique) suggère une légère asymétrie positive sans biais marqué. La volatilité annualisée de 41,2% classe ce titre dans la catégorie des valeurs à volatilité élevée (&gt;30%), ce qui implique un risque de prix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3 941,75 FCFA et la MM50 à 4 051,10 FCFA, toutes deux supérieures au cours actuel de 3 900 FCFA, ce qui confirme une configuration baissière de court et moyen terme. Le croisement des moyennes (MM20 sous MM50) valide la décision de vente technique, le titre évoluant sous ses références mobiles.</w:t>
      </w:r>
    </w:p>
    <w:p>
      <w:pPr>
        <w:spacing w:after="120" w:line="276" w:lineRule="auto"/>
      </w:pPr>
      <w:r>
        <w:t>**Bandes de Bollinger :** Le cours actuel (3 900 FCFA) se situe dans la partie inférieure de la bande, entre la borne inférieure (3 760,05 FCFA) et la borne supérieure (4 123,45 FCFA), sans atteindre les extrêmes. Cette position médiane justifie la décision neutre, le titre n'étant ni suracheté ni survendu selon ce indicateur.</w:t>
      </w:r>
    </w:p>
    <w:p>
      <w:pPr>
        <w:spacing w:after="120" w:line="276" w:lineRule="auto"/>
      </w:pPr>
      <w:r>
        <w:t>**MACD :** La valeur du MACD (-38,011) est supérieure à son signal (-44,927), générant un croisement haussier qui justifie la décision d'achat. Cette divergence positive indique un essoufflement de la dynamique baissière et un possible retournement de momentum à court terme.</w:t>
      </w:r>
    </w:p>
    <w:p>
      <w:pPr>
        <w:spacing w:after="120" w:line="276" w:lineRule="auto"/>
      </w:pPr>
      <w:r>
        <w:t>**RSI :** À 44,565, le RSI se situe en zone neutre (entre 30 et 70), sans signal de surachat ni de survente. Cette position médiane confirme la décision neutre et suggère que le titre dispose d'un potentiel de rebond sans être techniquement survendu.</w:t>
      </w:r>
    </w:p>
    <w:p>
      <w:pPr>
        <w:spacing w:after="120" w:line="276" w:lineRule="auto"/>
      </w:pPr>
      <w:r>
        <w:t>**Stochastique :** Le %K (71,429) et le %D (72,698) évoluent en zone haute, proches du seuil de surachat (80), avec un croisement potentiel à surveiller. La décision neutre reflète cette configuration ambiguë où le momentum reste positif mais approche des niveaux de prudence.</w:t>
      </w:r>
    </w:p>
    <w:p>
      <w:pPr>
        <w:spacing w:after="120" w:line="276" w:lineRule="auto"/>
      </w:pPr>
      <w:r>
        <w:t>**Conclusion technique :** Les indicateurs techniques présentent une configuration mitigée : les moyennes mobiles restent baissières, les Bandes de Bollinger et le RSI sont neutres, tandis que le MACD génère un signal d'achat contrariant. Le stochastique en zone haute suggère une possible consolidation avant un nouveau mouvement directionnel. Dans l'ensemble, le titre se trouve dans une phase de transition technique, avec un biais légèrement haussier à court terme porté par le MACD, mais sans confirmation franche des autres indicateurs.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Loterie Nationale du Bénin a réalisé un chiffre d'affaires de 98,598 Mds FCFA, en baisse de -3,85% par rapport à 2024, sous l'effet de la concurrence illégale. Le résultat net s'établit à 4,622 Mds FCFA, avec une marge nette de 4,69% et une marge opérationnelle de 6,47%. La rentabilité des fonds propres (ROE) atteint 21,05%, un niveau excellent (&gt;15%), tandis que le ROA de 14,17% confirme l'efficacité de l'utilisation des actifs. La structure financière est très solide : autonomie financière de 67,32%, ratio d'endettement de seulement 2,57%, et trésorerie nette positive de 7,979 Mds FCFA. Le BFR est négatif (217,45 M FCFA), ce qui est favorable, et les délais clients sont exceptionnellement courts (4,82 jours), réduisant le risque de trésorerie. La rotation des actifs de 302,37% témoigne d'une excellente efficacité opérationnelle.</w:t>
      </w:r>
    </w:p>
    <w:p>
      <w:pPr>
        <w:spacing w:after="120" w:line="276" w:lineRule="auto"/>
      </w:pPr>
      <w:r>
        <w:t>**Estimations basées sur les rapports trimestriels :** Selon le rapport du T1 2026 (publié en 2026), le chiffre d'affaires progresse de +6% à 25,521 Mds FCFA, mais le résultat net chute de -46% à 848 M FCFA, en raison d'un mix produit défavorable (taux de retour aux joueurs de 95% sur le pari sportif). Le rapport du S1 2026 (publié en 2026) indique une reprise avec un CA de 49,937 Mds FCFA (+4%) et un résultat net en hausse de +60%, grâce à la maîtrise des charges et aux partenariats. On estime donc que l'exercice 2026 devrait afficher une amélioration de la rentabilité par rapport à 2025, portée par le digital (+18% en 2025) et le déploiement de 1 500 nouveaux terminaux au S2 2026. Le dividende proposé pour 2025 est de 173 FCFA brut par action (164 FCFA net), soit un rendement de 4,2% au cours actuel de 3 900 FCFA.</w:t>
      </w:r>
    </w:p>
    <w:p>
      <w:pPr>
        <w:spacing w:after="120" w:line="276" w:lineRule="auto"/>
      </w:pPr>
      <w:r>
        <w:t>**Recommandation fondamentale :** La solidité financière est incontestable (capitaux propres de 21,954 Mds FCFA, solvabilité de 306%), et la politique de dividende généreuse (80% de distribution) constitue un argument attractif. Les risques principaux résident dans la pression sur les marges (baisse du PBJ de -9% au S1 2026) et la dépendance croissante au pari sportif à faible marge. La recommandation fondamentale est **CONSERVER**, avec un biais positif à moyen terme si la stratégie de rééquilibrage produit porte ses fruits.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permet de dégager une vision équilibrée du titre LNBB. **En termes de valorisation (Partie 0)** , le PER de 16,9x et le P/B de 3,55x indiquent une légère surévaluation par rapport à la moyenne du marché BRVM, mais cette prime se justifie par la qualité des fondamentaux et le rendement du dividende (4,2%). **Le comportement du cours (Partie 1)** révèle une tendance baissière modérée (-2,26% sur 100 jours) avec une volatilité élevée (41,2%), mais une distribution des rendements proche de la normale (kurtosis -0,777) et sans asymétrie marquée (skewness 0,460), ce qui limite le risque de mouvements extrêmes. **Les signaux techniques (Partie 2)** sont mitigés : le MACD génère un signal d'achat contrariant, mais les moyennes mobiles restent baissières et le RSI est neutre, suggérant une phase de consolidation. **Les fondamentaux (Partie 3)** demeurent solides malgré la baisse du CA en 2025, avec un ROE de 21,05%, une trésorerie nette de 7,979 Mds FCFA et des perspectives d'amélioration en 2026 portées par le digital et les partenariats. **Les prédictions IA (J+1 à J+10)** anticipent une trajectoire légèrement haussière (3 923 FCFA à 3 932 FCFA), confirmant la possibilité d'un rebond technique à court terme. Sur la base de cette synthèse, la recommandation finale est **CONSERVER**, avec un niveau de confiance **Moyen** et un risque global **Moyen**. L'horizon d'investissement optimal est le **moyen terme (3-12 mois)** , en attendant la confirmation de l'amélioration des marges au S2 2026 et la stabilisation du produit brut des jeux. Un renforcement de la position serait justifié si le PBJ se stabilise et si les revenus de partenariats confirment leur pérennité.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2,362 titres</w:t>
            </w:r>
          </w:p>
        </w:tc>
        <w:tc>
          <w:tcPr>
            <w:tcW w:type="dxa" w:w="2268"/>
            <w:shd w:fill="FFF2CC" w:val="clear"/>
          </w:tcPr>
          <w:p>
            <w:r>
              <w:rPr>
                <w:b/>
                <w:color w:val="503200"/>
                <w:sz w:val="16"/>
              </w:rPr>
              <w:t xml:space="preserve">Cours actuel : </w:t>
            </w:r>
            <w:r>
              <w:rPr>
                <w:color w:val="000000"/>
                <w:sz w:val="17"/>
              </w:rPr>
              <w:t>2,090 FCFA</w:t>
            </w:r>
          </w:p>
          <w:p>
            <w:r>
              <w:rPr>
                <w:b/>
                <w:color w:val="503200"/>
                <w:sz w:val="16"/>
              </w:rPr>
              <w:t xml:space="preserve">Var. 100 jours : </w:t>
            </w:r>
            <w:r>
              <w:rPr>
                <w:b/>
                <w:color w:val="007800"/>
                <w:sz w:val="17"/>
              </w:rPr>
              <w:t>+10.00%</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52.6%</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12.05% (Moyenne) — μ=2,319 FCFA, σ=279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β=0.0767 (Défensif) — Cov=0.000006, Var(idx)=0.000074, ρ=0.020,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6976"/>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1,988</w:t>
            </w:r>
          </w:p>
        </w:tc>
        <w:tc>
          <w:tcPr>
            <w:tcW w:type="dxa" w:w="1440"/>
            <w:shd w:fill="FAFAFA" w:val="clear"/>
          </w:tcPr>
          <w:p>
            <w:r>
              <w:rPr>
                <w:b/>
                <w:sz w:val="17"/>
              </w:rPr>
              <w:t>2,091</w:t>
            </w:r>
          </w:p>
        </w:tc>
        <w:tc>
          <w:tcPr>
            <w:tcW w:type="dxa" w:w="1440"/>
            <w:shd w:fill="FAFAFA" w:val="clear"/>
          </w:tcPr>
          <w:p>
            <w:r>
              <w:rPr>
                <w:sz w:val="17"/>
              </w:rPr>
              <w:t>2,194</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1,936</w:t>
            </w:r>
          </w:p>
        </w:tc>
        <w:tc>
          <w:tcPr>
            <w:tcW w:type="dxa" w:w="1440"/>
            <w:shd w:fill="FAFAFA" w:val="clear"/>
          </w:tcPr>
          <w:p>
            <w:r>
              <w:rPr>
                <w:b/>
                <w:sz w:val="17"/>
              </w:rPr>
              <w:t>2,081</w:t>
            </w:r>
          </w:p>
        </w:tc>
        <w:tc>
          <w:tcPr>
            <w:tcW w:type="dxa" w:w="1440"/>
            <w:shd w:fill="FAFAFA" w:val="clear"/>
          </w:tcPr>
          <w:p>
            <w:r>
              <w:rPr>
                <w:sz w:val="17"/>
              </w:rPr>
              <w:t>2,226</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1,897</w:t>
            </w:r>
          </w:p>
        </w:tc>
        <w:tc>
          <w:tcPr>
            <w:tcW w:type="dxa" w:w="1440"/>
            <w:shd w:fill="FAFAFA" w:val="clear"/>
          </w:tcPr>
          <w:p>
            <w:r>
              <w:rPr>
                <w:b/>
                <w:sz w:val="17"/>
              </w:rPr>
              <w:t>2,074</w:t>
            </w:r>
          </w:p>
        </w:tc>
        <w:tc>
          <w:tcPr>
            <w:tcW w:type="dxa" w:w="1440"/>
            <w:shd w:fill="FAFAFA" w:val="clear"/>
          </w:tcPr>
          <w:p>
            <w:r>
              <w:rPr>
                <w:sz w:val="17"/>
              </w:rPr>
              <w:t>2,252</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1,863</w:t>
            </w:r>
          </w:p>
        </w:tc>
        <w:tc>
          <w:tcPr>
            <w:tcW w:type="dxa" w:w="1440"/>
            <w:shd w:fill="FAFAFA" w:val="clear"/>
          </w:tcPr>
          <w:p>
            <w:r>
              <w:rPr>
                <w:b/>
                <w:sz w:val="17"/>
              </w:rPr>
              <w:t>2,067</w:t>
            </w:r>
          </w:p>
        </w:tc>
        <w:tc>
          <w:tcPr>
            <w:tcW w:type="dxa" w:w="1440"/>
            <w:shd w:fill="FAFAFA" w:val="clear"/>
          </w:tcPr>
          <w:p>
            <w:r>
              <w:rPr>
                <w:sz w:val="17"/>
              </w:rPr>
              <w:t>2,271</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1,832</w:t>
            </w:r>
          </w:p>
        </w:tc>
        <w:tc>
          <w:tcPr>
            <w:tcW w:type="dxa" w:w="1440"/>
            <w:shd w:fill="FAFAFA" w:val="clear"/>
          </w:tcPr>
          <w:p>
            <w:r>
              <w:rPr>
                <w:b/>
                <w:sz w:val="17"/>
              </w:rPr>
              <w:t>2,060</w:t>
            </w:r>
          </w:p>
        </w:tc>
        <w:tc>
          <w:tcPr>
            <w:tcW w:type="dxa" w:w="1440"/>
            <w:shd w:fill="FAFAFA" w:val="clear"/>
          </w:tcPr>
          <w:p>
            <w:r>
              <w:rPr>
                <w:sz w:val="17"/>
              </w:rPr>
              <w:t>2,287</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1,804</w:t>
            </w:r>
          </w:p>
        </w:tc>
        <w:tc>
          <w:tcPr>
            <w:tcW w:type="dxa" w:w="1440"/>
            <w:shd w:fill="FAFAFA" w:val="clear"/>
          </w:tcPr>
          <w:p>
            <w:r>
              <w:rPr>
                <w:b/>
                <w:sz w:val="17"/>
              </w:rPr>
              <w:t>2,052</w:t>
            </w:r>
          </w:p>
        </w:tc>
        <w:tc>
          <w:tcPr>
            <w:tcW w:type="dxa" w:w="1440"/>
            <w:shd w:fill="FAFAFA" w:val="clear"/>
          </w:tcPr>
          <w:p>
            <w:r>
              <w:rPr>
                <w:sz w:val="17"/>
              </w:rPr>
              <w:t>2,300</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1,777</w:t>
            </w:r>
          </w:p>
        </w:tc>
        <w:tc>
          <w:tcPr>
            <w:tcW w:type="dxa" w:w="1440"/>
            <w:shd w:fill="FFDCE0" w:val="clear"/>
          </w:tcPr>
          <w:p>
            <w:r>
              <w:rPr>
                <w:b/>
                <w:sz w:val="17"/>
              </w:rPr>
              <w:t>2,044</w:t>
            </w:r>
          </w:p>
        </w:tc>
        <w:tc>
          <w:tcPr>
            <w:tcW w:type="dxa" w:w="1440"/>
            <w:shd w:fill="FFDCE0" w:val="clear"/>
          </w:tcPr>
          <w:p>
            <w:r>
              <w:rPr>
                <w:sz w:val="17"/>
              </w:rPr>
              <w:t>2,312</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1,753</w:t>
            </w:r>
          </w:p>
        </w:tc>
        <w:tc>
          <w:tcPr>
            <w:tcW w:type="dxa" w:w="1440"/>
            <w:shd w:fill="FFDCE0" w:val="clear"/>
          </w:tcPr>
          <w:p>
            <w:r>
              <w:rPr>
                <w:b/>
                <w:sz w:val="17"/>
              </w:rPr>
              <w:t>2,037</w:t>
            </w:r>
          </w:p>
        </w:tc>
        <w:tc>
          <w:tcPr>
            <w:tcW w:type="dxa" w:w="1440"/>
            <w:shd w:fill="FFDCE0" w:val="clear"/>
          </w:tcPr>
          <w:p>
            <w:r>
              <w:rPr>
                <w:sz w:val="17"/>
              </w:rPr>
              <w:t>2,322</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1,729</w:t>
            </w:r>
          </w:p>
        </w:tc>
        <w:tc>
          <w:tcPr>
            <w:tcW w:type="dxa" w:w="1440"/>
            <w:shd w:fill="FFDCE0" w:val="clear"/>
          </w:tcPr>
          <w:p>
            <w:r>
              <w:rPr>
                <w:b/>
                <w:sz w:val="17"/>
              </w:rPr>
              <w:t>2,030</w:t>
            </w:r>
          </w:p>
        </w:tc>
        <w:tc>
          <w:tcPr>
            <w:tcW w:type="dxa" w:w="1440"/>
            <w:shd w:fill="FFDCE0" w:val="clear"/>
          </w:tcPr>
          <w:p>
            <w:r>
              <w:rPr>
                <w:sz w:val="17"/>
              </w:rPr>
              <w:t>2,331</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1,707</w:t>
            </w:r>
          </w:p>
        </w:tc>
        <w:tc>
          <w:tcPr>
            <w:tcW w:type="dxa" w:w="1440"/>
            <w:shd w:fill="FFDCE0" w:val="clear"/>
          </w:tcPr>
          <w:p>
            <w:r>
              <w:rPr>
                <w:b/>
                <w:sz w:val="17"/>
              </w:rPr>
              <w:t>2,023</w:t>
            </w:r>
          </w:p>
        </w:tc>
        <w:tc>
          <w:tcPr>
            <w:tcW w:type="dxa" w:w="1440"/>
            <w:shd w:fill="FFDCE0" w:val="clear"/>
          </w:tcPr>
          <w:p>
            <w:r>
              <w:rPr>
                <w:sz w:val="17"/>
              </w:rPr>
              <w:t>2,339</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**Bourse Régionale des Valeurs Mobilières (BRVM) — Secteur : Édition &amp; Diffusion**</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26,68 Mds FCFA, NEIC se positionne comme une petite capitalisation sur le compartiment BRVM, ce qui implique une liquidité limitée (volume moyen de seulement 2 362 titres/jour) et une sensibilité accrue aux mouvements de faible amplitude. Le BPA de 160 FCFA/action signifie que chaque titre génère 160 FCFA de bénéfice net, ce qui, rapporté au cours actuel de 2 090 FCFA, donne un PER de 13,1x — légèrement supérieur à la moyenne BRVM (~8-12x), traduisant une valorisation modérément exigeante au regard des bénéfices. Le P/B de 4,64x indique que le marché valorise l'entreprise à plus de 4 fois sa valeur comptable, une prime forte qui n'est justifiée que si la rentabilité des fonds propres reste élevée (ROE de 35,4% en 2025). Enfin, l'EV/EBITDA de 19,3x apparaît très exigeant (&gt;15x), suggérant que la valeur d'entreprise intègre déjà une bonne partie de la capacité bénéficiaire opérationnelle,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variation totale positive de +10,00%, malgré une dernière séance en repli de -2,34%, ce qui porte le cours actuel à 2 090 FCFA. Le range de trading est particulièrement large, avec un plus haut à 3 000 FCFA et un plus bas à 1 900 FCFA, soit une amplitude de 1 100 FCFA (58% du cours bas) — signe d'une forte nervosité et d'une tendance globale haussière mais heurtée. La moyenne (2 319 FCFA) est supérieure à la médiane (2 272 FCFA), confirmant une asymétrie positive (skewness de 1,027) : le cours a passé plus de journées sous sa moyenne, mais quelques pics hauts ont tiré la moyenne vers le haut. L'écart-type de 281 FCFA (CV = 12,1%) traduit une dispersion modérée en pourcentage, mais la volatilité annualisée de 52,6% classe clairement NEIC parmi les titres à volatilité élevée (&gt;30%), ce qui est cohérent avec le kurtosis de 0,532 (mésokurtique, proche d'une loi normale) — pas de risque extrême de queue épaisse, mais des fluctuations amples et fréquentes. Le skewness positif indique que les investisseurs doivent s'attendre à des journées baissières plus nombreuses que haussières, compensées par des hausses ponctuelles plus fortes.</w:t>
      </w:r>
    </w:p>
    <w:p>
      <w:pPr>
        <w:spacing w:after="120" w:line="276" w:lineRule="auto"/>
      </w:pPr>
      <w:r>
        <w:t>---</w:t>
      </w:r>
    </w:p>
    <w:p>
      <w:pPr>
        <w:spacing w:after="120" w:line="276" w:lineRule="auto"/>
      </w:pPr>
      <w:r>
        <w:t>## PARTIE 2 : ANALYSE TECHNIQUE DÉTAILLÉE</w:t>
      </w:r>
    </w:p>
    <w:p>
      <w:pPr>
        <w:spacing w:after="120" w:line="276" w:lineRule="auto"/>
      </w:pPr>
      <w:r>
        <w:t>**Moyennes Mobiles** : La MM20 (2 347 FCFA) et la MM50 (2 469 FCFA) sont toutes deux supérieures au cours actuel (2 090 FCFA), et la MM20 est en dessous de la MM50 — configuration baissière classique (croisement mort confirmé). Le cours évolue sous ses deux moyennes, ce qui justifie pleinement la décision technique de **Vente** : la pression vendeuse reste dominante à court et moyen terme.</w:t>
      </w:r>
    </w:p>
    <w:p>
      <w:pPr>
        <w:spacing w:after="120" w:line="276" w:lineRule="auto"/>
      </w:pPr>
      <w:r>
        <w:t>**Bandes de Bollinger** : Le cours (2 090 FCFA) se situe dans la partie basse de la bande, au-dessus de la borne inférieure (1 981 FCFA) mais loin de la borne supérieure (2 712 FCFA). L'amplitude des bandes (731 FCFA) reflète une volatilité élevée, et la position du cours près de la borne basse suggère une possible zone de survente, d'où la décision **Neutre** — ni signal d'achat franc, ni signal de vente agressif.</w:t>
      </w:r>
    </w:p>
    <w:p>
      <w:pPr>
        <w:spacing w:after="120" w:line="276" w:lineRule="auto"/>
      </w:pPr>
      <w:r>
        <w:t>**MACD** : La valeur du MACD (-120,588) est nettement inférieure à son signal (-93,279), avec un histogramme négatif — le momentum baissier est installé et la divergence négative persiste. Aucun croisement haussier n'est en vue, ce qui confirme la décision de **Vente** : la dynamique de court terme reste défavorable.</w:t>
      </w:r>
    </w:p>
    <w:p>
      <w:pPr>
        <w:spacing w:after="120" w:line="276" w:lineRule="auto"/>
      </w:pPr>
      <w:r>
        <w:t>**RSI** : À 25,581, le RSI est en zone de **survente** (&lt;30), ce qui déclenche une décision d'**Achat** technique. Ce signal suggère qu'un rebond technique est possible à court terme, mais il doit être pondéré par la tendance baissière des moyennes mobiles et du MACD — un RSI bas en tendance baissière peut rester bas longtemps.</w:t>
      </w:r>
    </w:p>
    <w:p>
      <w:pPr>
        <w:spacing w:after="120" w:line="276" w:lineRule="auto"/>
      </w:pPr>
      <w:r>
        <w:t>**Stochastique** : Le %K et le %D sont tous deux à 0,0, soit une position extrême de survente, avec une décision d'**Achat**. Un croisement haussier du %K au-dessus du %D serait le signal de confirmation, mais à ce stade, l'indicateur est collé au plancher, ce qui traduit un épuisement vendeur potentiel mais pas encore de retournement confirmé.</w:t>
      </w:r>
    </w:p>
    <w:p>
      <w:pPr>
        <w:spacing w:after="120" w:line="276" w:lineRule="auto"/>
      </w:pPr>
      <w:r>
        <w:t>**Conclusion technique** : Les indicateurs sont **divergents** — les moyennes mobiles et le MACD sont baissiers (Vente), tandis que le RSI et le stochastique sont en survente extrême (Achat). Cette configuration suggère un titre en fin de correction baissière, mais sans confirmation de retournement : la prudence reste de mise, et un signal de retournement (croisement MACD, cassure de la MM20) serait nécessaire pour valider un point d'entrée.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NEIC affiche un chiffre d'affaires de 5,139 Mds FCFA, un résultat net de 2,037 Mds FCFA (marge nette de 39,6%), un ROE de 35,4% et un ROA de 27,3% — des niveaux de rentabilité excellents. Toutefois, le taux de croissance du CA est négatif (-23,8%), ce qui signale une contraction de l'activité commerciale. La structure financière est très saine : autonomie financière de 77,0%, solvabilité générale de 435%, liquidité générale de 448,9% et trésorerie nette de 4,196 Mds FCFA. Le BFR de 1,498 Mds FCFA est positif (défavorable), porté par un délai clients élevé de 154,72 jours — un risque de trésorerie à surveiller — tandis que le délai fournisseurs de 69,56 jours et la durée de stockage de 54,49 jours restent gérables. Le flux opérationnel est négatif (-527,07 M FCFA) et le Free Cash Flow également (-565,91 M FCFA), ce qui contraste avec la trésorerie abondante.</w:t>
      </w:r>
    </w:p>
    <w:p>
      <w:pPr>
        <w:spacing w:after="120" w:line="276" w:lineRule="auto"/>
      </w:pPr>
      <w:r>
        <w:t>**Estimations basées sur les rapports trimestriels** : Le rapport du **T3 2025 (daté du 30/09/2025)** indique un CA de 3 406 M FCFA en baisse de 35% sur un an, mais un résultat net exceptionnel de 1 596 M FCFA (+125%) dû à la reprise d'une provision pour redressement fiscal — un élément non récurrent qui gonfle artificiellement la performance. Le rapport du **T1 2025 (31/03/2025)** faisait état d'un CA de 48,5 M FCFA (-154%) et d'une perte nette de -189,9 M FCFA. À l'inverse, le **rapport 2025 (exercice complet)** publié dans les rapports narratifs mentionne un CA de 6,74 Mds FCFA (+29%) et un résultat net de 2,04 Mds FCFA (+169%), avec un dividende de 2,04 Mds FCFA (100% du résultat net) — mais ces chiffres semblent issus d'une base différente ou d'un retraitement, ce qui crée une incohérence avec les données structurées (CA de 5,139 Mds FCFA). Le **rapport T1 2026** montre un CA de 115,1 M FCFA (+137%) mais une perte nette de -168,9 M FCFA, confirmant que la rentabilité opérationnelle reste fragile malgré la reprise commerciale.</w:t>
      </w:r>
    </w:p>
    <w:p>
      <w:pPr>
        <w:spacing w:after="120" w:line="276" w:lineRule="auto"/>
      </w:pPr>
      <w:r>
        <w:t>**Recommandation fondamentale** : La société présente une solidité bilancielle remarquable (trésorerie de 4,2 Mds FCFA, capitaux propres de 5,755 Mds FCFA) et une rentabilité apparente élevée, mais celle-ci est en partie artificielle (produit exceptionnel de 2025) et masque une contraction du CA (-23,8%) et un flux opérationnel négatif. Le risque principal réside dans la durabilité de la performance : sans rebond commercial durable, la valorisation exigeante (P/B de 4,64x, EV/EBITDA de 19,3x) pourrait se corriger. La recommandation fondamentale est **CONSERVER** avec vigilance, en attendant la confirmation d'un redressement opérationnel sur les prochains trimestres.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**Valorisation (Partie 0)** : le PER de 13,1x est modérément élevé, mais le P/B de 4,64x et l'EV/EBITDA de 19,3x traduisent une surévaluation relative par rapport à la capacité bénéficiaire récurrente — le marché paie cher une rentabilité en partie exceptionnelle. **Comportement du cours (Partie 1)** : la tendance est haussière sur 100 jours (+10%), mais la volatilité annualisée de 52,6% et le skewness positif (1,027) indiquent un titre nerveux, avec plus de journées baissières que haussières — un profil risqué pour un investisseur averse au risque. **Signaux techniques (Partie 2)** : divergence entre les indicateurs baissiers (MM, MACD) et les signaux de survente (RSI à 25,6, Stochastique à 0) — un rebond technique est possible, mais la tendance de fond reste baissière. **Fondamentaux (Partie 3)** : solidité bilancielle exceptionnelle (autonomie financière de 77%, trésorerie de 4,2 Mds FCFA) mais fragilité opérationnelle (CA en baisse de 23,8%, flux opérationnel négatif, résultat net 2025 gonflé par un produit exceptionnel). **Prédictions IA (J+1 à J+10)** : la trajectoire prévue est baissière (2 091 → 2 060 FCFA, soit -1,5% sur 10 jours), ce qui confirme les signaux techniques baissiers et contredit l'hypothèse d'un rebond immédiat.</w:t>
      </w:r>
    </w:p>
    <w:p>
      <w:pPr>
        <w:spacing w:after="120" w:line="276" w:lineRule="auto"/>
      </w:pPr>
      <w:r>
        <w:t>**Recommandation finale : CONSERVER** — La convergence entre la valorisation exigeante, la tendance technique baissière (malgré la survente), la fragilité opérationnelle sous-jacente et les prédictions IA baissières plaide pour une **prudence**. Le titre n'offre pas de signal d'achat fort (le rebond technique attendu n'est pas confirmé), mais la solidité bilancielle et la trésorerie abondante limitent le risque de effondrement — d'où une recommandation de conservation plutôt que de vente. **Niveau de confiance : Moyen** (les données fondamentales sont solides mais les incohérences entre rapports et la nature exceptionnelle du résultat 2025 introduisent une incertitude). **Niveau de risque global : Élevé** (volatilité de 52,6%, liquidité faible, dépendance à un produit exceptionnel, contraction du CA). **Horizon d'investissement optimal : Moyen terme (3-12 mois)** — le temps de voir si le redressement commercial du T1 2026 (+137% de CA) se confirme et se traduit par une rentabilité opérationnelle durable, condition sine qua non pour justifier la valorisation actuelle.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519.43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2,917 titres</w:t>
            </w:r>
          </w:p>
        </w:tc>
        <w:tc>
          <w:tcPr>
            <w:tcW w:type="dxa" w:w="2268"/>
            <w:shd w:fill="FFF2CC" w:val="clear"/>
          </w:tcPr>
          <w:p>
            <w:r>
              <w:rPr>
                <w:b/>
                <w:color w:val="503200"/>
                <w:sz w:val="16"/>
              </w:rPr>
              <w:t xml:space="preserve">Cours actuel : </w:t>
            </w:r>
            <w:r>
              <w:rPr>
                <w:color w:val="000000"/>
                <w:sz w:val="17"/>
              </w:rPr>
              <w:t>21,000 FCFA</w:t>
            </w:r>
          </w:p>
          <w:p>
            <w:r>
              <w:rPr>
                <w:b/>
                <w:color w:val="503200"/>
                <w:sz w:val="16"/>
              </w:rPr>
              <w:t xml:space="preserve">Var. 100 jours : </w:t>
            </w:r>
            <w:r>
              <w:rPr>
                <w:b/>
                <w:color w:val="007800"/>
                <w:sz w:val="17"/>
              </w:rPr>
              <w:t>+17.32%</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17,900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9.25% (Moyenne) — μ=21,609 FCFA, σ=1,999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β=1.2227 (Agressif) — Cov=0.000091, Var(idx)=0.000074, ρ=0.437,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2,917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8627"/>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19,763</w:t>
            </w:r>
          </w:p>
        </w:tc>
        <w:tc>
          <w:tcPr>
            <w:tcW w:type="dxa" w:w="1440"/>
            <w:shd w:fill="FAFAFA" w:val="clear"/>
          </w:tcPr>
          <w:p>
            <w:r>
              <w:rPr>
                <w:b/>
                <w:sz w:val="17"/>
              </w:rPr>
              <w:t>20,771</w:t>
            </w:r>
          </w:p>
        </w:tc>
        <w:tc>
          <w:tcPr>
            <w:tcW w:type="dxa" w:w="1440"/>
            <w:shd w:fill="FAFAFA" w:val="clear"/>
          </w:tcPr>
          <w:p>
            <w:r>
              <w:rPr>
                <w:sz w:val="17"/>
              </w:rPr>
              <w:t>21,779</w:t>
            </w:r>
          </w:p>
        </w:tc>
        <w:tc>
          <w:tcPr>
            <w:tcW w:type="dxa" w:w="1440"/>
            <w:shd w:fill="FAFAFA" w:val="clear"/>
          </w:tcPr>
          <w:p>
            <w:r>
              <w:rPr>
                <w:b/>
                <w:color w:val="C00000"/>
                <w:sz w:val="17"/>
              </w:rPr>
              <w:t>-1.1%</w:t>
            </w:r>
          </w:p>
        </w:tc>
      </w:tr>
      <w:tr>
        <w:tc>
          <w:tcPr>
            <w:tcW w:type="dxa" w:w="1440"/>
            <w:shd w:fill="FFDCE0" w:val="clear"/>
          </w:tcPr>
          <w:p>
            <w:r>
              <w:rPr>
                <w:sz w:val="17"/>
              </w:rPr>
              <w:t>J+2  Moyenne</w:t>
            </w:r>
          </w:p>
        </w:tc>
        <w:tc>
          <w:tcPr>
            <w:tcW w:type="dxa" w:w="1440"/>
            <w:shd w:fill="FFDCE0" w:val="clear"/>
          </w:tcPr>
          <w:p>
            <w:r>
              <w:rPr>
                <w:sz w:val="17"/>
              </w:rPr>
              <w:t>2026-10-15</w:t>
            </w:r>
          </w:p>
        </w:tc>
        <w:tc>
          <w:tcPr>
            <w:tcW w:type="dxa" w:w="1440"/>
            <w:shd w:fill="FFDCE0" w:val="clear"/>
          </w:tcPr>
          <w:p>
            <w:r>
              <w:rPr>
                <w:sz w:val="17"/>
              </w:rPr>
              <w:t>19,119</w:t>
            </w:r>
          </w:p>
        </w:tc>
        <w:tc>
          <w:tcPr>
            <w:tcW w:type="dxa" w:w="1440"/>
            <w:shd w:fill="FFDCE0" w:val="clear"/>
          </w:tcPr>
          <w:p>
            <w:r>
              <w:rPr>
                <w:b/>
                <w:sz w:val="17"/>
              </w:rPr>
              <w:t>20,527</w:t>
            </w:r>
          </w:p>
        </w:tc>
        <w:tc>
          <w:tcPr>
            <w:tcW w:type="dxa" w:w="1440"/>
            <w:shd w:fill="FFDCE0" w:val="clear"/>
          </w:tcPr>
          <w:p>
            <w:r>
              <w:rPr>
                <w:sz w:val="17"/>
              </w:rPr>
              <w:t>21,936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2026-10-16</w:t>
            </w:r>
          </w:p>
        </w:tc>
        <w:tc>
          <w:tcPr>
            <w:tcW w:type="dxa" w:w="1440"/>
            <w:shd w:fill="FFDCE0" w:val="clear"/>
          </w:tcPr>
          <w:p>
            <w:r>
              <w:rPr>
                <w:sz w:val="17"/>
              </w:rPr>
              <w:t>18,600</w:t>
            </w:r>
          </w:p>
        </w:tc>
        <w:tc>
          <w:tcPr>
            <w:tcW w:type="dxa" w:w="1440"/>
            <w:shd w:fill="FFDCE0" w:val="clear"/>
          </w:tcPr>
          <w:p>
            <w:r>
              <w:rPr>
                <w:b/>
                <w:sz w:val="17"/>
              </w:rPr>
              <w:t>20,307</w:t>
            </w:r>
          </w:p>
        </w:tc>
        <w:tc>
          <w:tcPr>
            <w:tcW w:type="dxa" w:w="1440"/>
            <w:shd w:fill="FFDCE0" w:val="clear"/>
          </w:tcPr>
          <w:p>
            <w:r>
              <w:rPr>
                <w:sz w:val="17"/>
              </w:rPr>
              <w:t>22,013</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2026-10-19</w:t>
            </w:r>
          </w:p>
        </w:tc>
        <w:tc>
          <w:tcPr>
            <w:tcW w:type="dxa" w:w="1440"/>
            <w:shd w:fill="FFDCE0" w:val="clear"/>
          </w:tcPr>
          <w:p>
            <w:r>
              <w:rPr>
                <w:sz w:val="17"/>
              </w:rPr>
              <w:t>18,141</w:t>
            </w:r>
          </w:p>
        </w:tc>
        <w:tc>
          <w:tcPr>
            <w:tcW w:type="dxa" w:w="1440"/>
            <w:shd w:fill="FFDCE0" w:val="clear"/>
          </w:tcPr>
          <w:p>
            <w:r>
              <w:rPr>
                <w:b/>
                <w:sz w:val="17"/>
              </w:rPr>
              <w:t>20,090</w:t>
            </w:r>
          </w:p>
        </w:tc>
        <w:tc>
          <w:tcPr>
            <w:tcW w:type="dxa" w:w="1440"/>
            <w:shd w:fill="FFDCE0" w:val="clear"/>
          </w:tcPr>
          <w:p>
            <w:r>
              <w:rPr>
                <w:sz w:val="17"/>
              </w:rPr>
              <w:t>22,040</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2026-10-20</w:t>
            </w:r>
          </w:p>
        </w:tc>
        <w:tc>
          <w:tcPr>
            <w:tcW w:type="dxa" w:w="1440"/>
            <w:shd w:fill="FFDCE0" w:val="clear"/>
          </w:tcPr>
          <w:p>
            <w:r>
              <w:rPr>
                <w:sz w:val="17"/>
              </w:rPr>
              <w:t>17,721</w:t>
            </w:r>
          </w:p>
        </w:tc>
        <w:tc>
          <w:tcPr>
            <w:tcW w:type="dxa" w:w="1440"/>
            <w:shd w:fill="FFDCE0" w:val="clear"/>
          </w:tcPr>
          <w:p>
            <w:r>
              <w:rPr>
                <w:b/>
                <w:sz w:val="17"/>
              </w:rPr>
              <w:t>19,878</w:t>
            </w:r>
          </w:p>
        </w:tc>
        <w:tc>
          <w:tcPr>
            <w:tcW w:type="dxa" w:w="1440"/>
            <w:shd w:fill="FFDCE0" w:val="clear"/>
          </w:tcPr>
          <w:p>
            <w:r>
              <w:rPr>
                <w:sz w:val="17"/>
              </w:rPr>
              <w:t>22,035</w:t>
            </w:r>
          </w:p>
        </w:tc>
        <w:tc>
          <w:tcPr>
            <w:tcW w:type="dxa" w:w="1440"/>
            <w:shd w:fill="FFDCE0" w:val="clear"/>
          </w:tcPr>
          <w:p>
            <w:r>
              <w:rPr>
                <w:b/>
                <w:color w:val="C00000"/>
                <w:sz w:val="17"/>
              </w:rPr>
              <w:t>-5.3%</w:t>
            </w:r>
          </w:p>
        </w:tc>
      </w:tr>
      <w:tr>
        <w:tc>
          <w:tcPr>
            <w:tcW w:type="dxa" w:w="1440"/>
            <w:shd w:fill="FFDCE0" w:val="clear"/>
          </w:tcPr>
          <w:p>
            <w:r>
              <w:rPr>
                <w:sz w:val="17"/>
              </w:rPr>
              <w:t>J+6  ⭐</w:t>
            </w:r>
          </w:p>
        </w:tc>
        <w:tc>
          <w:tcPr>
            <w:tcW w:type="dxa" w:w="1440"/>
            <w:shd w:fill="FFDCE0" w:val="clear"/>
          </w:tcPr>
          <w:p>
            <w:r>
              <w:rPr>
                <w:sz w:val="17"/>
              </w:rPr>
              <w:t>2026-10-21</w:t>
            </w:r>
          </w:p>
        </w:tc>
        <w:tc>
          <w:tcPr>
            <w:tcW w:type="dxa" w:w="1440"/>
            <w:shd w:fill="FFDCE0" w:val="clear"/>
          </w:tcPr>
          <w:p>
            <w:r>
              <w:rPr>
                <w:sz w:val="17"/>
              </w:rPr>
              <w:t>17,332</w:t>
            </w:r>
          </w:p>
        </w:tc>
        <w:tc>
          <w:tcPr>
            <w:tcW w:type="dxa" w:w="1440"/>
            <w:shd w:fill="FFDCE0" w:val="clear"/>
          </w:tcPr>
          <w:p>
            <w:r>
              <w:rPr>
                <w:b/>
                <w:sz w:val="17"/>
              </w:rPr>
              <w:t>19,670</w:t>
            </w:r>
          </w:p>
        </w:tc>
        <w:tc>
          <w:tcPr>
            <w:tcW w:type="dxa" w:w="1440"/>
            <w:shd w:fill="FFDCE0" w:val="clear"/>
          </w:tcPr>
          <w:p>
            <w:r>
              <w:rPr>
                <w:sz w:val="17"/>
              </w:rPr>
              <w:t>22,008</w:t>
            </w:r>
          </w:p>
        </w:tc>
        <w:tc>
          <w:tcPr>
            <w:tcW w:type="dxa" w:w="1440"/>
            <w:shd w:fill="FFDCE0" w:val="clear"/>
          </w:tcPr>
          <w:p>
            <w:r>
              <w:rPr>
                <w:b/>
                <w:color w:val="C00000"/>
                <w:sz w:val="17"/>
              </w:rPr>
              <w:t>-6.3%</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16,966</w:t>
            </w:r>
          </w:p>
        </w:tc>
        <w:tc>
          <w:tcPr>
            <w:tcW w:type="dxa" w:w="1440"/>
            <w:shd w:fill="FFDCE0" w:val="clear"/>
          </w:tcPr>
          <w:p>
            <w:r>
              <w:rPr>
                <w:b/>
                <w:sz w:val="17"/>
              </w:rPr>
              <w:t>19,465</w:t>
            </w:r>
          </w:p>
        </w:tc>
        <w:tc>
          <w:tcPr>
            <w:tcW w:type="dxa" w:w="1440"/>
            <w:shd w:fill="FFDCE0" w:val="clear"/>
          </w:tcPr>
          <w:p>
            <w:r>
              <w:rPr>
                <w:sz w:val="17"/>
              </w:rPr>
              <w:t>21,964</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16,619</w:t>
            </w:r>
          </w:p>
        </w:tc>
        <w:tc>
          <w:tcPr>
            <w:tcW w:type="dxa" w:w="1440"/>
            <w:shd w:fill="FFDCE0" w:val="clear"/>
          </w:tcPr>
          <w:p>
            <w:r>
              <w:rPr>
                <w:b/>
                <w:sz w:val="17"/>
              </w:rPr>
              <w:t>19,263</w:t>
            </w:r>
          </w:p>
        </w:tc>
        <w:tc>
          <w:tcPr>
            <w:tcW w:type="dxa" w:w="1440"/>
            <w:shd w:fill="FFDCE0" w:val="clear"/>
          </w:tcPr>
          <w:p>
            <w:r>
              <w:rPr>
                <w:sz w:val="17"/>
              </w:rPr>
              <w:t>21,907</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16,288</w:t>
            </w:r>
          </w:p>
        </w:tc>
        <w:tc>
          <w:tcPr>
            <w:tcW w:type="dxa" w:w="1440"/>
            <w:shd w:fill="FFDCE0" w:val="clear"/>
          </w:tcPr>
          <w:p>
            <w:r>
              <w:rPr>
                <w:b/>
                <w:sz w:val="17"/>
              </w:rPr>
              <w:t>19,064</w:t>
            </w:r>
          </w:p>
        </w:tc>
        <w:tc>
          <w:tcPr>
            <w:tcW w:type="dxa" w:w="1440"/>
            <w:shd w:fill="FFDCE0" w:val="clear"/>
          </w:tcPr>
          <w:p>
            <w:r>
              <w:rPr>
                <w:sz w:val="17"/>
              </w:rPr>
              <w:t>21,839</w:t>
            </w:r>
          </w:p>
        </w:tc>
        <w:tc>
          <w:tcPr>
            <w:tcW w:type="dxa" w:w="1440"/>
            <w:shd w:fill="FFDCE0" w:val="clear"/>
          </w:tcPr>
          <w:p>
            <w:r>
              <w:rPr>
                <w:b/>
                <w:color w:val="C00000"/>
                <w:sz w:val="17"/>
              </w:rPr>
              <w:t>-9.2%</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15,971</w:t>
            </w:r>
          </w:p>
        </w:tc>
        <w:tc>
          <w:tcPr>
            <w:tcW w:type="dxa" w:w="1440"/>
            <w:shd w:fill="FFDCE0" w:val="clear"/>
          </w:tcPr>
          <w:p>
            <w:r>
              <w:rPr>
                <w:b/>
                <w:sz w:val="17"/>
              </w:rPr>
              <w:t>18,866</w:t>
            </w:r>
          </w:p>
        </w:tc>
        <w:tc>
          <w:tcPr>
            <w:tcW w:type="dxa" w:w="1440"/>
            <w:shd w:fill="FFDCE0" w:val="clear"/>
          </w:tcPr>
          <w:p>
            <w:r>
              <w:rPr>
                <w:sz w:val="17"/>
              </w:rPr>
              <w:t>21,761</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 RAPPORT D'ANALYSE FINANCIÈRE — NSBC (NSIA Banque Côte d'Ivoire)</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**519,43 Mds FCFA**, NSBC s'impose comme l'une des valeurs bancaires de référence de la cote BRVM, un niveau qui traduit la confiance du marché envers le groupe NSIA. Le BPA de **1 646 FCFA/action** signifie que chaque titre génère près de 1 646 FCFA de bénéfice net, ce qui, rapporté au cours actuel de 21 000 FCFA, donne un **PER de 12,8x** — un niveau modéré, légèrement supérieur à la moyenne BRVM (~8-12x) mais justifié par la qualité de la croissance. Le **P/B de 2,23x** indique que le marché valorise la banque à plus du double de sa valeur comptable (233,3 Mds FCFA de capitaux propres), soit une prime de croissance cohérente avec un ROE de 17,45%. En revanche, l'**EV/EBITDA de 20,5x** apparaît très exigeant (&gt;15x), signalant que la valeur d'entreprise intègre déjà une bonne partie des anticipations de performance future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NSBC affiche une **progression totale de +17,32%**, mais la dernière séance (J-1) enregistre un repli marqué de **-3,20%**, signalant une prise de bénéfices après le rallye. Le titre a évolué dans un range large de **17 900 FCFA (plus bas) à 24 885 FCFA (plus haut)**, soit une amplitude de près de 39%, avant de se stabiliser autour de **21 000 FCFA**, légèrement sous sa moyenne (21 609 FCFA) et sa médiane (22 000 FCFA). Cet écart faible entre moyenne et médiane (moins de 2%) confirme une distribution quasi symétrique, corroborée par un **skewness de -0,314** (léger biais baissier mais négligeable). L'**écart-type de 2 009 FCFA (CV = 9,3%)** traduit une dispersion modérée du cours, tandis que le **kurtosis de -1,171 (platykurtique)** indique une distribution aplatie, donc un risque de pics extrêmes plus faible qu'une loi normale — un élément rassurant. Toutefois, la **volatilité annualisée de 38,5%** classe le titre dans la catégorie **élevée (&gt;30%)**, typique des valeurs bancaires de la BRVM, ce qui implique une prime de risque à intégrer dans toute décision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(22 269 FCFA) et la MM50 (22 962 FCFA) se situent toutes deux **au-dessus du cours actuel (21 000 FCFA)**, avec une MM20 inférieure à la MM50, configuration baissière classique (croisement baissier récent). Le titre évolue sous ses deux moyennes, ce qui justifie la **décision de Vente** émise par le système : la pression vendeuse domine à court et moyen terme.</w:t>
      </w:r>
    </w:p>
    <w:p>
      <w:pPr>
        <w:spacing w:after="120" w:line="276" w:lineRule="auto"/>
      </w:pPr>
      <w:r>
        <w:t>**Bandes de Bollinger** — Le cours (21 000 FCFA) se situe dans la moitié basse de la bande, entre la borne inférieure (19 611 FCFA) et la borne supérieure (24 927 FCFA), sans toucher les extrêmes. Cette position centrale, couplée à un écart-type modéré, explique la **décision Neutre** : ni signal de survente, ni signal de surachat, le marché est en phase d'indécision.</w:t>
      </w:r>
    </w:p>
    <w:p>
      <w:pPr>
        <w:spacing w:after="120" w:line="276" w:lineRule="auto"/>
      </w:pPr>
      <w:r>
        <w:t>**MACD** — La valeur du MACD (-586,6) est **inférieure à son signal (-484,3)**, confirmant une divergence baissière persistante et un momentum négatif. La **décision de Vente** est cohérente : la dynamique de court terme reste orientée à la baisse, même si l'écart entre les deux lignes tend à se réduire.</w:t>
      </w:r>
    </w:p>
    <w:p>
      <w:pPr>
        <w:spacing w:after="120" w:line="276" w:lineRule="auto"/>
      </w:pPr>
      <w:r>
        <w:t>**RSI** — À **40,0**, le RSI se situe dans la zone neutre (30-70), mais dans sa moitié basse, traduisant une faiblesse relative sans survente. La **décision Neutre** est appropriée : le titre n'est ni survendu (signal d'achat), ni suracheté (signal de vente), laissant la porte ouverte à une stabilisation.</w:t>
      </w:r>
    </w:p>
    <w:p>
      <w:pPr>
        <w:spacing w:after="120" w:line="276" w:lineRule="auto"/>
      </w:pPr>
      <w:r>
        <w:t>**Stochastique** — Avec **%K = 10,98** et **%D = 23,12**, le %K est nettement sous le %D et en zone de survente (&lt;20), ce qui déclenche une **décision d'Achat** contrariante. Ce signal suggère qu'un rebond technique à court terme est possible, mais il doit être confirmé par un croisement haussier du %K au-dessus du %D.</w:t>
      </w:r>
    </w:p>
    <w:p>
      <w:pPr>
        <w:spacing w:after="120" w:line="276" w:lineRule="auto"/>
      </w:pPr>
      <w:r>
        <w:t>**Conclusion technique** — Les indicateurs sont **majoritairement baissiers** (MM, MACD) ou neutres (Bollinger, RSI), avec un seul signal d'achat (Stochastique) qui reste isolé et contre-tendance. La configuration globale plaide pour une **poursuite de la consolidation baissière à court terme**, avec un support immédiat à 19 611 FCFA (borne inférieure de Bollinger) et une résistance à 22 269 FCFA (MM20).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NSIA Banque CI affiche un **Produit Net Bancaire (PNB) de 112,928 Mds FCFA**, en croissance de **+15,45%** sur un an, porté par une marge d'intérêts en hausse de 26% (79,8 Mds FCFA). Le **résultat net s'établit à 40,712 Mds FCFA**, avec une **marge nette de 36,05%** et un **ROE de 17,45%** (excellent, &gt;15%), tandis que le **ROA de 1,32%** reste dans la norme bancaire. Le **coefficient d'exploitation de 54,59%** (&lt;60%) confirme l'efficacité opérationnelle de la banque. Cependant, le **coût du risque de 7,54%** (provisions/charges financières) est un signal d'alerte : les provisions ont bondi de +0,6 Md FCFA (reprise en 2024) à **-8,5 Mds FCFA en 2025**, pesant sur la rentabilité nette (+7% seulement contre +30% pour le RBE). La structure financière reste solide avec un **total bilan de 3 073 Mds FCFA** (+22%), des **dépôts clientèle de 2 242 Mds FCFA** (+32%) et des **créances clientèle de 1 818,7 Mds FCFA** (+18%), soit un ratio dépôts/crédits de 123% — une transformation bancaire saine.</w:t>
      </w:r>
    </w:p>
    <w:p>
      <w:pPr>
        <w:spacing w:after="120" w:line="276" w:lineRule="auto"/>
      </w:pPr>
      <w:r>
        <w:t>**Estimations basées sur les rapports trimestriels** — Le rapport du **T1 2026 (publié le 31/03/2026, analysé le 01/05/2026)** révèle une **accélération spectaculaire** : PNB de 28,615 Mds FCFA (+28%), résultat net de 10,912 Mds FCFA (+53%), marge nette de 38,1% et résultat avant impôt de 11,83 Mds FCFA (+49%). Sur cette base, on peut **estimer que l'exercice 2026 devrait enregistrer un PNB supérieur à 125 Mds FCFA et un résultat net approchant 45-48 Mds FCFA**, si la dynamique se maintient. Toutefois, le léger recul des crédits nets (-4% à 1 744 Mds FCFA au T1 2026) et la dépendance accrue aux revenus « titres » (portefeuille de titres d'État de 465,4 Mds FCFA) constituent des points de vigilance. Le rapport annuel 2025 (analysé le 13/05/2026) confirme la solidité du modèle, avec un **RBE de 51,281 Mds FCFA** (+30%) et des **capitaux propres de 233,3 Mds FCFA**, mais l'absence d'information sur le dividende empêche d'évaluer le rendement pour l'actionnaire.</w:t>
      </w:r>
    </w:p>
    <w:p>
      <w:pPr>
        <w:spacing w:after="120" w:line="276" w:lineRule="auto"/>
      </w:pPr>
      <w:r>
        <w:t>**Recommandation fondamentale** — NSBC présente des **fondamentaux solides** (ROE 17,45%, marge nette 36%, coefficient d'exploitation 54,6%) et une **dynamique commerciale remarquable** au T1 2026 (+53% de résultat net). Les risques principaux sont la **dégradation du coût du risque** (-8,5 Mds FCFA en 2025), la **concentration sur l'activité titres** et l'**absence de visibilité sur le dividende**. La recommandation fondamentale est **CONSERVER**, avec un biais positif si les résultats semestriels 2026 confirment la tendance du T1.</w:t>
      </w:r>
    </w:p>
    <w:p>
      <w:pPr>
        <w:spacing w:after="120" w:line="276" w:lineRule="auto"/>
      </w:pPr>
      <w:r>
        <w:t>---</w:t>
      </w:r>
    </w:p>
    <w:p>
      <w:pPr>
        <w:spacing w:after="120" w:line="276" w:lineRule="auto"/>
      </w:pPr>
      <w:r>
        <w:t>## PARTIE 4 : CONCLUSION D'INVESTISSEMENT</w:t>
      </w:r>
    </w:p>
    <w:p>
      <w:pPr>
        <w:spacing w:after="120" w:line="276" w:lineRule="auto"/>
      </w:pPr>
      <w:r>
        <w:t>La **valorisation (Partie 0)** est modérée (PER 12,8x, P/B 2,23x) mais l'EV/EBITDA de 20,5x suggère une certaine cherté opérationnelle, sans décote évidente. Le **comportement du cours (Partie 1)** est mitigé : +17,32% sur 100 jours mais -3,20% en J-1, avec une volatilité élevée (38,5%) et une distribution platykurtique (risque de pics limité) — des statistiques neutres à légèrement préoccupantes. Les **signaux techniques (Partie 2)** sont majoritairement baissiers (MM, MACD) ou neutres (Bollinger, RSI), avec un seul signal d'achat isolé (Stochastique), plaidant pour une consolidation à court terme. Les **fondamentaux (Partie 3)** sont solides (ROE 17,45%, PNB +15,45% en 2025, résultat net +53% au T1 2026) mais entachés par la hausse du coût du risque et l'absence de dividende. Les **prédictions IA (J+1 à J+10)** anticipent une **baisse continue** de 20 771 FCFA (14/10) à 19 878 FCFA (20/10), soit -5,3% supplémentaires, ce qui **confirme les signaux techniques baissiers** et contredit la dynamique fondamentale positive à court terme.</w:t>
      </w:r>
    </w:p>
    <w:p>
      <w:pPr>
        <w:spacing w:after="120" w:line="276" w:lineRule="auto"/>
      </w:pPr>
      <w:r>
        <w:t>**Synthèse globale** — Il existe une **divergence** entre des fondamentaux robustes (long terme) et des signaux techniques/prédictifs baissiers (court terme). La recommandation finale est **CONSERVER**, avec un **niveau de confiance Moyen** et un **risque global Élevé** (volatilité 38,5%, coût du risque en hausse, dépendance aux titres). L'**horizon optimal est le moyen terme (3-12 mois)** : les investisseurs existants peuvent conserver en attendant la confirmation des résultats semestriels 2026, tandis que les nouveaux entrants devraient attendre un retournement technique (cours &gt; MM20 à 22 269 FCFA) ou une correction vers 19 600 FCFA (borne inférieure de Bollinger) pour se positionner. Un **ACHAT** ne serait justifié qu'en cas de confirmation du T1 2026 par le S1 2026 et de clarification de la politique de dividende.</w:t>
      </w:r>
    </w:p>
    <w:p>
      <w:pPr>
        <w:spacing w:after="120" w:line="276" w:lineRule="auto"/>
      </w:pPr>
      <w:r>
        <w:t>---</w:t>
      </w:r>
    </w:p>
    <w:p>
      <w:pPr>
        <w:spacing w:after="120" w:line="276" w:lineRule="auto"/>
      </w:pPr>
      <w:r>
        <w:t>*Rapport généré le 13/10/2026 — Sources : BRVM, états financiers 2025, rapports trimestriels T1 2026 et annuels 2024-2025, analyses DeepSeek/Mistral.*</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339.88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1,282 titres</w:t>
            </w:r>
          </w:p>
        </w:tc>
        <w:tc>
          <w:tcPr>
            <w:tcW w:type="dxa" w:w="2268"/>
            <w:shd w:fill="FFF2CC" w:val="clear"/>
          </w:tcPr>
          <w:p>
            <w:r>
              <w:rPr>
                <w:b/>
                <w:color w:val="503200"/>
                <w:sz w:val="16"/>
              </w:rPr>
              <w:t xml:space="preserve">Cours actuel : </w:t>
            </w:r>
            <w:r>
              <w:rPr>
                <w:color w:val="000000"/>
                <w:sz w:val="17"/>
              </w:rPr>
              <w:t>15,400 FCFA</w:t>
            </w:r>
          </w:p>
          <w:p>
            <w:r>
              <w:rPr>
                <w:b/>
                <w:color w:val="503200"/>
                <w:sz w:val="16"/>
              </w:rPr>
              <w:t xml:space="preserve">Var. 100 jours : </w:t>
            </w:r>
            <w:r>
              <w:rPr>
                <w:b/>
                <w:color w:val="007800"/>
                <w:sz w:val="17"/>
              </w:rPr>
              <w:t>+29.96%</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11,850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8.32% (Moyenne) — μ=15,673 FCFA, σ=1,304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β=0.4700 (Défensif) — Cov=0.000035, Var(idx)=0.000074, ρ=0.175,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14,529</w:t>
            </w:r>
          </w:p>
        </w:tc>
        <w:tc>
          <w:tcPr>
            <w:tcW w:type="dxa" w:w="1440"/>
            <w:shd w:fill="FAFAFA" w:val="clear"/>
          </w:tcPr>
          <w:p>
            <w:r>
              <w:rPr>
                <w:b/>
                <w:sz w:val="17"/>
              </w:rPr>
              <w:t>15,218</w:t>
            </w:r>
          </w:p>
        </w:tc>
        <w:tc>
          <w:tcPr>
            <w:tcW w:type="dxa" w:w="1440"/>
            <w:shd w:fill="FAFAFA" w:val="clear"/>
          </w:tcPr>
          <w:p>
            <w:r>
              <w:rPr>
                <w:sz w:val="17"/>
              </w:rPr>
              <w:t>15,907</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14,245</w:t>
            </w:r>
          </w:p>
        </w:tc>
        <w:tc>
          <w:tcPr>
            <w:tcW w:type="dxa" w:w="1440"/>
            <w:shd w:fill="FAFAFA" w:val="clear"/>
          </w:tcPr>
          <w:p>
            <w:r>
              <w:rPr>
                <w:b/>
                <w:sz w:val="17"/>
              </w:rPr>
              <w:t>15,219</w:t>
            </w:r>
          </w:p>
        </w:tc>
        <w:tc>
          <w:tcPr>
            <w:tcW w:type="dxa" w:w="1440"/>
            <w:shd w:fill="FAFAFA" w:val="clear"/>
          </w:tcPr>
          <w:p>
            <w:r>
              <w:rPr>
                <w:sz w:val="17"/>
              </w:rPr>
              <w:t>16,194</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14,024</w:t>
            </w:r>
          </w:p>
        </w:tc>
        <w:tc>
          <w:tcPr>
            <w:tcW w:type="dxa" w:w="1440"/>
            <w:shd w:fill="FAFAFA" w:val="clear"/>
          </w:tcPr>
          <w:p>
            <w:r>
              <w:rPr>
                <w:b/>
                <w:sz w:val="17"/>
              </w:rPr>
              <w:t>15,217</w:t>
            </w:r>
          </w:p>
        </w:tc>
        <w:tc>
          <w:tcPr>
            <w:tcW w:type="dxa" w:w="1440"/>
            <w:shd w:fill="FAFAFA" w:val="clear"/>
          </w:tcPr>
          <w:p>
            <w:r>
              <w:rPr>
                <w:sz w:val="17"/>
              </w:rPr>
              <w:t>16,410</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13,836</w:t>
            </w:r>
          </w:p>
        </w:tc>
        <w:tc>
          <w:tcPr>
            <w:tcW w:type="dxa" w:w="1440"/>
            <w:shd w:fill="FAFAFA" w:val="clear"/>
          </w:tcPr>
          <w:p>
            <w:r>
              <w:rPr>
                <w:b/>
                <w:sz w:val="17"/>
              </w:rPr>
              <w:t>15,213</w:t>
            </w:r>
          </w:p>
        </w:tc>
        <w:tc>
          <w:tcPr>
            <w:tcW w:type="dxa" w:w="1440"/>
            <w:shd w:fill="FAFAFA" w:val="clear"/>
          </w:tcPr>
          <w:p>
            <w:r>
              <w:rPr>
                <w:sz w:val="17"/>
              </w:rPr>
              <w:t>16,590</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13,669</w:t>
            </w:r>
          </w:p>
        </w:tc>
        <w:tc>
          <w:tcPr>
            <w:tcW w:type="dxa" w:w="1440"/>
            <w:shd w:fill="FAFAFA" w:val="clear"/>
          </w:tcPr>
          <w:p>
            <w:r>
              <w:rPr>
                <w:b/>
                <w:sz w:val="17"/>
              </w:rPr>
              <w:t>15,208</w:t>
            </w:r>
          </w:p>
        </w:tc>
        <w:tc>
          <w:tcPr>
            <w:tcW w:type="dxa" w:w="1440"/>
            <w:shd w:fill="FAFAFA" w:val="clear"/>
          </w:tcPr>
          <w:p>
            <w:r>
              <w:rPr>
                <w:sz w:val="17"/>
              </w:rPr>
              <w:t>16,748</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13,518</w:t>
            </w:r>
          </w:p>
        </w:tc>
        <w:tc>
          <w:tcPr>
            <w:tcW w:type="dxa" w:w="1440"/>
            <w:shd w:fill="FAFAFA" w:val="clear"/>
          </w:tcPr>
          <w:p>
            <w:r>
              <w:rPr>
                <w:b/>
                <w:sz w:val="17"/>
              </w:rPr>
              <w:t>15,203</w:t>
            </w:r>
          </w:p>
        </w:tc>
        <w:tc>
          <w:tcPr>
            <w:tcW w:type="dxa" w:w="1440"/>
            <w:shd w:fill="FAFAFA" w:val="clear"/>
          </w:tcPr>
          <w:p>
            <w:r>
              <w:rPr>
                <w:sz w:val="17"/>
              </w:rPr>
              <w:t>16,889</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13,378</w:t>
            </w:r>
          </w:p>
        </w:tc>
        <w:tc>
          <w:tcPr>
            <w:tcW w:type="dxa" w:w="1440"/>
            <w:shd w:fill="FAFAFA" w:val="clear"/>
          </w:tcPr>
          <w:p>
            <w:r>
              <w:rPr>
                <w:b/>
                <w:sz w:val="17"/>
              </w:rPr>
              <w:t>15,199</w:t>
            </w:r>
          </w:p>
        </w:tc>
        <w:tc>
          <w:tcPr>
            <w:tcW w:type="dxa" w:w="1440"/>
            <w:shd w:fill="FAFAFA" w:val="clear"/>
          </w:tcPr>
          <w:p>
            <w:r>
              <w:rPr>
                <w:sz w:val="17"/>
              </w:rPr>
              <w:t>17,019</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13,249</w:t>
            </w:r>
          </w:p>
        </w:tc>
        <w:tc>
          <w:tcPr>
            <w:tcW w:type="dxa" w:w="1440"/>
            <w:shd w:fill="FAFAFA" w:val="clear"/>
          </w:tcPr>
          <w:p>
            <w:r>
              <w:rPr>
                <w:b/>
                <w:sz w:val="17"/>
              </w:rPr>
              <w:t>15,194</w:t>
            </w:r>
          </w:p>
        </w:tc>
        <w:tc>
          <w:tcPr>
            <w:tcW w:type="dxa" w:w="1440"/>
            <w:shd w:fill="FAFAFA" w:val="clear"/>
          </w:tcPr>
          <w:p>
            <w:r>
              <w:rPr>
                <w:sz w:val="17"/>
              </w:rPr>
              <w:t>17,140</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13,127</w:t>
            </w:r>
          </w:p>
        </w:tc>
        <w:tc>
          <w:tcPr>
            <w:tcW w:type="dxa" w:w="1440"/>
            <w:shd w:fill="FAFAFA" w:val="clear"/>
          </w:tcPr>
          <w:p>
            <w:r>
              <w:rPr>
                <w:b/>
                <w:sz w:val="17"/>
              </w:rPr>
              <w:t>15,190</w:t>
            </w:r>
          </w:p>
        </w:tc>
        <w:tc>
          <w:tcPr>
            <w:tcW w:type="dxa" w:w="1440"/>
            <w:shd w:fill="FAFAFA" w:val="clear"/>
          </w:tcPr>
          <w:p>
            <w:r>
              <w:rPr>
                <w:sz w:val="17"/>
              </w:rPr>
              <w:t>17,253</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13,012</w:t>
            </w:r>
          </w:p>
        </w:tc>
        <w:tc>
          <w:tcPr>
            <w:tcW w:type="dxa" w:w="1440"/>
            <w:shd w:fill="FAFAFA" w:val="clear"/>
          </w:tcPr>
          <w:p>
            <w:r>
              <w:rPr>
                <w:b/>
                <w:sz w:val="17"/>
              </w:rPr>
              <w:t>15,185</w:t>
            </w:r>
          </w:p>
        </w:tc>
        <w:tc>
          <w:tcPr>
            <w:tcW w:type="dxa" w:w="1440"/>
            <w:shd w:fill="FAFAFA" w:val="clear"/>
          </w:tcPr>
          <w:p>
            <w:r>
              <w:rPr>
                <w:sz w:val="17"/>
              </w:rPr>
              <w:t>17,359</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Secteur : Biens de consommation / Agroalimentaire*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339,88 milliards FCFA, Nestlé Côte d'Ivoire figure parmi les valeurs les plus capitalisées de la BRVM, ce qui en fait un pilier de l'indice BRVM Composite et un titre de référence pour les investisseurs institutionnels. Le BPA de 835 FCFA/action signifie que chaque titre génère près de 835 FCFA de bénéfice net, un niveau de rentabilité unitaire élevé qui traduit la solidité du modèle. Le PER de 18,4x situe le titre nettement au-dessus de la moyenne du marché BRVM (estimée entre 8x et 12x), ce qui indique que les investisseurs acceptent de payer une prime de qualité pour cette valeur défensive et leader de son secteur. Le P/B de 11,49x, très supérieur au seuil de 4x, confirme cette forte prime : le marché valorise l'entreprise à plus de onze fois sa valeur comptable, ce qui se justifie par des ROE exceptionnels (62,3% en 2025) mais expose le titre à un risque de correction en cas de déception sur les résultats. Enfin, l'EV/EBITDA de 9,2x, dans la fourchette raisonnable de 5-10x, montre que la valeur totale de l'entreprise (dette incluse) reste cohérente avec sa capacité opérationnelle à générer du cash, offrant un contrepoids rassurant à la cherté apparente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performance remarquable de +29,96%, avec une dernière séance en hausse de +2,67%, confirmant une dynamique haussière soutenue. Le cours actuel de 15 400 FCFA se situe dans la partie médiane du range de trading, entre un plus bas de 11 850 FCFA et un plus haut de 18 000 FCFA, ce qui traduit une volatilité significative mais un biais globalement acheteur. La tendance générale est haussière, portée par la bonne orientation des fondamentaux (croissance du CA de +31% au T1 2026) et un intérêt croissant des investisseurs pour les valeurs de rendement de la BRVM. Les statistiques descriptives révèlent une moyenne de 15 673 FCFA légèrement supérieure à la médiane de 15 995 FCFA — un écart modeste qui indique une distribution quasi symétrique, cohérente avec le skewness de -0,949 signalant une asymétrie négative (plus de journées de cotation au-dessus de la moyenne, mais quelques journées de baisse marquée). L'écart-type de 1 310 FCFA et le coefficient de variation de 8,4% traduisent une dispersion modérée du cours autour de sa moyenne, tandis que le kurtosis de 0,326 (mésokurtique) suggère une distribution proche de la normale, sans risque excessif de pics extrêmes. La volatilité annualisée de 36,6% classe le titre dans la catégorie des valeurs à volatilité élevée (&gt;30%), ce qui implique un potentiel de gain attractif mais aussi un risque de drawdown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(15 426,5 FCFA) est légèrement supérieure au cours actuel (15 400 FCFA), tandis que la MM50 (16 304,3 FCFA) se situe nettement au-dessus, créant une configuration baissière à court terme. Le cours évolue sous ses deux moyennes mobiles, ce qui justifie la décision technique de **Vente** : la pression vendeuse domine malgré la performance haussière sur 100 jours, suggérant une correction en cours ou une consolidation après le rallye.</w:t>
      </w:r>
    </w:p>
    <w:p>
      <w:pPr>
        <w:spacing w:after="120" w:line="276" w:lineRule="auto"/>
      </w:pPr>
      <w:r>
        <w:t>**Bandes de Bollinger** : Le cours (15 400 FCFA) se situe à mi-chemin entre la borne inférieure (14 295,76 FCFA) et la borne supérieure (16 557,24 FCFA), ce qui explique la décision **Neutre**. L'absence de contact avec les bornes indique une volatilité modérée et un marché sans direction claire à court terme, bien que la largeur des bandes (environ 2 261 FCFA) confirme une volatilité significative.</w:t>
      </w:r>
    </w:p>
    <w:p>
      <w:pPr>
        <w:spacing w:after="120" w:line="276" w:lineRule="auto"/>
      </w:pPr>
      <w:r>
        <w:t>**MACD** : La valeur du MACD (-316,465) est supérieure à son signal (-354,385), générant un croisement haussier et une décision d'**Achat**. Cette divergence positive indique un ralentissement de la dynamique baissière et un possible retournement à la hausse, bien que les deux lignes restent en territoire négatif, ce qui tempère la portée du signal.</w:t>
      </w:r>
    </w:p>
    <w:p>
      <w:pPr>
        <w:spacing w:after="120" w:line="276" w:lineRule="auto"/>
      </w:pPr>
      <w:r>
        <w:t>**RSI** : À 52,778, le RSI se situe dans la zone neutre (30-70), sans signal de surachat ni de survente, justifiant la décision **Neutre**. Cette valeur médiane reflète un équilibre entre acheteurs et vendeurs, sans pression directionnelle dominante à court terme.</w:t>
      </w:r>
    </w:p>
    <w:p>
      <w:pPr>
        <w:spacing w:after="120" w:line="276" w:lineRule="auto"/>
      </w:pPr>
      <w:r>
        <w:t>**Stochastique** : Le %K (90,0) est nettement supérieur au %D (59,487), avec un %K en zone de surachat (&gt;80), ce qui génère une décision de **Vente**. Ce signal suggère que le titre pourrait être temporairement surévalué à court terme et qu'une correction ou consolidation est probable dans les prochaines séances.</w:t>
      </w:r>
    </w:p>
    <w:p>
      <w:pPr>
        <w:spacing w:after="120" w:line="276" w:lineRule="auto"/>
      </w:pPr>
      <w:r>
        <w:t>**Conclusion technique** : Les indicateurs techniques présentent un tableau mitigé, avec une majorité de signaux neutres ou baissiers (MM, Stochastique) compensés par un signal haussier du MACD. La configuration globale suggère une phase de consolidation après le rallye de +30%, avec un risque de correction à court terme mais un potentiel de rebond si le MACD confirme son croisement. La prudence est de mise pour les traders court terme, tandis que les investisseurs long terme peuvent considérer cette consolidation comme une opportunité d'entrée à des niveaux plus attractifs.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Nestlé Côte d'Ivoire a réalisé un chiffre d'affaires de 233,261 milliards FCFA, en croissance de +5,97% par rapport à 2024 (220,113 milliards FCFA), portée par les ventes de produits fabriqués (+6,3%) et les ventes de marchandises (+4%). Le résultat net s'établit à 18,427 milliards FCFA, en légère hausse de +1,53%, avec une marge nette de 7,90% (contre 8,25% en 2024), traduisant une compression des marges due à la hausse des charges externes et fiscales. Les ratios de rentabilité restent exceptionnels : le ROE atteint 62,28% (largement supérieur au seuil de 15% considéré comme excellent) et le ROA s'élève à 9,70%, confirmant l'efficacité de l'utilisation des actifs. La structure financière présente des points de vigilance : l'autonomie financière est faible (15,58%), le ratio d'endettement élevé (135,85%) et la liquidité générale insuffisante (79,86%, inférieure au seuil de 1), tandis que le BFR de 22,625 milliards FCFA et la trésorerie nette négative (-46,831 milliards FCFA) signalent un besoin de financement du cycle d'exploitation. Les délais d'exploitation sont préoccupants : 74,30 jours de délai clients (risque de trésorerie) et 59,39 jours de durée de stockage (immobilisation de capital). Sur la base du rapport T1 2026 (publié en 2026), le chiffre d'affaires bondit de +31% à 70,8 milliards FCFA et le résultat net de +37% à 7,5 milliards FCFA, avec une marge nette en amélioration à 10,6% — on estime donc que l'exercice 2026 devrait afficher une accélération de la croissance et une amélioration de la rentabilité, sous réserve de la maîtrise des coûts des matières premières. La politique de dividende a été réduite en 2025 (9,27 milliards FCFA distribués, soit un payout de 50,3% contre 99,7% en 2024), signalant une stratégie de réinvestissement pour financer la croissance future. **Recommandation fondamentale : CONSERVER**, avec une solidité financière confirmée par des marges élevées et une croissance soutenue, mais des risques liés à l'endettement, à la liquidité et à la dépendance aux matières premières qui nécessitent une surveillance étroite.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NTLC (Partie 0) présente un profil contrasté : le PER de 18,4x et le P/B de 11,49x indiquent une surévaluation relative par rapport au marché BRVM, mais l'EV/EBITDA de 9,2x et le BPA de 835 FCFA justifient une prime de qualité pour cette valeur leader. Le comportement du cours (Partie 1) est globalement favorable (+29,96% sur 100 jours), avec une volatilité élevée (36,6%) et une distribution quasi normale (kurtosis 0,326, skewness -0,949), ce qui suggère un potentiel de gain attractif mais un risque de correction significatif. Les signaux techniques (Partie 2) sont mitigés : le MACD est haussier, mais les moyennes mobiles, le stochastique et la position du cours sous la MM50 plaident pour une consolidation à court terme, avec un RSI neutre et des bandes de Bollinger sans direction claire. Les fondamentaux (Partie 3) restent solides : croissance du CA de +5,97% en 2025, ROE de 62,28%, et accélération confirmée par le T1 2026 (+31% de CA, +37% de résultat net), bien que l'endettement et la liquidité constituent des points de vigilance. Les prédictions IA (J+1 à J+10) anticipent une légère baisse du cours vers 15 208-15 219 FCFA, en contradiction avec le signal haussier du MACD mais en cohérence avec la décision de vente du stochastique et la position sous les moyennes mobiles. **Recommandation finale : CONSERVER**, avec un niveau de confiance **Moyen** et un risque global **Moyen**. Cette recommandation reflète la convergence entre des fondamentaux solides (croissance, rentabilité) et une technique incertaine (consolidation attendue), dans un contexte de valorisation exigeante. L'horizon d'investissement optimal est le **moyen terme (3-12 mois)**, en attendant la confirmation de l'accélération de la croissance au T2 2026 et une clarification de la politique de dividende, qui pourraient justifier un passage à l'achat si le cours se corrige vers 14 500-15 000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6,271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+5.08%</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2.86% (Faible) — μ=2,861 FCFA, σ=82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β=0.3762 (Défensif) — Cov=0.000028, Var(idx)=0.000074, ρ=0.147,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2,855</w:t>
            </w:r>
          </w:p>
        </w:tc>
        <w:tc>
          <w:tcPr>
            <w:tcW w:type="dxa" w:w="1440"/>
            <w:shd w:fill="FAFAFA" w:val="clear"/>
          </w:tcPr>
          <w:p>
            <w:r>
              <w:rPr>
                <w:b/>
                <w:sz w:val="17"/>
              </w:rPr>
              <w:t>2,984</w:t>
            </w:r>
          </w:p>
        </w:tc>
        <w:tc>
          <w:tcPr>
            <w:tcW w:type="dxa" w:w="1440"/>
            <w:shd w:fill="FAFAFA" w:val="clear"/>
          </w:tcPr>
          <w:p>
            <w:r>
              <w:rPr>
                <w:sz w:val="17"/>
              </w:rPr>
              <w:t>3,113</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2,795</w:t>
            </w:r>
          </w:p>
        </w:tc>
        <w:tc>
          <w:tcPr>
            <w:tcW w:type="dxa" w:w="1440"/>
            <w:shd w:fill="FAFAFA" w:val="clear"/>
          </w:tcPr>
          <w:p>
            <w:r>
              <w:rPr>
                <w:b/>
                <w:sz w:val="17"/>
              </w:rPr>
              <w:t>2,977</w:t>
            </w:r>
          </w:p>
        </w:tc>
        <w:tc>
          <w:tcPr>
            <w:tcW w:type="dxa" w:w="1440"/>
            <w:shd w:fill="FAFAFA" w:val="clear"/>
          </w:tcPr>
          <w:p>
            <w:r>
              <w:rPr>
                <w:sz w:val="17"/>
              </w:rPr>
              <w:t>3,159</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2,747</w:t>
            </w:r>
          </w:p>
        </w:tc>
        <w:tc>
          <w:tcPr>
            <w:tcW w:type="dxa" w:w="1440"/>
            <w:shd w:fill="FAFAFA" w:val="clear"/>
          </w:tcPr>
          <w:p>
            <w:r>
              <w:rPr>
                <w:b/>
                <w:sz w:val="17"/>
              </w:rPr>
              <w:t>2,969</w:t>
            </w:r>
          </w:p>
        </w:tc>
        <w:tc>
          <w:tcPr>
            <w:tcW w:type="dxa" w:w="1440"/>
            <w:shd w:fill="FAFAFA" w:val="clear"/>
          </w:tcPr>
          <w:p>
            <w:r>
              <w:rPr>
                <w:sz w:val="17"/>
              </w:rPr>
              <w:t>3,192</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2,705</w:t>
            </w:r>
          </w:p>
        </w:tc>
        <w:tc>
          <w:tcPr>
            <w:tcW w:type="dxa" w:w="1440"/>
            <w:shd w:fill="FAFAFA" w:val="clear"/>
          </w:tcPr>
          <w:p>
            <w:r>
              <w:rPr>
                <w:b/>
                <w:sz w:val="17"/>
              </w:rPr>
              <w:t>2,961</w:t>
            </w:r>
          </w:p>
        </w:tc>
        <w:tc>
          <w:tcPr>
            <w:tcW w:type="dxa" w:w="1440"/>
            <w:shd w:fill="FAFAFA" w:val="clear"/>
          </w:tcPr>
          <w:p>
            <w:r>
              <w:rPr>
                <w:sz w:val="17"/>
              </w:rPr>
              <w:t>3,217</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2,668</w:t>
            </w:r>
          </w:p>
        </w:tc>
        <w:tc>
          <w:tcPr>
            <w:tcW w:type="dxa" w:w="1440"/>
            <w:shd w:fill="FAFAFA" w:val="clear"/>
          </w:tcPr>
          <w:p>
            <w:r>
              <w:rPr>
                <w:b/>
                <w:sz w:val="17"/>
              </w:rPr>
              <w:t>2,954</w:t>
            </w:r>
          </w:p>
        </w:tc>
        <w:tc>
          <w:tcPr>
            <w:tcW w:type="dxa" w:w="1440"/>
            <w:shd w:fill="FAFAFA" w:val="clear"/>
          </w:tcPr>
          <w:p>
            <w:r>
              <w:rPr>
                <w:sz w:val="17"/>
              </w:rPr>
              <w:t>3,239</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2,634</w:t>
            </w:r>
          </w:p>
        </w:tc>
        <w:tc>
          <w:tcPr>
            <w:tcW w:type="dxa" w:w="1440"/>
            <w:shd w:fill="FAFAFA" w:val="clear"/>
          </w:tcPr>
          <w:p>
            <w:r>
              <w:rPr>
                <w:b/>
                <w:sz w:val="17"/>
              </w:rPr>
              <w:t>2,946</w:t>
            </w:r>
          </w:p>
        </w:tc>
        <w:tc>
          <w:tcPr>
            <w:tcW w:type="dxa" w:w="1440"/>
            <w:shd w:fill="FAFAFA" w:val="clear"/>
          </w:tcPr>
          <w:p>
            <w:r>
              <w:rPr>
                <w:sz w:val="17"/>
              </w:rPr>
              <w:t>3,258</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2,603</w:t>
            </w:r>
          </w:p>
        </w:tc>
        <w:tc>
          <w:tcPr>
            <w:tcW w:type="dxa" w:w="1440"/>
            <w:shd w:fill="FFDCE0" w:val="clear"/>
          </w:tcPr>
          <w:p>
            <w:r>
              <w:rPr>
                <w:b/>
                <w:sz w:val="17"/>
              </w:rPr>
              <w:t>2,939</w:t>
            </w:r>
          </w:p>
        </w:tc>
        <w:tc>
          <w:tcPr>
            <w:tcW w:type="dxa" w:w="1440"/>
            <w:shd w:fill="FFDCE0" w:val="clear"/>
          </w:tcPr>
          <w:p>
            <w:r>
              <w:rPr>
                <w:sz w:val="17"/>
              </w:rPr>
              <w:t>3,275</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2,573</w:t>
            </w:r>
          </w:p>
        </w:tc>
        <w:tc>
          <w:tcPr>
            <w:tcW w:type="dxa" w:w="1440"/>
            <w:shd w:fill="FFDCE0" w:val="clear"/>
          </w:tcPr>
          <w:p>
            <w:r>
              <w:rPr>
                <w:b/>
                <w:sz w:val="17"/>
              </w:rPr>
              <w:t>2,931</w:t>
            </w:r>
          </w:p>
        </w:tc>
        <w:tc>
          <w:tcPr>
            <w:tcW w:type="dxa" w:w="1440"/>
            <w:shd w:fill="FFDCE0" w:val="clear"/>
          </w:tcPr>
          <w:p>
            <w:r>
              <w:rPr>
                <w:sz w:val="17"/>
              </w:rPr>
              <w:t>3,290</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2,545</w:t>
            </w:r>
          </w:p>
        </w:tc>
        <w:tc>
          <w:tcPr>
            <w:tcW w:type="dxa" w:w="1440"/>
            <w:shd w:fill="FFDCE0" w:val="clear"/>
          </w:tcPr>
          <w:p>
            <w:r>
              <w:rPr>
                <w:b/>
                <w:sz w:val="17"/>
              </w:rPr>
              <w:t>2,924</w:t>
            </w:r>
          </w:p>
        </w:tc>
        <w:tc>
          <w:tcPr>
            <w:tcW w:type="dxa" w:w="1440"/>
            <w:shd w:fill="FFDCE0" w:val="clear"/>
          </w:tcPr>
          <w:p>
            <w:r>
              <w:rPr>
                <w:sz w:val="17"/>
              </w:rPr>
              <w:t>3,303</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2,518</w:t>
            </w:r>
          </w:p>
        </w:tc>
        <w:tc>
          <w:tcPr>
            <w:tcW w:type="dxa" w:w="1440"/>
            <w:shd w:fill="FFDCE0" w:val="clear"/>
          </w:tcPr>
          <w:p>
            <w:r>
              <w:rPr>
                <w:b/>
                <w:sz w:val="17"/>
              </w:rPr>
              <w:t>2,917</w:t>
            </w:r>
          </w:p>
        </w:tc>
        <w:tc>
          <w:tcPr>
            <w:tcW w:type="dxa" w:w="1440"/>
            <w:shd w:fill="FFDCE0" w:val="clear"/>
          </w:tcPr>
          <w:p>
            <w:r>
              <w:rPr>
                <w:sz w:val="17"/>
              </w:rPr>
              <w:t>3,316</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w:t>
        <w:br/>
        <w:t>**Bourse Régionale des Valeurs Mobilières (BRVM) — Secteur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204,00 milliards FCFA pour un cours de 3 000 FCFA, ONTBF se positionne comme l'une des valeurs phares du compartiment télécoms de la BRVM, aux côtés de Sonatel et d'Orange CI. Le BPA de 234 FCFA/action signifie que chaque titre génère près de 234 FCFA de bénéfice net, ce qui, rapporté au cours actuel, donne un PER de 12,8x — un niveau modéré qui se situe dans la fourchette haute de la moyenne BRVM (~8-12x), traduisant une prime de qualité mais sans excès spéculatif. Le P/B de 3,55x indique que le marché valorise l'entreprise à plus de trois fois sa valeur comptable (capitaux propres de 57,54 Mds FCFA), une prime de croissance justifiée par la solidité des cash-flows et la position dominante sur le marché burkinabè. Enfin, l'EV/EBITDA de 5,3x, bien en dessous du seuil de 10x, suggère que la valeur d'entreprise reste raisonnable au regard de la capacité opérationnelle de génération de résultats, ce qui constitue un signal de sous-évaluation relative sur ce critère.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progression totale de +5,08%, avec une dernière séance stable (+0,00%), clôturant à 3 000 FCFA. Le range de trading s'établit entre un plus bas de 2 675 FCFA et un plus haut de 3 070 FCFA, soit une amplitude de 395 FCFA (~14,8%), ce qui témoigne d'une tendance globalement haussière mais ponctuée de corrections. La moyenne du cours sur la période (2 861 FCFA) est légèrement inférieure à la médiane (2 870 FCFA), un écart minime qui, combiné à un skewness de -0,103 (distribution symétrique), indique l'absence de biais directionnel marqué — le titre évolue de manière équilibrée autour de son trend. L'écart-type de 82 FCFA, avec un coefficient de variation de seulement 2,9%, révèle une dispersion très faible du cours, signe d'une certaine stabilité relative. Le kurtosis de -0,361 (mésokurtique) suggère une distribution proche de la normale, sans risque de pics extrêmes prononcés, ce qui est rassurant pour la gestion du risque. La volatilité annualisée de 34,6% classe le titre dans la catégorie des valeurs à volatilité élevée (&gt;30%), ce qui est cohérent avec un marché frontière comme la BRVM mais implique une prime de risque à intégrer dans toute décision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(2 915,25 FCFA) et la MM50 (2 905,40 FCFA) se situent toutes deux en dessous du cours actuel (3 000 FCFA), avec la MM20 légèrement au-dessus de la MM50 — configuration haussière classique (croisement doré). Le cours évoluant au-dessus de ses deux moyennes, la dynamique de court et moyen terme est positive, ce qui justifie la décision technique d'**Achat**.</w:t>
      </w:r>
    </w:p>
    <w:p>
      <w:pPr>
        <w:spacing w:after="120" w:line="276" w:lineRule="auto"/>
      </w:pPr>
      <w:r>
        <w:t>**Bandes de Bollinger** : Le cours (3 000 FCFA) se situe dans la partie supérieure de la bande, entre la borne inférieure (2 765,04 FCFA) et la borne supérieure (3 065,46 FCFA), sans la franchir. Cette position, proche de la borne haute sans breakout, traduit une pression acheteuse modérée mais un risque de consolidation à court terme. La décision est logiquement **Neutre**, le titre n'étant ni en surachat extrême ni en zone de rebond.</w:t>
      </w:r>
    </w:p>
    <w:p>
      <w:pPr>
        <w:spacing w:after="120" w:line="276" w:lineRule="auto"/>
      </w:pPr>
      <w:r>
        <w:t>**MACD** : La ligne MACD (24,545) est nettement au-dessus de sa ligne de signal (15,12), avec un histogramme positif et croissant. Cette divergence positive confirme un momentum haussier en cours, les acheteurs gardant la main sur les vendeurs. La décision technique est donc **Achat**, le signal étant d'autant plus fiable que le MACD évolue en territoire positif.</w:t>
      </w:r>
    </w:p>
    <w:p>
      <w:pPr>
        <w:spacing w:after="120" w:line="276" w:lineRule="auto"/>
      </w:pPr>
      <w:r>
        <w:t>**RSI** : À 56,25, le RSI se situe en zone neutre (entre 30 et 70), légèrement au-dessus du seuil médian de 50. Cela indique un léger avantage aux acheteurs sans pour autant signaler de surachat. La décision est **Neutre**, le titre conservant un potentiel de hausse sans être dans une zone d'épuisement.</w:t>
      </w:r>
    </w:p>
    <w:p>
      <w:pPr>
        <w:spacing w:after="120" w:line="276" w:lineRule="auto"/>
      </w:pPr>
      <w:r>
        <w:t>**Stochastique** : Avec un %K de 97,959 et un %D de 98,639, le stochastique évolue en zone de surachat extrême (&gt;80), les deux lignes étant proches du sommet. Cette configuration signale un risque imminent de correction ou de consolidation, justifiant la décision de **Vente** à court terme. Le croisement potentiel des deux lignes à la baisse serait un signal de confirmation.</w:t>
      </w:r>
    </w:p>
    <w:p>
      <w:pPr>
        <w:spacing w:after="120" w:line="276" w:lineRule="auto"/>
      </w:pPr>
      <w:r>
        <w:t>**Conclusion technique** : Les indicateurs offrent un tableau mitigé mais globalement constructif. Les moyennes mobiles et le MACD plaident pour un maintien de la tendance haussière, tandis que le RSI et les Bandes de Bollinger confirment une dynamique positive sans excès. Cependant, le stochastique en zone de surachat extrême constitue un signal d'alerte à court terme, suggérant qu'une consolidation ou un repli technique est probable avant toute nouvelle progression. La convergence des signaux à moyen terme (MM, MACD) est positive, mais la divergence à court terme (stochastique) invite à la prudence sur les points d'entrée.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ONTBF (ONATEL-SA) a réalisé un chiffre d'affaires de 146,177 Mds FCFA, en hausse de 3,06% par rapport à 2024 (141,84 Mds FCFA), porté par le FTTH (+33% de parc), l'internet mobile (+5%) et le Mobile Money (+14%). Le résultat net s'établit à 15,887 Mds FCFA, en net recul de -26% par rapport à 2024 (21,47 Mds FCFA), sous l'effet d'une compression des marges (marge nette de 10,87% contre 15,1% en 2024) et d'une hausse des charges opérationnelles (énergie, maintenance en zones sécuritaires, indemnités de fin d'engagement, sanction ARCEP de 1,543 Md FCFA). Le ROE reste excellent à 27,61% (contre 34,3% en 2024), et le ROA s'établit à 4,89%. Le coefficient d'exploitation (charges/PNB) de 67,07% reste supérieur au seuil de 60% recommandé pour une banque, mais ONTBF étant un opérateur télécom, ce ratio doit être interprété comme un indicateur d'efficacité opérationnelle perfectible. Le coût du risque (provisions/charges financières) de 3,57% est contenu, et la couverture des intérêts par le résultat d'exploitation est très confortable (491,55%).</w:t>
      </w:r>
    </w:p>
    <w:p>
      <w:pPr>
        <w:spacing w:after="120" w:line="276" w:lineRule="auto"/>
      </w:pPr>
      <w:r>
        <w:t>**Structure financière** : L'autonomie financière (capitaux propres/total bilan) de 17,71% est inférieure au seuil de 30% considéré comme sain, et le ratio d'endettement (dettes totales/capitaux propres) de 186,99% est élevé. La solvabilité générale reste toutefois assurée (1,22 &gt; 1), et la trésorerie nette est positive à 10,649 Mds FCFA. Le BFR est négatif (-94,101 Mds FCFA), ce qui est favorable pour un opérateur télécom (encaissements avant décaissements), mais le fonds de roulement négatif (-83,457 Mds FCFA) signale une dépendance aux financements court terme.</w:t>
      </w:r>
    </w:p>
    <w:p>
      <w:pPr>
        <w:spacing w:after="120" w:line="276" w:lineRule="auto"/>
      </w:pPr>
      <w:r>
        <w:t>**Estimations basées sur les rapports trimestriels** : Le rapport T1 2026 (publié en 2026) indique un chiffre d'affaires de 37,1 Mds FCFA (+2,7%), un résultat net de 3,577 Mds FCFA (marge nette de 9,6%), et un taux de marge EBITDA maintenu à 41,3%. La base clients progresse de 3,3% à 12,65 millions d'abonnés, avec une forte croissance du Mobile Money (+17,1%) et du FTTH (+38,4%). Sur la base de ces tendances, on peut estimer que l'exercice 2026 devrait enregistrer une croissance du CA de l'ordre de 3-4%, avec une stabilisation de la marge nette autour de 10%, à condition que les charges opérationnelles soient maîtrisées. Le dividende proposé de 166,0816 FCFA/action (rendement de ~5,5% au cours actuel de 3 000 FCFA) reste attractif malgré la baisse du résultat net, mais son taux de distribution de 70% pourrait peser sur la trésorerie si la rentabilité ne se redresse pas.</w:t>
      </w:r>
    </w:p>
    <w:p>
      <w:pPr>
        <w:spacing w:after="120" w:line="276" w:lineRule="auto"/>
      </w:pPr>
      <w:r>
        <w:t>**Recommandation fondamentale** : ONTBF présente un profil contrasté — croissance commerciale résiliente et génération de cash-flow solide (CAFG de 46,95 Mds FCFA), mais rentabilité en net recul et endettement en hausse. La note de crédit A+(WU) de GCR Ratings et la position dominante sur le marché burkinabè constituent des atouts, mais les risques réglementaires, sécuritaires et concurrentiels pèsent sur les perspectives. La recommandation fondamentale est de **CONSERVER**, en attendant des signes tangibles d'amélioration de la rentabilité.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**Sur le plan de la valorisation (Partie 0)**, les ratios PER (12,8x), P/B (3,55x) et EV/EBITDA (5,3x) indiquent une valorisation raisonnable, sans sous-évaluation flagrante mais sans surévaluation excessive — le titre est correctement valorisé au regard de ses fondamentaux. **Le comportement du cours (Partie 1)** est globalement favorable : tendance haussière (+5,08%), volatilité élevée (34,6%) mais dispersion faible (CV=2,9%), distribution symétrique (skewness=-0,103) et absence de risque de pics extrêmes (kurtosis=-0,361). **Les signaux techniques (Partie 2)** sont mitigés : convergence haussière des MM et du MACD, mais divergence baissière du stochastique en zone de surachat extrême, ce qui suggère une consolidation à court terme avant une reprise. **Les fondamentaux (Partie 3)** révèlent une entreprise solide mais en transition : croissance du CA (+3,1%), mais chute du résultat net (-26%) et endettement élevé, avec des perspectives 2026 dépendantes de la maîtrise des coûts. **Les prédictions IA (J+1 à J+10)** anticipent une légère correction baissière (2 984 → 2 954 FCFA), ce qui confirme le signal de surachat du stochastique et suggère un point d'entrée plus favorable dans les prochains jours.</w:t>
      </w:r>
    </w:p>
    <w:p>
      <w:pPr>
        <w:spacing w:after="120" w:line="276" w:lineRule="auto"/>
      </w:pPr>
      <w:r>
        <w:t>**Recommandation finale : CONSERVER** — Le titre ONTBF présente un profil équilibré entre opportunités (dividende attractif, croissance commerciale, position dominante) et risques (baisse de la rentabilité, endettement, pressions réglementaires et sécuritaires). La convergence des signaux fondamentaux et techniques à moyen terme est positive, mais la divergence à court terme (stochastique en surachat, prédictions IA baissières) invite à la patience. **Niveau de confiance : Moyen** — les données sont solides mais les incertitudes sur la trajectoire des marges et l'environnement opérationnel limitent la visibilité. **Niveau de risque global : Moyen à Élevé** — volatilité élevée (34,6%), endettement significatif et exposition aux risques sécuritaires et réglementaires. **Horizon d'investissement optimal : Moyen terme (3-12 mois)** — le temps que les actions d'optimisation des coûts portent leurs fruits et que la rentabilité se stabilise, avec un objectif de cours de 3 100-3 200 FCFA si les marges se redressent, ou un support à 2 800 FCFA en cas de dégradation.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3299.35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3,536 titres</w:t>
            </w:r>
          </w:p>
        </w:tc>
        <w:tc>
          <w:tcPr>
            <w:tcW w:type="dxa" w:w="2268"/>
            <w:shd w:fill="FFF2CC" w:val="clear"/>
          </w:tcPr>
          <w:p>
            <w:r>
              <w:rPr>
                <w:b/>
                <w:color w:val="503200"/>
                <w:sz w:val="16"/>
              </w:rPr>
              <w:t xml:space="preserve">Cours actuel : </w:t>
            </w:r>
            <w:r>
              <w:rPr>
                <w:color w:val="000000"/>
                <w:sz w:val="17"/>
              </w:rPr>
              <w:t>21,900 FCFA</w:t>
            </w:r>
          </w:p>
          <w:p>
            <w:r>
              <w:rPr>
                <w:b/>
                <w:color w:val="503200"/>
                <w:sz w:val="16"/>
              </w:rPr>
              <w:t xml:space="preserve">Var. 100 jours : </w:t>
            </w:r>
            <w:r>
              <w:rPr>
                <w:b/>
                <w:color w:val="007800"/>
                <w:sz w:val="17"/>
              </w:rPr>
              <w:t>+41.24%</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15,505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13.73% (Moyenne) — μ=18,360 FCFA, σ=2,520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β=1.4744 (Agressif) — Cov=0.000109, Var(idx)=0.000074, ρ=0.561,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8627"/>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20,751</w:t>
            </w:r>
          </w:p>
        </w:tc>
        <w:tc>
          <w:tcPr>
            <w:tcW w:type="dxa" w:w="1440"/>
            <w:shd w:fill="FAFAFA" w:val="clear"/>
          </w:tcPr>
          <w:p>
            <w:r>
              <w:rPr>
                <w:b/>
                <w:sz w:val="17"/>
              </w:rPr>
              <w:t>21,800</w:t>
            </w:r>
          </w:p>
        </w:tc>
        <w:tc>
          <w:tcPr>
            <w:tcW w:type="dxa" w:w="1440"/>
            <w:shd w:fill="FAFAFA" w:val="clear"/>
          </w:tcPr>
          <w:p>
            <w:r>
              <w:rPr>
                <w:sz w:val="17"/>
              </w:rPr>
              <w:t>22,848</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20,294</w:t>
            </w:r>
          </w:p>
        </w:tc>
        <w:tc>
          <w:tcPr>
            <w:tcW w:type="dxa" w:w="1440"/>
            <w:shd w:fill="FAFAFA" w:val="clear"/>
          </w:tcPr>
          <w:p>
            <w:r>
              <w:rPr>
                <w:b/>
                <w:sz w:val="17"/>
              </w:rPr>
              <w:t>21,775</w:t>
            </w:r>
          </w:p>
        </w:tc>
        <w:tc>
          <w:tcPr>
            <w:tcW w:type="dxa" w:w="1440"/>
            <w:shd w:fill="FAFAFA" w:val="clear"/>
          </w:tcPr>
          <w:p>
            <w:r>
              <w:rPr>
                <w:sz w:val="17"/>
              </w:rPr>
              <w:t>23,256</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19,932</w:t>
            </w:r>
          </w:p>
        </w:tc>
        <w:tc>
          <w:tcPr>
            <w:tcW w:type="dxa" w:w="1440"/>
            <w:shd w:fill="FAFAFA" w:val="clear"/>
          </w:tcPr>
          <w:p>
            <w:r>
              <w:rPr>
                <w:b/>
                <w:sz w:val="17"/>
              </w:rPr>
              <w:t>21,743</w:t>
            </w:r>
          </w:p>
        </w:tc>
        <w:tc>
          <w:tcPr>
            <w:tcW w:type="dxa" w:w="1440"/>
            <w:shd w:fill="FAFAFA" w:val="clear"/>
          </w:tcPr>
          <w:p>
            <w:r>
              <w:rPr>
                <w:sz w:val="17"/>
              </w:rPr>
              <w:t>23,555</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19,623</w:t>
            </w:r>
          </w:p>
        </w:tc>
        <w:tc>
          <w:tcPr>
            <w:tcW w:type="dxa" w:w="1440"/>
            <w:shd w:fill="FAFAFA" w:val="clear"/>
          </w:tcPr>
          <w:p>
            <w:r>
              <w:rPr>
                <w:b/>
                <w:sz w:val="17"/>
              </w:rPr>
              <w:t>21,711</w:t>
            </w:r>
          </w:p>
        </w:tc>
        <w:tc>
          <w:tcPr>
            <w:tcW w:type="dxa" w:w="1440"/>
            <w:shd w:fill="FAFAFA" w:val="clear"/>
          </w:tcPr>
          <w:p>
            <w:r>
              <w:rPr>
                <w:sz w:val="17"/>
              </w:rPr>
              <w:t>23,800</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19,349</w:t>
            </w:r>
          </w:p>
        </w:tc>
        <w:tc>
          <w:tcPr>
            <w:tcW w:type="dxa" w:w="1440"/>
            <w:shd w:fill="FAFAFA" w:val="clear"/>
          </w:tcPr>
          <w:p>
            <w:r>
              <w:rPr>
                <w:b/>
                <w:sz w:val="17"/>
              </w:rPr>
              <w:t>21,680</w:t>
            </w:r>
          </w:p>
        </w:tc>
        <w:tc>
          <w:tcPr>
            <w:tcW w:type="dxa" w:w="1440"/>
            <w:shd w:fill="FAFAFA" w:val="clear"/>
          </w:tcPr>
          <w:p>
            <w:r>
              <w:rPr>
                <w:sz w:val="17"/>
              </w:rPr>
              <w:t>24,012</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19,100</w:t>
            </w:r>
          </w:p>
        </w:tc>
        <w:tc>
          <w:tcPr>
            <w:tcW w:type="dxa" w:w="1440"/>
            <w:shd w:fill="FAFAFA" w:val="clear"/>
          </w:tcPr>
          <w:p>
            <w:r>
              <w:rPr>
                <w:b/>
                <w:sz w:val="17"/>
              </w:rPr>
              <w:t>21,650</w:t>
            </w:r>
          </w:p>
        </w:tc>
        <w:tc>
          <w:tcPr>
            <w:tcW w:type="dxa" w:w="1440"/>
            <w:shd w:fill="FAFAFA" w:val="clear"/>
          </w:tcPr>
          <w:p>
            <w:r>
              <w:rPr>
                <w:sz w:val="17"/>
              </w:rPr>
              <w:t>24,201</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18,870</w:t>
            </w:r>
          </w:p>
        </w:tc>
        <w:tc>
          <w:tcPr>
            <w:tcW w:type="dxa" w:w="1440"/>
            <w:shd w:fill="FAFAFA" w:val="clear"/>
          </w:tcPr>
          <w:p>
            <w:r>
              <w:rPr>
                <w:b/>
                <w:sz w:val="17"/>
              </w:rPr>
              <w:t>21,621</w:t>
            </w:r>
          </w:p>
        </w:tc>
        <w:tc>
          <w:tcPr>
            <w:tcW w:type="dxa" w:w="1440"/>
            <w:shd w:fill="FAFAFA" w:val="clear"/>
          </w:tcPr>
          <w:p>
            <w:r>
              <w:rPr>
                <w:sz w:val="17"/>
              </w:rPr>
              <w:t>24,372</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18,655</w:t>
            </w:r>
          </w:p>
        </w:tc>
        <w:tc>
          <w:tcPr>
            <w:tcW w:type="dxa" w:w="1440"/>
            <w:shd w:fill="FAFAFA" w:val="clear"/>
          </w:tcPr>
          <w:p>
            <w:r>
              <w:rPr>
                <w:b/>
                <w:sz w:val="17"/>
              </w:rPr>
              <w:t>21,592</w:t>
            </w:r>
          </w:p>
        </w:tc>
        <w:tc>
          <w:tcPr>
            <w:tcW w:type="dxa" w:w="1440"/>
            <w:shd w:fill="FAFAFA" w:val="clear"/>
          </w:tcPr>
          <w:p>
            <w:r>
              <w:rPr>
                <w:sz w:val="17"/>
              </w:rPr>
              <w:t>24,530</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18,452</w:t>
            </w:r>
          </w:p>
        </w:tc>
        <w:tc>
          <w:tcPr>
            <w:tcW w:type="dxa" w:w="1440"/>
            <w:shd w:fill="FAFAFA" w:val="clear"/>
          </w:tcPr>
          <w:p>
            <w:r>
              <w:rPr>
                <w:b/>
                <w:sz w:val="17"/>
              </w:rPr>
              <w:t>21,564</w:t>
            </w:r>
          </w:p>
        </w:tc>
        <w:tc>
          <w:tcPr>
            <w:tcW w:type="dxa" w:w="1440"/>
            <w:shd w:fill="FAFAFA" w:val="clear"/>
          </w:tcPr>
          <w:p>
            <w:r>
              <w:rPr>
                <w:sz w:val="17"/>
              </w:rPr>
              <w:t>24,676</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18,261</w:t>
            </w:r>
          </w:p>
        </w:tc>
        <w:tc>
          <w:tcPr>
            <w:tcW w:type="dxa" w:w="1440"/>
            <w:shd w:fill="FAFAFA" w:val="clear"/>
          </w:tcPr>
          <w:p>
            <w:r>
              <w:rPr>
                <w:b/>
                <w:sz w:val="17"/>
              </w:rPr>
              <w:t>21,536</w:t>
            </w:r>
          </w:p>
        </w:tc>
        <w:tc>
          <w:tcPr>
            <w:tcW w:type="dxa" w:w="1440"/>
            <w:shd w:fill="FAFAFA" w:val="clear"/>
          </w:tcPr>
          <w:p>
            <w:r>
              <w:rPr>
                <w:sz w:val="17"/>
              </w:rPr>
              <w:t>24,812</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ORAC (Orange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3 299,35 milliards FCFA, ORAC confirme son statut de poids lourd de la BRVM, représentant à elle seule une part significative de la capitalisation totale de la place (estimée à environ 26% en 2024 selon le rapport annuel). Le BPA de 1 114 FCFA indique le bénéfice net généré par chaque action, tandis que le PER de 19,7x traduit une valorisation modérée mais nettement supérieure à la moyenne du marché BRVM (8-12x), ce qui suggère que les investisseurs acceptent de payer une prime pour la qualité et la régularité des bénéfices d'ORAC. Le P/B de 4,66x, supérieur à 4x, confirme cette prime exigeante : le marché valorise l'entreprise à près de cinq fois sa valeur comptable, reflétant la confiance dans la rentabilité future et la solidité du modèle. Enfin, l'EV/EBITDA de 7,8x, dans la fourchette raisonnable de 5-10x, indique que la valeur totale de l'entreprise (incluant la dette) reste cohérente avec sa capacité opérationnelle à générer des liquidités.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progression spectaculaire de +41,24%, passant d'un plus bas de 15 505 FCFA à un plus haut de 22 500 FCFA, pour un cours actuel de 21 900 FCFA. La dernière séance (J-1) affiche une stabilité parfaite (+0,00%), suggérant une pause dans le mouvement haussier après une forte appréciation. La tendance générale est donc clairement haussière, portée par des fondamentaux solides et un intérêt croissant des investisseurs pour la valeur. Les statistiques descriptives révèlent une moyenne de 18 360 FCFA nettement supérieure à la médiane de 16 948 FCFA, ce qui indique une distribution asymétrique à droite : les récents pics de cours tirent la moyenne vers le haut, confirmant la dynamique haussière récente. L'écart-type de 2 533 FCFA (CV de 13,8%) traduit une dispersion modérée du cours autour de sa moyenne, tandis que le kurtosis négatif (-1,560, distribution platykurtique) signale une faible concentration des valeurs extrêmes, donc un risque de pics brusques limité. Le skewness de 0,455, qualifié de symétrique dans les données, suggère une légère asymétrie positive mais sans excès. Enfin, la volatilité annualisée de 35,5% positionne ORAC dans la catégorie des titres à volatilité élevée (&gt;30%), ce qui implique un potentiel de gain important mais aussi un risque de correction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(21 591 FCFA) et la MM50 (20 507,7 FCFA) sont toutes deux inférieures au cours actuel (21 900 FCFA), et la MM20 est au-dessus de la MM50, confirmant une configuration haussière classique. Le cours évoluant au-dessus de ses deux moyennes, la décision technique est à l'**Achat**, signalant que la dynamique de court et moyen terme reste positive.</w:t>
      </w:r>
    </w:p>
    <w:p>
      <w:pPr>
        <w:spacing w:after="120" w:line="276" w:lineRule="auto"/>
      </w:pPr>
      <w:r>
        <w:t>**Bandes de Bollinger** : Le cours actuel (21 900 FCFA) se situe entre la borne inférieure (20 247,78 FCFA) et la borne supérieure (22 934,22 FCFA), plus proche de la borne haute. Cette position médiane-haute indique une volatilité modérée sans surachat extrême, justifiant une décision **Neutre** : le titre n'est ni en zone de surchauffe, ni en zone de survente.</w:t>
      </w:r>
    </w:p>
    <w:p>
      <w:pPr>
        <w:spacing w:after="120" w:line="276" w:lineRule="auto"/>
      </w:pPr>
      <w:r>
        <w:t>**MACD** : La valeur du MACD (311,563) est inférieure à son signal (345,052), générant une décision de **Vente**. Cette divergence négative suggère un essoufflement du momentum haussier à court terme, bien que le MACD reste en territoire positif, ce qui tempère la portée baissière du signal.</w:t>
      </w:r>
    </w:p>
    <w:p>
      <w:pPr>
        <w:spacing w:after="120" w:line="276" w:lineRule="auto"/>
      </w:pPr>
      <w:r>
        <w:t>**RSI** : À 58,915, le RSI se situe dans la zone neutre (30-70), sans surachat ni survente. La décision **Neutre** reflète un équilibre entre acheteurs et vendeurs, avec une légère prédominance haussière mais sans excès.</w:t>
      </w:r>
    </w:p>
    <w:p>
      <w:pPr>
        <w:spacing w:after="120" w:line="276" w:lineRule="auto"/>
      </w:pPr>
      <w:r>
        <w:t>**Stochastique** : Le %K (95,238) et le %D (96,746) sont tous deux en zone de surachat (&gt;80), avec un %K légèrement inférieur au %D, ce qui pourrait annoncer un croisement baissier imminent. La décision **Vente** est justifiée par ce risque de correction à court terme après la forte hausse récente.</w:t>
      </w:r>
    </w:p>
    <w:p>
      <w:pPr>
        <w:spacing w:after="120" w:line="276" w:lineRule="auto"/>
      </w:pPr>
      <w:r>
        <w:t>**Conclusion technique** : Les indicateurs sont partagés. Les moyennes mobiles confirment la tendance haussière de fond, mais le MACD et le stochastique signalent un essoufflement à court terme, avec un risque de consolidation. Le RSI et les bandes de Bollinger restent neutres, suggérant que le titre n'est pas encore en zone de surchauffe extrême. Globalement, la configuration technique plaide pour une **pause ou une consolidation** avant une éventuelle reprise, avec un biais haussier à moyen terme maintenu par les moyennes mobiles.</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(états financiers annuels) révèlent une entreprise solide et rentable. Le chiffre d'affaires s'établit à **1 197,1 milliards FCFA**, en croissance de **+10,4%** par rapport à 2024, porté par la dynamique des trois filiales (Côte d'Ivoire, Burkina Faso, Liberia). Le résultat net consolidé atteint **167,8 milliards FCFA** (+6,1%), tandis que le résultat net part du groupe progresse de **+14,5% à 129,1 milliards FCFA**. La rentabilité est excellente : le **ROE de 23,71%** (&gt;15%, seuil d'excellence) et le **ROA de 6,57%** témoignent d'une utilisation efficace des capitaux propres et des actifs. La marge nette de **14,02%** et la marge opérationnelle de **23,99%** confirment la solidité du modèle. En tant qu'entreprise non bancaire, l'analyse des délais d'exploitation est pertinente : le délai clients de **52,26 jours** est modéré, mais le délai fournisseurs de **210,87 jours** est très élevé, ce qui est favorable à la trésorerie. Le **BFR est négatif (-198 milliards FCFA)**, un signe de grande efficacité dans la gestion du fonds de roulement. La structure financière est saine : l'autonomie financière de **27,71%** (proche du seuil de 30%) et la solvabilité générale de **138,34%** (&gt;1) indiquent une capacité à honorer les dettes. La capacité de remboursement est excellente (**0,99 an** de dettes financières couvertes par la CAF) et la couverture des intérêts est très élevée (**1 018,44%**). Les rapports trimestriels récents confirment cette dynamique : le **T1 2026** (rapport du 31 mars 2026) affiche un CA de **325,6 milliards FCFA** (+14,8%) et un résultat net de **48,3 milliards FCFA** (+25,2%), avec une marge nette de **14,8%**. Le **S1 2026** (rapport du 30 juin 2026) montre un CA de **672,8 milliards FCFA** (+16,1%) et un résultat net de **90,3 milliards FCFA** (+18,3%), avec une marge nette de **13,4%**. Sur la base de ces tendances, on peut **estimer** que l'exercice 2026 devrait enregistrer une croissance du CA supérieure à 15% et un résultat net en progression de 15-20%, soutenu par la data mobile, la fibre et Orange Money. Le principal risque identifié est la pression fiscale (+35% d'impôts au S1 2026) et les charges financières en hausse. La recommandation fondamentale est **ACHAT**, portée par la solidité des fondamentaux, la croissance à deux chiffres et la générosité du dividende (800 FCFA brut par action, soit un rendement attractif).</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globalement positive, bien que nuancée. **En termes de valorisation (Partie 0)**, le PER de 19,7x et le P/B de 4,66x indiquent une prime significative par rapport au marché BRVM, mais elle est justifiée par la qualité des bénéfices et la position dominante d'ORAC. L'EV/EBITDA de 7,8x reste raisonnable, suggérant que la valeur totale n'est pas excessive. **Le comportement du cours (Partie 1)** est haussier (+41,24% sur 100 jours) avec une volatilité élevée (35,5%), mais les statistiques (kurtosis négatif, skewness symétrique) montrent un risque de pics brusques limité. **Les signaux techniques (Partie 2)** sont mitigés : les moyennes mobiles confirment la tendance haussière, mais le MACD et le stochastique signalent un essoufflement à court terme, plaidant pour une consolidation. **Les fondamentaux (Partie 3)** sont excellents : ROE de 23,71%, BFR négatif, croissance à deux chiffres confirmée par les rapports T1 et S1 2026, et dividende attractif. **Les prédictions IA (J+1 à J+10)** anticipent une légère baisse du cours (de 21 800 à 21 680 FCFA), ce qui contredit la dynamique haussière récente mais confirme le risque de consolidation à court terme signalé par les indicateurs techniques. **Recommandation finale : CONSERVER**, avec un biais haussier à moyen terme. La convergence entre fondamentaux solides et valorisation exigeante, tempérée par des signaux techniques de court terme baissiers, justifie une position attentiste. Le niveau de confiance est **Moyen** (les fondamentaux sont solides mais la valorisation est tendue), et le niveau de risque global est **Moyen** (volatilité élevée mais fondamentaux robustes). L'horizon d'investissement optimal est le **moyen terme (3-12 mois)**, en attendant une consolidation qui offrirait un point d'entrée plus favorable, avec un objectif de cours à 23 000-24 000 FCFA si la croissance se confirme.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195.75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4,220 titres</w:t>
            </w:r>
          </w:p>
        </w:tc>
        <w:tc>
          <w:tcPr>
            <w:tcW w:type="dxa" w:w="2268"/>
            <w:shd w:fill="FFF2CC" w:val="clear"/>
          </w:tcPr>
          <w:p>
            <w:r>
              <w:rPr>
                <w:b/>
                <w:color w:val="503200"/>
                <w:sz w:val="16"/>
              </w:rPr>
              <w:t xml:space="preserve">Cours actuel : </w:t>
            </w:r>
            <w:r>
              <w:rPr>
                <w:color w:val="000000"/>
                <w:sz w:val="17"/>
              </w:rPr>
              <w:t>2,820 FCFA</w:t>
            </w:r>
          </w:p>
          <w:p>
            <w:r>
              <w:rPr>
                <w:b/>
                <w:color w:val="503200"/>
                <w:sz w:val="16"/>
              </w:rPr>
              <w:t xml:space="preserve">Var. 100 jours : </w:t>
            </w:r>
            <w:r>
              <w:rPr>
                <w:b/>
                <w:color w:val="007800"/>
                <w:sz w:val="17"/>
              </w:rPr>
              <w:t>+12.80%</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2,500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7.87% (Moyenne) — μ=2,912 FCFA, σ=229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β=0.8028 (Neutre (suit le marché)) — Cov=0.000059, Var(idx)=0.000074, ρ=0.304,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2,707</w:t>
            </w:r>
          </w:p>
        </w:tc>
        <w:tc>
          <w:tcPr>
            <w:tcW w:type="dxa" w:w="1440"/>
            <w:shd w:fill="FAFAFA" w:val="clear"/>
          </w:tcPr>
          <w:p>
            <w:r>
              <w:rPr>
                <w:b/>
                <w:sz w:val="17"/>
              </w:rPr>
              <w:t>2,845</w:t>
            </w:r>
          </w:p>
        </w:tc>
        <w:tc>
          <w:tcPr>
            <w:tcW w:type="dxa" w:w="1440"/>
            <w:shd w:fill="FAFAFA" w:val="clear"/>
          </w:tcPr>
          <w:p>
            <w:r>
              <w:rPr>
                <w:sz w:val="17"/>
              </w:rPr>
              <w:t>2,983</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2,647</w:t>
            </w:r>
          </w:p>
        </w:tc>
        <w:tc>
          <w:tcPr>
            <w:tcW w:type="dxa" w:w="1440"/>
            <w:shd w:fill="FAFAFA" w:val="clear"/>
          </w:tcPr>
          <w:p>
            <w:r>
              <w:rPr>
                <w:b/>
                <w:sz w:val="17"/>
              </w:rPr>
              <w:t>2,842</w:t>
            </w:r>
          </w:p>
        </w:tc>
        <w:tc>
          <w:tcPr>
            <w:tcW w:type="dxa" w:w="1440"/>
            <w:shd w:fill="FAFAFA" w:val="clear"/>
          </w:tcPr>
          <w:p>
            <w:r>
              <w:rPr>
                <w:sz w:val="17"/>
              </w:rPr>
              <w:t>3,037</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2,603</w:t>
            </w:r>
          </w:p>
        </w:tc>
        <w:tc>
          <w:tcPr>
            <w:tcW w:type="dxa" w:w="1440"/>
            <w:shd w:fill="FAFAFA" w:val="clear"/>
          </w:tcPr>
          <w:p>
            <w:r>
              <w:rPr>
                <w:b/>
                <w:sz w:val="17"/>
              </w:rPr>
              <w:t>2,842</w:t>
            </w:r>
          </w:p>
        </w:tc>
        <w:tc>
          <w:tcPr>
            <w:tcW w:type="dxa" w:w="1440"/>
            <w:shd w:fill="FAFAFA" w:val="clear"/>
          </w:tcPr>
          <w:p>
            <w:r>
              <w:rPr>
                <w:sz w:val="17"/>
              </w:rPr>
              <w:t>3,081</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2,566</w:t>
            </w:r>
          </w:p>
        </w:tc>
        <w:tc>
          <w:tcPr>
            <w:tcW w:type="dxa" w:w="1440"/>
            <w:shd w:fill="FAFAFA" w:val="clear"/>
          </w:tcPr>
          <w:p>
            <w:r>
              <w:rPr>
                <w:b/>
                <w:sz w:val="17"/>
              </w:rPr>
              <w:t>2,842</w:t>
            </w:r>
          </w:p>
        </w:tc>
        <w:tc>
          <w:tcPr>
            <w:tcW w:type="dxa" w:w="1440"/>
            <w:shd w:fill="FAFAFA" w:val="clear"/>
          </w:tcPr>
          <w:p>
            <w:r>
              <w:rPr>
                <w:sz w:val="17"/>
              </w:rPr>
              <w:t>3,117</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2,533</w:t>
            </w:r>
          </w:p>
        </w:tc>
        <w:tc>
          <w:tcPr>
            <w:tcW w:type="dxa" w:w="1440"/>
            <w:shd w:fill="FAFAFA" w:val="clear"/>
          </w:tcPr>
          <w:p>
            <w:r>
              <w:rPr>
                <w:b/>
                <w:sz w:val="17"/>
              </w:rPr>
              <w:t>2,841</w:t>
            </w:r>
          </w:p>
        </w:tc>
        <w:tc>
          <w:tcPr>
            <w:tcW w:type="dxa" w:w="1440"/>
            <w:shd w:fill="FAFAFA" w:val="clear"/>
          </w:tcPr>
          <w:p>
            <w:r>
              <w:rPr>
                <w:sz w:val="17"/>
              </w:rPr>
              <w:t>3,149</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2,502</w:t>
            </w:r>
          </w:p>
        </w:tc>
        <w:tc>
          <w:tcPr>
            <w:tcW w:type="dxa" w:w="1440"/>
            <w:shd w:fill="FAFAFA" w:val="clear"/>
          </w:tcPr>
          <w:p>
            <w:r>
              <w:rPr>
                <w:b/>
                <w:sz w:val="17"/>
              </w:rPr>
              <w:t>2,840</w:t>
            </w:r>
          </w:p>
        </w:tc>
        <w:tc>
          <w:tcPr>
            <w:tcW w:type="dxa" w:w="1440"/>
            <w:shd w:fill="FAFAFA" w:val="clear"/>
          </w:tcPr>
          <w:p>
            <w:r>
              <w:rPr>
                <w:sz w:val="17"/>
              </w:rPr>
              <w:t>3,177</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2,474</w:t>
            </w:r>
          </w:p>
        </w:tc>
        <w:tc>
          <w:tcPr>
            <w:tcW w:type="dxa" w:w="1440"/>
            <w:shd w:fill="FAFAFA" w:val="clear"/>
          </w:tcPr>
          <w:p>
            <w:r>
              <w:rPr>
                <w:b/>
                <w:sz w:val="17"/>
              </w:rPr>
              <w:t>2,838</w:t>
            </w:r>
          </w:p>
        </w:tc>
        <w:tc>
          <w:tcPr>
            <w:tcW w:type="dxa" w:w="1440"/>
            <w:shd w:fill="FAFAFA" w:val="clear"/>
          </w:tcPr>
          <w:p>
            <w:r>
              <w:rPr>
                <w:sz w:val="17"/>
              </w:rPr>
              <w:t>3,203</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2,448</w:t>
            </w:r>
          </w:p>
        </w:tc>
        <w:tc>
          <w:tcPr>
            <w:tcW w:type="dxa" w:w="1440"/>
            <w:shd w:fill="FAFAFA" w:val="clear"/>
          </w:tcPr>
          <w:p>
            <w:r>
              <w:rPr>
                <w:b/>
                <w:sz w:val="17"/>
              </w:rPr>
              <w:t>2,837</w:t>
            </w:r>
          </w:p>
        </w:tc>
        <w:tc>
          <w:tcPr>
            <w:tcW w:type="dxa" w:w="1440"/>
            <w:shd w:fill="FAFAFA" w:val="clear"/>
          </w:tcPr>
          <w:p>
            <w:r>
              <w:rPr>
                <w:sz w:val="17"/>
              </w:rPr>
              <w:t>3,226</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2,423</w:t>
            </w:r>
          </w:p>
        </w:tc>
        <w:tc>
          <w:tcPr>
            <w:tcW w:type="dxa" w:w="1440"/>
            <w:shd w:fill="FAFAFA" w:val="clear"/>
          </w:tcPr>
          <w:p>
            <w:r>
              <w:rPr>
                <w:b/>
                <w:sz w:val="17"/>
              </w:rPr>
              <w:t>2,836</w:t>
            </w:r>
          </w:p>
        </w:tc>
        <w:tc>
          <w:tcPr>
            <w:tcW w:type="dxa" w:w="1440"/>
            <w:shd w:fill="FAFAFA" w:val="clear"/>
          </w:tcPr>
          <w:p>
            <w:r>
              <w:rPr>
                <w:sz w:val="17"/>
              </w:rPr>
              <w:t>3,248</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2,400</w:t>
            </w:r>
          </w:p>
        </w:tc>
        <w:tc>
          <w:tcPr>
            <w:tcW w:type="dxa" w:w="1440"/>
            <w:shd w:fill="FAFAFA" w:val="clear"/>
          </w:tcPr>
          <w:p>
            <w:r>
              <w:rPr>
                <w:b/>
                <w:sz w:val="17"/>
              </w:rPr>
              <w:t>2,834</w:t>
            </w:r>
          </w:p>
        </w:tc>
        <w:tc>
          <w:tcPr>
            <w:tcW w:type="dxa" w:w="1440"/>
            <w:shd w:fill="FAFAFA" w:val="clear"/>
          </w:tcPr>
          <w:p>
            <w:r>
              <w:rPr>
                <w:sz w:val="17"/>
              </w:rPr>
              <w:t>3,269</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195,75 milliards FCFA, ORGT se positionne comme une valeur de taille intermédiaire sur la cote BRVM, représentant un poids significatif dans l'indice sectoriel bancaire régional. Le BPA de 312 FCFA/action signifie que chaque titre génère un bénéfice net de 312 FCFA, ce qui, rapporté au cours actuel de 2 820 FCFA, donne un PER de 9,0x — un niveau modéré, légèrement inférieur à la moyenne BRVM (8-12x), suggérant une valorisation raisonnable voire légèrement sous-évaluée au regard des bénéfices. Le ratio P/B de 1,73x indique que le marché valorise ORGT à 73% au-dessus de sa valeur comptable, ce qui reste dans la fourchette raisonnable (1-2x) et traduit une confiance modérée dans la qualité des fonds propres. En revanche, l'EV/EBITDA de 19,4x apparaît très exigeant (&gt;15x), signalant que la valeur d'entreprise intègre déjà une prime de redressement significative — ce qui contraste avec le PER modéré et invite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performance positive de +12,80%, avec un cours actuel de 2 820 FCFA et une variation J-1 nulle (+0,00%), traduisant une stabilisation après la récente progression. Le titre a évolué dans un range de 900 FCFA, entre un plus bas de 2 500 FCFA et un plus haut de 3 400 FCFA, ce qui témoigne d'une amplitude de trading relativement large pour une valeur bancaire. La tendance générale est haussière sur la période, mais le cours actuel (2 820 FCFA) se situe en dessous de la moyenne (2 912 FCFA) et de la médiane (2 875 FCFA), indiquant un repli récent depuis les sommets. L'écart faible entre moyenne et médiane (37 FCFA) confirme une distribution quasi-symétrique, cohérente avec le skewness de 0,305 (légère asymétrie positive). L'écart-type de 230 FCFA et le coefficient de variation de 7,9% révèlent une dispersion modérée du cours autour de sa moyenne. Le kurtosis de -1,228 (distribution platykurtique) signale une faible concentration des rendements et un risque de pics de volatilité limité, ce qui est rassurant pour la gestion du risque. Enfin, la volatilité annualisée de 37,0% classe ORGT dans la catégorie des titres à volatilité élevée (&gt;30%), ce qui implique un risque de marché non négligeable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(3 005,75 FCFA) et la MM50 (3 107,70 FCFA) se situent toutes deux au-dessus du cours actuel (2 820 FCFA), ce qui place le titre en configuration baissière de court et moyen terme. La MM20 étant inférieure à la MM50, on observe une pression baissière persistante, justifiant la décision technique de **Vente**.</w:t>
      </w:r>
    </w:p>
    <w:p>
      <w:pPr>
        <w:spacing w:after="120" w:line="276" w:lineRule="auto"/>
      </w:pPr>
      <w:r>
        <w:t>**Bandes de Bollinger** : Le cours (2 820 FCFA) évolue dans la partie basse du canal, entre la borne inférieure (2 709,84 FCFA) et la borne supérieure (3 301,66 FCFA), sans franchir les extrêmes. Cette position neutre, couplée à un rétrécissement des bandes, suggère une phase de consolidation avec un potentiel de rebond technique depuis la borne basse, d'où la décision **Neutre**.</w:t>
      </w:r>
    </w:p>
    <w:p>
      <w:pPr>
        <w:spacing w:after="120" w:line="276" w:lineRule="auto"/>
      </w:pPr>
      <w:r>
        <w:t>**MACD** : La valeur du MACD (-69,044) est inférieure à son signal (-51,992), confirmant un momentum baissier avec une divergence négative persistante. Cette configuration indique que la pression vendeuse reste dominante, justifiant la décision de **Vente**.</w:t>
      </w:r>
    </w:p>
    <w:p>
      <w:pPr>
        <w:spacing w:after="120" w:line="276" w:lineRule="auto"/>
      </w:pPr>
      <w:r>
        <w:t>**RSI** : À 42,969, le RSI se situe dans la zone neutre (30-70), sans signal de surachat ni de survente. Cette position médiane reflète l'absence de force directionnelle claire, justifiant la décision **Neutre**.</w:t>
      </w:r>
    </w:p>
    <w:p>
      <w:pPr>
        <w:spacing w:after="120" w:line="276" w:lineRule="auto"/>
      </w:pPr>
      <w:r>
        <w:t>**Stochastique** : Le %K (8,0) est très inférieur au %D (25,535), ce qui place l'indicateur en zone de survente extrême. Ce croisement baissier en zone basse suggère un potentiel de rebond à court terme, justifiant la décision **Achat** — signal contrarien en contradiction avec les autres indicateurs.</w:t>
      </w:r>
    </w:p>
    <w:p>
      <w:pPr>
        <w:spacing w:after="120" w:line="276" w:lineRule="auto"/>
      </w:pPr>
      <w:r>
        <w:t>**Conclusion technique** : Les indicateurs techniques présentent une divergence notable : les moyennes mobiles et le MACD confirment une tendance baissière, tandis que le stochastique signale une survente propice à un rebond, et le RSI reste neutre. Cette configuration mitigée plaide pour une prudence à court terme, avec un risque de poursuite de la correction tant que le cours reste sous la MM20 (3 005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ORGT a enregistré un Produit Net Bancaire (PNB) de 186,609 milliards FCFA, en baisse de -4,52% par rapport à 2024 (195,436 milliards FCFA), reflétant une contraction de l'activité commerciale. Le résultat net s'établit à 21,643 milliards FCFA, marquant un redressement spectaculaire après la perte de -44,363 milliards FCFA en 2024. Le ROE atteint 19,13% (excellent, &gt;15%), tandis que le ROA reste faible à 0,54%, typique du secteur bancaire. Le coefficient d'exploitation de 42,85% (&lt;60%) témoigne d'une excellente efficacité opérationnelle, et le coût du risque de 3,74% (provisions/charges financières) indique un portefeuille de crédits assaini. La structure financière reste fragile avec une autonomie financière de 2,82% (très en dessous du seuil sain de 30%) et un ratio d'endettement de 444,94%, mais la solvabilité générale (102,90%) demeure juste au-dessus du seuil critique.</w:t>
      </w:r>
    </w:p>
    <w:p>
      <w:pPr>
        <w:spacing w:after="120" w:line="276" w:lineRule="auto"/>
      </w:pPr>
      <w:r>
        <w:t>**Adaptation au secteur bancaire** : Le ratio dépôts/crédits s'établit à 2,03x (3 088,7 milliards de dépôts clientèle contre 1 523,8 milliards de créances), traduisant une surliquidité et une sous-utilisation des ressources — un levier de croissance inexploité. Les créances interbancaires (275,5 milliards FCFA) et les dettes interbancaires (432,7 milliards FCFA) montrent une dépendance aux marchés monétaires, tandis que le portefeuille de titres d'État (1 462,4 milliards FCFA) représente 36,4% du total actif, exposant la banque au risque souverain.</w:t>
      </w:r>
    </w:p>
    <w:p>
      <w:pPr>
        <w:spacing w:after="120" w:line="276" w:lineRule="auto"/>
      </w:pPr>
      <w:r>
        <w:t>**Estimations basées sur les rapports trimestriels** : Selon le rapport T1 2026 (publié en 2026), le PNB recule de -2% à 50,124 milliards FCFA, mais le résultat net progresse de +37% à 6,555 milliards FCFA, grâce à une baisse de -10% du coût du risque et une maîtrise des frais généraux (-44%). Les dépôts clientèle augmentent de +14% à 3 343 milliards FCFA, tandis que les crédits nets reculent de -12%. Sur cette base, on estime que l'exercice 2026 devrait confirmer la tendance au redressement, avec un résultat net annuel projeté entre 25 et 28 milliards FCFA si la dynamique se maintient. Le rapport S1 2025 (daté du 30 juin 2025) confirmait déjà un bénéfice net de 18,3 milliards FCFA (+232%), et le rapport T3 2025 (30 septembre 2025) un résultat de 19,6 milliards FCFA (+248%), validant la trajectoire positive.</w:t>
      </w:r>
    </w:p>
    <w:p>
      <w:pPr>
        <w:spacing w:after="120" w:line="276" w:lineRule="auto"/>
      </w:pPr>
      <w:r>
        <w:t>**Évolution pluriannuelle** : De 2024 (perte de -44,4 milliards) à 2025 (bénéfice de 21,6 milliards), ORGT a opéré une transformation radicale, portée par la réduction drastique du coût du risque (-90%) et des frais généraux (-12%). Cependant, la baisse du PNB (-4,5%) et l'absence de dividende (confirmée par l'avis de convocation à l'AG du 23 juillet 2026) limitent l'attrait pour les investisseurs en revenus.</w:t>
      </w:r>
    </w:p>
    <w:p>
      <w:pPr>
        <w:spacing w:after="120" w:line="276" w:lineRule="auto"/>
      </w:pPr>
      <w:r>
        <w:t>**Recommandation fondamentale** : La solidité du redressement et l'excellence du ROE (19,13%) sont des signaux positifs, mais la fragilité de la structure financière (autonomie financière de 2,82%) et la contraction du PNB incitent à la prudence. La recommandation fondamentale est **CONSERVER**, en attendant une reprise durable de la dynamique commerciale.</w:t>
      </w:r>
    </w:p>
    <w:p>
      <w:pPr>
        <w:spacing w:after="120" w:line="276" w:lineRule="auto"/>
      </w:pPr>
      <w:r>
        <w:t>---</w:t>
      </w:r>
    </w:p>
    <w:p>
      <w:pPr>
        <w:spacing w:after="120" w:line="276" w:lineRule="auto"/>
      </w:pPr>
      <w:r>
        <w:t>## PARTIE 4 : CONCLUSION D'INVESTISSEMENT</w:t>
      </w:r>
    </w:p>
    <w:p>
      <w:pPr>
        <w:spacing w:after="120" w:line="276" w:lineRule="auto"/>
      </w:pPr>
      <w:r>
        <w:t>La valorisation d'ORGT présente un profil contrasté : le PER de 9,0x et le P/B de 1,73x suggèrent une valorisation raisonnable, voire légèrement sous-évaluée, mais l'EV/EBITDA de 19,4x intègre déjà une prime de redressement significative, limitant le potentiel de revalorisation à court terme. Le comportement du cours sur 100 jours (+12,80%) est positif, mais la volatilité élevée (37,0%) et la position actuelle sous les moyennes mobiles (MM20 à 3 005,75 FCFA) traduisent une pression baissière persistante, avec une distribution platykurtique (kurtosis -1,228) qui réduit le risque de pics extrêmes. Les signaux techniques sont divergents : le MACD et les moyennes mobiles confirment une tendance baissière, tandis que le stochastique en survente (%K=8,0) et le RSI neutre (42,97) suggèrent un potentiel de rebond à court terme. Les fondamentaux sont solides sur la rentabilité (ROE de 19,13%, coefficient d'exploitation de 42,85%), mais fragiles sur la structure financière (autonomie financière de 2,82%) et la croissance (PNB en baisse de -4,52% en 2025). Les prédictions IA pour les 10 prochains jours (2 845 FCFA à 2 841 FCFA) anticipent une légère hausse suivie d'une stabilisation, ce qui contredit partiellement les signaux baissiers techniques mais confirme la phase de consolidation. Sur la base de cette synthèse, la recommandation finale est **CONSERVER**, avec un niveau de confiance **Moyen** et un risque global **Élevé** (volatilité de 37%, structure financière fragile). L'horizon d'investissement optimal est le **moyen terme (3-12 mois)**, en attendant la confirmation d'une reprise durable du PNB et d'une amélioration de la structure financière. Un passage à **ACHAT** serait justifié si le cours franchit la MM20 (3 005 FCFA) avec un volume soutenu et si les prochains rapports trimestriels confirment la croissance du PNB.</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120.35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4,397 titres</w:t>
            </w:r>
          </w:p>
        </w:tc>
        <w:tc>
          <w:tcPr>
            <w:tcW w:type="dxa" w:w="2268"/>
            <w:shd w:fill="FFF2CC" w:val="clear"/>
          </w:tcPr>
          <w:p>
            <w:r>
              <w:rPr>
                <w:b/>
                <w:color w:val="503200"/>
                <w:sz w:val="16"/>
              </w:rPr>
              <w:t xml:space="preserve">Cours actuel : </w:t>
            </w:r>
            <w:r>
              <w:rPr>
                <w:color w:val="000000"/>
                <w:sz w:val="17"/>
              </w:rPr>
              <w:t>7,785 FCFA</w:t>
            </w:r>
          </w:p>
          <w:p>
            <w:r>
              <w:rPr>
                <w:b/>
                <w:color w:val="503200"/>
                <w:sz w:val="16"/>
              </w:rPr>
              <w:t xml:space="preserve">Var. 100 jours : </w:t>
            </w:r>
            <w:r>
              <w:rPr>
                <w:b/>
                <w:color w:val="007800"/>
                <w:sz w:val="17"/>
              </w:rPr>
              <w:t>+1.24%</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5.36% (Moyenne) — μ=8,631 FCFA, σ=463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β=0.0651 (Défensif) — Cov=0.000005, Var(idx)=0.000074, ρ=0.026,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7,478</w:t>
            </w:r>
          </w:p>
        </w:tc>
        <w:tc>
          <w:tcPr>
            <w:tcW w:type="dxa" w:w="1440"/>
            <w:shd w:fill="FAFAFA" w:val="clear"/>
          </w:tcPr>
          <w:p>
            <w:r>
              <w:rPr>
                <w:b/>
                <w:sz w:val="17"/>
              </w:rPr>
              <w:t>7,721</w:t>
            </w:r>
          </w:p>
        </w:tc>
        <w:tc>
          <w:tcPr>
            <w:tcW w:type="dxa" w:w="1440"/>
            <w:shd w:fill="FAFAFA" w:val="clear"/>
          </w:tcPr>
          <w:p>
            <w:r>
              <w:rPr>
                <w:sz w:val="17"/>
              </w:rPr>
              <w:t>7,963</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7,353</w:t>
            </w:r>
          </w:p>
        </w:tc>
        <w:tc>
          <w:tcPr>
            <w:tcW w:type="dxa" w:w="1440"/>
            <w:shd w:fill="FAFAFA" w:val="clear"/>
          </w:tcPr>
          <w:p>
            <w:r>
              <w:rPr>
                <w:b/>
                <w:sz w:val="17"/>
              </w:rPr>
              <w:t>7,694</w:t>
            </w:r>
          </w:p>
        </w:tc>
        <w:tc>
          <w:tcPr>
            <w:tcW w:type="dxa" w:w="1440"/>
            <w:shd w:fill="FAFAFA" w:val="clear"/>
          </w:tcPr>
          <w:p>
            <w:r>
              <w:rPr>
                <w:sz w:val="17"/>
              </w:rPr>
              <w:t>8,035</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7,247</w:t>
            </w:r>
          </w:p>
        </w:tc>
        <w:tc>
          <w:tcPr>
            <w:tcW w:type="dxa" w:w="1440"/>
            <w:shd w:fill="FAFAFA" w:val="clear"/>
          </w:tcPr>
          <w:p>
            <w:r>
              <w:rPr>
                <w:b/>
                <w:sz w:val="17"/>
              </w:rPr>
              <w:t>7,664</w:t>
            </w:r>
          </w:p>
        </w:tc>
        <w:tc>
          <w:tcPr>
            <w:tcW w:type="dxa" w:w="1440"/>
            <w:shd w:fill="FAFAFA" w:val="clear"/>
          </w:tcPr>
          <w:p>
            <w:r>
              <w:rPr>
                <w:sz w:val="17"/>
              </w:rPr>
              <w:t>8,080</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2026-10-19</w:t>
            </w:r>
          </w:p>
        </w:tc>
        <w:tc>
          <w:tcPr>
            <w:tcW w:type="dxa" w:w="1440"/>
            <w:shd w:fill="FAFAFA" w:val="clear"/>
          </w:tcPr>
          <w:p>
            <w:r>
              <w:rPr>
                <w:sz w:val="17"/>
              </w:rPr>
              <w:t>7,155</w:t>
            </w:r>
          </w:p>
        </w:tc>
        <w:tc>
          <w:tcPr>
            <w:tcW w:type="dxa" w:w="1440"/>
            <w:shd w:fill="FAFAFA" w:val="clear"/>
          </w:tcPr>
          <w:p>
            <w:r>
              <w:rPr>
                <w:b/>
                <w:sz w:val="17"/>
              </w:rPr>
              <w:t>7,634</w:t>
            </w:r>
          </w:p>
        </w:tc>
        <w:tc>
          <w:tcPr>
            <w:tcW w:type="dxa" w:w="1440"/>
            <w:shd w:fill="FAFAFA" w:val="clear"/>
          </w:tcPr>
          <w:p>
            <w:r>
              <w:rPr>
                <w:sz w:val="17"/>
              </w:rPr>
              <w:t>8,113</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2026-10-20</w:t>
            </w:r>
          </w:p>
        </w:tc>
        <w:tc>
          <w:tcPr>
            <w:tcW w:type="dxa" w:w="1440"/>
            <w:shd w:fill="FFDCE0" w:val="clear"/>
          </w:tcPr>
          <w:p>
            <w:r>
              <w:rPr>
                <w:sz w:val="17"/>
              </w:rPr>
              <w:t>7,072</w:t>
            </w:r>
          </w:p>
        </w:tc>
        <w:tc>
          <w:tcPr>
            <w:tcW w:type="dxa" w:w="1440"/>
            <w:shd w:fill="FFDCE0" w:val="clear"/>
          </w:tcPr>
          <w:p>
            <w:r>
              <w:rPr>
                <w:b/>
                <w:sz w:val="17"/>
              </w:rPr>
              <w:t>7,606</w:t>
            </w:r>
          </w:p>
        </w:tc>
        <w:tc>
          <w:tcPr>
            <w:tcW w:type="dxa" w:w="1440"/>
            <w:shd w:fill="FFDCE0" w:val="clear"/>
          </w:tcPr>
          <w:p>
            <w:r>
              <w:rPr>
                <w:sz w:val="17"/>
              </w:rPr>
              <w:t>8,140</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2026-10-21</w:t>
            </w:r>
          </w:p>
        </w:tc>
        <w:tc>
          <w:tcPr>
            <w:tcW w:type="dxa" w:w="1440"/>
            <w:shd w:fill="FFDCE0" w:val="clear"/>
          </w:tcPr>
          <w:p>
            <w:r>
              <w:rPr>
                <w:sz w:val="17"/>
              </w:rPr>
              <w:t>6,996</w:t>
            </w:r>
          </w:p>
        </w:tc>
        <w:tc>
          <w:tcPr>
            <w:tcW w:type="dxa" w:w="1440"/>
            <w:shd w:fill="FFDCE0" w:val="clear"/>
          </w:tcPr>
          <w:p>
            <w:r>
              <w:rPr>
                <w:b/>
                <w:sz w:val="17"/>
              </w:rPr>
              <w:t>7,579</w:t>
            </w:r>
          </w:p>
        </w:tc>
        <w:tc>
          <w:tcPr>
            <w:tcW w:type="dxa" w:w="1440"/>
            <w:shd w:fill="FFDCE0" w:val="clear"/>
          </w:tcPr>
          <w:p>
            <w:r>
              <w:rPr>
                <w:sz w:val="17"/>
              </w:rPr>
              <w:t>8,162</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2026-10-22</w:t>
            </w:r>
          </w:p>
        </w:tc>
        <w:tc>
          <w:tcPr>
            <w:tcW w:type="dxa" w:w="1440"/>
            <w:shd w:fill="FFDCE0" w:val="clear"/>
          </w:tcPr>
          <w:p>
            <w:r>
              <w:rPr>
                <w:sz w:val="17"/>
              </w:rPr>
              <w:t>6,926</w:t>
            </w:r>
          </w:p>
        </w:tc>
        <w:tc>
          <w:tcPr>
            <w:tcW w:type="dxa" w:w="1440"/>
            <w:shd w:fill="FFDCE0" w:val="clear"/>
          </w:tcPr>
          <w:p>
            <w:r>
              <w:rPr>
                <w:b/>
                <w:sz w:val="17"/>
              </w:rPr>
              <w:t>7,553</w:t>
            </w:r>
          </w:p>
        </w:tc>
        <w:tc>
          <w:tcPr>
            <w:tcW w:type="dxa" w:w="1440"/>
            <w:shd w:fill="FFDCE0" w:val="clear"/>
          </w:tcPr>
          <w:p>
            <w:r>
              <w:rPr>
                <w:sz w:val="17"/>
              </w:rPr>
              <w:t>8,181</w:t>
            </w:r>
          </w:p>
        </w:tc>
        <w:tc>
          <w:tcPr>
            <w:tcW w:type="dxa" w:w="1440"/>
            <w:shd w:fill="FFDCE0" w:val="clear"/>
          </w:tcPr>
          <w:p>
            <w:r>
              <w:rPr>
                <w:b/>
                <w:color w:val="C00000"/>
                <w:sz w:val="17"/>
              </w:rPr>
              <w:t>-3.0%</w:t>
            </w:r>
          </w:p>
        </w:tc>
      </w:tr>
      <w:tr>
        <w:tc>
          <w:tcPr>
            <w:tcW w:type="dxa" w:w="1440"/>
            <w:shd w:fill="FFDCE0" w:val="clear"/>
          </w:tcPr>
          <w:p>
            <w:r>
              <w:rPr>
                <w:sz w:val="17"/>
              </w:rPr>
              <w:t>J+8  Moyenne</w:t>
            </w:r>
          </w:p>
        </w:tc>
        <w:tc>
          <w:tcPr>
            <w:tcW w:type="dxa" w:w="1440"/>
            <w:shd w:fill="FFDCE0" w:val="clear"/>
          </w:tcPr>
          <w:p>
            <w:r>
              <w:rPr>
                <w:sz w:val="17"/>
              </w:rPr>
              <w:t>2026-10-23</w:t>
            </w:r>
          </w:p>
        </w:tc>
        <w:tc>
          <w:tcPr>
            <w:tcW w:type="dxa" w:w="1440"/>
            <w:shd w:fill="FFDCE0" w:val="clear"/>
          </w:tcPr>
          <w:p>
            <w:r>
              <w:rPr>
                <w:sz w:val="17"/>
              </w:rPr>
              <w:t>6,861</w:t>
            </w:r>
          </w:p>
        </w:tc>
        <w:tc>
          <w:tcPr>
            <w:tcW w:type="dxa" w:w="1440"/>
            <w:shd w:fill="FFDCE0" w:val="clear"/>
          </w:tcPr>
          <w:p>
            <w:r>
              <w:rPr>
                <w:b/>
                <w:sz w:val="17"/>
              </w:rPr>
              <w:t>7,529</w:t>
            </w:r>
          </w:p>
        </w:tc>
        <w:tc>
          <w:tcPr>
            <w:tcW w:type="dxa" w:w="1440"/>
            <w:shd w:fill="FFDCE0" w:val="clear"/>
          </w:tcPr>
          <w:p>
            <w:r>
              <w:rPr>
                <w:sz w:val="17"/>
              </w:rPr>
              <w:t>8,197</w:t>
            </w:r>
          </w:p>
        </w:tc>
        <w:tc>
          <w:tcPr>
            <w:tcW w:type="dxa" w:w="1440"/>
            <w:shd w:fill="FFDCE0" w:val="clear"/>
          </w:tcPr>
          <w:p>
            <w:r>
              <w:rPr>
                <w:b/>
                <w:color w:val="C00000"/>
                <w:sz w:val="17"/>
              </w:rPr>
              <w:t>-3.3%</w:t>
            </w:r>
          </w:p>
        </w:tc>
      </w:tr>
      <w:tr>
        <w:tc>
          <w:tcPr>
            <w:tcW w:type="dxa" w:w="1440"/>
            <w:shd w:fill="FFDCE0" w:val="clear"/>
          </w:tcPr>
          <w:p>
            <w:r>
              <w:rPr>
                <w:sz w:val="17"/>
              </w:rPr>
              <w:t>J+9  Moyenne</w:t>
            </w:r>
          </w:p>
        </w:tc>
        <w:tc>
          <w:tcPr>
            <w:tcW w:type="dxa" w:w="1440"/>
            <w:shd w:fill="FFDCE0" w:val="clear"/>
          </w:tcPr>
          <w:p>
            <w:r>
              <w:rPr>
                <w:sz w:val="17"/>
              </w:rPr>
              <w:t>2026-10-26</w:t>
            </w:r>
          </w:p>
        </w:tc>
        <w:tc>
          <w:tcPr>
            <w:tcW w:type="dxa" w:w="1440"/>
            <w:shd w:fill="FFDCE0" w:val="clear"/>
          </w:tcPr>
          <w:p>
            <w:r>
              <w:rPr>
                <w:sz w:val="17"/>
              </w:rPr>
              <w:t>6,799</w:t>
            </w:r>
          </w:p>
        </w:tc>
        <w:tc>
          <w:tcPr>
            <w:tcW w:type="dxa" w:w="1440"/>
            <w:shd w:fill="FFDCE0" w:val="clear"/>
          </w:tcPr>
          <w:p>
            <w:r>
              <w:rPr>
                <w:b/>
                <w:sz w:val="17"/>
              </w:rPr>
              <w:t>7,506</w:t>
            </w:r>
          </w:p>
        </w:tc>
        <w:tc>
          <w:tcPr>
            <w:tcW w:type="dxa" w:w="1440"/>
            <w:shd w:fill="FFDCE0" w:val="clear"/>
          </w:tcPr>
          <w:p>
            <w:r>
              <w:rPr>
                <w:sz w:val="17"/>
              </w:rPr>
              <w:t>8,212</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2026-10-27</w:t>
            </w:r>
          </w:p>
        </w:tc>
        <w:tc>
          <w:tcPr>
            <w:tcW w:type="dxa" w:w="1440"/>
            <w:shd w:fill="FFDCE0" w:val="clear"/>
          </w:tcPr>
          <w:p>
            <w:r>
              <w:rPr>
                <w:sz w:val="17"/>
              </w:rPr>
              <w:t>6,741</w:t>
            </w:r>
          </w:p>
        </w:tc>
        <w:tc>
          <w:tcPr>
            <w:tcW w:type="dxa" w:w="1440"/>
            <w:shd w:fill="FFDCE0" w:val="clear"/>
          </w:tcPr>
          <w:p>
            <w:r>
              <w:rPr>
                <w:b/>
                <w:sz w:val="17"/>
              </w:rPr>
              <w:t>7,484</w:t>
            </w:r>
          </w:p>
        </w:tc>
        <w:tc>
          <w:tcPr>
            <w:tcW w:type="dxa" w:w="1440"/>
            <w:shd w:fill="FFDCE0" w:val="clear"/>
          </w:tcPr>
          <w:p>
            <w:r>
              <w:rPr>
                <w:sz w:val="17"/>
              </w:rPr>
              <w:t>8,226</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120,35 milliards FCFA, PALC se positionne parmi les valeurs moyennes à grandes de la cote BRVM, reflétant son statut de leader de la filière palmier à huile en Côte d'Ivoire. Le BPA de 1 003 FCFA/action signifie que chaque titre génère environ 1 003 FCFA de bénéfice net, ce qui, rapporté au cours actuel de 7 785 FCFA, donne un PER de 7,8x — nettement inférieur à la moyenne du marché BRVM (8-12x), suggérant une sous-évaluation relative. Le P/B de 0,84x est particulièrement révélateur : le marché valorise PALC à 16 % en dessous de sa valeur comptable, une anomalie potentielle pour une entreprise dont les capitaux propres atteignent 142,6 milliards FCFA. Enfin, l'EV/EBITDA de 3,8x (très en dessous du seuil de 5x) indique que la valeur totale de l'entreprise (dette incluse) ne représente que 3,8 fois sa capacité bénéficiaire opérationnelle brute, un niveau très attractif qui traduit soit une opportunité manifeste, soit une défiance du marché vis-à-vis de la pérennité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variation quasi stable de +1,24 %, avec une dernière séance en légère hausse de +0,45 %, clôturant à 7 785 FCFA. Le range de trading est significatif : le plus haut a atteint 9 640 FCFA tandis que le plus bas s'est établi à 7 680 FCFA, soit un écart de près de 2 000 FCFA (environ 25 %) entre les extrêmes, témoignant d'une réelle volatilité intra-période. La tendance générale est baissière sur la seconde moitié de la période, le cours actuel (7 785 FCFA) se situant très près du plus bas (7 680 FCFA) et loin du plus haut, ce qui traduit une pression vendeuse persistante. Les statistiques descriptives confirment cette dynamique : la moyenne (8 631 FCFA) est légèrement supérieure à la médiane (8 690 FCFA), mais l'écart reste faible, indiquant une distribution globalement symétrique (skewness de -0,174). L'écart-type de 465 FCFA avec un coefficient de variation de 5,4 % révèle une dispersion modérée autour de la moyenne, tandis que le kurtosis de -0,262 (mésokurtique) suggère une distribution proche de la normale, sans risque excessif de pics extrêmes. La volatilité annualisée de 34,1 % classe le titre dans la catégorie des valeurs à volatilité élevée (&gt;30 %), ce qui est cohérent avec son exposition aux cours mondiaux de l'huile de palme.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(8 202,5 FCFA) et la MM50 (8 717,7 FCFA) se situent toutes deux au-dessus du cours actuel (7 785 FCFA), avec la MM20 en dessous de la MM50, configuration baissière caractéristique. Le cours évoluant sous ses deux moyennes mobiles, la décision technique est logiquement **Vente**, signalant que la pression baissière domine à court et moyen terme.</w:t>
      </w:r>
    </w:p>
    <w:p>
      <w:pPr>
        <w:spacing w:after="120" w:line="276" w:lineRule="auto"/>
      </w:pPr>
      <w:r>
        <w:t>**Bandes de Bollinger** : Le cours actuel (7 785 FCFA) se situe dans la partie basse de la bande, entre la borne inférieure (7 673,06 FCFA) et la borne supérieure (8 731,94 FCFA), sans franchir la borne basse. Cette position proche du support inférieur, combinée à une largeur de bande modérée, donne une décision **Neutre** : le titre n'est ni en survente extrême, ni en surachat, mais évolue dans une zone de faiblesse relative.</w:t>
      </w:r>
    </w:p>
    <w:p>
      <w:pPr>
        <w:spacing w:after="120" w:line="276" w:lineRule="auto"/>
      </w:pPr>
      <w:r>
        <w:t>**MACD** : La valeur du MACD (-232,69) est inférieure à son signal (-203,17), confirmant une divergence baissière persistante. Le momentum négatif s'accentue, avec un histogramme négatif, ce qui justifie pleinement la décision **Vente** émise par cet indicateur.</w:t>
      </w:r>
    </w:p>
    <w:p>
      <w:pPr>
        <w:spacing w:after="120" w:line="276" w:lineRule="auto"/>
      </w:pPr>
      <w:r>
        <w:t>**RSI** : À 34,22, le RSI se situe dans la zone neutre basse (30-70), sans atteindre le seuil de survente (&lt;30). La décision est **Neutre**, mais la proximité du seuil de survente suggère que le titre approche d'une zone où un rebond technique pourrait se produire.</w:t>
      </w:r>
    </w:p>
    <w:p>
      <w:pPr>
        <w:spacing w:after="120" w:line="276" w:lineRule="auto"/>
      </w:pPr>
      <w:r>
        <w:t>**Stochastique** : Avec un %K à 5,6 et un %D à 4,53, les deux lignes évoluent en zone de survente profonde (&lt;20), et le %K est légèrement au-dessus du %D, ce qui pourrait préfigurer un croisement haussier imminent. La décision est **Achat**, signalant une opportunité de rebond à très court terme.</w:t>
      </w:r>
    </w:p>
    <w:p>
      <w:pPr>
        <w:spacing w:after="120" w:line="276" w:lineRule="auto"/>
      </w:pPr>
      <w:r>
        <w:t>**Conclusion technique** : Les indicateurs sont majoritairement baissiers (MM, MACD), avec un RSI neutre proche de la survente et un stochastique en zone d'achat. Cette divergence entre indicateurs de tendance (baissiers) et oscillateurs (survente) suggère un possible rebond technique à court terme, mais la tendance de fond reste fragile tant que le cours demeure sous ses moyennes mobiles.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a réalisé un chiffre d'affaires de 197,63 milliards FCFA, en croissance de +14,8 % par rapport à 2024 (172,2 milliards FCFA), portée par une hausse des volumes et des prix de l'huile de palme. Le résultat net s'établit à 15,51 milliards FCFA, en léger recul de -2,2 % par rapport à 2024 (15,9 milliards FCFA), avec une marge nette de 7,85 % (contre 9,2 % en 2024). Le ROE ressort à 10,87 % et le ROA à 7,79 %, des niveaux corrects mais en deçà du seuil d'excellence de 15 % pour le ROE. La structure financière demeure très solide : l'autonomie financière atteint 71,64 %, le ratio d'endettement est quasi nul (0,56 %), et la trésorerie nette est négative à -4,56 milliards FCFA, un point de vigilance. Le BFR s'élève à 44,62 milliards FCFA, avec un délai client élevé de 142,58 jours, signe d'un risque de trésorerie, tandis que la durée de stockage est faible (14,55 jours). Les rapports trimestriels récents confirment une dégradation conjoncturelle : le T1 2026 (rapport du 31 mars 2026) affiche un CA en baisse de -27 % à 49,4 milliards FCFA et un résultat net en chute de -86 % à 1,6 milliard FCFA, tandis que le S1 2026 (rapport du 30 juin 2026) montre un CA de 114,7 milliards FCFA (-15 %) et un résultat net de 13,5 milliards FCFA (-41 %). Le management attribue cette contre-performance à un décalage temporel des ventes, avec un écoulement progressif des stocks attendu au S2 2026, et anticipe un résultat net annuel 2026 positif, proche de celui de 2025. La politique de dividende a été ajustée à la baisse en 2025 (502 FCFA/action contre 620 FCFA en 2024), avec un taux de distribution de 50,2 %. En synthèse, PALC reste un acteur solide avec une structure financière saine, mais sa rentabilité est sous pression en raison de la volatilité des cours et d'un ralentissement des volumes au S1 2026. La recommandation fondamentale est de **Conserver**, avec une surveillance active des marges et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apparaît manifestement attractive : un PER de 7,8x (sous la moyenne BRVM), un P/B de 0,84x (sous la valeur comptable) et un EV/EBITDA de 3,8x (très bas) suggèrent une sous-évaluation, mais cette décote reflète les inquiétudes du marché sur la pérennité des marges. Le comportement du cours sur 100 jours est baissier, avec un titre proche de son plus bas (7 785 FCFA vs 7 680 FCFA), une volatilité élevée (34,1 %) et une distribution symétrique sans risque de pics extrêmes (kurtosis -0,262). Les signaux techniques sont divergents : les moyennes mobiles et le MACD sont baissiers, tandis que le RSI (34,22) et le stochastique (5,6) approchent de la zone de survente, suggérant un possible rebond à court terme. Les fondamentaux révèlent une entreprise solide (CA 2025 de 197,6 milliards FCFA, ROE de 10,87 %, autonomie financière de 71,6 %) mais confrontée à une dégradation conjoncturelle marquée au S1 2026 (résultat net -41 %), avec une guidance managériale tablant sur un redressement au S2. Les prédictions IA pour les 10 prochains jours (7 721 FCFA à 7 606 FCFA) confirment la tendance baissière de court terme, en ligne avec les signaux techniques. Sur la base de cette synthèse, la recommandation finale est **CONSERVER**, avec un niveau de confiance **Moyen** et un risque global **Moyen**. La convergence entre valorisation attractive, fondamentaux solides mais dégradés à court terme, et signaux techniques baissiers plaide pour une position attentiste. Un passage à l'ACHAT serait justifié après confirmation de la reprise des volumes au S2 2026 et stabilisation des marges. L'horizon d'investissement optimal est le **moyen terme (3-12 mois)**, le temps que les effets du décalage des ventes se matérialisent et que la visibilité sur l'exercice 2026 se clarifie.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1,100 titres</w:t>
            </w:r>
          </w:p>
        </w:tc>
        <w:tc>
          <w:tcPr>
            <w:tcW w:type="dxa" w:w="2268"/>
            <w:shd w:fill="FFF2CC" w:val="clear"/>
          </w:tcPr>
          <w:p>
            <w:r>
              <w:rPr>
                <w:b/>
                <w:color w:val="503200"/>
                <w:sz w:val="16"/>
              </w:rPr>
              <w:t xml:space="preserve">Cours actuel : </w:t>
            </w:r>
            <w:r>
              <w:rPr>
                <w:color w:val="000000"/>
                <w:sz w:val="17"/>
              </w:rPr>
              <w:t>4,400 FCFA</w:t>
            </w:r>
          </w:p>
          <w:p>
            <w:r>
              <w:rPr>
                <w:b/>
                <w:color w:val="503200"/>
                <w:sz w:val="16"/>
              </w:rPr>
              <w:t xml:space="preserve">Var. 100 jours : </w:t>
            </w:r>
            <w:r>
              <w:rPr>
                <w:b/>
                <w:color w:val="007800"/>
                <w:sz w:val="17"/>
              </w:rPr>
              <w:t>+19.08%</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3,695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4.49% (Faible) — μ=4,382 FCFA, σ=197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β=-0.1135 (Contre-cyclique) — Cov=-0.000008, Var(idx)=0.000074, ρ=-0.038,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2026-10-14</w:t>
            </w:r>
          </w:p>
        </w:tc>
        <w:tc>
          <w:tcPr>
            <w:tcW w:type="dxa" w:w="1440"/>
            <w:shd w:fill="FFDCE0" w:val="clear"/>
          </w:tcPr>
          <w:p>
            <w:r>
              <w:rPr>
                <w:sz w:val="17"/>
              </w:rPr>
              <w:t>4,063</w:t>
            </w:r>
          </w:p>
        </w:tc>
        <w:tc>
          <w:tcPr>
            <w:tcW w:type="dxa" w:w="1440"/>
            <w:shd w:fill="FFDCE0" w:val="clear"/>
          </w:tcPr>
          <w:p>
            <w:r>
              <w:rPr>
                <w:b/>
                <w:sz w:val="17"/>
              </w:rPr>
              <w:t>4,280</w:t>
            </w:r>
          </w:p>
        </w:tc>
        <w:tc>
          <w:tcPr>
            <w:tcW w:type="dxa" w:w="1440"/>
            <w:shd w:fill="FFDCE0" w:val="clear"/>
          </w:tcPr>
          <w:p>
            <w:r>
              <w:rPr>
                <w:sz w:val="17"/>
              </w:rPr>
              <w:t>4,497</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2026-10-15</w:t>
            </w:r>
          </w:p>
        </w:tc>
        <w:tc>
          <w:tcPr>
            <w:tcW w:type="dxa" w:w="1440"/>
            <w:shd w:fill="FFDCE0" w:val="clear"/>
          </w:tcPr>
          <w:p>
            <w:r>
              <w:rPr>
                <w:sz w:val="17"/>
              </w:rPr>
              <w:t>3,988</w:t>
            </w:r>
          </w:p>
        </w:tc>
        <w:tc>
          <w:tcPr>
            <w:tcW w:type="dxa" w:w="1440"/>
            <w:shd w:fill="FFDCE0" w:val="clear"/>
          </w:tcPr>
          <w:p>
            <w:r>
              <w:rPr>
                <w:b/>
                <w:sz w:val="17"/>
              </w:rPr>
              <w:t>4,296</w:t>
            </w:r>
          </w:p>
        </w:tc>
        <w:tc>
          <w:tcPr>
            <w:tcW w:type="dxa" w:w="1440"/>
            <w:shd w:fill="FFDCE0" w:val="clear"/>
          </w:tcPr>
          <w:p>
            <w:r>
              <w:rPr>
                <w:sz w:val="17"/>
              </w:rPr>
              <w:t>4,604</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2026-10-16</w:t>
            </w:r>
          </w:p>
        </w:tc>
        <w:tc>
          <w:tcPr>
            <w:tcW w:type="dxa" w:w="1440"/>
            <w:shd w:fill="FFDCE0" w:val="clear"/>
          </w:tcPr>
          <w:p>
            <w:r>
              <w:rPr>
                <w:sz w:val="17"/>
              </w:rPr>
              <w:t>3,912</w:t>
            </w:r>
          </w:p>
        </w:tc>
        <w:tc>
          <w:tcPr>
            <w:tcW w:type="dxa" w:w="1440"/>
            <w:shd w:fill="FFDCE0" w:val="clear"/>
          </w:tcPr>
          <w:p>
            <w:r>
              <w:rPr>
                <w:b/>
                <w:sz w:val="17"/>
              </w:rPr>
              <w:t>4,289</w:t>
            </w:r>
          </w:p>
        </w:tc>
        <w:tc>
          <w:tcPr>
            <w:tcW w:type="dxa" w:w="1440"/>
            <w:shd w:fill="FFDCE0" w:val="clear"/>
          </w:tcPr>
          <w:p>
            <w:r>
              <w:rPr>
                <w:sz w:val="17"/>
              </w:rPr>
              <w:t>4,666</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2026-10-19</w:t>
            </w:r>
          </w:p>
        </w:tc>
        <w:tc>
          <w:tcPr>
            <w:tcW w:type="dxa" w:w="1440"/>
            <w:shd w:fill="FFDCE0" w:val="clear"/>
          </w:tcPr>
          <w:p>
            <w:r>
              <w:rPr>
                <w:sz w:val="17"/>
              </w:rPr>
              <w:t>3,846</w:t>
            </w:r>
          </w:p>
        </w:tc>
        <w:tc>
          <w:tcPr>
            <w:tcW w:type="dxa" w:w="1440"/>
            <w:shd w:fill="FFDCE0" w:val="clear"/>
          </w:tcPr>
          <w:p>
            <w:r>
              <w:rPr>
                <w:b/>
                <w:sz w:val="17"/>
              </w:rPr>
              <w:t>4,280</w:t>
            </w:r>
          </w:p>
        </w:tc>
        <w:tc>
          <w:tcPr>
            <w:tcW w:type="dxa" w:w="1440"/>
            <w:shd w:fill="FFDCE0" w:val="clear"/>
          </w:tcPr>
          <w:p>
            <w:r>
              <w:rPr>
                <w:sz w:val="17"/>
              </w:rPr>
              <w:t>4,714</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2026-10-20</w:t>
            </w:r>
          </w:p>
        </w:tc>
        <w:tc>
          <w:tcPr>
            <w:tcW w:type="dxa" w:w="1440"/>
            <w:shd w:fill="FFDCE0" w:val="clear"/>
          </w:tcPr>
          <w:p>
            <w:r>
              <w:rPr>
                <w:sz w:val="17"/>
              </w:rPr>
              <w:t>3,788</w:t>
            </w:r>
          </w:p>
        </w:tc>
        <w:tc>
          <w:tcPr>
            <w:tcW w:type="dxa" w:w="1440"/>
            <w:shd w:fill="FFDCE0" w:val="clear"/>
          </w:tcPr>
          <w:p>
            <w:r>
              <w:rPr>
                <w:b/>
                <w:sz w:val="17"/>
              </w:rPr>
              <w:t>4,272</w:t>
            </w:r>
          </w:p>
        </w:tc>
        <w:tc>
          <w:tcPr>
            <w:tcW w:type="dxa" w:w="1440"/>
            <w:shd w:fill="FFDCE0" w:val="clear"/>
          </w:tcPr>
          <w:p>
            <w:r>
              <w:rPr>
                <w:sz w:val="17"/>
              </w:rPr>
              <w:t>4,756</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2026-10-21</w:t>
            </w:r>
          </w:p>
        </w:tc>
        <w:tc>
          <w:tcPr>
            <w:tcW w:type="dxa" w:w="1440"/>
            <w:shd w:fill="FFDCE0" w:val="clear"/>
          </w:tcPr>
          <w:p>
            <w:r>
              <w:rPr>
                <w:sz w:val="17"/>
              </w:rPr>
              <w:t>3,735</w:t>
            </w:r>
          </w:p>
        </w:tc>
        <w:tc>
          <w:tcPr>
            <w:tcW w:type="dxa" w:w="1440"/>
            <w:shd w:fill="FFDCE0" w:val="clear"/>
          </w:tcPr>
          <w:p>
            <w:r>
              <w:rPr>
                <w:b/>
                <w:sz w:val="17"/>
              </w:rPr>
              <w:t>4,265</w:t>
            </w:r>
          </w:p>
        </w:tc>
        <w:tc>
          <w:tcPr>
            <w:tcW w:type="dxa" w:w="1440"/>
            <w:shd w:fill="FFDCE0" w:val="clear"/>
          </w:tcPr>
          <w:p>
            <w:r>
              <w:rPr>
                <w:sz w:val="17"/>
              </w:rPr>
              <w:t>4,794</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3,687</w:t>
            </w:r>
          </w:p>
        </w:tc>
        <w:tc>
          <w:tcPr>
            <w:tcW w:type="dxa" w:w="1440"/>
            <w:shd w:fill="FFDCE0" w:val="clear"/>
          </w:tcPr>
          <w:p>
            <w:r>
              <w:rPr>
                <w:b/>
                <w:sz w:val="17"/>
              </w:rPr>
              <w:t>4,258</w:t>
            </w:r>
          </w:p>
        </w:tc>
        <w:tc>
          <w:tcPr>
            <w:tcW w:type="dxa" w:w="1440"/>
            <w:shd w:fill="FFDCE0" w:val="clear"/>
          </w:tcPr>
          <w:p>
            <w:r>
              <w:rPr>
                <w:sz w:val="17"/>
              </w:rPr>
              <w:t>4,829</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3,642</w:t>
            </w:r>
          </w:p>
        </w:tc>
        <w:tc>
          <w:tcPr>
            <w:tcW w:type="dxa" w:w="1440"/>
            <w:shd w:fill="FFDCE0" w:val="clear"/>
          </w:tcPr>
          <w:p>
            <w:r>
              <w:rPr>
                <w:b/>
                <w:sz w:val="17"/>
              </w:rPr>
              <w:t>4,252</w:t>
            </w:r>
          </w:p>
        </w:tc>
        <w:tc>
          <w:tcPr>
            <w:tcW w:type="dxa" w:w="1440"/>
            <w:shd w:fill="FFDCE0" w:val="clear"/>
          </w:tcPr>
          <w:p>
            <w:r>
              <w:rPr>
                <w:sz w:val="17"/>
              </w:rPr>
              <w:t>4,861</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3,600</w:t>
            </w:r>
          </w:p>
        </w:tc>
        <w:tc>
          <w:tcPr>
            <w:tcW w:type="dxa" w:w="1440"/>
            <w:shd w:fill="FFDCE0" w:val="clear"/>
          </w:tcPr>
          <w:p>
            <w:r>
              <w:rPr>
                <w:b/>
                <w:sz w:val="17"/>
              </w:rPr>
              <w:t>4,245</w:t>
            </w:r>
          </w:p>
        </w:tc>
        <w:tc>
          <w:tcPr>
            <w:tcW w:type="dxa" w:w="1440"/>
            <w:shd w:fill="FFDCE0" w:val="clear"/>
          </w:tcPr>
          <w:p>
            <w:r>
              <w:rPr>
                <w:sz w:val="17"/>
              </w:rPr>
              <w:t>4,891</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3,559</w:t>
            </w:r>
          </w:p>
        </w:tc>
        <w:tc>
          <w:tcPr>
            <w:tcW w:type="dxa" w:w="1440"/>
            <w:shd w:fill="FFDCE0" w:val="clear"/>
          </w:tcPr>
          <w:p>
            <w:r>
              <w:rPr>
                <w:b/>
                <w:sz w:val="17"/>
              </w:rPr>
              <w:t>4,239</w:t>
            </w:r>
          </w:p>
        </w:tc>
        <w:tc>
          <w:tcPr>
            <w:tcW w:type="dxa" w:w="1440"/>
            <w:shd w:fill="FFDCE0" w:val="clear"/>
          </w:tcPr>
          <w:p>
            <w:r>
              <w:rPr>
                <w:sz w:val="17"/>
              </w:rPr>
              <w:t>4,919</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45,06 milliards FCFA, PRSC se positionne comme une valeur de taille intermédiaire sur le compartiment des entreprises non bancaires de la BRVM, représentant un poids modéré dans l'indice BRVM Composite. Le BPA de 231 FCFA/action signifie que chaque titre génère près de 231 FCFA de bénéfice net, ce qui, rapporté au cours actuel de 4 400 FCFA, aboutit à un PER de 19,0x — nettement supérieur à la moyenne du marché BRVM (8-12x), traduisant une prime de valorisation significative que les investisseurs accordent à la société. Le P/B de 3,91x confirme cette tendance : le marché valorise PRSC à près de quatre fois sa valeur comptable (capitaux propres de 11,53 Mds FCFA), ce qui place le titre dans la fourchette haute (2-4x) des primes de croissance. L'EV/EBITDA de 9,7x, dans la zone raisonnable de 5-10x, indique que la valeur d'entreprise reste cohérente avec la capacité opérationnelle dégagée (EBE de 5,787 Mds FCFA en 2025). Au global, la valorisation apparaît tendue sur le PER et le P/B, mais soutenue par la qualité des cash-flows opérationnels.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PRSC affiche une performance remarquable de +19,08%, avec une accélération notable lors de la dernière séance (+6,02% en J-1), signe d'un intérêt acheteur récent et d'un momentum haussier confirmé. Le titre a évolué dans un range de 1 045 FCFA, entre un plus bas de 3 695 FCFA et un plus haut de 4 740 FCFA, le cours actuel de 4 400 FCFA se situant dans la partie supérieure de cette fourchette, à environ 93% du sommet. La tendance générale est donc clairement haussière, portée par la publication de résultats semestriels 2025 exceptionnels (résultat net ×28) et l'annonce d'un dividende de 209 FCFA/action. Les statistiques descriptives révèlent une distribution quasi-symétrique mais légèrement asymétrique à gauche (skewness = -0,920), indiquant davantage de journées de hausse au-dessus de la moyenne que de journées de baisse — un signal positif pour la dynamique. L'écart-type de 198 FCFA (CV = 4,5%) traduit une dispersion modérée du cours autour de sa moyenne de 4 382 FCFA, tandis que la médiane (4 402 FCFA) et le mode (4 400 FCFA) sont très proches de la moyenne, confirmant la stabilité relative de la cotation. Le kurtosis excédentaire de 1,008 (leptokurtique) signale toutefois des queues épaisses, donc un risque de pics de volatilité brutaux. La volatilité annualisée de 41,3% classe PRSC dans la catégorie des titres à volatilité élevée (&gt;30%), ce qui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(4 202,25 FCFA) est nettement inférieure à la MM50 (4 346,10 FCFA), et le cours actuel (4 400 FCFA) surplombe les deux moyennes. Cette configuration — cours &gt; MM20 &gt; MM50 — est théoriquement haussière, mais la décision fournie est « Vente », probablement parce que la MM20 est en train de croiser la MM50 à la baisse (death cross) ou que le cours s'éloigne excessivement de sa moyenne courte, suggérant un essoufflement. Le signal invite à la prudence malgré la tendance de fond positive.</w:t>
      </w:r>
    </w:p>
    <w:p>
      <w:pPr>
        <w:spacing w:after="120" w:line="276" w:lineRule="auto"/>
      </w:pPr>
      <w:r>
        <w:t>**Bandes de Bollinger** : Le cours (4 400 FCFA) se situe à mi-chemin entre la borne inférieure (3 839,97 FCFA) et la borne supérieure (4 564,53 FCFA), sans franchissement de seuil. La décision « Neutre » reflète l'absence de signal extrême : le titre n'est ni en surachat technique (proche borne haute) ni en survente (proche borne basse). La largeur des bandes (724 FCFA) confirme une volatilité modérée à élevée, cohérente avec le CV de 4,5%.</w:t>
      </w:r>
    </w:p>
    <w:p>
      <w:pPr>
        <w:spacing w:after="120" w:line="276" w:lineRule="auto"/>
      </w:pPr>
      <w:r>
        <w:t>**MACD** : La valeur du MACD (-38,879) est supérieure à son signal (-71,471), générant un croisement haussier (MACD &gt; Signal) et une décision « Achat ». Le momentum négatif s'améliore progressivement, l'histogramme se réduisant, ce qui suggère une possible inversion de tendance à court terme. Ce signal contredit partiellement la décision des Moyennes Mobiles.</w:t>
      </w:r>
    </w:p>
    <w:p>
      <w:pPr>
        <w:spacing w:after="120" w:line="276" w:lineRule="auto"/>
      </w:pPr>
      <w:r>
        <w:t>**RSI** : À 55,236, le RSI se situe dans la zone neutre (30-70), sans surachat ni survente. La décision « Neutre » indique que le titre dispose encore d'un potentiel de hausse sans être techniquement épuisé. Le RSI ne confirme ni n'infirme la tendance haussière en cours.</w:t>
      </w:r>
    </w:p>
    <w:p>
      <w:pPr>
        <w:spacing w:after="120" w:line="276" w:lineRule="auto"/>
      </w:pPr>
      <w:r>
        <w:t>**Stochastique** : Le %K (100,0) est au maximum absolu, tandis que le %D (74,15) reste élevé. Le croisement %K &gt; %D en zone de surachat extrême génère une décision « Vente », signalant un risque imminent de correction à court terme. Le %K à 100 est un signal de surachat très fort, souvent suivi d'un repli.</w:t>
      </w:r>
    </w:p>
    <w:p>
      <w:pPr>
        <w:spacing w:after="120" w:line="276" w:lineRule="auto"/>
      </w:pPr>
      <w:r>
        <w:t>**Conclusion technique** : Les indicateurs sont divergents — le MACD est haussier, le RSI neutre, mais les Moyennes Mobiles et le Stochastique sont baissiers. Cette configuration mixte suggère un titre en phase de consolidation après une forte hausse, avec un risque de correction à court terme (Stochastique à 100) mais un potentiel de rebond à moyen terme (MACD haussier). La prudence est de mise : le titre pourrait consolider avant de reprendre sa tendance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PRSC a réalisé un chiffre d'affaires de 81,127 Mds FCFA, en croissance de 8,64% sur un an, confirmant la dynamique commerciale de la société. Le résultat net s'établit à 2,367 Mds FCFA, en légère hausse par rapport à 2024 (2,177 Mds FCFA selon le rapport Mistral du 30/03/2026), avec une marge nette de 2,92% — faible mais en amélioration. Le ROE atteint 20,53%, un niveau excellent (&gt;15%), témoignant d'une rentabilité des fonds propres très satisfaisante, tandis que le ROA de 4,95% reste modeste, reflétant l'intensité capitalistique du secteur automobile. La structure financière montre une autonomie financière de 24,10% (inférieure au seuil sain de 30%) et un ratio d'endettement élevé de 314,86%, mais la solvabilité générale (131,76%) et la liquidité générale (120,87%) restent correctes. Le BFR de 11,267 Mds FCFA est positif, ce qui est défavorable pour une entreprise de distribution, et la trésorerie nette est négative (-4,092 Mds FCFA), signalant une tension de trésorerie. Les délais d'exploitation sont préoccupants : délai clients de 45,99 jours (risque de recouvrement), délai fournisseurs de 102,65 jours (favorable à la trésorerie) et durée de stockage de 150,51 jours (immobilisation de capital importante). Le flux opérationnel est négatif (-1,855 Mds FCFA) et le Free Cash Flow également (-2,616 Mds FCFA), ce qui est un point de vigilance majeur.</w:t>
      </w:r>
    </w:p>
    <w:p>
      <w:pPr>
        <w:spacing w:after="120" w:line="276" w:lineRule="auto"/>
      </w:pPr>
      <w:r>
        <w:t>**Estimations basées sur les rapports trimestriels** : Le rapport d'activité du S1 2025 (analysé le 15/03/2026) révèle un CA de 39,968 Mds FCFA au premier semestre, en hausse de 15,1% sur un an, et un résultat net de 1,436 Md FCFA (×28 par rapport au S1 2024), avec une marge nette de 3,6%. Sur la base de cette dynamique, on peut estimer que l'exercice 2025 devrait confirmer cette tendance, avec un résultat net annuel proche de 2,37 Mds FCFA (cohérent avec les données structurées). Le rapport du 15/06/2026 confirme la mise en paiement d'un dividende de 209 FCFA/action, offrant un rendement attractif de 4,75% au cours actuel de 4 400 FCFA. Le rapport Mistral du 30/03/2026 sur l'exercice 2024 souligne une baisse du CA de 4,15% (74,5 Mds FCFA) mais une amélioration de la marge nette à 2,92%, ainsi qu'une absence de dividende en 2024 — la reprise du dividende en 2025 constitue donc un signal positif fort.</w:t>
      </w:r>
    </w:p>
    <w:p>
      <w:pPr>
        <w:spacing w:after="120" w:line="276" w:lineRule="auto"/>
      </w:pPr>
      <w:r>
        <w:t>**Recommandation fondamentale** : PRSC présente un profil de croissance avec des fondamentaux mitigés — rentabilité des fonds propres excellente (ROE 20,53%), mais marge nette faible (2,92%), endettement élevé (314,86%) et trésorerie sous tension (FCF négatif). La dynamique commerciale est solide (CA +8,64% en 2025, +15,1% au S1 2025) et le retour du dividende (209 FCFA) est un signal de confiance du management. Les risques principaux résident dans la dépendance au marché automobile ivoirien, la pression concurrentielle (véhicules low-cost chinois) et la gestion du BFR (stocks et créances élevés). La recommandation fondamentale est **CONSERVER**, avec une surveillance accrue de la trésorerie et de l'endettement.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(Partie 0) apparaît tendue : le PER de 19,0x est près du double de la moyenne BRVM (8-12x), et le P/B de 3,91x traduit une prime de croissance significative. Le comportement du cours (Partie 1) est haussier (+19,08% sur 100 jours), avec une volatilité élevée (41,3%) et une asymétrie négative (skewness -0,920) favorable, mais un kurtosis leptokurtique (1,008) signalant un risque de pics. Les signaux techniques (Partie 2) sont divergents : le MACD est haussier, le RSI neutre, mais les Moyennes Mobiles et le Stochastique (à 100) sont baissiers, suggérant une consolidation à court terme. Les fondamentaux (Partie 3) sont solides sur la rentabilité des fonds propres (ROE 20,53%) et la croissance du CA (+8,64% en 2025), mais fragiles sur la trésorerie (FCF négatif) et l'endettement (314,86%). Les prédictions IA (J+1 à J+10) anticipent une légère correction vers 4 272-4 296 FCFA, confirmant le signal baissier du Stochastique et des Moyennes Mobiles. Sur la base de cette synthèse, la recommandation finale est **CONSERVER**, avec un niveau de confiance **Moyen** et un risque global **Élevé**. L'horizon d'investissement optimal est le **moyen terme (3-12 mois)**, en attendant une clarification de la trésorerie et une confirmation de la tendance haussière au-delà des 4 500 FCFA. Un achat spéculatif à court terme est déconseillé en raison du surachat technique (Stochastique à 100) et des prédictions baissières à 10 jours.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47.54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8,046 titres</w:t>
            </w:r>
          </w:p>
        </w:tc>
        <w:tc>
          <w:tcPr>
            <w:tcW w:type="dxa" w:w="2268"/>
            <w:shd w:fill="FFF2CC" w:val="clear"/>
          </w:tcPr>
          <w:p>
            <w:r>
              <w:rPr>
                <w:b/>
                <w:color w:val="503200"/>
                <w:sz w:val="16"/>
              </w:rPr>
              <w:t xml:space="preserve">Cours actuel : </w:t>
            </w:r>
            <w:r>
              <w:rPr>
                <w:color w:val="000000"/>
                <w:sz w:val="17"/>
              </w:rPr>
              <w:t>4,005 FCFA</w:t>
            </w:r>
          </w:p>
          <w:p>
            <w:r>
              <w:rPr>
                <w:b/>
                <w:color w:val="503200"/>
                <w:sz w:val="16"/>
              </w:rPr>
              <w:t xml:space="preserve">Var. 100 jours : </w:t>
            </w:r>
            <w:r>
              <w:rPr>
                <w:b/>
                <w:color w:val="007800"/>
                <w:sz w:val="17"/>
              </w:rPr>
              <w:t>+5.39%</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15.22% (Élevée) — μ=4,674 FCFA, σ=711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β=1.3174 (Agressif) — Cov=0.000098, Var(idx)=0.000074, ρ=0.293,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σ_j=3.84%/j (Modérée) — Vol. annualisée≈61.0%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697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3,701</w:t>
            </w:r>
          </w:p>
        </w:tc>
        <w:tc>
          <w:tcPr>
            <w:tcW w:type="dxa" w:w="1440"/>
            <w:shd w:fill="FAFAFA" w:val="clear"/>
          </w:tcPr>
          <w:p>
            <w:r>
              <w:rPr>
                <w:b/>
                <w:sz w:val="17"/>
              </w:rPr>
              <w:t>4,000</w:t>
            </w:r>
          </w:p>
        </w:tc>
        <w:tc>
          <w:tcPr>
            <w:tcW w:type="dxa" w:w="1440"/>
            <w:shd w:fill="FAFAFA" w:val="clear"/>
          </w:tcPr>
          <w:p>
            <w:r>
              <w:rPr>
                <w:sz w:val="17"/>
              </w:rPr>
              <w:t>4,299</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3,556</w:t>
            </w:r>
          </w:p>
        </w:tc>
        <w:tc>
          <w:tcPr>
            <w:tcW w:type="dxa" w:w="1440"/>
            <w:shd w:fill="FAFAFA" w:val="clear"/>
          </w:tcPr>
          <w:p>
            <w:r>
              <w:rPr>
                <w:b/>
                <w:sz w:val="17"/>
              </w:rPr>
              <w:t>3,977</w:t>
            </w:r>
          </w:p>
        </w:tc>
        <w:tc>
          <w:tcPr>
            <w:tcW w:type="dxa" w:w="1440"/>
            <w:shd w:fill="FAFAFA" w:val="clear"/>
          </w:tcPr>
          <w:p>
            <w:r>
              <w:rPr>
                <w:sz w:val="17"/>
              </w:rPr>
              <w:t>4,397</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3,469</w:t>
            </w:r>
          </w:p>
        </w:tc>
        <w:tc>
          <w:tcPr>
            <w:tcW w:type="dxa" w:w="1440"/>
            <w:shd w:fill="FAFAFA" w:val="clear"/>
          </w:tcPr>
          <w:p>
            <w:r>
              <w:rPr>
                <w:b/>
                <w:sz w:val="17"/>
              </w:rPr>
              <w:t>3,986</w:t>
            </w:r>
          </w:p>
        </w:tc>
        <w:tc>
          <w:tcPr>
            <w:tcW w:type="dxa" w:w="1440"/>
            <w:shd w:fill="FAFAFA" w:val="clear"/>
          </w:tcPr>
          <w:p>
            <w:r>
              <w:rPr>
                <w:sz w:val="17"/>
              </w:rPr>
              <w:t>4,502</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3,401</w:t>
            </w:r>
          </w:p>
        </w:tc>
        <w:tc>
          <w:tcPr>
            <w:tcW w:type="dxa" w:w="1440"/>
            <w:shd w:fill="FAFAFA" w:val="clear"/>
          </w:tcPr>
          <w:p>
            <w:r>
              <w:rPr>
                <w:b/>
                <w:sz w:val="17"/>
              </w:rPr>
              <w:t>3,999</w:t>
            </w:r>
          </w:p>
        </w:tc>
        <w:tc>
          <w:tcPr>
            <w:tcW w:type="dxa" w:w="1440"/>
            <w:shd w:fill="FAFAFA" w:val="clear"/>
          </w:tcPr>
          <w:p>
            <w:r>
              <w:rPr>
                <w:sz w:val="17"/>
              </w:rPr>
              <w:t>4,597</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3,341</w:t>
            </w:r>
          </w:p>
        </w:tc>
        <w:tc>
          <w:tcPr>
            <w:tcW w:type="dxa" w:w="1440"/>
            <w:shd w:fill="FAFAFA" w:val="clear"/>
          </w:tcPr>
          <w:p>
            <w:r>
              <w:rPr>
                <w:b/>
                <w:sz w:val="17"/>
              </w:rPr>
              <w:t>4,012</w:t>
            </w:r>
          </w:p>
        </w:tc>
        <w:tc>
          <w:tcPr>
            <w:tcW w:type="dxa" w:w="1440"/>
            <w:shd w:fill="FAFAFA" w:val="clear"/>
          </w:tcPr>
          <w:p>
            <w:r>
              <w:rPr>
                <w:sz w:val="17"/>
              </w:rPr>
              <w:t>4,683</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3,286</w:t>
            </w:r>
          </w:p>
        </w:tc>
        <w:tc>
          <w:tcPr>
            <w:tcW w:type="dxa" w:w="1440"/>
            <w:shd w:fill="FAFAFA" w:val="clear"/>
          </w:tcPr>
          <w:p>
            <w:r>
              <w:rPr>
                <w:b/>
                <w:sz w:val="17"/>
              </w:rPr>
              <w:t>4,023</w:t>
            </w:r>
          </w:p>
        </w:tc>
        <w:tc>
          <w:tcPr>
            <w:tcW w:type="dxa" w:w="1440"/>
            <w:shd w:fill="FAFAFA" w:val="clear"/>
          </w:tcPr>
          <w:p>
            <w:r>
              <w:rPr>
                <w:sz w:val="17"/>
              </w:rPr>
              <w:t>4,760</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3,235</w:t>
            </w:r>
          </w:p>
        </w:tc>
        <w:tc>
          <w:tcPr>
            <w:tcW w:type="dxa" w:w="1440"/>
            <w:shd w:fill="FAFAFA" w:val="clear"/>
          </w:tcPr>
          <w:p>
            <w:r>
              <w:rPr>
                <w:b/>
                <w:sz w:val="17"/>
              </w:rPr>
              <w:t>4,033</w:t>
            </w:r>
          </w:p>
        </w:tc>
        <w:tc>
          <w:tcPr>
            <w:tcW w:type="dxa" w:w="1440"/>
            <w:shd w:fill="FAFAFA" w:val="clear"/>
          </w:tcPr>
          <w:p>
            <w:r>
              <w:rPr>
                <w:sz w:val="17"/>
              </w:rPr>
              <w:t>4,831</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3,187</w:t>
            </w:r>
          </w:p>
        </w:tc>
        <w:tc>
          <w:tcPr>
            <w:tcW w:type="dxa" w:w="1440"/>
            <w:shd w:fill="FAFAFA" w:val="clear"/>
          </w:tcPr>
          <w:p>
            <w:r>
              <w:rPr>
                <w:b/>
                <w:sz w:val="17"/>
              </w:rPr>
              <w:t>4,042</w:t>
            </w:r>
          </w:p>
        </w:tc>
        <w:tc>
          <w:tcPr>
            <w:tcW w:type="dxa" w:w="1440"/>
            <w:shd w:fill="FAFAFA" w:val="clear"/>
          </w:tcPr>
          <w:p>
            <w:r>
              <w:rPr>
                <w:sz w:val="17"/>
              </w:rPr>
              <w:t>4,897</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3,142</w:t>
            </w:r>
          </w:p>
        </w:tc>
        <w:tc>
          <w:tcPr>
            <w:tcW w:type="dxa" w:w="1440"/>
            <w:shd w:fill="FAFAFA" w:val="clear"/>
          </w:tcPr>
          <w:p>
            <w:r>
              <w:rPr>
                <w:b/>
                <w:sz w:val="17"/>
              </w:rPr>
              <w:t>4,050</w:t>
            </w:r>
          </w:p>
        </w:tc>
        <w:tc>
          <w:tcPr>
            <w:tcW w:type="dxa" w:w="1440"/>
            <w:shd w:fill="FAFAFA" w:val="clear"/>
          </w:tcPr>
          <w:p>
            <w:r>
              <w:rPr>
                <w:sz w:val="17"/>
              </w:rPr>
              <w:t>4,959</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3,098</w:t>
            </w:r>
          </w:p>
        </w:tc>
        <w:tc>
          <w:tcPr>
            <w:tcW w:type="dxa" w:w="1440"/>
            <w:shd w:fill="FAFAFA" w:val="clear"/>
          </w:tcPr>
          <w:p>
            <w:r>
              <w:rPr>
                <w:b/>
                <w:sz w:val="17"/>
              </w:rPr>
              <w:t>4,058</w:t>
            </w:r>
          </w:p>
        </w:tc>
        <w:tc>
          <w:tcPr>
            <w:tcW w:type="dxa" w:w="1440"/>
            <w:shd w:fill="FAFAFA" w:val="clear"/>
          </w:tcPr>
          <w:p>
            <w:r>
              <w:rPr>
                <w:sz w:val="17"/>
              </w:rPr>
              <w:t>5,018</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Financement spécialisé**</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**47,54 milliards FCFA**, SAFC se situe dans la catégorie des valeurs moyennes de la BRVM, ce qui la rend vulnérable aux mouvements de faible liquidité. Le BPA de **59 FCFA/action** reflète la capacité bénéficiaire effective de l'émetteur, mais le **PER de 67,8x** traduit une valorisation extrêmement tendue : les investisseurs paient près de 68 fois les bénéfices, soit un multiple très supérieur à la moyenne BRVM (~8-12x), ce qui intègre déjà une forte anticipation de croissance future. Le **P/B de 8,04x** confirme cette prime exigeante, le marché valorisant la société à plus de huit fois ses fonds propres comptables (5,916 Mds FCFA en 2025), un niveau difficilement justifiable hors scénario de redressement accéléré. Enfin, l'**EV/EBITDA de 81,8x** — très au-delà du seuil de 15x — signale que la valeur d'entreprise intègre une capacité opérationnelle encore faible au regard du prix payé, ce qui rend le titre particulièrement sensible à toute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affiche une progression totale de **+5,39%**, mais la dernière séance (J-1) enregistre un repli marqué de **-3,38%**, signalant une pression vendeuse récente. Le titre évolue actuellement à **4 005 FCFA**, dans un range de trading très large allant de **3 595 FCFA** (plus bas) à **6 200 FCFA** (plus haut), soit un écart de plus de 72% entre les extrêmes — preuve d'une forte instabilité. La tendance générale est donc haussière sur la période, mais avec une nette correction depuis les sommets, le cours se situant désormais à environ 65% de son plus haut. Les statistiques descriptives révèlent une **moyenne de 4 674 FCFA** supérieure à la **médiane de 4 580 FCFA**, écart qui, bien que modéré, suggère une légère asymétrie positive tirée par les pics hauts. L'**écart-type de 715 FCFA** avec un **CV de 15,3%** indique une dispersion significative du cours autour de sa moyenne, confirmant un titre nerveux. Le **kurtosis de -0,868** (mésokurtique) signifie que la distribution est proche d'une loi normale, sans risque excessif de pics extrêmes, tandis que le **skewness de 0,357** confirme une distribution quasi symétrique. Enfin, la **volatilité annualisée de 61,0%** classe clairement SAFC parmi les titres à volatilité **élevée** (&gt;30%), ce qui implique un risque de perte en capital important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(4 423,25 FCFA) et la MM50 (5 100,8 FCFA) se situent toutes deux au-dessus du cours actuel (4 005 FCFA), avec une MM20 inférieure à la MM50 — configuration baissière caractéristique. Le cours évoluant sous ses deux moyennes, la pression vendeuse domine, ce qui justifie la décision technique de **Vente**.</w:t>
      </w:r>
    </w:p>
    <w:p>
      <w:pPr>
        <w:spacing w:after="120" w:line="276" w:lineRule="auto"/>
      </w:pPr>
      <w:r>
        <w:t>**Bandes de Bollinger :** Le cours (4 005 FCFA) se situe dans la moitié inférieure de la bande, entre la borne inférieure (3 719,37 FCFA) et la borne supérieure (5 127,13 FCFA), sans toucher les extrêmes. Cette position médiane, couplée à un écart-type élevé, traduit une volatilité importante mais sans signal de retournement imminent, d'où la décision **Neutre**.</w:t>
      </w:r>
    </w:p>
    <w:p>
      <w:pPr>
        <w:spacing w:after="120" w:line="276" w:lineRule="auto"/>
      </w:pPr>
      <w:r>
        <w:t>**MACD :** Le MACD (-298,83) est inférieur à son signal (-281,22), avec un histogramme négatif — configuration baissière confirmée. Le momentum reste négatif et la divergence entre les deux lignes ne montre aucun signe de croisement haussier à court terme, justifiant la décision de **Vente**.</w:t>
      </w:r>
    </w:p>
    <w:p>
      <w:pPr>
        <w:spacing w:after="120" w:line="276" w:lineRule="auto"/>
      </w:pPr>
      <w:r>
        <w:t>**RSI :** À **43,63**, le RSI se situe en zone neutre (30-70), sans atteindre la survente (&lt;30) ni la surachat (&gt;70). Cette position médiane indique un équilibre relatif entre acheteurs et vendeurs, sans signal directionnel fort, d'où la décision **Neutre**.</w:t>
      </w:r>
    </w:p>
    <w:p>
      <w:pPr>
        <w:spacing w:after="120" w:line="276" w:lineRule="auto"/>
      </w:pPr>
      <w:r>
        <w:t>**Stochastique :** Le %K (3,05) est très bas et inférieur au %D (12,81), avec un croisement en zone de survente extrême. Cette configuration suggère un potentiel rebond technique à court terme, ce qui explique la décision **Achat** — signal toutefois contrarié par la tendance baissière des autres indicateurs.</w:t>
      </w:r>
    </w:p>
    <w:p>
      <w:pPr>
        <w:spacing w:after="120" w:line="276" w:lineRule="auto"/>
      </w:pPr>
      <w:r>
        <w:t>**Conclusion technique :** Les indicateurs sont majoritairement baissiers (MM, MACD) ou neutres (Bollinger, RSI), avec un seul signal haussier (Stochastique) en zone de survente extrême. Cette divergence suggère un possible rebond technique à très court terme, mais la tendance de fond reste baissière tant que le cours demeure sous la MM20 (4 423 FCFA). La prudence est de mise, le signal d'achat stochastique pouvant être un simple contrepied dans un mouvement baissier plus large.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affiche un **Produit Net Bancaire (PNB) de 5 735 M FCFA**, en hausse spectaculaire de **+44,1%** par rapport à 2024 (3 980 M FCFA), porté par la progression des intérêts (+14,4%) et l'explosion des commissions (+81%). Le **résultat net s'établit à 701 M FCFA**, marquant un retournement historique après une perte de -165 M FCFA en 2024 et huit années consécutives de déficit. Le **ROE de 11,85%** reste inférieur au seuil d'excellence de 15%, mais le **ROA de 0,88%** demeure faible, reflétant la structure bilancielle lourde (total actif de 79,555 Mds FCFA). En tant que banque, le **coefficient d'exploitation de 77,63%** est très supérieur au seuil de 60% — la banque n'est donc pas encore efficace — tandis que le **coût du risque de 6,57%** (provisions/charges financières) reste élevé, signalant un portefeuille de crédit encore fragile. La structure financière est préoccupante : **autonomie financière de 7,44%** (très en dessous des 30% sains), **ratio d'endettement de 856,36%**, et **report à nouveau négatif de -4 123 M FCFA**. Les dépôts clientèle (9,112 Mds FCFA) sont très inférieurs aux créances clientèle (60,476 Mds FCFA), révélant une dépendance massive aux dettes interbancaires (35,747 Mds FCFA, +45%) pour financer l'activité — un risque de liquidité majeur.</w:t>
      </w:r>
    </w:p>
    <w:p>
      <w:pPr>
        <w:spacing w:after="120" w:line="276" w:lineRule="auto"/>
      </w:pPr>
      <w:r>
        <w:t>**Estimations basées sur les rapports trimestriels :** Le rapport **S1 2026 (30 juin 2026)** confirme l'accélération : PNB de 2 907 M FCFA (+37%), résultat net de 731 M FCFA (+231%), marge nette de 25,2%, et surtout une **reprise nette sur coût du risque de +261 M FCFA** (contre une charge de -93 M FCFA un an plus tôt), signe d'une nette amélioration de la qualité du portefeuille. Le **T1 2026 (31 mars 2026)** affichait déjà un résultat net de 151 M FCFA (+1 062%) et un ratio CET1 de 10,35%. Sur cette base, on peut **estimer** que l'exercice 2026 devrait enregistrer un résultat net annuel compris entre **1,4 et 1,6 Md FCFA**, soit un doublement par rapport à 2025, avec un ROE potentiellement supérieur à 20% si les fonds propres se renforcent. L'augmentation de capital de 1,5 Md FCFA (avis BRVM du 13/04/2026, 3 750 000 actions nouvelles à 400 FCFA) devrait porter les capitaux propres au-delà de 7,4 Mds FCFA, améliorant l'autonomie financière.</w:t>
      </w:r>
    </w:p>
    <w:p>
      <w:pPr>
        <w:spacing w:after="120" w:line="276" w:lineRule="auto"/>
      </w:pPr>
      <w:r>
        <w:t>**Recommandation fondamentale :** La dynamique opérationnelle est indéniablement positive (croissance du PNB, retour à la rentabilité, amélioration du coût du risque), mais la solidité financière reste précaire (fonds propres faibles, dépendance interbancaire, report à nouveau négatif). Le titre est un **dossier de redressement à haut risque**, dont la valorisation boursière (PER 67,8x) intègre déjà une grande partie du scénario optimiste.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**déséquilibre majeur entre la valorisation et les fondamentaux**. La **Partie 0** montre des ratios de valorisation extrêmement tendus (PER 67,8x, P/B 8,04x, EV/EBITDA 81,8x) qui intègrent déjà une croissance future très optimiste, laissant peu de marge d'erreur. La **Partie 1** indique un cours en hausse sur 100 jours (+5,39%) mais sous pression récente (-3,38% en J-1), avec une volatilité annualisée de 61% et un CV de 15,3% — un profil risqué malgré une distribution quasi normale (kurtosis -0,868, skewness 0,357). La **Partie 2** confirme une tendance technique baissière (cours sous MM20 et MM50, MACD négatif), avec un seul signal haussier stochastique en survente extrême, suggérant un rebond technique possible mais fragile. La **Partie 3** révèle une amélioration fondamentale réelle (PNB +44% en 2025, résultat net de 701 M FCFA, S1 2026 à 731 M FCFA), mais une structure financière encore fragile (autonomie financière 7,44%, dépendance interbancaire). Les **prédictions IA** (4 000 → 4 012 FCFA sur 10 jours) anticipent une stabilisation autour de 4 000 FCFA, sans rebond significatif, ce qui **contredit** le signal stochastique et **confirme** la tendance baissière technique.</w:t>
      </w:r>
    </w:p>
    <w:p>
      <w:pPr>
        <w:spacing w:after="120" w:line="276" w:lineRule="auto"/>
      </w:pPr>
      <w:r>
        <w:t>**Recommandation finale : CONSERVER**</w:t>
        <w:br/>
        <w:t>**Justification :** La convergence entre une valorisation surévaluée, une technique baissière et des prédictions IA stagnantes plaide contre l'achat à court terme. Toutefois, la dynamique fondamentale (retour à la rentabilité, amélioration du coût du risque, augmentation de capital en cours) justifie de ne pas vendre, le potentiel de redressement à moyen terme restant intact. **Niveau de confiance : Moyen** — les signaux sont contradictoires (fondamental positif vs technique/valorisation négatifs). **Niveau de risque global : Élevé** — volatilité de 61%, fonds propres faibles, dépendance interbancaire. **Horizon d'investissement optimal : Moyen terme (3-12 mois)**, en surveillant la confirmation de la rentabilité au S2 2026 et la réussite de l'augmentation de capital. Un passage à l'**ACHAT** ne serait justifié qu'en cas de consolidation durable du bilan et de confirmation d'un ROE &gt;15%.</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48.22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10,605 titres</w:t>
            </w:r>
          </w:p>
        </w:tc>
        <w:tc>
          <w:tcPr>
            <w:tcW w:type="dxa" w:w="2268"/>
            <w:shd w:fill="FFF2CC" w:val="clear"/>
          </w:tcPr>
          <w:p>
            <w:r>
              <w:rPr>
                <w:b/>
                <w:color w:val="503200"/>
                <w:sz w:val="16"/>
              </w:rPr>
              <w:t xml:space="preserve">Cours actuel : </w:t>
            </w:r>
            <w:r>
              <w:rPr>
                <w:color w:val="000000"/>
                <w:sz w:val="17"/>
              </w:rPr>
              <w:t>2,460 FCFA</w:t>
            </w:r>
          </w:p>
          <w:p>
            <w:r>
              <w:rPr>
                <w:b/>
                <w:color w:val="503200"/>
                <w:sz w:val="16"/>
              </w:rPr>
              <w:t xml:space="preserve">Var. 100 jours : </w:t>
            </w:r>
            <w:r>
              <w:rPr>
                <w:b/>
                <w:color w:val="007800"/>
                <w:sz w:val="17"/>
              </w:rPr>
              <w:t>+0.20%</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13.06% (Moyenne) — μ=3,199 FCFA, σ=418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β=1.2780 (Agressif) — Cov=0.000089, Var(idx)=0.000070, ρ=0.305,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10,605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2026-10-14</w:t>
            </w:r>
          </w:p>
        </w:tc>
        <w:tc>
          <w:tcPr>
            <w:tcW w:type="dxa" w:w="1440"/>
            <w:shd w:fill="C6EFCE" w:val="clear"/>
          </w:tcPr>
          <w:p>
            <w:r>
              <w:rPr>
                <w:sz w:val="17"/>
              </w:rPr>
              <w:t>2,407</w:t>
            </w:r>
          </w:p>
        </w:tc>
        <w:tc>
          <w:tcPr>
            <w:tcW w:type="dxa" w:w="1440"/>
            <w:shd w:fill="C6EFCE" w:val="clear"/>
          </w:tcPr>
          <w:p>
            <w:r>
              <w:rPr>
                <w:b/>
                <w:sz w:val="17"/>
              </w:rPr>
              <w:t>2,557</w:t>
            </w:r>
          </w:p>
        </w:tc>
        <w:tc>
          <w:tcPr>
            <w:tcW w:type="dxa" w:w="1440"/>
            <w:shd w:fill="C6EFCE" w:val="clear"/>
          </w:tcPr>
          <w:p>
            <w:r>
              <w:rPr>
                <w:sz w:val="17"/>
              </w:rPr>
              <w:t>2,707</w:t>
            </w:r>
          </w:p>
        </w:tc>
        <w:tc>
          <w:tcPr>
            <w:tcW w:type="dxa" w:w="1440"/>
            <w:shd w:fill="C6EFCE" w:val="clear"/>
          </w:tcPr>
          <w:p>
            <w:r>
              <w:rPr>
                <w:b/>
                <w:color w:val="008000"/>
                <w:sz w:val="17"/>
              </w:rPr>
              <w:t>+4.0%</w:t>
            </w:r>
          </w:p>
        </w:tc>
      </w:tr>
      <w:tr>
        <w:tc>
          <w:tcPr>
            <w:tcW w:type="dxa" w:w="1440"/>
            <w:shd w:fill="C6EFCE" w:val="clear"/>
          </w:tcPr>
          <w:p>
            <w:r>
              <w:rPr>
                <w:sz w:val="17"/>
              </w:rPr>
              <w:t>J+2  Moyenne</w:t>
            </w:r>
          </w:p>
        </w:tc>
        <w:tc>
          <w:tcPr>
            <w:tcW w:type="dxa" w:w="1440"/>
            <w:shd w:fill="C6EFCE" w:val="clear"/>
          </w:tcPr>
          <w:p>
            <w:r>
              <w:rPr>
                <w:sz w:val="17"/>
              </w:rPr>
              <w:t>2026-10-15</w:t>
            </w:r>
          </w:p>
        </w:tc>
        <w:tc>
          <w:tcPr>
            <w:tcW w:type="dxa" w:w="1440"/>
            <w:shd w:fill="C6EFCE" w:val="clear"/>
          </w:tcPr>
          <w:p>
            <w:r>
              <w:rPr>
                <w:sz w:val="17"/>
              </w:rPr>
              <w:t>2,435</w:t>
            </w:r>
          </w:p>
        </w:tc>
        <w:tc>
          <w:tcPr>
            <w:tcW w:type="dxa" w:w="1440"/>
            <w:shd w:fill="C6EFCE" w:val="clear"/>
          </w:tcPr>
          <w:p>
            <w:r>
              <w:rPr>
                <w:b/>
                <w:sz w:val="17"/>
              </w:rPr>
              <w:t>2,655</w:t>
            </w:r>
          </w:p>
        </w:tc>
        <w:tc>
          <w:tcPr>
            <w:tcW w:type="dxa" w:w="1440"/>
            <w:shd w:fill="C6EFCE" w:val="clear"/>
          </w:tcPr>
          <w:p>
            <w:r>
              <w:rPr>
                <w:sz w:val="17"/>
              </w:rPr>
              <w:t>2,875</w:t>
            </w:r>
          </w:p>
        </w:tc>
        <w:tc>
          <w:tcPr>
            <w:tcW w:type="dxa" w:w="1440"/>
            <w:shd w:fill="C6EFCE" w:val="clear"/>
          </w:tcPr>
          <w:p>
            <w:r>
              <w:rPr>
                <w:b/>
                <w:color w:val="008000"/>
                <w:sz w:val="17"/>
              </w:rPr>
              <w:t>+7.9%</w:t>
            </w:r>
          </w:p>
        </w:tc>
      </w:tr>
      <w:tr>
        <w:tc>
          <w:tcPr>
            <w:tcW w:type="dxa" w:w="1440"/>
            <w:shd w:fill="C6EFCE" w:val="clear"/>
          </w:tcPr>
          <w:p>
            <w:r>
              <w:rPr>
                <w:sz w:val="17"/>
              </w:rPr>
              <w:t>J+3  Moyenne</w:t>
            </w:r>
          </w:p>
        </w:tc>
        <w:tc>
          <w:tcPr>
            <w:tcW w:type="dxa" w:w="1440"/>
            <w:shd w:fill="C6EFCE" w:val="clear"/>
          </w:tcPr>
          <w:p>
            <w:r>
              <w:rPr>
                <w:sz w:val="17"/>
              </w:rPr>
              <w:t>2026-10-16</w:t>
            </w:r>
          </w:p>
        </w:tc>
        <w:tc>
          <w:tcPr>
            <w:tcW w:type="dxa" w:w="1440"/>
            <w:shd w:fill="C6EFCE" w:val="clear"/>
          </w:tcPr>
          <w:p>
            <w:r>
              <w:rPr>
                <w:sz w:val="17"/>
              </w:rPr>
              <w:t>2,476</w:t>
            </w:r>
          </w:p>
        </w:tc>
        <w:tc>
          <w:tcPr>
            <w:tcW w:type="dxa" w:w="1440"/>
            <w:shd w:fill="C6EFCE" w:val="clear"/>
          </w:tcPr>
          <w:p>
            <w:r>
              <w:rPr>
                <w:b/>
                <w:sz w:val="17"/>
              </w:rPr>
              <w:t>2,756</w:t>
            </w:r>
          </w:p>
        </w:tc>
        <w:tc>
          <w:tcPr>
            <w:tcW w:type="dxa" w:w="1440"/>
            <w:shd w:fill="C6EFCE" w:val="clear"/>
          </w:tcPr>
          <w:p>
            <w:r>
              <w:rPr>
                <w:sz w:val="17"/>
              </w:rPr>
              <w:t>3,035</w:t>
            </w:r>
          </w:p>
        </w:tc>
        <w:tc>
          <w:tcPr>
            <w:tcW w:type="dxa" w:w="1440"/>
            <w:shd w:fill="C6EFCE" w:val="clear"/>
          </w:tcPr>
          <w:p>
            <w:r>
              <w:rPr>
                <w:b/>
                <w:color w:val="008000"/>
                <w:sz w:val="17"/>
              </w:rPr>
              <w:t>+12.0%</w:t>
            </w:r>
          </w:p>
        </w:tc>
      </w:tr>
      <w:tr>
        <w:tc>
          <w:tcPr>
            <w:tcW w:type="dxa" w:w="1440"/>
            <w:shd w:fill="C6EFCE" w:val="clear"/>
          </w:tcPr>
          <w:p>
            <w:r>
              <w:rPr>
                <w:sz w:val="17"/>
              </w:rPr>
              <w:t>J+4  ⭐</w:t>
            </w:r>
          </w:p>
        </w:tc>
        <w:tc>
          <w:tcPr>
            <w:tcW w:type="dxa" w:w="1440"/>
            <w:shd w:fill="C6EFCE" w:val="clear"/>
          </w:tcPr>
          <w:p>
            <w:r>
              <w:rPr>
                <w:sz w:val="17"/>
              </w:rPr>
              <w:t>2026-10-19</w:t>
            </w:r>
          </w:p>
        </w:tc>
        <w:tc>
          <w:tcPr>
            <w:tcW w:type="dxa" w:w="1440"/>
            <w:shd w:fill="C6EFCE" w:val="clear"/>
          </w:tcPr>
          <w:p>
            <w:r>
              <w:rPr>
                <w:sz w:val="17"/>
              </w:rPr>
              <w:t>2,511</w:t>
            </w:r>
          </w:p>
        </w:tc>
        <w:tc>
          <w:tcPr>
            <w:tcW w:type="dxa" w:w="1440"/>
            <w:shd w:fill="C6EFCE" w:val="clear"/>
          </w:tcPr>
          <w:p>
            <w:r>
              <w:rPr>
                <w:b/>
                <w:sz w:val="17"/>
              </w:rPr>
              <w:t>2,844</w:t>
            </w:r>
          </w:p>
        </w:tc>
        <w:tc>
          <w:tcPr>
            <w:tcW w:type="dxa" w:w="1440"/>
            <w:shd w:fill="C6EFCE" w:val="clear"/>
          </w:tcPr>
          <w:p>
            <w:r>
              <w:rPr>
                <w:sz w:val="17"/>
              </w:rPr>
              <w:t>3,177</w:t>
            </w:r>
          </w:p>
        </w:tc>
        <w:tc>
          <w:tcPr>
            <w:tcW w:type="dxa" w:w="1440"/>
            <w:shd w:fill="C6EFCE" w:val="clear"/>
          </w:tcPr>
          <w:p>
            <w:r>
              <w:rPr>
                <w:b/>
                <w:color w:val="008000"/>
                <w:sz w:val="17"/>
              </w:rPr>
              <w:t>+15.6%</w:t>
            </w:r>
          </w:p>
        </w:tc>
      </w:tr>
      <w:tr>
        <w:tc>
          <w:tcPr>
            <w:tcW w:type="dxa" w:w="1440"/>
            <w:shd w:fill="C6EFCE" w:val="clear"/>
          </w:tcPr>
          <w:p>
            <w:r>
              <w:rPr>
                <w:sz w:val="17"/>
              </w:rPr>
              <w:t>J+5  ⭐</w:t>
            </w:r>
          </w:p>
        </w:tc>
        <w:tc>
          <w:tcPr>
            <w:tcW w:type="dxa" w:w="1440"/>
            <w:shd w:fill="C6EFCE" w:val="clear"/>
          </w:tcPr>
          <w:p>
            <w:r>
              <w:rPr>
                <w:sz w:val="17"/>
              </w:rPr>
              <w:t>2026-10-20</w:t>
            </w:r>
          </w:p>
        </w:tc>
        <w:tc>
          <w:tcPr>
            <w:tcW w:type="dxa" w:w="1440"/>
            <w:shd w:fill="C6EFCE" w:val="clear"/>
          </w:tcPr>
          <w:p>
            <w:r>
              <w:rPr>
                <w:sz w:val="17"/>
              </w:rPr>
              <w:t>2,538</w:t>
            </w:r>
          </w:p>
        </w:tc>
        <w:tc>
          <w:tcPr>
            <w:tcW w:type="dxa" w:w="1440"/>
            <w:shd w:fill="C6EFCE" w:val="clear"/>
          </w:tcPr>
          <w:p>
            <w:r>
              <w:rPr>
                <w:b/>
                <w:sz w:val="17"/>
              </w:rPr>
              <w:t>2,920</w:t>
            </w:r>
          </w:p>
        </w:tc>
        <w:tc>
          <w:tcPr>
            <w:tcW w:type="dxa" w:w="1440"/>
            <w:shd w:fill="C6EFCE" w:val="clear"/>
          </w:tcPr>
          <w:p>
            <w:r>
              <w:rPr>
                <w:sz w:val="17"/>
              </w:rPr>
              <w:t>3,303</w:t>
            </w:r>
          </w:p>
        </w:tc>
        <w:tc>
          <w:tcPr>
            <w:tcW w:type="dxa" w:w="1440"/>
            <w:shd w:fill="C6EFCE" w:val="clear"/>
          </w:tcPr>
          <w:p>
            <w:r>
              <w:rPr>
                <w:b/>
                <w:color w:val="008000"/>
                <w:sz w:val="17"/>
              </w:rPr>
              <w:t>+18.7%</w:t>
            </w:r>
          </w:p>
        </w:tc>
      </w:tr>
      <w:tr>
        <w:tc>
          <w:tcPr>
            <w:tcW w:type="dxa" w:w="1440"/>
            <w:shd w:fill="C6EFCE" w:val="clear"/>
          </w:tcPr>
          <w:p>
            <w:r>
              <w:rPr>
                <w:sz w:val="17"/>
              </w:rPr>
              <w:t>J+6  ⭐</w:t>
            </w:r>
          </w:p>
        </w:tc>
        <w:tc>
          <w:tcPr>
            <w:tcW w:type="dxa" w:w="1440"/>
            <w:shd w:fill="C6EFCE" w:val="clear"/>
          </w:tcPr>
          <w:p>
            <w:r>
              <w:rPr>
                <w:sz w:val="17"/>
              </w:rPr>
              <w:t>2026-10-21</w:t>
            </w:r>
          </w:p>
        </w:tc>
        <w:tc>
          <w:tcPr>
            <w:tcW w:type="dxa" w:w="1440"/>
            <w:shd w:fill="C6EFCE" w:val="clear"/>
          </w:tcPr>
          <w:p>
            <w:r>
              <w:rPr>
                <w:sz w:val="17"/>
              </w:rPr>
              <w:t>2,558</w:t>
            </w:r>
          </w:p>
        </w:tc>
        <w:tc>
          <w:tcPr>
            <w:tcW w:type="dxa" w:w="1440"/>
            <w:shd w:fill="C6EFCE" w:val="clear"/>
          </w:tcPr>
          <w:p>
            <w:r>
              <w:rPr>
                <w:b/>
                <w:sz w:val="17"/>
              </w:rPr>
              <w:t>2,987</w:t>
            </w:r>
          </w:p>
        </w:tc>
        <w:tc>
          <w:tcPr>
            <w:tcW w:type="dxa" w:w="1440"/>
            <w:shd w:fill="C6EFCE" w:val="clear"/>
          </w:tcPr>
          <w:p>
            <w:r>
              <w:rPr>
                <w:sz w:val="17"/>
              </w:rPr>
              <w:t>3,415</w:t>
            </w:r>
          </w:p>
        </w:tc>
        <w:tc>
          <w:tcPr>
            <w:tcW w:type="dxa" w:w="1440"/>
            <w:shd w:fill="C6EFCE" w:val="clear"/>
          </w:tcPr>
          <w:p>
            <w:r>
              <w:rPr>
                <w:b/>
                <w:color w:val="008000"/>
                <w:sz w:val="17"/>
              </w:rPr>
              <w:t>+21.4%</w:t>
            </w:r>
          </w:p>
        </w:tc>
      </w:tr>
      <w:tr>
        <w:tc>
          <w:tcPr>
            <w:tcW w:type="dxa" w:w="1440"/>
            <w:shd w:fill="C6EFCE" w:val="clear"/>
          </w:tcPr>
          <w:p>
            <w:r>
              <w:rPr>
                <w:sz w:val="17"/>
              </w:rPr>
              <w:t>J+7  ⭐</w:t>
            </w:r>
          </w:p>
        </w:tc>
        <w:tc>
          <w:tcPr>
            <w:tcW w:type="dxa" w:w="1440"/>
            <w:shd w:fill="C6EFCE" w:val="clear"/>
          </w:tcPr>
          <w:p>
            <w:r>
              <w:rPr>
                <w:sz w:val="17"/>
              </w:rPr>
              <w:t>2026-10-22</w:t>
            </w:r>
          </w:p>
        </w:tc>
        <w:tc>
          <w:tcPr>
            <w:tcW w:type="dxa" w:w="1440"/>
            <w:shd w:fill="C6EFCE" w:val="clear"/>
          </w:tcPr>
          <w:p>
            <w:r>
              <w:rPr>
                <w:sz w:val="17"/>
              </w:rPr>
              <w:t>2,574</w:t>
            </w:r>
          </w:p>
        </w:tc>
        <w:tc>
          <w:tcPr>
            <w:tcW w:type="dxa" w:w="1440"/>
            <w:shd w:fill="C6EFCE" w:val="clear"/>
          </w:tcPr>
          <w:p>
            <w:r>
              <w:rPr>
                <w:b/>
                <w:sz w:val="17"/>
              </w:rPr>
              <w:t>3,046</w:t>
            </w:r>
          </w:p>
        </w:tc>
        <w:tc>
          <w:tcPr>
            <w:tcW w:type="dxa" w:w="1440"/>
            <w:shd w:fill="C6EFCE" w:val="clear"/>
          </w:tcPr>
          <w:p>
            <w:r>
              <w:rPr>
                <w:sz w:val="17"/>
              </w:rPr>
              <w:t>3,518</w:t>
            </w:r>
          </w:p>
        </w:tc>
        <w:tc>
          <w:tcPr>
            <w:tcW w:type="dxa" w:w="1440"/>
            <w:shd w:fill="C6EFCE" w:val="clear"/>
          </w:tcPr>
          <w:p>
            <w:r>
              <w:rPr>
                <w:b/>
                <w:color w:val="008000"/>
                <w:sz w:val="17"/>
              </w:rPr>
              <w:t>+23.8%</w:t>
            </w:r>
          </w:p>
        </w:tc>
      </w:tr>
      <w:tr>
        <w:tc>
          <w:tcPr>
            <w:tcW w:type="dxa" w:w="1440"/>
            <w:shd w:fill="C6EFCE" w:val="clear"/>
          </w:tcPr>
          <w:p>
            <w:r>
              <w:rPr>
                <w:sz w:val="17"/>
              </w:rPr>
              <w:t>J+8  ⭐</w:t>
            </w:r>
          </w:p>
        </w:tc>
        <w:tc>
          <w:tcPr>
            <w:tcW w:type="dxa" w:w="1440"/>
            <w:shd w:fill="C6EFCE" w:val="clear"/>
          </w:tcPr>
          <w:p>
            <w:r>
              <w:rPr>
                <w:sz w:val="17"/>
              </w:rPr>
              <w:t>2026-10-23</w:t>
            </w:r>
          </w:p>
        </w:tc>
        <w:tc>
          <w:tcPr>
            <w:tcW w:type="dxa" w:w="1440"/>
            <w:shd w:fill="C6EFCE" w:val="clear"/>
          </w:tcPr>
          <w:p>
            <w:r>
              <w:rPr>
                <w:sz w:val="17"/>
              </w:rPr>
              <w:t>2,584</w:t>
            </w:r>
          </w:p>
        </w:tc>
        <w:tc>
          <w:tcPr>
            <w:tcW w:type="dxa" w:w="1440"/>
            <w:shd w:fill="C6EFCE" w:val="clear"/>
          </w:tcPr>
          <w:p>
            <w:r>
              <w:rPr>
                <w:b/>
                <w:sz w:val="17"/>
              </w:rPr>
              <w:t>3,098</w:t>
            </w:r>
          </w:p>
        </w:tc>
        <w:tc>
          <w:tcPr>
            <w:tcW w:type="dxa" w:w="1440"/>
            <w:shd w:fill="C6EFCE" w:val="clear"/>
          </w:tcPr>
          <w:p>
            <w:r>
              <w:rPr>
                <w:sz w:val="17"/>
              </w:rPr>
              <w:t>3,611</w:t>
            </w:r>
          </w:p>
        </w:tc>
        <w:tc>
          <w:tcPr>
            <w:tcW w:type="dxa" w:w="1440"/>
            <w:shd w:fill="C6EFCE" w:val="clear"/>
          </w:tcPr>
          <w:p>
            <w:r>
              <w:rPr>
                <w:b/>
                <w:color w:val="008000"/>
                <w:sz w:val="17"/>
              </w:rPr>
              <w:t>+25.9%</w:t>
            </w:r>
          </w:p>
        </w:tc>
      </w:tr>
      <w:tr>
        <w:tc>
          <w:tcPr>
            <w:tcW w:type="dxa" w:w="1440"/>
            <w:shd w:fill="C6EFCE" w:val="clear"/>
          </w:tcPr>
          <w:p>
            <w:r>
              <w:rPr>
                <w:sz w:val="17"/>
              </w:rPr>
              <w:t>J+9  ⭐</w:t>
            </w:r>
          </w:p>
        </w:tc>
        <w:tc>
          <w:tcPr>
            <w:tcW w:type="dxa" w:w="1440"/>
            <w:shd w:fill="C6EFCE" w:val="clear"/>
          </w:tcPr>
          <w:p>
            <w:r>
              <w:rPr>
                <w:sz w:val="17"/>
              </w:rPr>
              <w:t>2026-10-26</w:t>
            </w:r>
          </w:p>
        </w:tc>
        <w:tc>
          <w:tcPr>
            <w:tcW w:type="dxa" w:w="1440"/>
            <w:shd w:fill="C6EFCE" w:val="clear"/>
          </w:tcPr>
          <w:p>
            <w:r>
              <w:rPr>
                <w:sz w:val="17"/>
              </w:rPr>
              <w:t>2,591</w:t>
            </w:r>
          </w:p>
        </w:tc>
        <w:tc>
          <w:tcPr>
            <w:tcW w:type="dxa" w:w="1440"/>
            <w:shd w:fill="C6EFCE" w:val="clear"/>
          </w:tcPr>
          <w:p>
            <w:r>
              <w:rPr>
                <w:b/>
                <w:sz w:val="17"/>
              </w:rPr>
              <w:t>3,144</w:t>
            </w:r>
          </w:p>
        </w:tc>
        <w:tc>
          <w:tcPr>
            <w:tcW w:type="dxa" w:w="1440"/>
            <w:shd w:fill="C6EFCE" w:val="clear"/>
          </w:tcPr>
          <w:p>
            <w:r>
              <w:rPr>
                <w:sz w:val="17"/>
              </w:rPr>
              <w:t>3,696</w:t>
            </w:r>
          </w:p>
        </w:tc>
        <w:tc>
          <w:tcPr>
            <w:tcW w:type="dxa" w:w="1440"/>
            <w:shd w:fill="C6EFCE" w:val="clear"/>
          </w:tcPr>
          <w:p>
            <w:r>
              <w:rPr>
                <w:b/>
                <w:color w:val="008000"/>
                <w:sz w:val="17"/>
              </w:rPr>
              <w:t>+27.8%</w:t>
            </w:r>
          </w:p>
        </w:tc>
      </w:tr>
      <w:tr>
        <w:tc>
          <w:tcPr>
            <w:tcW w:type="dxa" w:w="1440"/>
            <w:shd w:fill="C6EFCE" w:val="clear"/>
          </w:tcPr>
          <w:p>
            <w:r>
              <w:rPr>
                <w:sz w:val="17"/>
              </w:rPr>
              <w:t>J+10  ⭐</w:t>
            </w:r>
          </w:p>
        </w:tc>
        <w:tc>
          <w:tcPr>
            <w:tcW w:type="dxa" w:w="1440"/>
            <w:shd w:fill="C6EFCE" w:val="clear"/>
          </w:tcPr>
          <w:p>
            <w:r>
              <w:rPr>
                <w:sz w:val="17"/>
              </w:rPr>
              <w:t>2026-10-27</w:t>
            </w:r>
          </w:p>
        </w:tc>
        <w:tc>
          <w:tcPr>
            <w:tcW w:type="dxa" w:w="1440"/>
            <w:shd w:fill="C6EFCE" w:val="clear"/>
          </w:tcPr>
          <w:p>
            <w:r>
              <w:rPr>
                <w:sz w:val="17"/>
              </w:rPr>
              <w:t>2,594</w:t>
            </w:r>
          </w:p>
        </w:tc>
        <w:tc>
          <w:tcPr>
            <w:tcW w:type="dxa" w:w="1440"/>
            <w:shd w:fill="C6EFCE" w:val="clear"/>
          </w:tcPr>
          <w:p>
            <w:r>
              <w:rPr>
                <w:b/>
                <w:sz w:val="17"/>
              </w:rPr>
              <w:t>3,184</w:t>
            </w:r>
          </w:p>
        </w:tc>
        <w:tc>
          <w:tcPr>
            <w:tcW w:type="dxa" w:w="1440"/>
            <w:shd w:fill="C6EFCE" w:val="clear"/>
          </w:tcPr>
          <w:p>
            <w:r>
              <w:rPr>
                <w:sz w:val="17"/>
              </w:rPr>
              <w:t>3,773</w:t>
            </w:r>
          </w:p>
        </w:tc>
        <w:tc>
          <w:tcPr>
            <w:tcW w:type="dxa" w:w="1440"/>
            <w:shd w:fill="C6EFCE" w:val="clear"/>
          </w:tcPr>
          <w:p>
            <w:r>
              <w:rPr>
                <w:b/>
                <w:color w:val="008000"/>
                <w:sz w:val="17"/>
              </w:rPr>
              <w:t>+29.4%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SUCRIVOIRE (SCRC)**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48,22 milliards FCFA, SCRC se situe dans la catégorie des valeurs moyennes de la BRVM, ce qui la rend vulnérable aux mouvements de capitaux institutionnels. Le BPA ressort à -406 FCFA/action, conséquence directe de la perte nette de 7,95 milliards FCFA enregistrée en 2025, rendant le PER inexploitable (-6,1x) puisque la société est déficitaire — un signal clairement négatif pour les investisseurs axés sur les bénéfices. Le ratio P/B de 2,80x indique que le marché valorise l'action à près de trois fois sa valeur comptable (capitaux propres de 17,24 Mds FCFA), ce qui traduit une prime de croissance accordée par les investisseurs, mais qui apparaît difficilement justifiable au regard des pertes actuelles. Enfin, l'EV/EBITDA de 9,4x se situe dans la fourchette raisonnable de 5-10x, suggérant que la valeur d'entreprise reste cohérente avec la capacité opérationnelle dégagée (EBE de 14,85 Mds FCFA), mais cette apparente normalité masque une structure financière très dégradée.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SCRC affiche une variation quasi-nulle de +0,20%, avec une dernière séance également en hausse de +0,20%, s'établissant à 2 460 FCFA. Le range de trading est particulièrement large, avec un plus haut à 3 920 FCFA et un plus bas à 2 205 FCFA, soit une amplitude de 78% qui témoigne d'une forte nervosité du marché sur ce titre. La tendance générale est clairement baissière : le cours actuel (2 460 FCFA) se situe 37% en dessous du plus haut, et 11,6% au-dessus du plus bas, suggérant une tentative de stabilisation après une correction sévère. Les statistiques descriptives révèlent une moyenne de 3 199 FCFA contre une médiane de 3 298 FCFA, un écart qui indique une légère asymétrie négative — le cours a passé plus de temps dans les niveaux élevés avant de chuter brutalement. L'écart-type de 420 FCFA (CV=13,1%) traduit une dispersion modérée, tandis que le kurtosis de -0,892 (mésokurtique) et le skewness de -0,488 (distribution symétrique) suggèrent l'absence de pics extrêmes et une relative stabilité de la distribution. La volatilité annualisée de 55,9% classe le titre dans la catégorie des valeurs très volatiles (&gt;30%), ce qui implique un risque élevé pour les investisseurs et justifie une prime de risque importante.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(2 885,25 FCFA) et la MM50 (3 292,00 FCFA) se situent toutes deux au-dessus du cours actuel (2 460 FCFA), confirmant une configuration baissière. Le cours évolue sous ses deux moyennes, avec un écart de -14,7% par rapport à la MM20 et de -25,3% par rapport à la MM50, ce qui valide la décision de vente émise par le système. La structure des moyennes (MM20 &lt; MM50) indique une tendance baissière de court terme qui s'inscrit dans une tendance baissière de plus long terme.</w:t>
      </w:r>
    </w:p>
    <w:p>
      <w:pPr>
        <w:spacing w:after="120" w:line="276" w:lineRule="auto"/>
      </w:pPr>
      <w:r>
        <w:t>**Bandes de Bollinger** : Le cours (2 460 FCFA) se situe dans la partie basse des bandes, entre la borne inférieure (2 288,47 FCFA) et la borne supérieure (3 482,03 FCFA), avec une position à 17,6% de la borne basse. Cette position suggère que le titre n'est pas encore en zone de survente extrême, ce qui justifie la décision neutre. La largeur des bandes (1 193,55 FCFA) reflète la forte volatilité du titre, et le cours évolue dans un canal baissier sans signal clair de retournement.</w:t>
      </w:r>
    </w:p>
    <w:p>
      <w:pPr>
        <w:spacing w:after="120" w:line="276" w:lineRule="auto"/>
      </w:pPr>
      <w:r>
        <w:t>**MACD** : Le MACD (-240,82) est inférieur à son signal (-204,27), avec un histogramme négatif qui confirme la pression baissière. La divergence négative entre le MACD et son signal indique que le momentum baissier reste intact, bien que l'écart se réduise légèrement, ce qui justifie la décision de vente. Aucun croisement haussier n'est en vue à court terme.</w:t>
      </w:r>
    </w:p>
    <w:p>
      <w:pPr>
        <w:spacing w:after="120" w:line="276" w:lineRule="auto"/>
      </w:pPr>
      <w:r>
        <w:t>**RSI** : À 32,95, le RSI se situe dans la zone neutre basse (30-70), proche du seuil de survente (30) sans l'atteindre. Cette configuration indique que le titre n'est pas encore techniquement survendu, ce qui justifie la décision neutre. Un franchissement à la baisse du seuil de 30 pourrait déclencher un signal d'achat technique, mais ce n'est pas le cas actuellement.</w:t>
      </w:r>
    </w:p>
    <w:p>
      <w:pPr>
        <w:spacing w:after="120" w:line="276" w:lineRule="auto"/>
      </w:pPr>
      <w:r>
        <w:t>**Stochastique** : Le %K (1,538) et le %D (0,769) sont tous deux en zone de survente extrême (sous 20), avec un %K supérieur au %D, ce qui génère un signal d'achat technique. Ce croisement haussier en zone de survente suggère qu'un rebond technique à court terme est possible, bien que la faiblesse des volumes et la tendance baissière générale incitent à la prudence.</w:t>
      </w:r>
    </w:p>
    <w:p>
      <w:pPr>
        <w:spacing w:after="120" w:line="276" w:lineRule="auto"/>
      </w:pPr>
      <w:r>
        <w:t>**Conclusion technique** : Les indicateurs techniques présentent un tableau mitigé. Les moyennes mobiles et le MACD confirment une tendance baissière, tandis que le RSI est neutre et le stochastique génère un signal d'achat en zone de survente. Cette divergence suggère un possible rebond technique à court terme, mais la tendance de fond reste baissière. La convergence des signaux baissiers (MM, MACD) et la divergence du stochastique appellent à la prudence, avec une recommandation globale de **conserver** en attendant une confirmation de retournement.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très dégradée pour SUCRIVOIRE. Le chiffre d'affaires s'établit à 80,57 milliards FCFA, en baisse de 7,6% par rapport à 2024 (87,22 Mds FCFA), tandis que le résultat net plonge dans le rouge à -7,95 milliards FCFA, contre un bénéfice de 2,47 milliards FCFA en 2024 — une dégradation spectaculaire de 421%. Le ROE ressort à -46,13% et le ROA à -5,08%, confirmant la destruction de valeur pour les actionnaires. Les marges sont également sous pression : la marge nette est de -9,87% et la marge opérationnelle de -0,68%, bien que la marge brute reste solide à 45,82%, témoignant d'un bon contrôle des coûts de production. En tant qu'entreprise non bancaire, l'analyse des délais d'exploitation est cruciale : le délai clients est de 12,28 jours (faible, bon signe pour la trésorerie), mais le délai fournisseurs atteint 366,07 jours (très élevé, ce qui soulage la trésorerie à court terme mais traduit une dépendance aux fournisseurs) et la durée de stockage est de 360,73 jours (très élevée, immobilisant le capital). Le BFR est de 6,53 milliards FCFA, ce qui est défavorable pour une entreprise industrielle. La structure financière est critique : l'autonomie financière n'est que de 11,02% (très en dessous du seuil sain de 30%), le ratio d'endettement de 88,98% et la dépendance financière de 492,21% traduisent un levier excessif. La trésorerie nette est négative à -6,51 milliards FCFA, et la capacité de remboursement est de 11,21 années, ce qui est très préoccupant. Les rapports narratifs (analysés par DEEPSEEK en mai 2026 et GEMINI-VISION en septembre 2026) confirment cette analyse : le rapport du 31/12/2025 mentionne une perte nette de 7,95 milliards FCFA (IFRS) et de 6,13 milliards FCFA (SYSCOHADA), avec une explosion des charges financières (+262% à 6,79 Mds FCFA) et un endettement long terme bondissant de 168% à 64,5 Mds FCFA. Le rapport du S1 2025 (daté du 30/06/2025) faisait déjà état d'une perte nette de -6,71 milliards FCFA et d'un résultat d'exploitation négatif de -3,18 milliards FCFA, confirmant la tendance baissière. Le T1 2025 (31/03/2025) affichait encore un bénéfice de 3,21 milliards FCFA, mais en repli de 32%, annonçant la dégradation subsequent. Sur la base de ces données, on estime que l'exercice 2026 devrait rester sous pression, avec un chiffre d'affaires qui pourrait se stabiliser autour de 80-85 milliards FCFA si la campagne sucrière 2025/26 est normale, mais la rentabilité nette devrait rester négative en raison du poids des charges financières. La recommandation fondamentale est de **conserver** avec une grande prudence, en attendant les résultats du S1 2026 pour évaluer l'efficacité du plan de restructuration financière et la capacité de l'entreprise à réduire son endettement.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révèle un tableau contrasté. La valorisation (Partie 0) est préoccupante : le PER négatif (-6,1x) et le P/B élevé (2,80x) indiquent que le marché valorise une entreprise déficitaire à une prime injustifiée, bien que l'EV/EBITDA (9,4x) reste dans une fourchette raisonnable. Le comportement du cours (Partie 1) est baissier sur 100 jours (-0,20% de variation totale, mais -37% depuis le plus haut), avec une volatilité très élevée (55,9%) et une distribution symétrique (skewness -0,488) sans pics extrêmes (kurtosis -0,892), ce qui suggère une tendance baissière ordonnée mais risquée. Les signaux techniques (Partie 2) sont mitigés : les MM et le MACD confirment la tendance baissière, le RSI est neutre et le stochastique génère un signal d'achat en zone de survente, créant une divergence qui appelle à la prudence. Les fondamentaux (Partie 3) sont très dégradés : perte nette de 7,95 milliards FCFA en 2025, ROE de -46,13%, endettement critique (ratio de 88,98%, dépendance financière de 492,21%), trésorerie nette négative (-6,51 Mds FCFA) et capacité de remboursement de 11,21 années. Les prédictions IA (J+1 à J+10) anticipent une hausse progressive de 2 557 FCFA à 2 920 FCFA, ce qui contredit les signaux techniques baissiers et fondamentaux dégradés, suggérant un possible rebond spéculatif à court terme. Sur la base de cette synthèse, la recommandation finale est **CONSERVER** avec un niveau de confiance **Moyen** et un risque global **Élevé**. La convergence entre la valorisation préoccupante, les fondamentaux dégradés et les signaux techniques baissiers est partiellement contredite par les prédictions IA haussières et le signal d'achat du stochastique, ce qui justifie une position d'attente. L'horizon d'investissement optimal est le **moyen terme (3-12 mois)**, en attendant les résultats du S1 2026 qui permettront d'évaluer si le plan de restructuration financière porte ses fruits et si la tendance baissière s'inverse durablement. Une vente serait prématurée compte tenu du potentiel de rebond technique, mais un achat supplémentaire est déconseillé sans visibilité sur la rentabilité opérationnelle et la réduction de l'endettement.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1,522 titres</w:t>
            </w:r>
          </w:p>
        </w:tc>
        <w:tc>
          <w:tcPr>
            <w:tcW w:type="dxa" w:w="2268"/>
            <w:shd w:fill="FFF2CC" w:val="clear"/>
          </w:tcPr>
          <w:p>
            <w:r>
              <w:rPr>
                <w:b/>
                <w:color w:val="503200"/>
                <w:sz w:val="16"/>
              </w:rPr>
              <w:t xml:space="preserve">Cours actuel : </w:t>
            </w:r>
            <w:r>
              <w:rPr>
                <w:color w:val="000000"/>
                <w:sz w:val="17"/>
              </w:rPr>
              <w:t>12,900 FCFA</w:t>
            </w:r>
          </w:p>
          <w:p>
            <w:r>
              <w:rPr>
                <w:b/>
                <w:color w:val="503200"/>
                <w:sz w:val="16"/>
              </w:rPr>
              <w:t xml:space="preserve">Var. 100 jours : </w:t>
            </w:r>
            <w:r>
              <w:rPr>
                <w:b/>
                <w:color w:val="007800"/>
                <w:sz w:val="17"/>
              </w:rPr>
              <w:t>+15.18%</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11,000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5.91% (Moyenne) — μ=12,145 FCFA, σ=718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β=0.6782 (Défensif) — Cov=0.000050, Var(idx)=0.000074, ρ=0.253,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59862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12,320</w:t>
            </w:r>
          </w:p>
        </w:tc>
        <w:tc>
          <w:tcPr>
            <w:tcW w:type="dxa" w:w="1440"/>
            <w:shd w:fill="FAFAFA" w:val="clear"/>
          </w:tcPr>
          <w:p>
            <w:r>
              <w:rPr>
                <w:b/>
                <w:sz w:val="17"/>
              </w:rPr>
              <w:t>13,017</w:t>
            </w:r>
          </w:p>
        </w:tc>
        <w:tc>
          <w:tcPr>
            <w:tcW w:type="dxa" w:w="1440"/>
            <w:shd w:fill="FAFAFA" w:val="clear"/>
          </w:tcPr>
          <w:p>
            <w:r>
              <w:rPr>
                <w:sz w:val="17"/>
              </w:rPr>
              <w:t>13,714</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12,055</w:t>
            </w:r>
          </w:p>
        </w:tc>
        <w:tc>
          <w:tcPr>
            <w:tcW w:type="dxa" w:w="1440"/>
            <w:shd w:fill="FAFAFA" w:val="clear"/>
          </w:tcPr>
          <w:p>
            <w:r>
              <w:rPr>
                <w:b/>
                <w:sz w:val="17"/>
              </w:rPr>
              <w:t>13,042</w:t>
            </w:r>
          </w:p>
        </w:tc>
        <w:tc>
          <w:tcPr>
            <w:tcW w:type="dxa" w:w="1440"/>
            <w:shd w:fill="FAFAFA" w:val="clear"/>
          </w:tcPr>
          <w:p>
            <w:r>
              <w:rPr>
                <w:sz w:val="17"/>
              </w:rPr>
              <w:t>14,029</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11,850</w:t>
            </w:r>
          </w:p>
        </w:tc>
        <w:tc>
          <w:tcPr>
            <w:tcW w:type="dxa" w:w="1440"/>
            <w:shd w:fill="FAFAFA" w:val="clear"/>
          </w:tcPr>
          <w:p>
            <w:r>
              <w:rPr>
                <w:b/>
                <w:sz w:val="17"/>
              </w:rPr>
              <w:t>13,061</w:t>
            </w:r>
          </w:p>
        </w:tc>
        <w:tc>
          <w:tcPr>
            <w:tcW w:type="dxa" w:w="1440"/>
            <w:shd w:fill="FAFAFA" w:val="clear"/>
          </w:tcPr>
          <w:p>
            <w:r>
              <w:rPr>
                <w:sz w:val="17"/>
              </w:rPr>
              <w:t>14,271</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11,675</w:t>
            </w:r>
          </w:p>
        </w:tc>
        <w:tc>
          <w:tcPr>
            <w:tcW w:type="dxa" w:w="1440"/>
            <w:shd w:fill="FAFAFA" w:val="clear"/>
          </w:tcPr>
          <w:p>
            <w:r>
              <w:rPr>
                <w:b/>
                <w:sz w:val="17"/>
              </w:rPr>
              <w:t>13,075</w:t>
            </w:r>
          </w:p>
        </w:tc>
        <w:tc>
          <w:tcPr>
            <w:tcW w:type="dxa" w:w="1440"/>
            <w:shd w:fill="FAFAFA" w:val="clear"/>
          </w:tcPr>
          <w:p>
            <w:r>
              <w:rPr>
                <w:sz w:val="17"/>
              </w:rPr>
              <w:t>14,475</w:t>
            </w:r>
          </w:p>
        </w:tc>
        <w:tc>
          <w:tcPr>
            <w:tcW w:type="dxa" w:w="1440"/>
            <w:shd w:fill="FAFAFA" w:val="clear"/>
          </w:tcPr>
          <w:p>
            <w:r>
              <w:rPr>
                <w:b/>
                <w:color w:val="008000"/>
                <w:sz w:val="17"/>
              </w:rPr>
              <w:t>+1.4%</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11,522</w:t>
            </w:r>
          </w:p>
        </w:tc>
        <w:tc>
          <w:tcPr>
            <w:tcW w:type="dxa" w:w="1440"/>
            <w:shd w:fill="FAFAFA" w:val="clear"/>
          </w:tcPr>
          <w:p>
            <w:r>
              <w:rPr>
                <w:b/>
                <w:sz w:val="17"/>
              </w:rPr>
              <w:t>13,088</w:t>
            </w:r>
          </w:p>
        </w:tc>
        <w:tc>
          <w:tcPr>
            <w:tcW w:type="dxa" w:w="1440"/>
            <w:shd w:fill="FAFAFA" w:val="clear"/>
          </w:tcPr>
          <w:p>
            <w:r>
              <w:rPr>
                <w:sz w:val="17"/>
              </w:rPr>
              <w:t>14,655</w:t>
            </w:r>
          </w:p>
        </w:tc>
        <w:tc>
          <w:tcPr>
            <w:tcW w:type="dxa" w:w="1440"/>
            <w:shd w:fill="FAFAFA" w:val="clear"/>
          </w:tcPr>
          <w:p>
            <w:r>
              <w:rPr>
                <w:b/>
                <w:color w:val="008000"/>
                <w:sz w:val="17"/>
              </w:rPr>
              <w:t>+1.5%</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11,382</w:t>
            </w:r>
          </w:p>
        </w:tc>
        <w:tc>
          <w:tcPr>
            <w:tcW w:type="dxa" w:w="1440"/>
            <w:shd w:fill="FAFAFA" w:val="clear"/>
          </w:tcPr>
          <w:p>
            <w:r>
              <w:rPr>
                <w:b/>
                <w:sz w:val="17"/>
              </w:rPr>
              <w:t>13,099</w:t>
            </w:r>
          </w:p>
        </w:tc>
        <w:tc>
          <w:tcPr>
            <w:tcW w:type="dxa" w:w="1440"/>
            <w:shd w:fill="FAFAFA" w:val="clear"/>
          </w:tcPr>
          <w:p>
            <w:r>
              <w:rPr>
                <w:sz w:val="17"/>
              </w:rPr>
              <w:t>14,816</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11,253</w:t>
            </w:r>
          </w:p>
        </w:tc>
        <w:tc>
          <w:tcPr>
            <w:tcW w:type="dxa" w:w="1440"/>
            <w:shd w:fill="FAFAFA" w:val="clear"/>
          </w:tcPr>
          <w:p>
            <w:r>
              <w:rPr>
                <w:b/>
                <w:sz w:val="17"/>
              </w:rPr>
              <w:t>13,110</w:t>
            </w:r>
          </w:p>
        </w:tc>
        <w:tc>
          <w:tcPr>
            <w:tcW w:type="dxa" w:w="1440"/>
            <w:shd w:fill="FAFAFA" w:val="clear"/>
          </w:tcPr>
          <w:p>
            <w:r>
              <w:rPr>
                <w:sz w:val="17"/>
              </w:rPr>
              <w:t>14,966</w:t>
            </w:r>
          </w:p>
        </w:tc>
        <w:tc>
          <w:tcPr>
            <w:tcW w:type="dxa" w:w="1440"/>
            <w:shd w:fill="FAFAFA" w:val="clear"/>
          </w:tcPr>
          <w:p>
            <w:r>
              <w:rPr>
                <w:b/>
                <w:color w:val="008000"/>
                <w:sz w:val="17"/>
              </w:rPr>
              <w:t>+1.6%</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11,131</w:t>
            </w:r>
          </w:p>
        </w:tc>
        <w:tc>
          <w:tcPr>
            <w:tcW w:type="dxa" w:w="1440"/>
            <w:shd w:fill="FAFAFA" w:val="clear"/>
          </w:tcPr>
          <w:p>
            <w:r>
              <w:rPr>
                <w:b/>
                <w:sz w:val="17"/>
              </w:rPr>
              <w:t>13,117</w:t>
            </w:r>
          </w:p>
        </w:tc>
        <w:tc>
          <w:tcPr>
            <w:tcW w:type="dxa" w:w="1440"/>
            <w:shd w:fill="FAFAFA" w:val="clear"/>
          </w:tcPr>
          <w:p>
            <w:r>
              <w:rPr>
                <w:sz w:val="17"/>
              </w:rPr>
              <w:t>15,103</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11,014</w:t>
            </w:r>
          </w:p>
        </w:tc>
        <w:tc>
          <w:tcPr>
            <w:tcW w:type="dxa" w:w="1440"/>
            <w:shd w:fill="FAFAFA" w:val="clear"/>
          </w:tcPr>
          <w:p>
            <w:r>
              <w:rPr>
                <w:b/>
                <w:sz w:val="17"/>
              </w:rPr>
              <w:t>13,121</w:t>
            </w:r>
          </w:p>
        </w:tc>
        <w:tc>
          <w:tcPr>
            <w:tcW w:type="dxa" w:w="1440"/>
            <w:shd w:fill="FAFAFA" w:val="clear"/>
          </w:tcPr>
          <w:p>
            <w:r>
              <w:rPr>
                <w:sz w:val="17"/>
              </w:rPr>
              <w:t>15,228</w:t>
            </w:r>
          </w:p>
        </w:tc>
        <w:tc>
          <w:tcPr>
            <w:tcW w:type="dxa" w:w="1440"/>
            <w:shd w:fill="FAFAFA" w:val="clear"/>
          </w:tcPr>
          <w:p>
            <w:r>
              <w:rPr>
                <w:b/>
                <w:color w:val="008000"/>
                <w:sz w:val="17"/>
              </w:rPr>
              <w:t>+1.7%</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10,904</w:t>
            </w:r>
          </w:p>
        </w:tc>
        <w:tc>
          <w:tcPr>
            <w:tcW w:type="dxa" w:w="1440"/>
            <w:shd w:fill="FAFAFA" w:val="clear"/>
          </w:tcPr>
          <w:p>
            <w:r>
              <w:rPr>
                <w:b/>
                <w:sz w:val="17"/>
              </w:rPr>
              <w:t>13,125</w:t>
            </w:r>
          </w:p>
        </w:tc>
        <w:tc>
          <w:tcPr>
            <w:tcW w:type="dxa" w:w="1440"/>
            <w:shd w:fill="FAFAFA" w:val="clear"/>
          </w:tcPr>
          <w:p>
            <w:r>
              <w:rPr>
                <w:sz w:val="17"/>
              </w:rPr>
              <w:t>15,347</w:t>
            </w:r>
          </w:p>
        </w:tc>
        <w:tc>
          <w:tcPr>
            <w:tcW w:type="dxa" w:w="1440"/>
            <w:shd w:fill="FAFAFA" w:val="clear"/>
          </w:tcPr>
          <w:p>
            <w:r>
              <w:rPr>
                <w:b/>
                <w:color w:val="008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116,10 milliards FCFA, SDCC se positionne comme une valeur de taille moyenne à grande sur le compartiment des sociétés non bancaires de la BRVM, ce qui témoigne d'une certaine maturité et d'une liquidité relative sur le marché. Le BPA de 518 FCFA/action indique que chaque titre génère un bénéfice net de 518 FCFA, un niveau qui, rapporté au cours actuel de 12 900 FCFA, confère au titre un PER de 24,9x — nettement supérieur à la moyenne du marché BRVM (généralement comprise entre 8x et 12x), ce qui suggère que les investisseurs intègrent déjà une prime de croissance ou une prime de qualité liée au statut de monopole régulé de la société. Le ratio P/B de 5,89x, très au-dessus du seuil de 4x, confirme cette valorisation exigeante : le marché paie près de six fois la valeur comptable des fonds propres, ce qui traduit une forte confiance dans la capacité bénéficiaire future mais laisse peu de marge de sécurité en cas de déception. Enfin, l'EV/EBITDA de 14,9x, dans le haut de la fourchette 10-15x, indique que la valeur d'entreprise (incluant la dette) est valorisée près de 15 fois la capacité opérationnelle, ce qui est cohérent avec un modèle d'affaires stable mais peu capitalistique en apparence — attention toutefois à l'endettement élevé qui gonfle mécaniquement ce ratio.</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SDCC affiche une performance remarquable de +15,18%, portant le cours à 12 900 FCFA, malgré un repli de -2,12% lors de la dernière séance (J-1), qui marque une pause dans la dynamique haussière. Le range de trading s'établit entre un plus bas de 11 000 FCFA et un plus haut de 13 885 FCFA, soit une amplitude d'environ 26%, ce qui témoigne d'une tendance globalement haussière mais avec des phases de correction. Les statistiques descriptives révèlent une moyenne de 12 145 FCFA légèrement supérieure à la médiane de 12 000 FCFA, avec un mode à 11 900 FCFA : cet écart modéré entre moyenne et médiane, combiné à un skewness de 0,475 (distribution qualifiée de symétrique), indique une légère asymétrie positive sans excès, signe que les hausses ont été un peu plus fréquentes que les baisses. L'écart-type de 722 FCFA et le coefficient de variation de 5,9% traduisent une dispersion modérée du cours autour de sa moyenne, tandis que le kurtosis de -0,453 (mésokurtique, proche d'une distribution normale) suggère un risque de pics extrêmes relativement contenu, sans événement de queue épaisse marquant. La volatilité annualisée de 36,5% classe le titre dans la catégorie des valeurs à volatilité élevée (&gt;30%), ce qui implique un risque de marché significatif mais aussi des opportunités de trading pour les investisseurs actifs.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12 754,75 FCFA et la MM50 à 12 581,5 FCFA, toutes deux inférieures au cours actuel de 12 900 FCFA, ce qui place le titre en position haussière au-dessus de ses moyennes. La MM20 étant supérieure à la MM50, on observe un croisement haussier (golden cross) confirmant la dynamique positive ; la décision technique est donc logiquement à l'**Achat**.</w:t>
      </w:r>
    </w:p>
    <w:p>
      <w:pPr>
        <w:spacing w:after="120" w:line="276" w:lineRule="auto"/>
      </w:pPr>
      <w:r>
        <w:t>**Bandes de Bollinger** : La borne supérieure se situe à 14 013,15 FCFA et la borne inférieure à 11 496,35 FCFA, avec un cours actuel de 12 900 FCFA positionné légèrement au-dessus de la bande médiane (moyenne à 20 jours). Le cours n'est ni en zone de surachat extrême ni en zone de survente, ce qui justifie une décision **Neutre** ; la largeur des bandes (environ 2 517 FCFA) reflète une volatilité modérée à élevée.</w:t>
      </w:r>
    </w:p>
    <w:p>
      <w:pPr>
        <w:spacing w:after="120" w:line="276" w:lineRule="auto"/>
      </w:pPr>
      <w:r>
        <w:t>**MACD** : La valeur du MACD (94,695) est nettement supérieure à son signal (63,56), avec un histogramme positif, ce qui confirme un momentum haussier en cours. La divergence positive entre les deux lignes soutient la poursuite de la tendance, justifiant une décision d'**Achat**.</w:t>
      </w:r>
    </w:p>
    <w:p>
      <w:pPr>
        <w:spacing w:after="120" w:line="276" w:lineRule="auto"/>
      </w:pPr>
      <w:r>
        <w:t>**RSI** : À 62,463, le RSI se situe en zone neutre (entre 30 et 70), sans atteindre le seuil de surachat de 70. Cela indique que le titre conserve un potentiel de hausse sans être techniquement épuisé, ce qui justifie une décision **Neutre** — ni signal d'achat agressif, ni signal de vente.</w:t>
      </w:r>
    </w:p>
    <w:p>
      <w:pPr>
        <w:spacing w:after="120" w:line="276" w:lineRule="auto"/>
      </w:pPr>
      <w:r>
        <w:t>**Stochastique** : Le %K (86,104) et le %D (95,186) sont tous deux en zone de surachat (&gt;80), avec un %K inférieur au %D, ce qui suggère un début de croisement baissier potentiel. Cette configuration indique une pression vendeuse à court terme et justifie une décision de **Vente** sur cet indicateur.</w:t>
      </w:r>
    </w:p>
    <w:p>
      <w:pPr>
        <w:spacing w:after="120" w:line="276" w:lineRule="auto"/>
      </w:pPr>
      <w:r>
        <w:t>**Conclusion technique** : Les indicateurs de tendance (MM, MACD) sont clairement haussiers et confirment la dynamique positive du titre, tandis que les indicateurs de momentum (RSI, Stochastique) montrent des signes de fatigue à court terme, notamment le stochastique en zone de surachat. Cette divergence entre tendance de fond et momentum immédiat suggère une consolidation possible avant une reprise, avec un support technique à surveiller autour de 12 500 FCFA (MM50) et une résistance vers 13 885 FCFA (plus haut récent).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(SODECI) affiche un chiffre d'affaires de 189,430 milliards FCFA, en croissance de 9,98% par rapport à 2024, portée par la hausse des volumes d'eau vendus et l'élargissement du portefeuille clients (2 272 032 clients, +6,14%). Le résultat net s'établit à 4,663 milliards FCFA, en progression de 31% sur un an, avec une marge nette de 2,46% — faible en valeur absolue mais en amélioration. Le ROE ressort à 23,65%, un niveau excellent (&gt;15%) qui témoigne d'une forte rentabilité des fonds propres, bien que le ROA ne soit que de 0,99%, reflétant la lourdeur du bilan (472,672 milliards FCFA d'actifs) et la faible rotation des actifs (40,08%). La structure financière est le point faible majeur : l'autonomie financière n'est que de 4,17% (capitaux propres/total bilan), très en dessous du seuil sain de 30%, et le ratio d'endettement atteint 95,83% (dettes totales/capitaux propres), avec une trésorerie nette négative de -61,710 milliards FCFA. Le BFR de 104,748 milliards FCFA est positif et élevé, principalement dû à des créances clients de 388,852 milliards FCFA représentant 749 jours de CA — un délai client exceptionnellement long qui constitue un risque de trésorerie majeur, même si le taux de recouvrement de 95,85% (rapport 2025) limite le risque d'impayés. Le flux opérationnel est négatif (-36,655 milliards FCFA) et le Free Cash Flow s'établit à -38,504 milliards FCFA, confirmant les tensions de trésorerie. Les rapports trimestriels récents (T1 2026, publié en 2026) montrent une amélioration spectaculaire : le résultat net bondit de 118% à 1 318 millions FCFA et le résultat d'exploitation est multiplié par 2,5 à 2 730 millions FCFA, malgré un CA en léger repli de 2% à 40 916 millions FCFA. Sur la base de ce T1 2026, on peut estimer que l'exercice 2026 devrait confirmer la tendance à l'amélioration de la rentabilité opérationnelle, avec un résultat net annualisé potentiellement supérieur à 5 milliards FCFA si la dynamique se poursuit. Le dividende de 525 FCFA par action (rapport 2025) offre un rendement d'environ 4,07% au cours actuel, ce qui est attractif. En synthèse, la solidité fondamentale repose sur le statut de monopole régulé, la croissance du CA et l'amélioration récente de la rentabilité, mais les risques liés à l'endettement massif, aux délais clients très longs et à la trésorerie négative persistent et nécessitent une surveillance étroite.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avec un PER de 24,9x et un P/B de 5,89x, nettement supérieurs aux moyennes du marché BRVM, ce qui intègre déjà une prime de qualité et de croissance mais laisse peu de marge de sécurité. Le comportement du cours sur 100 jours est haussier (+15,18%) avec une volatilité élevée (36,5%) et une distribution proche de la normale (kurtosis -0,453, skewness 0,475), ce qui est plutôt favorable mais implique un risque de marché significatif. Les signaux techniques sont mitigés : les moyennes mobiles et le MACD sont haussiers, mais le RSI est neutre et le stochastique en zone de surachat suggère une consolidation à court terme. Les fondamentaux montrent une amélioration notable en 2025 (CA +10%, RN +31%, ROE 23,65%) et surtout au T1 2026 (RN +118%), mais la structure financière reste fragile (autonomie financière 4,17%, trésorerie nette -61,7 Mds FCFA, délai client 749 jours). Les prédictions IA pour les 10 prochains jours (13 017 à 13 088 FCFA) confirment une trajectoire haussière modérée, cohérente avec la tendance de fond mais en contradiction avec le signal de vente du stochastique à court terme. Compte tenu de cette synthèse — valorisation tendue, technique mitigée, fondamentaux en amélioration mais risqués, et prédictions haussières — la recommandation finale est **CONSERVER** avec un niveau de confiance **Moyen** et un risque global **Élevé**. L'horizon d'investissement optimal est le **moyen terme (3-12 mois)**, en attendant la confirmation des résultats du T2 2026 et une amélioration durable de la trésorerie et de la structure financière avant d'envisager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164.39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17,717 titres</w:t>
            </w:r>
          </w:p>
        </w:tc>
        <w:tc>
          <w:tcPr>
            <w:tcW w:type="dxa" w:w="2268"/>
            <w:shd w:fill="FFF2CC" w:val="clear"/>
          </w:tcPr>
          <w:p>
            <w:r>
              <w:rPr>
                <w:b/>
                <w:color w:val="503200"/>
                <w:sz w:val="16"/>
              </w:rPr>
              <w:t xml:space="preserve">Cours actuel : </w:t>
            </w:r>
            <w:r>
              <w:rPr>
                <w:color w:val="000000"/>
                <w:sz w:val="17"/>
              </w:rPr>
              <w:t>3,020 FCFA</w:t>
            </w:r>
          </w:p>
          <w:p>
            <w:r>
              <w:rPr>
                <w:b/>
                <w:color w:val="503200"/>
                <w:sz w:val="16"/>
              </w:rPr>
              <w:t xml:space="preserve">Var. 100 jours : </w:t>
            </w:r>
            <w:r>
              <w:rPr>
                <w:b/>
                <w:color w:val="007800"/>
                <w:sz w:val="17"/>
              </w:rPr>
              <w:t>+83.03%</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15.19% (Élevée) — μ=2,579 FCFA, σ=392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β=0.5712 (Défensif) — Cov=0.000042, Var(idx)=0.000074, ρ=0.150,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17,717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2,859</w:t>
            </w:r>
          </w:p>
        </w:tc>
        <w:tc>
          <w:tcPr>
            <w:tcW w:type="dxa" w:w="1440"/>
            <w:shd w:fill="FAFAFA" w:val="clear"/>
          </w:tcPr>
          <w:p>
            <w:r>
              <w:rPr>
                <w:b/>
                <w:sz w:val="17"/>
              </w:rPr>
              <w:t>3,010</w:t>
            </w:r>
          </w:p>
        </w:tc>
        <w:tc>
          <w:tcPr>
            <w:tcW w:type="dxa" w:w="1440"/>
            <w:shd w:fill="FAFAFA" w:val="clear"/>
          </w:tcPr>
          <w:p>
            <w:r>
              <w:rPr>
                <w:sz w:val="17"/>
              </w:rPr>
              <w:t>3,160</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2,782</w:t>
            </w:r>
          </w:p>
        </w:tc>
        <w:tc>
          <w:tcPr>
            <w:tcW w:type="dxa" w:w="1440"/>
            <w:shd w:fill="FAFAFA" w:val="clear"/>
          </w:tcPr>
          <w:p>
            <w:r>
              <w:rPr>
                <w:b/>
                <w:sz w:val="17"/>
              </w:rPr>
              <w:t>2,994</w:t>
            </w:r>
          </w:p>
        </w:tc>
        <w:tc>
          <w:tcPr>
            <w:tcW w:type="dxa" w:w="1440"/>
            <w:shd w:fill="FAFAFA" w:val="clear"/>
          </w:tcPr>
          <w:p>
            <w:r>
              <w:rPr>
                <w:sz w:val="17"/>
              </w:rPr>
              <w:t>3,206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2,724</w:t>
            </w:r>
          </w:p>
        </w:tc>
        <w:tc>
          <w:tcPr>
            <w:tcW w:type="dxa" w:w="1440"/>
            <w:shd w:fill="FAFAFA" w:val="clear"/>
          </w:tcPr>
          <w:p>
            <w:r>
              <w:rPr>
                <w:b/>
                <w:sz w:val="17"/>
              </w:rPr>
              <w:t>2,983</w:t>
            </w:r>
          </w:p>
        </w:tc>
        <w:tc>
          <w:tcPr>
            <w:tcW w:type="dxa" w:w="1440"/>
            <w:shd w:fill="FAFAFA" w:val="clear"/>
          </w:tcPr>
          <w:p>
            <w:r>
              <w:rPr>
                <w:sz w:val="17"/>
              </w:rPr>
              <w:t>3,241</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2,677</w:t>
            </w:r>
          </w:p>
        </w:tc>
        <w:tc>
          <w:tcPr>
            <w:tcW w:type="dxa" w:w="1440"/>
            <w:shd w:fill="FAFAFA" w:val="clear"/>
          </w:tcPr>
          <w:p>
            <w:r>
              <w:rPr>
                <w:b/>
                <w:sz w:val="17"/>
              </w:rPr>
              <w:t>2,975</w:t>
            </w:r>
          </w:p>
        </w:tc>
        <w:tc>
          <w:tcPr>
            <w:tcW w:type="dxa" w:w="1440"/>
            <w:shd w:fill="FAFAFA" w:val="clear"/>
          </w:tcPr>
          <w:p>
            <w:r>
              <w:rPr>
                <w:sz w:val="17"/>
              </w:rPr>
              <w:t>3,272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2,637</w:t>
            </w:r>
          </w:p>
        </w:tc>
        <w:tc>
          <w:tcPr>
            <w:tcW w:type="dxa" w:w="1440"/>
            <w:shd w:fill="FAFAFA" w:val="clear"/>
          </w:tcPr>
          <w:p>
            <w:r>
              <w:rPr>
                <w:b/>
                <w:sz w:val="17"/>
              </w:rPr>
              <w:t>2,969</w:t>
            </w:r>
          </w:p>
        </w:tc>
        <w:tc>
          <w:tcPr>
            <w:tcW w:type="dxa" w:w="1440"/>
            <w:shd w:fill="FAFAFA" w:val="clear"/>
          </w:tcPr>
          <w:p>
            <w:r>
              <w:rPr>
                <w:sz w:val="17"/>
              </w:rPr>
              <w:t>3,301</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2,601</w:t>
            </w:r>
          </w:p>
        </w:tc>
        <w:tc>
          <w:tcPr>
            <w:tcW w:type="dxa" w:w="1440"/>
            <w:shd w:fill="FAFAFA" w:val="clear"/>
          </w:tcPr>
          <w:p>
            <w:r>
              <w:rPr>
                <w:b/>
                <w:sz w:val="17"/>
              </w:rPr>
              <w:t>2,964</w:t>
            </w:r>
          </w:p>
        </w:tc>
        <w:tc>
          <w:tcPr>
            <w:tcW w:type="dxa" w:w="1440"/>
            <w:shd w:fill="FAFAFA" w:val="clear"/>
          </w:tcPr>
          <w:p>
            <w:r>
              <w:rPr>
                <w:sz w:val="17"/>
              </w:rPr>
              <w:t>3,327</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2,568</w:t>
            </w:r>
          </w:p>
        </w:tc>
        <w:tc>
          <w:tcPr>
            <w:tcW w:type="dxa" w:w="1440"/>
            <w:shd w:fill="FAFAFA" w:val="clear"/>
          </w:tcPr>
          <w:p>
            <w:r>
              <w:rPr>
                <w:b/>
                <w:sz w:val="17"/>
              </w:rPr>
              <w:t>2,960</w:t>
            </w:r>
          </w:p>
        </w:tc>
        <w:tc>
          <w:tcPr>
            <w:tcW w:type="dxa" w:w="1440"/>
            <w:shd w:fill="FAFAFA" w:val="clear"/>
          </w:tcPr>
          <w:p>
            <w:r>
              <w:rPr>
                <w:sz w:val="17"/>
              </w:rPr>
              <w:t>3,352</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2,538</w:t>
            </w:r>
          </w:p>
        </w:tc>
        <w:tc>
          <w:tcPr>
            <w:tcW w:type="dxa" w:w="1440"/>
            <w:shd w:fill="FFDCE0" w:val="clear"/>
          </w:tcPr>
          <w:p>
            <w:r>
              <w:rPr>
                <w:b/>
                <w:sz w:val="17"/>
              </w:rPr>
              <w:t>2,956</w:t>
            </w:r>
          </w:p>
        </w:tc>
        <w:tc>
          <w:tcPr>
            <w:tcW w:type="dxa" w:w="1440"/>
            <w:shd w:fill="FFDCE0" w:val="clear"/>
          </w:tcPr>
          <w:p>
            <w:r>
              <w:rPr>
                <w:sz w:val="17"/>
              </w:rPr>
              <w:t>3,374</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2,509</w:t>
            </w:r>
          </w:p>
        </w:tc>
        <w:tc>
          <w:tcPr>
            <w:tcW w:type="dxa" w:w="1440"/>
            <w:shd w:fill="FFDCE0" w:val="clear"/>
          </w:tcPr>
          <w:p>
            <w:r>
              <w:rPr>
                <w:b/>
                <w:sz w:val="17"/>
              </w:rPr>
              <w:t>2,952</w:t>
            </w:r>
          </w:p>
        </w:tc>
        <w:tc>
          <w:tcPr>
            <w:tcW w:type="dxa" w:w="1440"/>
            <w:shd w:fill="FFDCE0" w:val="clear"/>
          </w:tcPr>
          <w:p>
            <w:r>
              <w:rPr>
                <w:sz w:val="17"/>
              </w:rPr>
              <w:t>3,395</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2,482</w:t>
            </w:r>
          </w:p>
        </w:tc>
        <w:tc>
          <w:tcPr>
            <w:tcW w:type="dxa" w:w="1440"/>
            <w:shd w:fill="FFDCE0" w:val="clear"/>
          </w:tcPr>
          <w:p>
            <w:r>
              <w:rPr>
                <w:b/>
                <w:sz w:val="17"/>
              </w:rPr>
              <w:t>2,948</w:t>
            </w:r>
          </w:p>
        </w:tc>
        <w:tc>
          <w:tcPr>
            <w:tcW w:type="dxa" w:w="1440"/>
            <w:shd w:fill="FFDCE0" w:val="clear"/>
          </w:tcPr>
          <w:p>
            <w:r>
              <w:rPr>
                <w:sz w:val="17"/>
              </w:rPr>
              <w:t>3,415</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**RAPPORT D'ANALYSE FINANCIÈRE — ACTION SDSC (AGL CÔTE D'IVOIRE)**</w:t>
        <w:br/>
        <w:t>*Bourse Régionale des Valeurs Mobilières (BRVM) — Analyse au 13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164,39 milliards FCFA, SDSC figure parmi les valeurs moyennes-capitalisations de la cote BRVM, ce qui lui confère une certaine liquidité mais la rend vulnérable aux mouvements de portefeuilles institutionnels. Le BPA de 14 FCFA/action signifie que chaque titre génère à peine 14 FCFA de bénéfice net, un niveau dérisoire au regard du cours actuel de 3 020 FCFA. Le PER de 209,4x constitue un signal d'alarme majeur : les investisseurs paient plus de 200 fois les bénéfices, alors que la moyenne BRVM se situe entre 8x et 12x — le titre est donc massivement surévalué sur une base bénéficiaire. Le P/B de 2,24x indique que le marché valorise la société à plus du double de sa valeur comptable (capitaux propres de 73,55 Mds FCFA), ce qui traduit une prime de croissance et de qualité d'actifs, mais reste difficile à justifier avec une marge nette de 0,85%. Enfin, l'EV/EBITDA de 23,4x, très supérieur au seuil de 15x généralement admis, confirme que la valeur d'entreprise intègre des anticipations de rentabilité future que les résultats actuels ne soutiennent pas encore.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+83,03%, avec une dernière séance en hausse de +1,34% à 3 020 FCFA, confirmant un momentum haussier toujours actif. Le range de trading est très large, entre un plus bas de 1 650 FCFA et un plus haut de 3 205 FCFA, soit une amplitude de près de 94%, ce qui témoigne d'une forte volatilité et d'un intérêt marqué des investisseurs. La tendance générale est clairement haussière, portée par un volume moyen quotidien de 17 717 titres, signe d'une liquidité correcte pour la BRVM. Les statistiques descriptives révèlent une moyenne de 2 579 FCFA légèrement inférieure à la médiane de 2 685 FCFA, avec un mode à 2 800 FCFA : cet écart indique une distribution asymétrique où les journées de forte hausse tirent la moyenne vers le bas, cohérent avec le skewness négatif de -0,641 (plus de journées au-dessus de la moyenne). L'écart-type de 394 FCFA (CV = 15,3%) traduit une dispersion modérée du cours autour de sa tendance, tandis que le kurtosis de -0,432 (mésokurtique) suggère une distribution proche de la normale, sans risque extrême de pics erratiques. La volatilité annualisée de 51,7% classe le titre dans la catégorie des valeurs à volatilité élevée (&gt;30%), ce qui implique un risque de correction significatif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(2 955,25 FCFA) et la MM50 (2 862,00 FCFA) se situent toutes deux sous le cours actuel de 3 020 FCFA, avec la MM20 au-dessus de la MM50 — configuration haussière classique (golden cross). Le cours évoluant au-dessus de ses deux moyennes, la dynamique de court et moyen terme reste positive, ce qui justifie la décision d'**Achat**.</w:t>
      </w:r>
    </w:p>
    <w:p>
      <w:pPr>
        <w:spacing w:after="120" w:line="276" w:lineRule="auto"/>
      </w:pPr>
      <w:r>
        <w:t>**Bandes de Bollinger** : Le cours (3 020 FCFA) se situe dans la moitié supérieure de la bande, entre la borne inférieure (2 761,98 FCFA) et la borne supérieure (3 148,52 FCFA), sans la franchir. Cette position médiane-haute, combinée à un écart-type de 394 FCFA, indique une volatilité significative mais sans excès, justifiant la décision **Neutre** — le titre n'est ni en surachat extrême ni en zone de rebond.</w:t>
      </w:r>
    </w:p>
    <w:p>
      <w:pPr>
        <w:spacing w:after="120" w:line="276" w:lineRule="auto"/>
      </w:pPr>
      <w:r>
        <w:t>**MACD** : La valeur du MACD (27,149) est inférieure à son signal (33,72), générant un croisement baissier qui traduit un essoufflement du momentum haussier malgré la tendance positive du cours. Cette divergence négative, bien que modérée, justifie la décision de **Vente** à court terme, en anticipation d'une consolidation.</w:t>
      </w:r>
    </w:p>
    <w:p>
      <w:pPr>
        <w:spacing w:after="120" w:line="276" w:lineRule="auto"/>
      </w:pPr>
      <w:r>
        <w:t>**RSI** : À 58,182, le RSI se situe en zone neutre (entre 30 et 70), sans signal de surachat (&gt;70) ni de survente (&lt;30). Le titre conserve donc un potentiel de hausse résiduel, mais sans excès, ce qui justifie la décision **Neutre** — ni achat agressif, ni vente.</w:t>
      </w:r>
    </w:p>
    <w:p>
      <w:pPr>
        <w:spacing w:after="120" w:line="276" w:lineRule="auto"/>
      </w:pPr>
      <w:r>
        <w:t>**Stochastique** : Le %K (74,576) est nettement supérieur au %D (51,977), avec un croisement haussier récent qui indique une pression acheteuse à court terme. Cependant, le %K approchant la zone de surachat (80), la décision reste **Neutre** — le signal est positif mais proche de l'essoufflement.</w:t>
      </w:r>
    </w:p>
    <w:p>
      <w:pPr>
        <w:spacing w:after="120" w:line="276" w:lineRule="auto"/>
      </w:pPr>
      <w:r>
        <w:t>**Conclusion technique** : Les indicateurs sont globalement mitigés, avec une tendance de fond haussière (MM) mais des signaux de momentum divergents (MACD baissier, RSI et Stochastique neutres). Le titre se trouve dans une phase de consolidation après une forte hausse, avec un risque de correction à court terme. La convergence partielle des signaux suggère une prudence : ni achat agressif, ni vente précipitée, mais une surveillance active des niveaux de support (MM20 à 2 955 FCFA) et de résistance (borne supérieure à 3 148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AGL Côte d'Ivoire (SDSC) affiche un chiffre d'affaires de 92,004 milliards FCFA, en croissance de +7,43% par rapport à 2024 (85,643 Mds FCFA), portée par le dynamisme des métiers logistiques (transit export cacao et cajou) et maritimes. Cependant, cette croissance commerciale masque une dégradation alarmante de la rentabilité : le résultat net s'effondre à 784,97 millions FCFA contre 21,07 milliards FCFA en 2024, soit une chute de -96%, et la marge nette s'établit à seulement 0,85% (contre 24,6% en 2024). Le résultat d'exploitation devient négatif à -2,271 milliards FCFA, pénalisé par une hausse de +41% des dotations aux amortissements (9,043 Mds FCFA) et une augmentation des charges de personnel (36,205 Mds FCFA). Le ROE s'effondre à 1,07% (très loin du seuil de 15% considéré comme excellent) et le ROA à 0,30%, confirmant une rentabilité quasi nulle des capitaux investis. La structure financière reste néanmoins solide : les capitaux propres s'élèvent à 73,55 Mds FCFA, la trésorerie nette à 74,78 Mds FCFA, et le BFR est négatif à -57,34 Mds FCFA (favorable, car financé par les fournisseurs). Le ratio d'endettement de 13,91% et la capacité de remboursement de 1,36 an témoignent d'un faible levier financier. Les rapports trimestriels de 2025 (T1, S1, T3) confirment cette tendance : le T1 2025 (rapport du 31/03/2025) affichait un CA de 23,057 Mds FCFA (+6,2%) mais un résultat net négatif de -193 M FCFA ; le S1 2025 (rapport du 30/06/2025) montrait un résultat net de -427 M FCFA, plombé par l'absence de dividendes des filiales ; le T3 2025 (rapport du 30/09/2025) révélait un résultat net de 4,341 Mds FCFA en chute de -77%, toujours à cause de la volatilité des revenus de filiales. On estime donc que l'exercice 2025 restera marqué par une rentabilité structurellement faible, dépendante de revenus financiers exceptionnels et non récurrents. La recommandation fondamentale est de **CONSERVER** le titre : la solidité du bilan et la croissance du CA sont des atouts, mais la dégradation de la rentabilité opérationnelle, la réduction drastique du dividende (544 M FCFA proposé contre 5 008 M FCFA en 2024, soit -89%) et les manquements réglementaires signalés par les commissaires aux comptes (retards de publication, non-respect des délais OHADA) imposent une grande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extrêmement tendue : un PER de 209,4x et un EV/EBITDA de 23,4x traduisent une surévaluation manifeste par rapport aux bénéfices actuels, bien que le P/B de 2,24x reste modéré. Le comportement du cours (Partie 1) est haussier (+83% sur 100 jours) mais accompagné d'une volatilité élevée (51,7% annualisée) et d'un skewness négatif (-0,641) indiquant une asymétrie défavorable — les baisses peuvent être brutales. Les signaux techniques (Partie 2) sont divergents : les moyennes mobiles confirment la tendance haussière, mais le MACD baissier et le RSI neutre suggèrent un essoufflement imminent, plaidant pour une consolidation. Les fondamentaux (Partie 3) sont préoccupants : malgré un CA de 92 Mds FCFA en 2025 (+7,4%), le résultat net s'est effondré à 0,78 Md FCFA (-96%) et le ROE à 1,07%, avec un dividende réduit de -89%. Les prédictions IA (J+1 à J+10) anticipent une légère correction vers 2 969 FCFA d'ici le 20 octobre 2026, ce qui contredit la tendance haussière récente et confirme les signaux techniques de consolidation. **En synthèse, la convergence des signaux est défavorable** : la surévaluation boursière, l'essoufflement technique, la dégradation fondamentale et les prédictions baissières à court terme plaident pour une **VENTE** du titre, avec un niveau de confiance **Moyen** (les prédictions IA à court terme sont fiables mais le contexte de marché reste incertain). Le risque global est **Élevé** (volatilité de 51,7%, PER extrême, dépendance aux revenus de filiales). L'horizon d'investissement recommandé est **court terme (&lt;3 mois)** pour les investisseurs cherchant à prendre des profits après la hausse de +83%, ou **moyen terme (3-12 mois)** pour ceux qui souhaitent surveiller la capacité de la direction à restaurer les marges opérationnelles au premier semestre 2026. Une position attentiste (CONSERVER avec stop-loss à 2 955 FCFA, niveau de la MM20) serait la stratégie la plus prudente.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β=1.1206 (Neutre (suit le marché)) — Cov=0.000043, Var(idx)=0.000038, ρ=0.241, n=82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ACTION SEMC (BRVM)**</w:t>
        <w:br/>
        <w:t>*Date d'analyse : mars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de moyenne capitalisation du compartiment industriel. Les ratios de valorisation boursière (BPA, PER, P/B, EV/EBITDA) ne sont pas calculables en l'état, les données financières structurées nécessaires (nombre d'actions en circulation, capitaux propres comptables, EBITDA consolidé) n'étant pas disponibles dans la base de données. Cette absence est d'autant plus problématique que les rapports narratifs fournis présentent des incohérences majeures de périmètre (CA de 27,88 Mds vs 125,4 Mds FCFA pour le même exercice 2023), ce qui empêche toute estimation fiable du BPA et du PER. L'investisseur ne peut donc s'appuyer que sur l'analyse technique et les éléments narratifs qualitatifs pour évaluer le titre, ce qui constitue en soi un facteur de risque informationnel à signaler.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SEMC a enregistré une variation totale de -16,94%, avec une dernière séance en repli de -1,64%, confirmant une tendance baissière de fond. Le cours actuel de 1 495 FCFA se situe dans la partie basse du range de trading établi entre un plus bas de 1 350 FCFA et un plus haut de 1 800 FCFA, soit une amplitude de 33% qui témoigne d'une réelle nervosité du titre. Les statistiques descriptives révèlent une moyenne de 1 527 FCFA légèrement supérieure à la médiane de 1 520 FCFA, avec un mode à 1 500 FCFA : cet écart modeste entre moyenne et médiane, combiné à un skewness positif de 0,558, indique une asymétrie où les journées sous la moyenne sont plus fréquentes mais compensées par des pics haussiers ponctuels. L'écart-type de 69 FCFA (CV de 4,5%) traduit une dispersion quotidienne relativement contenue, mais le kurtosis excédentaire de 1,652 (distribution leptokurtique) signale un risque de pics de volatilité brutaux, caractéristique des marchés peu liquides. Avec une volatilité annualisée de 47,2%, le titre se classe dans la catégorie des valeurs à volatilité élevée (&gt;30%), ce qui implique un risque significatif pour les investisseurs averses au risque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et la MM50 (1 499,20 FCFA) encadrent le cours actuel de 1 495 FCFA, qui évolue légèrement sous ses deux références. La MM20 étant supérieure à la MM50, la configuration reste théoriquement haussière (golden cross), ce qui justifie la décision "Achat" fournie, mais la position du cours sous ces deux moyennes affaiblit considérablement ce signal et suggère plutôt une phase de consolidation baissière.</w:t>
      </w:r>
    </w:p>
    <w:p>
      <w:pPr>
        <w:spacing w:after="120" w:line="276" w:lineRule="auto"/>
      </w:pPr>
      <w:r>
        <w:t>**Bandes de Bollinger** : Le cours (1 495 FCFA) se situe dans la moitié inférieure de la bande, entre la borne inférieure (1 459,69 FCFA) et la borne supérieure (1 621,81 FCFA), sans atteindre les extrêmes. L'amplitude de 162 FCFA reflète une volatilité modérée à court terme, et la décision "Neutre" est cohérente avec cette position médiane qui n'offre ni signal d'achat (rebond sur borne basse) ni signal de vente (rejet de borne haute).</w:t>
      </w:r>
    </w:p>
    <w:p>
      <w:pPr>
        <w:spacing w:after="120" w:line="276" w:lineRule="auto"/>
      </w:pPr>
      <w:r>
        <w:t>**MACD** : La valeur du MACD (8,254) est inférieure à son signal (13,045), générant une divergence baissière classique. Le momentum est clairement négatif, la ligne MACD ayant probablement croisé son signal à la baisse, ce qui justifie pleinement la décision "Vente" et suggère une poursuite de la pression vendeuse à court terme.</w:t>
      </w:r>
    </w:p>
    <w:p>
      <w:pPr>
        <w:spacing w:after="120" w:line="276" w:lineRule="auto"/>
      </w:pPr>
      <w:r>
        <w:t>**RSI** : À 49,533, le RSI se situe exactement en zone neutre, à mi-chemin entre survente (30) et surachat (70). Cette valeur n'offre aucun signal directionnel fort et confirme la décision "Neutre", indiquant que le titre n'est ni survendu (opportunité d'achat) ni suracheté (risque de correction).</w:t>
      </w:r>
    </w:p>
    <w:p>
      <w:pPr>
        <w:spacing w:after="120" w:line="276" w:lineRule="auto"/>
      </w:pPr>
      <w:r>
        <w:t>**Stochastique** : Le %K (34,615) est nettement inférieur au %D (57,692), configuration baissière indiquant que le momentum de court terme faiblit. Le croisement %K sous %D, s'il est récent, constitue un signal de vente, mais la décision fournie est "Neutre", probablement parce que le %K n'est pas encore en zone de survente (&lt;20).</w:t>
      </w:r>
    </w:p>
    <w:p>
      <w:pPr>
        <w:spacing w:after="120" w:line="276" w:lineRule="auto"/>
      </w:pPr>
      <w:r>
        <w:t>**Conclusion technique** : Les indicateurs présentent une divergence préoccupante : les moyennes mobiles suggèrent un achat théorique, mais le MACD est baissier, le stochastique faiblit, et le cours évolue sous ses deux moyennes. Le RSI et les Bollinger étant neutres, la configuration globale penche vers une consolidation baissière avec un biais négatif à court terme, la décision "Achat" des MM apparaissant isolée et non confirmée par les autres indicateurs.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L'analyse fondamentale de SEMC (ex-Eviosys Packaging SIEM) révèle une situation complexe, marquée par des incohérences documentaires majeures entre les rapports fournis. Le rapport annuel 2023 (daté du 31/12/2024, analysé par MISTRAL) présente un chiffre d'affaires de 27,88 milliards FCFA, en baisse de 6% par rapport aux 29,60 milliards FCFA de 2022, avec un résultat net de 1,01 milliard FCFA en chute de 74% (contre 3,86 milliards en 2022), soit une marge nette dégradée à 3,6% (vs 13,0%). Un second rapport portant également sur l'exercice 2023 mentionne un CA consolidé de 125,4 milliards FCFA et un résultat net de 12,8 milliards FCFA, ces chiffres étant vraisemblablement issus d'un périmètre consolidé incluant les filiales régionales (Ghana, Sénégal), tandis que les premiers reflètent l'entité ivoirienne seule. Le rapport trimestriel T1 2023 (daté du 31/12/2023) indiquait un CA de 7,65 milliards FCFA (+16,5%) et un résultat net de 855,65 millions FCFA (+37,9%), avec une marge nette de 11,2%, suggérant un début d'année solide avant une dégradation progressive. Les rapports 2022 (datés du 31/12/2022) font état d'un CA de 125,4 milliards FCFA (+13,8%) et d'un résultat net de 12,8 milliards FCFA (+18,5%), avec un ROE de 18,4% et un ratio dette nette/EBITDA de 1,6x. La politique de dividende s'est effondrée, passant de 1 200 FCFA/action en 2022 à 0 FCFA en 2023, la société privilégiant la conservation de trésorerie (3,35 milliards FCFA) pour financer sa relance. Les risques majeurs identifiés incluent la dépendance à des clients clés (AIRONE représentait 40% du CA Poisson en 2022), la concurrence des emballages PET, la suspension de la cote BRVM pour flottant insuffisant (10,42% vs 15% requis), et le rachat par Sonoco Products Company finalisé en décembre 2024. Les perspectives 2024 tablaient sur un objectif de CA de 32 milliards FCFA (+18%), porté par les bouchons couronnes (+61% en volume) et les exportations vers le Sénégal. La recommandation fondamentale est de **CONSERVER avec vigilance**, les fondamentaux 2023 étant dégradés mais les perspectives de relance et l'arrivée de Sonoco offrant des leviers de redressement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significative entre les signaux. La valorisation (Partie 0) est impossible à évaluer faute de ratios calculables, ce qui constitue un handicap informationnel majeur. Le comportement du cours (Partie 1) est clairement baissier (-16,94% sur 100 jours), avec une volatilité élevée (47,2%) et une distribution leptokurtique (kurtosis 1,652) signalant un risque de pics brutaux, tandis que le skewness positif (0,558) indique une asymétrie défavorable. Les signaux techniques (Partie 2) sont majoritairement négatifs : MACD en divergence baissière, stochastique affaibli, cours sous les deux moyennes mobiles, seul le RSI et les Bollinger étant neutres. Les fondamentaux (Partie 3) sont préoccupants pour 2023 (résultat net -74%, dividende supprimé, suspension BRVM), mais les perspectives 2024 (objectif CA +18%, synergies Sonoco) et la trésorerie solide (3,35 milliards FCFA) offrent un potentiel de redressement. Aucune prédiction IA n'étant disponible pour les 10 prochains jours, l'analyse repose uniquement sur les signaux techniques et fondamentaux. Sur cette base, la recommandation finale est **CONSERVER**, avec un niveau de confiance **Moyen** et un niveau de risque **Élevé**. Cette recommandation reflète la convergence des signaux baissiers à court terme (technique, cours) et des fondamentaux dégradés, tempérés par les perspectives de relance et l'arrivée d'un actionnaire industriel de premier plan. L'horizon d'investissement optimal est le **moyen terme (3-12 mois)**, le temps que la restructuration post-rachat par Sonoco produise ses effets et que la suspension de la cote BRVM soit levée, permettant une réévaluation du titre sur des bases plus solides. Les investisseurs à court terme sont invités à la prudence, le momentum actuel étant défavorable.</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5,214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+7.73%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36,000 FCFA</w:t>
            </w:r>
          </w:p>
          <w:p>
            <w:r>
              <w:rPr>
                <w:b/>
                <w:color w:val="503200"/>
                <w:sz w:val="16"/>
              </w:rPr>
              <w:t xml:space="preserve">Volatilité ann. : </w:t>
            </w:r>
            <w:r>
              <w:rPr>
                <w:color w:val="000000"/>
                <w:sz w:val="17"/>
              </w:rPr>
              <w:t>21.1%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1.95% (Faible) — μ=38,411 FCFA, σ=749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β=0.4627 (Défensif) — Cov=0.000034, Var(idx)=0.000074, ρ=0.297,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σ_j=1.33%/j (Stable) — Vol. annualisée≈21.1%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37,958</w:t>
            </w:r>
          </w:p>
        </w:tc>
        <w:tc>
          <w:tcPr>
            <w:tcW w:type="dxa" w:w="1440"/>
            <w:shd w:fill="FAFAFA" w:val="clear"/>
          </w:tcPr>
          <w:p>
            <w:r>
              <w:rPr>
                <w:b/>
                <w:sz w:val="17"/>
              </w:rPr>
              <w:t>38,793</w:t>
            </w:r>
          </w:p>
        </w:tc>
        <w:tc>
          <w:tcPr>
            <w:tcW w:type="dxa" w:w="1440"/>
            <w:shd w:fill="FAFAFA" w:val="clear"/>
          </w:tcPr>
          <w:p>
            <w:r>
              <w:rPr>
                <w:sz w:val="17"/>
              </w:rPr>
              <w:t>39,627</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37,542</w:t>
            </w:r>
          </w:p>
        </w:tc>
        <w:tc>
          <w:tcPr>
            <w:tcW w:type="dxa" w:w="1440"/>
            <w:shd w:fill="FAFAFA" w:val="clear"/>
          </w:tcPr>
          <w:p>
            <w:r>
              <w:rPr>
                <w:b/>
                <w:sz w:val="17"/>
              </w:rPr>
              <w:t>38,720</w:t>
            </w:r>
          </w:p>
        </w:tc>
        <w:tc>
          <w:tcPr>
            <w:tcW w:type="dxa" w:w="1440"/>
            <w:shd w:fill="FAFAFA" w:val="clear"/>
          </w:tcPr>
          <w:p>
            <w:r>
              <w:rPr>
                <w:sz w:val="17"/>
              </w:rPr>
              <w:t>39,897</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37,206</w:t>
            </w:r>
          </w:p>
        </w:tc>
        <w:tc>
          <w:tcPr>
            <w:tcW w:type="dxa" w:w="1440"/>
            <w:shd w:fill="FAFAFA" w:val="clear"/>
          </w:tcPr>
          <w:p>
            <w:r>
              <w:rPr>
                <w:b/>
                <w:sz w:val="17"/>
              </w:rPr>
              <w:t>38,646</w:t>
            </w:r>
          </w:p>
        </w:tc>
        <w:tc>
          <w:tcPr>
            <w:tcW w:type="dxa" w:w="1440"/>
            <w:shd w:fill="FAFAFA" w:val="clear"/>
          </w:tcPr>
          <w:p>
            <w:r>
              <w:rPr>
                <w:sz w:val="17"/>
              </w:rPr>
              <w:t>40,085</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2026-10-19</w:t>
            </w:r>
          </w:p>
        </w:tc>
        <w:tc>
          <w:tcPr>
            <w:tcW w:type="dxa" w:w="1440"/>
            <w:shd w:fill="FAFAFA" w:val="clear"/>
          </w:tcPr>
          <w:p>
            <w:r>
              <w:rPr>
                <w:sz w:val="17"/>
              </w:rPr>
              <w:t>36,917</w:t>
            </w:r>
          </w:p>
        </w:tc>
        <w:tc>
          <w:tcPr>
            <w:tcW w:type="dxa" w:w="1440"/>
            <w:shd w:fill="FAFAFA" w:val="clear"/>
          </w:tcPr>
          <w:p>
            <w:r>
              <w:rPr>
                <w:b/>
                <w:sz w:val="17"/>
              </w:rPr>
              <w:t>38,576</w:t>
            </w:r>
          </w:p>
        </w:tc>
        <w:tc>
          <w:tcPr>
            <w:tcW w:type="dxa" w:w="1440"/>
            <w:shd w:fill="FAFAFA" w:val="clear"/>
          </w:tcPr>
          <w:p>
            <w:r>
              <w:rPr>
                <w:sz w:val="17"/>
              </w:rPr>
              <w:t>40,236</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2026-10-20</w:t>
            </w:r>
          </w:p>
        </w:tc>
        <w:tc>
          <w:tcPr>
            <w:tcW w:type="dxa" w:w="1440"/>
            <w:shd w:fill="FAFAFA" w:val="clear"/>
          </w:tcPr>
          <w:p>
            <w:r>
              <w:rPr>
                <w:sz w:val="17"/>
              </w:rPr>
              <w:t>36,658</w:t>
            </w:r>
          </w:p>
        </w:tc>
        <w:tc>
          <w:tcPr>
            <w:tcW w:type="dxa" w:w="1440"/>
            <w:shd w:fill="FAFAFA" w:val="clear"/>
          </w:tcPr>
          <w:p>
            <w:r>
              <w:rPr>
                <w:b/>
                <w:sz w:val="17"/>
              </w:rPr>
              <w:t>38,510</w:t>
            </w:r>
          </w:p>
        </w:tc>
        <w:tc>
          <w:tcPr>
            <w:tcW w:type="dxa" w:w="1440"/>
            <w:shd w:fill="FAFAFA" w:val="clear"/>
          </w:tcPr>
          <w:p>
            <w:r>
              <w:rPr>
                <w:sz w:val="17"/>
              </w:rPr>
              <w:t>40,362</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2026-10-21</w:t>
            </w:r>
          </w:p>
        </w:tc>
        <w:tc>
          <w:tcPr>
            <w:tcW w:type="dxa" w:w="1440"/>
            <w:shd w:fill="FAFAFA" w:val="clear"/>
          </w:tcPr>
          <w:p>
            <w:r>
              <w:rPr>
                <w:sz w:val="17"/>
              </w:rPr>
              <w:t>36,421</w:t>
            </w:r>
          </w:p>
        </w:tc>
        <w:tc>
          <w:tcPr>
            <w:tcW w:type="dxa" w:w="1440"/>
            <w:shd w:fill="FAFAFA" w:val="clear"/>
          </w:tcPr>
          <w:p>
            <w:r>
              <w:rPr>
                <w:b/>
                <w:sz w:val="17"/>
              </w:rPr>
              <w:t>38,447</w:t>
            </w:r>
          </w:p>
        </w:tc>
        <w:tc>
          <w:tcPr>
            <w:tcW w:type="dxa" w:w="1440"/>
            <w:shd w:fill="FAFAFA" w:val="clear"/>
          </w:tcPr>
          <w:p>
            <w:r>
              <w:rPr>
                <w:sz w:val="17"/>
              </w:rPr>
              <w:t>40,472</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2026-10-22</w:t>
            </w:r>
          </w:p>
        </w:tc>
        <w:tc>
          <w:tcPr>
            <w:tcW w:type="dxa" w:w="1440"/>
            <w:shd w:fill="FAFAFA" w:val="clear"/>
          </w:tcPr>
          <w:p>
            <w:r>
              <w:rPr>
                <w:sz w:val="17"/>
              </w:rPr>
              <w:t>36,201</w:t>
            </w:r>
          </w:p>
        </w:tc>
        <w:tc>
          <w:tcPr>
            <w:tcW w:type="dxa" w:w="1440"/>
            <w:shd w:fill="FAFAFA" w:val="clear"/>
          </w:tcPr>
          <w:p>
            <w:r>
              <w:rPr>
                <w:b/>
                <w:sz w:val="17"/>
              </w:rPr>
              <w:t>38,385</w:t>
            </w:r>
          </w:p>
        </w:tc>
        <w:tc>
          <w:tcPr>
            <w:tcW w:type="dxa" w:w="1440"/>
            <w:shd w:fill="FAFAFA" w:val="clear"/>
          </w:tcPr>
          <w:p>
            <w:r>
              <w:rPr>
                <w:sz w:val="17"/>
              </w:rPr>
              <w:t>40,569</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2026-10-23</w:t>
            </w:r>
          </w:p>
        </w:tc>
        <w:tc>
          <w:tcPr>
            <w:tcW w:type="dxa" w:w="1440"/>
            <w:shd w:fill="FAFAFA" w:val="clear"/>
          </w:tcPr>
          <w:p>
            <w:r>
              <w:rPr>
                <w:sz w:val="17"/>
              </w:rPr>
              <w:t>35,993</w:t>
            </w:r>
          </w:p>
        </w:tc>
        <w:tc>
          <w:tcPr>
            <w:tcW w:type="dxa" w:w="1440"/>
            <w:shd w:fill="FAFAFA" w:val="clear"/>
          </w:tcPr>
          <w:p>
            <w:r>
              <w:rPr>
                <w:b/>
                <w:sz w:val="17"/>
              </w:rPr>
              <w:t>38,324</w:t>
            </w:r>
          </w:p>
        </w:tc>
        <w:tc>
          <w:tcPr>
            <w:tcW w:type="dxa" w:w="1440"/>
            <w:shd w:fill="FAFAFA" w:val="clear"/>
          </w:tcPr>
          <w:p>
            <w:r>
              <w:rPr>
                <w:sz w:val="17"/>
              </w:rPr>
              <w:t>40,656</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2026-10-26</w:t>
            </w:r>
          </w:p>
        </w:tc>
        <w:tc>
          <w:tcPr>
            <w:tcW w:type="dxa" w:w="1440"/>
            <w:shd w:fill="FAFAFA" w:val="clear"/>
          </w:tcPr>
          <w:p>
            <w:r>
              <w:rPr>
                <w:sz w:val="17"/>
              </w:rPr>
              <w:t>35,796</w:t>
            </w:r>
          </w:p>
        </w:tc>
        <w:tc>
          <w:tcPr>
            <w:tcW w:type="dxa" w:w="1440"/>
            <w:shd w:fill="FAFAFA" w:val="clear"/>
          </w:tcPr>
          <w:p>
            <w:r>
              <w:rPr>
                <w:b/>
                <w:sz w:val="17"/>
              </w:rPr>
              <w:t>38,265</w:t>
            </w:r>
          </w:p>
        </w:tc>
        <w:tc>
          <w:tcPr>
            <w:tcW w:type="dxa" w:w="1440"/>
            <w:shd w:fill="FAFAFA" w:val="clear"/>
          </w:tcPr>
          <w:p>
            <w:r>
              <w:rPr>
                <w:sz w:val="17"/>
              </w:rPr>
              <w:t>40,734</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2026-10-27</w:t>
            </w:r>
          </w:p>
        </w:tc>
        <w:tc>
          <w:tcPr>
            <w:tcW w:type="dxa" w:w="1440"/>
            <w:shd w:fill="FFDCE0" w:val="clear"/>
          </w:tcPr>
          <w:p>
            <w:r>
              <w:rPr>
                <w:sz w:val="17"/>
              </w:rPr>
              <w:t>35,608</w:t>
            </w:r>
          </w:p>
        </w:tc>
        <w:tc>
          <w:tcPr>
            <w:tcW w:type="dxa" w:w="1440"/>
            <w:shd w:fill="FFDCE0" w:val="clear"/>
          </w:tcPr>
          <w:p>
            <w:r>
              <w:rPr>
                <w:b/>
                <w:sz w:val="17"/>
              </w:rPr>
              <w:t>38,206</w:t>
            </w:r>
          </w:p>
        </w:tc>
        <w:tc>
          <w:tcPr>
            <w:tcW w:type="dxa" w:w="1440"/>
            <w:shd w:fill="FFDCE0" w:val="clear"/>
          </w:tcPr>
          <w:p>
            <w:r>
              <w:rPr>
                <w:sz w:val="17"/>
              </w:rPr>
              <w:t>40,805</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**1 213,33 milliards FCFA**, SGBC figure parmi les toutes premières capitalisations de la BRVM, ce qui en fait un pilier incontournable de l'indice composite et un titre de référence pour les investisseurs institutionnels de la zone UEMOA. Le **BPA de 3 258 FCFA/action** traduit une capacité bénéficiaire unitaire élevée, cohérente avec un résultat net de 101,35 milliards FCFA pour l'exercice 2025. Le **PER de 12,0x** se situe dans la fourchette haute de la moyenne BRVM (~8-12x), signalant une valorisation raisonnable mais sans décote manifeste : le marché paie le prix de la qualité et de la régularité des résultats. Le **P/B de 2,45x** indique que le marché valorise l'action à près de 2,5 fois ses fonds propres comptables (495,11 Mds FCFA), soit une prime de croissance justifiée par un ROE de 20,47%, largement supérieur au coût des fonds propres. Enfin, l'**EV/EBITDA de 24,7x** apparaît très exigeant (&gt;15x), mais cette lecture doit être nuancée pour une banque où l'EBITDA est peu pertinent : le véritable juge de paix reste le PER et le rendement du dividende.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**variation totale de +7,73%**, portée par une tendance haussière régulière, tandis que la dernière séance (J-1) enregistre un léger repli de **-0,50%**, cohérent avec une prise de profit ponctuelle. Le cours actuel de **39 000 FCFA** évolue dans un range étroit de **36 000 à 39 300 FCFA**, soit une amplitude de seulement 9,2% — signe d'un titre peu spéculatif, recherché pour sa stabilité. La moyenne (38 411 FCFA) est légèrement inférieure à la médiane (38 800 FCFA) et au mode (39 000 FCFA), ce qui confirme une **asymétrie négative (skewness = -1,194)** : le cours a passé davantage de séances au-dessus de sa moyenne, avec quelques journées de repli marqué tirant la moyenne vers le bas. L'écart-type de 753 FCFA (CV = 2,0%) traduit une **dispersion très faible**, et le kurtosis de 0,997 (mésokurtique) indique un comportement proche d'une distribution normale, sans risque de pics extrêmes. La **volatilité annualisée de 21,1%** classe le titre en catégorie modérée (15-30%), ce qui est remarquablement contenu pour une action bancaire de la zone UEMOA et conforte son statut de valeur défensive.</w:t>
      </w:r>
    </w:p>
    <w:p>
      <w:pPr>
        <w:spacing w:after="120" w:line="276" w:lineRule="auto"/>
      </w:pPr>
      <w:r>
        <w:t>---</w:t>
      </w:r>
    </w:p>
    <w:p>
      <w:pPr>
        <w:spacing w:after="120" w:line="276" w:lineRule="auto"/>
      </w:pPr>
      <w:r>
        <w:t>## PARTIE 2 : ANALYSE TECHNIQUE DÉTAILLÉE</w:t>
      </w:r>
    </w:p>
    <w:p>
      <w:pPr>
        <w:spacing w:after="120" w:line="276" w:lineRule="auto"/>
      </w:pPr>
      <w:r>
        <w:t>**Moyennes Mobiles** : La MM20 (38 722,5 FCFA) et la MM50 (38 623,9 FCFA) se situent toutes deux sous le cours actuel (39 000 FCFA), avec la MM20 légèrement au-dessus de la MM50 — configuration haussière classique (croisement doré implicite). Cette position relative confirme la dynamique positive et justifie la **décision d'ACHAT** des moyennes mobiles.</w:t>
      </w:r>
    </w:p>
    <w:p>
      <w:pPr>
        <w:spacing w:after="120" w:line="276" w:lineRule="auto"/>
      </w:pPr>
      <w:r>
        <w:t>**Bandes de Bollinger** : Le cours (39 000 FCFA) évolue dans la moitié supérieure de la bande, entre la borne inférieure (37 839,5 FCFA) et la borne supérieure (39 605,5 FCFA), sans franchissement de seuil. L'étroitesse des bandes (amplitude de 1 766 FCFA) reflète une faible volatilité récente, justifiant la **décision NEUTRE** : ni signal d'achat par cassure, ni signal de vente par rejet.</w:t>
      </w:r>
    </w:p>
    <w:p>
      <w:pPr>
        <w:spacing w:after="120" w:line="276" w:lineRule="auto"/>
      </w:pPr>
      <w:r>
        <w:t>**MACD** : Le MACD (158,979) est nettement supérieur à son signal (126,894), avec un histogramme positif de 32,085 points. Cette divergence haussière traduit un momentum acheteur soutenu et justifie la **décision d'ACHAT**, bien que l'écart reste modéré et n'annonce pas d'accélération explosive.</w:t>
      </w:r>
    </w:p>
    <w:p>
      <w:pPr>
        <w:spacing w:after="120" w:line="276" w:lineRule="auto"/>
      </w:pPr>
      <w:r>
        <w:t>**RSI** : À 57,549, le RSI se situe en zone neutre (30-70), sans surachat (&gt;70) ni survente (&lt;30). Le titre conserve donc un potentiel de hausse sans être techniquement tendu, ce qui justifie la **décision NEUTRE** — un signal d'achat serait prématuré, mais aucun risque de correction imminente.</w:t>
      </w:r>
    </w:p>
    <w:p>
      <w:pPr>
        <w:spacing w:after="120" w:line="276" w:lineRule="auto"/>
      </w:pPr>
      <w:r>
        <w:t>**Stochastique** : Le %K (83,539) et le %D (88,889) évoluent tous deux en zone de surachat (&gt;80), avec le %K sous le %D — configuration baissière indiquant un essoufflement possible du mouvement. Cette divergence justifie la **décision de VENTE** à court terme, signal de prudence après la hausse récente.</w:t>
      </w:r>
    </w:p>
    <w:p>
      <w:pPr>
        <w:spacing w:after="120" w:line="276" w:lineRule="auto"/>
      </w:pPr>
      <w:r>
        <w:t>**Conclusion technique** : Les indicateurs sont **majoritairement haussiers** (MM, MACD) mais présentent des signaux de **saturation à court terme** (Stochastique en surachat, RSI neutre haut, Bollinger en zone haute). La convergence MM/MACD soutient la tendance de fond, tandis que le Stochastique invite à la prudence sur un horizon immédiat. Le titre est en phase de consolidation haussière, avec un risque de repli technique limité vers 38 500-38 700 FCFA avant reprise.</w:t>
      </w:r>
    </w:p>
    <w:p>
      <w:pPr>
        <w:spacing w:after="120" w:line="276" w:lineRule="auto"/>
      </w:pPr>
      <w:r>
        <w:t>---</w:t>
      </w:r>
    </w:p>
    <w:p>
      <w:pPr>
        <w:spacing w:after="120" w:line="276" w:lineRule="auto"/>
      </w:pPr>
      <w:r>
        <w:t>## PARTIE 3 : ANALYSE FONDAMENTALE</w:t>
      </w:r>
    </w:p>
    <w:p>
      <w:pPr>
        <w:spacing w:after="120" w:line="276" w:lineRule="auto"/>
      </w:pPr>
      <w:r>
        <w:t>**Données structurées (exercice 2025)** : SGBC affiche un **Produit Net Bancaire (PNB) de 276,048 milliards FCFA**, en croissance de **+4,88%** sur un an, confirmant la dynamique commerciale de la banque. Le **résultat net s'établit à 101,352 milliards FCFA**, franchissant pour la deuxième année consécutive le seuil symbolique des 100 milliards. La rentabilité reste exceptionnelle avec un **ROE de 20,47%** (largement supérieur au seuil de 15% considéré comme excellent) et un **ROA de 2,69%**, reflet d'une utilisation efficace de l'actif. Le **coefficient d'exploitation de 38,75%** place SGBC parmi les banques les plus efficaces de la zone UEMOA (&lt; 50% = excellence opérationnelle), tandis que la **marge nette de 36,72%** témoigne d'une solide maîtrise des charges. Le **coût du risque** (provisions de 17,995 Mds FCFA rapportées aux charges financières de 47,775 Mds FCFA) ressort à environ 37,7%, un niveau modéré mais en hausse, cohérent avec la dégradation du taux de NPL à 8,0% signalée dans les rapports. La structure financière affiche une **autonomie financière de 13,14%** (faible, mais normale pour une banque) et un **ratio de solvabilité de 17,6%** (S1 2026), très au-dessus du minimum réglementaire de 12,5%. Le **ratio prêts/dépôts de 87,6%** (2025) puis 84% (S1 2026) traduit une transformation maîtrisée, avec des dépôts clientèle (2 907,7 Mds FCFA) couvrant largement les créances clientèle (2 546,3 Mds FCFA).</w:t>
      </w:r>
    </w:p>
    <w:p>
      <w:pPr>
        <w:spacing w:after="120" w:line="276" w:lineRule="auto"/>
      </w:pPr>
      <w:r>
        <w:t>**Estimations basées sur les rapports trimestriels** : Le rapport **T1 2026 (publié le 30 avril 2026)** fait état d'un PNB de 65,644 Mds FCFA (-1%) et d'un résultat net de 23,976 Mds FCFA (-11%), impactés par la migration vers une nouvelle plateforme digitale et des investissements (rénovation du siège). Le **rapport S1 2026 (publié le 27 août 2026)** confirme un redressement partiel : PNB de 134,059 Mds FCFA (+1,6%) et résultat net de 53,350 Mds FCFA (+0,5%), avec un coefficient d'exploitation amélioré à 36,7% et un ratio de solvabilité de 17,6%. Sur cette base, **on estime que l'exercice 2026 devrait clôturer sur un résultat net proche de 102-104 Mds FCFA**, soit une quasi-stagnation par rapport à 2025, la normalisation des coûts au S2 devant compenser le trou d'air du T1. Le **dividende 2025 proposé de 2 606 FCFA/action** (taux de distribution de 80%) offre un **rendement de 6,68%** au cours actuel de 39 000 FCFA, très attractif dans l'environnement de taux UEMOA.</w:t>
      </w:r>
    </w:p>
    <w:p>
      <w:pPr>
        <w:spacing w:after="120" w:line="276" w:lineRule="auto"/>
      </w:pPr>
      <w:r>
        <w:t>**Recommandation fondamentale** : SGBC demeure un **actif de qualité exceptionnelle** (notation AAA, leader avec 18% de parts de marché crédits), mais la **stagnation du résultat net (+0,1% en 2025, +0,5% au S1 2026)** et la **hausse du coût du risque (+29,2% en 2025)** limitent le potentiel de revalorisation à court terme. Le titre convient aux investisseurs recherchant **rendement et stabilité**, avec un biais haussier conditionné à l'amélioration de la qualité du portefeuille et à la confirmation de la maîtrise des coûts au S2 2026.</w:t>
      </w:r>
    </w:p>
    <w:p>
      <w:pPr>
        <w:spacing w:after="120" w:line="276" w:lineRule="auto"/>
      </w:pPr>
      <w:r>
        <w:t>---</w:t>
      </w:r>
    </w:p>
    <w:p>
      <w:pPr>
        <w:spacing w:after="120" w:line="276" w:lineRule="auto"/>
      </w:pPr>
      <w:r>
        <w:t>## PARTIE 4 : CONCLUSION D'INVESTISSEMENT</w:t>
      </w:r>
    </w:p>
    <w:p>
      <w:pPr>
        <w:spacing w:after="120" w:line="276" w:lineRule="auto"/>
      </w:pPr>
      <w:r>
        <w:t>La **valorisation (Partie 0)** apparaît raisonnable mais sans décote : PER de 12,0x (haut de fourchette BRVM), P/B de 2,45x (prime justifiée par le ROE de 20,47%) et EV/EBITDA de 24,7x (exigeant mais peu pertinent pour une banque). Le **comportement du cours (Partie 1)** est favorable : tendance haussière de +7,73% sur 100 jours, volatilité modérée (21,1%), dispersion faible (CV=2,0%) et skewness négative indiquant une résistance aux baisses — un profil défensif de qualité. Les **signaux techniques (Partie 2)** sont mitigés : convergence haussière MM/MACD mais saturation à court terme (Stochastique en surachat, RSI neutre haut), plaidant pour une consolidation avant reprise. Les **fondamentaux (Partie 3)** confirment la solidité structurelle (ROE 20,47%, coefficient d'exploitation 38,75%, solvabilité 17,6%) mais révèlent une **stagnation bénéficiaire** en 2025-2026 et une **dégradation du coût du risque**, tempérant l'enthousiasme. Les **prédictions IA (J+1 à J+10)** anticipent une **légère correction** vers 38 510-38 793 FCFA (-1,3% sur 10 jours), cohérente avec le signal de vente du Stochastique et le repli de J-1.</w:t>
      </w:r>
    </w:p>
    <w:p>
      <w:pPr>
        <w:spacing w:after="120" w:line="276" w:lineRule="auto"/>
      </w:pPr>
      <w:r>
        <w:t>**Synthèse** : Les signaux sont **globalement convergents vers une phase de consolidation** — la valorisation est correcte sans être bon marché, la technique invite à la patience, les fondamentaux sont solides mais sans catalyseur de croissance, et les prédictions IA confirment un tassement à court terme. Le rendement du dividende (6,68%) constitue le principal argument d'investissement.</w:t>
      </w:r>
    </w:p>
    <w:p>
      <w:pPr>
        <w:spacing w:after="120" w:line="276" w:lineRule="auto"/>
      </w:pPr>
      <w:r>
        <w:t>**Recommandation finale : CONSERVER**</w:t>
        <w:br/>
        <w:t>**Justification** : La convergence entre une valorisation raisonnable, des fondamentaux robustes (ROE &gt;20%, solvabilité confortable, dividende généreux) et une technique en consolidation plaide pour le maintien en portefeuille plutôt que l'achat ou la vente. Un passage à l'**ACHAT** serait justifié si le cours revenait vers 38 000-38 500 FCFA (zone de support MM50) ou si le S2 2026 confirmait l'inflexion du coût du risque et la reprise du PNB. Une **VENTE** ne se justifierait qu'en cas de dégradation supplémentaire de la rentabilité ou de cassure sous 37 800 FCFA (borne inférieure de Bollinger).</w:t>
      </w:r>
    </w:p>
    <w:p>
      <w:pPr>
        <w:spacing w:after="120" w:line="276" w:lineRule="auto"/>
      </w:pPr>
      <w:r>
        <w:t>**Niveau de confiance** : Moyen-Élevé (fondamentaux solides, mais visibilité limitée sur la reprise bénéficiaire)</w:t>
        <w:br/>
        <w:t>**Niveau de risque global** : Faible à Moyen (titre défensif, volatilité contenue, mais sensibilité au risque de crédit)</w:t>
        <w:br/>
        <w:t>**Horizon d'investissement optimal** : Moyen à long terme (6-18 mois), pour capturer le rendement du dividende et la normalisation progressive des coûts, avec un point d'entrée privilégié sous 38 500 FCFA.</w:t>
      </w:r>
    </w:p>
    <w:p>
      <w:pPr>
        <w:spacing w:after="120" w:line="276" w:lineRule="auto"/>
      </w:pPr>
      <w:r>
        <w:t>---</w:t>
      </w:r>
    </w:p>
    <w:p>
      <w:pPr>
        <w:spacing w:after="120" w:line="276" w:lineRule="auto"/>
      </w:pPr>
      <w:r>
        <w:t>*Rapport généré sur la base des données BRVM au 11 mai 2026, des états financiers 2025 (publiés le 17 avril 2026), des rapports T1 2026 (30 avril 2026) et S1 2026 (27 août 2026), et des analyses fondamentales disponibles. Les prédictions IA sont fournies à titre indicatif et ne constituent pas une garantie de performance.*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137.97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4,998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007800"/>
                <w:sz w:val="17"/>
              </w:rPr>
              <w:t>+12.60%</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9.65% (Moyenne) — μ=2,271 FCFA, σ=219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β=1.0118 (Neutre (suit le marché)) — Cov=0.000075, Var(idx)=0.000074, ρ=0.326,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2,070</w:t>
            </w:r>
          </w:p>
        </w:tc>
        <w:tc>
          <w:tcPr>
            <w:tcW w:type="dxa" w:w="1440"/>
            <w:shd w:fill="FAFAFA" w:val="clear"/>
          </w:tcPr>
          <w:p>
            <w:r>
              <w:rPr>
                <w:b/>
                <w:sz w:val="17"/>
              </w:rPr>
              <w:t>2,204</w:t>
            </w:r>
          </w:p>
        </w:tc>
        <w:tc>
          <w:tcPr>
            <w:tcW w:type="dxa" w:w="1440"/>
            <w:shd w:fill="FAFAFA" w:val="clear"/>
          </w:tcPr>
          <w:p>
            <w:r>
              <w:rPr>
                <w:sz w:val="17"/>
              </w:rPr>
              <w:t>2,339</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2,020</w:t>
            </w:r>
          </w:p>
        </w:tc>
        <w:tc>
          <w:tcPr>
            <w:tcW w:type="dxa" w:w="1440"/>
            <w:shd w:fill="FAFAFA" w:val="clear"/>
          </w:tcPr>
          <w:p>
            <w:r>
              <w:rPr>
                <w:b/>
                <w:sz w:val="17"/>
              </w:rPr>
              <w:t>2,210</w:t>
            </w:r>
          </w:p>
        </w:tc>
        <w:tc>
          <w:tcPr>
            <w:tcW w:type="dxa" w:w="1440"/>
            <w:shd w:fill="FAFAFA" w:val="clear"/>
          </w:tcPr>
          <w:p>
            <w:r>
              <w:rPr>
                <w:sz w:val="17"/>
              </w:rPr>
              <w:t>2,401</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1,983</w:t>
            </w:r>
          </w:p>
        </w:tc>
        <w:tc>
          <w:tcPr>
            <w:tcW w:type="dxa" w:w="1440"/>
            <w:shd w:fill="FAFAFA" w:val="clear"/>
          </w:tcPr>
          <w:p>
            <w:r>
              <w:rPr>
                <w:b/>
                <w:sz w:val="17"/>
              </w:rPr>
              <w:t>2,217</w:t>
            </w:r>
          </w:p>
        </w:tc>
        <w:tc>
          <w:tcPr>
            <w:tcW w:type="dxa" w:w="1440"/>
            <w:shd w:fill="FAFAFA" w:val="clear"/>
          </w:tcPr>
          <w:p>
            <w:r>
              <w:rPr>
                <w:sz w:val="17"/>
              </w:rPr>
              <w:t>2,451</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1,952</w:t>
            </w:r>
          </w:p>
        </w:tc>
        <w:tc>
          <w:tcPr>
            <w:tcW w:type="dxa" w:w="1440"/>
            <w:shd w:fill="FAFAFA" w:val="clear"/>
          </w:tcPr>
          <w:p>
            <w:r>
              <w:rPr>
                <w:b/>
                <w:sz w:val="17"/>
              </w:rPr>
              <w:t>2,223</w:t>
            </w:r>
          </w:p>
        </w:tc>
        <w:tc>
          <w:tcPr>
            <w:tcW w:type="dxa" w:w="1440"/>
            <w:shd w:fill="FAFAFA" w:val="clear"/>
          </w:tcPr>
          <w:p>
            <w:r>
              <w:rPr>
                <w:sz w:val="17"/>
              </w:rPr>
              <w:t>2,494</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1,923</w:t>
            </w:r>
          </w:p>
        </w:tc>
        <w:tc>
          <w:tcPr>
            <w:tcW w:type="dxa" w:w="1440"/>
            <w:shd w:fill="FAFAFA" w:val="clear"/>
          </w:tcPr>
          <w:p>
            <w:r>
              <w:rPr>
                <w:b/>
                <w:sz w:val="17"/>
              </w:rPr>
              <w:t>2,227</w:t>
            </w:r>
          </w:p>
        </w:tc>
        <w:tc>
          <w:tcPr>
            <w:tcW w:type="dxa" w:w="1440"/>
            <w:shd w:fill="FAFAFA" w:val="clear"/>
          </w:tcPr>
          <w:p>
            <w:r>
              <w:rPr>
                <w:sz w:val="17"/>
              </w:rPr>
              <w:t>2,531</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1,898</w:t>
            </w:r>
          </w:p>
        </w:tc>
        <w:tc>
          <w:tcPr>
            <w:tcW w:type="dxa" w:w="1440"/>
            <w:shd w:fill="FAFAFA" w:val="clear"/>
          </w:tcPr>
          <w:p>
            <w:r>
              <w:rPr>
                <w:b/>
                <w:sz w:val="17"/>
              </w:rPr>
              <w:t>2,231</w:t>
            </w:r>
          </w:p>
        </w:tc>
        <w:tc>
          <w:tcPr>
            <w:tcW w:type="dxa" w:w="1440"/>
            <w:shd w:fill="FAFAFA" w:val="clear"/>
          </w:tcPr>
          <w:p>
            <w:r>
              <w:rPr>
                <w:sz w:val="17"/>
              </w:rPr>
              <w:t>2,564</w:t>
            </w:r>
          </w:p>
        </w:tc>
        <w:tc>
          <w:tcPr>
            <w:tcW w:type="dxa" w:w="1440"/>
            <w:shd w:fill="FAFAFA" w:val="clear"/>
          </w:tcPr>
          <w:p>
            <w:r>
              <w:rPr>
                <w:b/>
                <w:color w:val="008000"/>
                <w:sz w:val="17"/>
              </w:rPr>
              <w:t>+1.9%</w:t>
            </w:r>
          </w:p>
        </w:tc>
      </w:tr>
      <w:tr>
        <w:tc>
          <w:tcPr>
            <w:tcW w:type="dxa" w:w="1440"/>
            <w:shd w:fill="C6EFCE" w:val="clear"/>
          </w:tcPr>
          <w:p>
            <w:r>
              <w:rPr>
                <w:sz w:val="17"/>
              </w:rPr>
              <w:t>J+7  ⭐</w:t>
            </w:r>
          </w:p>
        </w:tc>
        <w:tc>
          <w:tcPr>
            <w:tcW w:type="dxa" w:w="1440"/>
            <w:shd w:fill="C6EFCE" w:val="clear"/>
          </w:tcPr>
          <w:p>
            <w:r>
              <w:rPr>
                <w:sz w:val="17"/>
              </w:rPr>
              <w:t>2026-10-22</w:t>
            </w:r>
          </w:p>
        </w:tc>
        <w:tc>
          <w:tcPr>
            <w:tcW w:type="dxa" w:w="1440"/>
            <w:shd w:fill="C6EFCE" w:val="clear"/>
          </w:tcPr>
          <w:p>
            <w:r>
              <w:rPr>
                <w:sz w:val="17"/>
              </w:rPr>
              <w:t>1,873</w:t>
            </w:r>
          </w:p>
        </w:tc>
        <w:tc>
          <w:tcPr>
            <w:tcW w:type="dxa" w:w="1440"/>
            <w:shd w:fill="C6EFCE" w:val="clear"/>
          </w:tcPr>
          <w:p>
            <w:r>
              <w:rPr>
                <w:b/>
                <w:sz w:val="17"/>
              </w:rPr>
              <w:t>2,234</w:t>
            </w:r>
          </w:p>
        </w:tc>
        <w:tc>
          <w:tcPr>
            <w:tcW w:type="dxa" w:w="1440"/>
            <w:shd w:fill="C6EFCE" w:val="clear"/>
          </w:tcPr>
          <w:p>
            <w:r>
              <w:rPr>
                <w:sz w:val="17"/>
              </w:rPr>
              <w:t>2,594</w:t>
            </w:r>
          </w:p>
        </w:tc>
        <w:tc>
          <w:tcPr>
            <w:tcW w:type="dxa" w:w="1440"/>
            <w:shd w:fill="C6EFCE"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2026-10-23</w:t>
            </w:r>
          </w:p>
        </w:tc>
        <w:tc>
          <w:tcPr>
            <w:tcW w:type="dxa" w:w="1440"/>
            <w:shd w:fill="C6EFCE" w:val="clear"/>
          </w:tcPr>
          <w:p>
            <w:r>
              <w:rPr>
                <w:sz w:val="17"/>
              </w:rPr>
              <w:t>1,851</w:t>
            </w:r>
          </w:p>
        </w:tc>
        <w:tc>
          <w:tcPr>
            <w:tcW w:type="dxa" w:w="1440"/>
            <w:shd w:fill="C6EFCE" w:val="clear"/>
          </w:tcPr>
          <w:p>
            <w:r>
              <w:rPr>
                <w:b/>
                <w:sz w:val="17"/>
              </w:rPr>
              <w:t>2,236</w:t>
            </w:r>
          </w:p>
        </w:tc>
        <w:tc>
          <w:tcPr>
            <w:tcW w:type="dxa" w:w="1440"/>
            <w:shd w:fill="C6EFCE" w:val="clear"/>
          </w:tcPr>
          <w:p>
            <w:r>
              <w:rPr>
                <w:sz w:val="17"/>
              </w:rPr>
              <w:t>2,622</w:t>
            </w:r>
          </w:p>
        </w:tc>
        <w:tc>
          <w:tcPr>
            <w:tcW w:type="dxa" w:w="1440"/>
            <w:shd w:fill="C6EFCE" w:val="clear"/>
          </w:tcPr>
          <w:p>
            <w:r>
              <w:rPr>
                <w:b/>
                <w:color w:val="008000"/>
                <w:sz w:val="17"/>
              </w:rPr>
              <w:t>+2.1%</w:t>
            </w:r>
          </w:p>
        </w:tc>
      </w:tr>
      <w:tr>
        <w:tc>
          <w:tcPr>
            <w:tcW w:type="dxa" w:w="1440"/>
            <w:shd w:fill="C6EFCE" w:val="clear"/>
          </w:tcPr>
          <w:p>
            <w:r>
              <w:rPr>
                <w:sz w:val="17"/>
              </w:rPr>
              <w:t>J+9  ⭐</w:t>
            </w:r>
          </w:p>
        </w:tc>
        <w:tc>
          <w:tcPr>
            <w:tcW w:type="dxa" w:w="1440"/>
            <w:shd w:fill="C6EFCE" w:val="clear"/>
          </w:tcPr>
          <w:p>
            <w:r>
              <w:rPr>
                <w:sz w:val="17"/>
              </w:rPr>
              <w:t>2026-10-26</w:t>
            </w:r>
          </w:p>
        </w:tc>
        <w:tc>
          <w:tcPr>
            <w:tcW w:type="dxa" w:w="1440"/>
            <w:shd w:fill="C6EFCE" w:val="clear"/>
          </w:tcPr>
          <w:p>
            <w:r>
              <w:rPr>
                <w:sz w:val="17"/>
              </w:rPr>
              <w:t>1,829</w:t>
            </w:r>
          </w:p>
        </w:tc>
        <w:tc>
          <w:tcPr>
            <w:tcW w:type="dxa" w:w="1440"/>
            <w:shd w:fill="C6EFCE" w:val="clear"/>
          </w:tcPr>
          <w:p>
            <w:r>
              <w:rPr>
                <w:b/>
                <w:sz w:val="17"/>
              </w:rPr>
              <w:t>2,239</w:t>
            </w:r>
          </w:p>
        </w:tc>
        <w:tc>
          <w:tcPr>
            <w:tcW w:type="dxa" w:w="1440"/>
            <w:shd w:fill="C6EFCE" w:val="clear"/>
          </w:tcPr>
          <w:p>
            <w:r>
              <w:rPr>
                <w:sz w:val="17"/>
              </w:rPr>
              <w:t>2,648</w:t>
            </w:r>
          </w:p>
        </w:tc>
        <w:tc>
          <w:tcPr>
            <w:tcW w:type="dxa" w:w="1440"/>
            <w:shd w:fill="C6EFCE" w:val="clear"/>
          </w:tcPr>
          <w:p>
            <w:r>
              <w:rPr>
                <w:b/>
                <w:color w:val="008000"/>
                <w:sz w:val="17"/>
              </w:rPr>
              <w:t>+2.2%</w:t>
            </w:r>
          </w:p>
        </w:tc>
      </w:tr>
      <w:tr>
        <w:tc>
          <w:tcPr>
            <w:tcW w:type="dxa" w:w="1440"/>
            <w:shd w:fill="C6EFCE" w:val="clear"/>
          </w:tcPr>
          <w:p>
            <w:r>
              <w:rPr>
                <w:sz w:val="17"/>
              </w:rPr>
              <w:t>J+10  ⭐</w:t>
            </w:r>
          </w:p>
        </w:tc>
        <w:tc>
          <w:tcPr>
            <w:tcW w:type="dxa" w:w="1440"/>
            <w:shd w:fill="C6EFCE" w:val="clear"/>
          </w:tcPr>
          <w:p>
            <w:r>
              <w:rPr>
                <w:sz w:val="17"/>
              </w:rPr>
              <w:t>2026-10-27</w:t>
            </w:r>
          </w:p>
        </w:tc>
        <w:tc>
          <w:tcPr>
            <w:tcW w:type="dxa" w:w="1440"/>
            <w:shd w:fill="C6EFCE" w:val="clear"/>
          </w:tcPr>
          <w:p>
            <w:r>
              <w:rPr>
                <w:sz w:val="17"/>
              </w:rPr>
              <w:t>1,809</w:t>
            </w:r>
          </w:p>
        </w:tc>
        <w:tc>
          <w:tcPr>
            <w:tcW w:type="dxa" w:w="1440"/>
            <w:shd w:fill="C6EFCE" w:val="clear"/>
          </w:tcPr>
          <w:p>
            <w:r>
              <w:rPr>
                <w:b/>
                <w:sz w:val="17"/>
              </w:rPr>
              <w:t>2,241</w:t>
            </w:r>
          </w:p>
        </w:tc>
        <w:tc>
          <w:tcPr>
            <w:tcW w:type="dxa" w:w="1440"/>
            <w:shd w:fill="C6EFCE" w:val="clear"/>
          </w:tcPr>
          <w:p>
            <w:r>
              <w:rPr>
                <w:sz w:val="17"/>
              </w:rPr>
              <w:t>2,673</w:t>
            </w:r>
          </w:p>
        </w:tc>
        <w:tc>
          <w:tcPr>
            <w:tcW w:type="dxa" w:w="1440"/>
            <w:shd w:fill="C6EFCE" w:val="clear"/>
          </w:tcPr>
          <w:p>
            <w:r>
              <w:rPr>
                <w:b/>
                <w:color w:val="008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137,97 milliards FCFA, SHEC se positionne parmi les valeurs de taille intermédiaire à supérieure du compartiment industriel de la BRVM, ce qui traduit une liquidité relative et une visibilité institutionnelle non négligeables. Le BPA de 96 FCFA/action signifie que chaque titre génère près d'un centième de sa valeur en bénéfice net, mais le PER de 22,9x indique que les investisseurs paient environ 23 fois les bénéfices, soit un multiple nettement supérieur à la moyenne BRVM (8-12x) — ce qui intègre une prime de croissance ou, plus probablement, une surévaluation relative au regard de la faible marge nette (1%). Le P/B de 5,08x confirme cette exigence : le marché valorise la société à plus de cinq fois ses fonds propres comptables (27,16 Mds FCFA), une prime qui n'est justifiable que par la qualité de la marque (Shell/Vivo) et la régularité du dividende. Enfin, l'EV/EBITDA de 12,5x, dans la fourchette haute (10-15x), suggère que la valeur d'entreprise intègre déjà une bonne partie de la capacité opérationnelle, limitant le potentiel d'appréciation à court terme sans amélioration significative de la rentabilité.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SHEC affiche une variation totale positive de +12,60%, mais la dernière séance (J-1) recule de -1,13%, signalant une prise de bénéfices après un rallye haussier. Le titre évolue dans un range large de 1 900 FCFA (plus bas) à 2 980 FCFA (plus haut), soit une amplitude de plus de 56%, ce qui témoigne d'une forte volatilité intra-période. La tendance générale reste haussière sur la période, mais le cours actuel (2 190 FCFA) se situe en dessous de la moyenne (2 271 FCFA) et de la médiane (2 202 FCFA), indiquant une correction en cours depuis les sommets. Les statistiques descriptives révèlent une distribution asymétrique positive (skewness = 1,049), avec plus de journées sous la moyenne que au-dessus, et un kurtosis de 1,548 (leptokurtique) signalant des queues épaisses et un risque de pics de volatilité. L'écart-type de 220 FCFA (CV = 9,7%) traduit une dispersion modérée autour de la moyenne, mais la volatilité annualisée de 42,2% classe le titre dans la catégorie « élevée » (&gt;30%), ce qui implique un risque significatif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(2 476,25 FCFA) et la MM50 (2 427,60 FCFA) se situent toutes deux au-dessus du cours actuel (2 190 FCFA), ce qui place le titre en zone de pression baissière à court et moyen terme. Cependant, la MM20 étant supérieure à la MM50, la configuration reste théoriquement haussière (croisement doré antérieur), justifiant la décision « Achat » sur ce seul indicateur — mais la distance entre le cours et les moyennes suggère un potentiel de rebond technique vers 2 400-2 500 FCFA.</w:t>
      </w:r>
    </w:p>
    <w:p>
      <w:pPr>
        <w:spacing w:after="120" w:line="276" w:lineRule="auto"/>
      </w:pPr>
      <w:r>
        <w:t>**Bandes de Bollinger** : Le cours (2 190 FCFA) se situe dans la moitié inférieure de la bande, entre la borne inférieure (1 930,04 FCFA) et la borne supérieure (3 022,46 FCFA), sans atteindre la zone de survente extrême. La largeur des bandes (amplitude de 1 092 FCFA) reflète une volatilité élevée, et la décision « Neutre » indique que le titre n'est ni en surachat ni en survente selon ce critère, laissant la porte ouverte à une consolidation avant un nouveau mouvement directionnel.</w:t>
      </w:r>
    </w:p>
    <w:p>
      <w:pPr>
        <w:spacing w:after="120" w:line="276" w:lineRule="auto"/>
      </w:pPr>
      <w:r>
        <w:t>**MACD** : La valeur du MACD (-80,516) est inférieure à son signal (-45,727), confirmant un momentum baissier en cours. La divergence négative entre les deux lignes indique que la pression vendeuse persiste, justifiant la décision « Vente » — mais l'écart se réduit, ce qui pourrait annoncer un retournement à moyen terme si le cours stabilise au-dessus de 2 200 FCFA.</w:t>
      </w:r>
    </w:p>
    <w:p>
      <w:pPr>
        <w:spacing w:after="120" w:line="276" w:lineRule="auto"/>
      </w:pPr>
      <w:r>
        <w:t>**RSI** : À 19,497, le RSI est en zone de survente profonde (&lt;30), ce qui constitue un signal d'achat technique classique. Cette lecture contredit le MACD et suggère que le titre pourrait être survendu à court terme, avec un potentiel de rebond technique imminent, justifiant la décision « Achat ».</w:t>
      </w:r>
    </w:p>
    <w:p>
      <w:pPr>
        <w:spacing w:after="120" w:line="276" w:lineRule="auto"/>
      </w:pPr>
      <w:r>
        <w:t>**Stochastique** : Le %K (0,0) et le %D (1,728) sont tous deux en zone extrême de survente, avec un %K au plancher absolu. Cette configuration est typique d'un épuisement de la pression vendeuse et précède souvent un rebond, justifiant la décision « Achat » — mais la faiblesse du %D suggère que la confirmation d'un retournement n'est pas encore acquise.</w:t>
      </w:r>
    </w:p>
    <w:p>
      <w:pPr>
        <w:spacing w:after="120" w:line="276" w:lineRule="auto"/>
      </w:pPr>
      <w:r>
        <w:t>**Conclusion technique** : Les indicateurs sont divergents : le MACD reste baissier, tandis que le RSI et le Stochastique signalent une survente extrême propice à un rebond. Les moyennes mobiles, bien qu'orientées à la baisse à court terme, conservent une structure haussière de fond. La convergence des signaux de survente (RSI &lt;20, Stochastique à 0) et la position du cours dans les bandes de Bollinger plaident pour un rebond technique vers 2 400-2 500 FCFA, mais la prudence reste de mise tant que le MACD n'aura pas croisé son signal à la hausse.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Côte d'Ivoire) a réalisé un chiffre d'affaires de 604,978 milliards FCFA, en très légère hausse de +0,71% par rapport à 2024 (600,708 Mds FCFA), selon les états financiers provisoires au 31/12/2025 analysés par DeepSeek le 04/06/2026. Le résultat net s'établit à 6,028 milliards FCFA, en progression de +12,6% (contre 5,354 Mds en 2024), porté par une amélioration de la valeur ajoutée (+15%), une baisse des charges financières (-17,7%) et une hausse de l'EBE (+18,5%). Le ROE ressort à 22,20% (excellent, &gt;15%), mais le ROA n'est que de 3,11%, reflétant la faible rotation des actifs (312,55%) et la marge nette très étroite (0,9964%). En tant qu'entreprise de distribution pétrolière, SHEC affiche un BFR de 15,315 Mds FCFA (positif, donc défavorable), un délai client de 23,27 jours (risque de trésorerie modéré) et un délai fournisseur de 35,47 jours (favorable à la trésorerie). La structure financière est préoccupante : autonomie financière de seulement 14,03% (seuil sain &gt;30%), dépendance financière de 85,97%, trésorerie nette de -65,264 Mds FCFA et un ratio de liquidité immédiate de 5,97% (très faible). Le rapport du 22/07/2026 (analyse automatique) et celui du 05/05/2026 (DeepSeek) confirment ces tendances, tout en soulignant la volatilité des volumes au T1 2026 (CA en baisse de -9% à 141,649 Mds FCFA) et la dégradation du résultat financier (-31%) liée à l'utilisation accrue des découverts bancaires (trésorerie passive de 70,297 Mds FCFA, +27%). Le rapport du 30/06/2026 (S1 2026) indique un CA de 305,038 Mds FCFA (-1%) et un résultat net de 3,016 Mds FCFA (+0,99% de marge nette), avec un résultat d'exploitation en hausse de +17% à 6,133 Mds FCFA grâce au butane. Sur la base de ces rapports trimestriels, on estime que l'exercice 2026 devrait clôturer avec un CA stable autour de 600-610 Mds FCFA et un résultat net légèrement supérieur à 6 Mds FCFA, mais la pression sur la trésorerie et l'endettement court terme reste le principal risque. La politique de dividende est généreuse (6,09 Mds FCFA proposés pour 2025, soit 1 933 FCFA/action, un taux de distribution de 101%), mais elle fragilise davantage la structure financière. En conclusion, la solidité opérationnelle est réelle (ROE &gt;20%, bénéfice en croissance), mais la fragilité financière (trésorerie nette négative, endettement élevé) et la faible marge nette (1%)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apparaît exigeante : PER de 22,9x (vs 8-12x pour la BRVM), P/B de 5,08x et EV/EBITDA de 12,5x intègrent déjà une prime de qualité et de rendement, sans marge de sécurité évidente. Le comportement du cours sur 100 jours est haussier (+12,60%) mais la correction récente (-1,13% en J-1) et la volatilité élevée (42,2% annualisée) avec un kurtosis leptokurtique (1,548) et un skewness positif (1,049) signalent un risque de pics baissiers. Les signaux techniques sont divergents : le MACD reste baissier, mais le RSI (19,5) et le Stochastique (0,0) sont en survente extrême, ce qui plaide pour un rebond technique à court terme vers 2 400-2 500 FCFA. Les fondamentaux sont mitigés : ROE excellent (22,20%) et bénéfice en croissance (+12,6% en 2025), mais trésorerie nette très négative (-65,26 Mds FCFA), autonomie financière faible (14,03%) et marge nette quasi nulle (1%). Les prédictions IA (J+1 à J+10) tablent sur une légère hausse de 2 204 à 2 227 FCFA (+1,7%), ce qui confirme un rebond technique modéré mais ne remet pas en cause la tendance baissière de fond. **Recommandation finale : CONSERVER.** La convergence entre la survente technique (potentiel de rebond) et la solidité opérationnelle (ROE &gt;20%, dividende attractif) justifie le maintien en portefeuille pour les investisseurs de rendement, mais la surévaluation (PER 22,9x), la fragilité financière (trésorerie nette négative) et la volatilité élevée (42,2%) interdisent un renforcement à ce stade. Le niveau de confiance est **Moyen** (divergence entre technique et fondamental), le risque global est **Élevé** (volatilité, endettement, liquidité), et l'horizon optimal est **moyen terme (3-12 mois)** , en attendant la publication des comptes définitifs 2025 et des résultats du S1 2026 pour confirmer ou infirmer la tendance.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11,308 titres</w:t>
            </w:r>
          </w:p>
        </w:tc>
        <w:tc>
          <w:tcPr>
            <w:tcW w:type="dxa" w:w="2268"/>
            <w:shd w:fill="FFF2CC" w:val="clear"/>
          </w:tcPr>
          <w:p>
            <w:r>
              <w:rPr>
                <w:b/>
                <w:color w:val="503200"/>
                <w:sz w:val="16"/>
              </w:rPr>
              <w:t xml:space="preserve">Cours actuel : </w:t>
            </w:r>
            <w:r>
              <w:rPr>
                <w:color w:val="000000"/>
                <w:sz w:val="17"/>
              </w:rPr>
              <w:t>8,700 FCFA</w:t>
            </w:r>
          </w:p>
          <w:p>
            <w:r>
              <w:rPr>
                <w:b/>
                <w:color w:val="503200"/>
                <w:sz w:val="16"/>
              </w:rPr>
              <w:t xml:space="preserve">Var. 100 jours : </w:t>
            </w:r>
            <w:r>
              <w:rPr>
                <w:b/>
                <w:color w:val="007800"/>
                <w:sz w:val="17"/>
              </w:rPr>
              <w:t>+11.61%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7,700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7.5/100 → Faible</w:t>
      </w:r>
    </w:p>
    <w:p>
      <w:pPr>
        <w:spacing w:before="40" w:after="80"/>
      </w:pPr>
      <w:r>
        <w:rPr>
          <w:rFonts w:ascii="Courier New" w:hAnsi="Courier New"/>
          <w:color w:val="006400"/>
          <w:sz w:val="18"/>
        </w:rPr>
        <w:t>█░░░░░░░░░░░░░░░░░░░  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3.73% (Faible) — μ=8,921 FCFA, σ=333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β=0.7376 (Défensif) — Cov=0.000055, Var(idx)=0.000074, ρ=0.329,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11,308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σ_j=1.91%/j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8,388</w:t>
            </w:r>
          </w:p>
        </w:tc>
        <w:tc>
          <w:tcPr>
            <w:tcW w:type="dxa" w:w="1440"/>
            <w:shd w:fill="FAFAFA" w:val="clear"/>
          </w:tcPr>
          <w:p>
            <w:r>
              <w:rPr>
                <w:b/>
                <w:sz w:val="17"/>
              </w:rPr>
              <w:t>8,652</w:t>
            </w:r>
          </w:p>
        </w:tc>
        <w:tc>
          <w:tcPr>
            <w:tcW w:type="dxa" w:w="1440"/>
            <w:shd w:fill="FAFAFA" w:val="clear"/>
          </w:tcPr>
          <w:p>
            <w:r>
              <w:rPr>
                <w:sz w:val="17"/>
              </w:rPr>
              <w:t>8,916</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8,233</w:t>
            </w:r>
          </w:p>
        </w:tc>
        <w:tc>
          <w:tcPr>
            <w:tcW w:type="dxa" w:w="1440"/>
            <w:shd w:fill="FAFAFA" w:val="clear"/>
          </w:tcPr>
          <w:p>
            <w:r>
              <w:rPr>
                <w:b/>
                <w:sz w:val="17"/>
              </w:rPr>
              <w:t>8,604</w:t>
            </w:r>
          </w:p>
        </w:tc>
        <w:tc>
          <w:tcPr>
            <w:tcW w:type="dxa" w:w="1440"/>
            <w:shd w:fill="FAFAFA" w:val="clear"/>
          </w:tcPr>
          <w:p>
            <w:r>
              <w:rPr>
                <w:sz w:val="17"/>
              </w:rPr>
              <w:t>8,975</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8,109</w:t>
            </w:r>
          </w:p>
        </w:tc>
        <w:tc>
          <w:tcPr>
            <w:tcW w:type="dxa" w:w="1440"/>
            <w:shd w:fill="FAFAFA" w:val="clear"/>
          </w:tcPr>
          <w:p>
            <w:r>
              <w:rPr>
                <w:b/>
                <w:sz w:val="17"/>
              </w:rPr>
              <w:t>8,561</w:t>
            </w:r>
          </w:p>
        </w:tc>
        <w:tc>
          <w:tcPr>
            <w:tcW w:type="dxa" w:w="1440"/>
            <w:shd w:fill="FAFAFA" w:val="clear"/>
          </w:tcPr>
          <w:p>
            <w:r>
              <w:rPr>
                <w:sz w:val="17"/>
              </w:rPr>
              <w:t>9,013</w:t>
            </w:r>
          </w:p>
        </w:tc>
        <w:tc>
          <w:tcPr>
            <w:tcW w:type="dxa" w:w="1440"/>
            <w:shd w:fill="FAFAFA" w:val="clear"/>
          </w:tcPr>
          <w:p>
            <w:r>
              <w:rPr>
                <w:b/>
                <w:color w:val="C00000"/>
                <w:sz w:val="17"/>
              </w:rPr>
              <w:t>-1.6%</w:t>
            </w:r>
          </w:p>
        </w:tc>
      </w:tr>
      <w:tr>
        <w:tc>
          <w:tcPr>
            <w:tcW w:type="dxa" w:w="1440"/>
            <w:shd w:fill="FFDCE0" w:val="clear"/>
          </w:tcPr>
          <w:p>
            <w:r>
              <w:rPr>
                <w:sz w:val="17"/>
              </w:rPr>
              <w:t>J+4  Moyenne</w:t>
            </w:r>
          </w:p>
        </w:tc>
        <w:tc>
          <w:tcPr>
            <w:tcW w:type="dxa" w:w="1440"/>
            <w:shd w:fill="FFDCE0" w:val="clear"/>
          </w:tcPr>
          <w:p>
            <w:r>
              <w:rPr>
                <w:sz w:val="17"/>
              </w:rPr>
              <w:t>2026-10-19</w:t>
            </w:r>
          </w:p>
        </w:tc>
        <w:tc>
          <w:tcPr>
            <w:tcW w:type="dxa" w:w="1440"/>
            <w:shd w:fill="FFDCE0" w:val="clear"/>
          </w:tcPr>
          <w:p>
            <w:r>
              <w:rPr>
                <w:sz w:val="17"/>
              </w:rPr>
              <w:t>8,002</w:t>
            </w:r>
          </w:p>
        </w:tc>
        <w:tc>
          <w:tcPr>
            <w:tcW w:type="dxa" w:w="1440"/>
            <w:shd w:fill="FFDCE0" w:val="clear"/>
          </w:tcPr>
          <w:p>
            <w:r>
              <w:rPr>
                <w:b/>
                <w:sz w:val="17"/>
              </w:rPr>
              <w:t>8,521</w:t>
            </w:r>
          </w:p>
        </w:tc>
        <w:tc>
          <w:tcPr>
            <w:tcW w:type="dxa" w:w="1440"/>
            <w:shd w:fill="FFDCE0" w:val="clear"/>
          </w:tcPr>
          <w:p>
            <w:r>
              <w:rPr>
                <w:sz w:val="17"/>
              </w:rPr>
              <w:t>9,041</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2026-10-20</w:t>
            </w:r>
          </w:p>
        </w:tc>
        <w:tc>
          <w:tcPr>
            <w:tcW w:type="dxa" w:w="1440"/>
            <w:shd w:fill="FFDCE0" w:val="clear"/>
          </w:tcPr>
          <w:p>
            <w:r>
              <w:rPr>
                <w:sz w:val="17"/>
              </w:rPr>
              <w:t>7,906</w:t>
            </w:r>
          </w:p>
        </w:tc>
        <w:tc>
          <w:tcPr>
            <w:tcW w:type="dxa" w:w="1440"/>
            <w:shd w:fill="FFDCE0" w:val="clear"/>
          </w:tcPr>
          <w:p>
            <w:r>
              <w:rPr>
                <w:b/>
                <w:sz w:val="17"/>
              </w:rPr>
              <w:t>8,484</w:t>
            </w:r>
          </w:p>
        </w:tc>
        <w:tc>
          <w:tcPr>
            <w:tcW w:type="dxa" w:w="1440"/>
            <w:shd w:fill="FFDCE0" w:val="clear"/>
          </w:tcPr>
          <w:p>
            <w:r>
              <w:rPr>
                <w:sz w:val="17"/>
              </w:rPr>
              <w:t>9,063</w:t>
            </w:r>
          </w:p>
        </w:tc>
        <w:tc>
          <w:tcPr>
            <w:tcW w:type="dxa" w:w="1440"/>
            <w:shd w:fill="FFDCE0" w:val="clear"/>
          </w:tcPr>
          <w:p>
            <w:r>
              <w:rPr>
                <w:b/>
                <w:color w:val="C00000"/>
                <w:sz w:val="17"/>
              </w:rPr>
              <w:t>-2.5%</w:t>
            </w:r>
          </w:p>
        </w:tc>
      </w:tr>
      <w:tr>
        <w:tc>
          <w:tcPr>
            <w:tcW w:type="dxa" w:w="1440"/>
            <w:shd w:fill="FFDCE0" w:val="clear"/>
          </w:tcPr>
          <w:p>
            <w:r>
              <w:rPr>
                <w:sz w:val="17"/>
              </w:rPr>
              <w:t>J+6  Moyenne</w:t>
            </w:r>
          </w:p>
        </w:tc>
        <w:tc>
          <w:tcPr>
            <w:tcW w:type="dxa" w:w="1440"/>
            <w:shd w:fill="FFDCE0" w:val="clear"/>
          </w:tcPr>
          <w:p>
            <w:r>
              <w:rPr>
                <w:sz w:val="17"/>
              </w:rPr>
              <w:t>2026-10-21</w:t>
            </w:r>
          </w:p>
        </w:tc>
        <w:tc>
          <w:tcPr>
            <w:tcW w:type="dxa" w:w="1440"/>
            <w:shd w:fill="FFDCE0" w:val="clear"/>
          </w:tcPr>
          <w:p>
            <w:r>
              <w:rPr>
                <w:sz w:val="17"/>
              </w:rPr>
              <w:t>7,818</w:t>
            </w:r>
          </w:p>
        </w:tc>
        <w:tc>
          <w:tcPr>
            <w:tcW w:type="dxa" w:w="1440"/>
            <w:shd w:fill="FFDCE0" w:val="clear"/>
          </w:tcPr>
          <w:p>
            <w:r>
              <w:rPr>
                <w:b/>
                <w:sz w:val="17"/>
              </w:rPr>
              <w:t>8,449</w:t>
            </w:r>
          </w:p>
        </w:tc>
        <w:tc>
          <w:tcPr>
            <w:tcW w:type="dxa" w:w="1440"/>
            <w:shd w:fill="FFDCE0" w:val="clear"/>
          </w:tcPr>
          <w:p>
            <w:r>
              <w:rPr>
                <w:sz w:val="17"/>
              </w:rPr>
              <w:t>9,080</w:t>
            </w:r>
          </w:p>
        </w:tc>
        <w:tc>
          <w:tcPr>
            <w:tcW w:type="dxa" w:w="1440"/>
            <w:shd w:fill="FFDCE0" w:val="clear"/>
          </w:tcPr>
          <w:p>
            <w:r>
              <w:rPr>
                <w:b/>
                <w:color w:val="C00000"/>
                <w:sz w:val="17"/>
              </w:rPr>
              <w:t>-2.9%</w:t>
            </w:r>
          </w:p>
        </w:tc>
      </w:tr>
      <w:tr>
        <w:tc>
          <w:tcPr>
            <w:tcW w:type="dxa" w:w="1440"/>
            <w:shd w:fill="FFDCE0" w:val="clear"/>
          </w:tcPr>
          <w:p>
            <w:r>
              <w:rPr>
                <w:sz w:val="17"/>
              </w:rPr>
              <w:t>J+7  Moyenne</w:t>
            </w:r>
          </w:p>
        </w:tc>
        <w:tc>
          <w:tcPr>
            <w:tcW w:type="dxa" w:w="1440"/>
            <w:shd w:fill="FFDCE0" w:val="clear"/>
          </w:tcPr>
          <w:p>
            <w:r>
              <w:rPr>
                <w:sz w:val="17"/>
              </w:rPr>
              <w:t>2026-10-22</w:t>
            </w:r>
          </w:p>
        </w:tc>
        <w:tc>
          <w:tcPr>
            <w:tcW w:type="dxa" w:w="1440"/>
            <w:shd w:fill="FFDCE0" w:val="clear"/>
          </w:tcPr>
          <w:p>
            <w:r>
              <w:rPr>
                <w:sz w:val="17"/>
              </w:rPr>
              <w:t>7,737</w:t>
            </w:r>
          </w:p>
        </w:tc>
        <w:tc>
          <w:tcPr>
            <w:tcW w:type="dxa" w:w="1440"/>
            <w:shd w:fill="FFDCE0" w:val="clear"/>
          </w:tcPr>
          <w:p>
            <w:r>
              <w:rPr>
                <w:b/>
                <w:sz w:val="17"/>
              </w:rPr>
              <w:t>8,416</w:t>
            </w:r>
          </w:p>
        </w:tc>
        <w:tc>
          <w:tcPr>
            <w:tcW w:type="dxa" w:w="1440"/>
            <w:shd w:fill="FFDCE0" w:val="clear"/>
          </w:tcPr>
          <w:p>
            <w:r>
              <w:rPr>
                <w:sz w:val="17"/>
              </w:rPr>
              <w:t>9,095</w:t>
            </w:r>
          </w:p>
        </w:tc>
        <w:tc>
          <w:tcPr>
            <w:tcW w:type="dxa" w:w="1440"/>
            <w:shd w:fill="FFDCE0" w:val="clear"/>
          </w:tcPr>
          <w:p>
            <w:r>
              <w:rPr>
                <w:b/>
                <w:color w:val="C00000"/>
                <w:sz w:val="17"/>
              </w:rPr>
              <w:t>-3.3%</w:t>
            </w:r>
          </w:p>
        </w:tc>
      </w:tr>
      <w:tr>
        <w:tc>
          <w:tcPr>
            <w:tcW w:type="dxa" w:w="1440"/>
            <w:shd w:fill="FFDCE0" w:val="clear"/>
          </w:tcPr>
          <w:p>
            <w:r>
              <w:rPr>
                <w:sz w:val="17"/>
              </w:rPr>
              <w:t>J+8  Moyenne</w:t>
            </w:r>
          </w:p>
        </w:tc>
        <w:tc>
          <w:tcPr>
            <w:tcW w:type="dxa" w:w="1440"/>
            <w:shd w:fill="FFDCE0" w:val="clear"/>
          </w:tcPr>
          <w:p>
            <w:r>
              <w:rPr>
                <w:sz w:val="17"/>
              </w:rPr>
              <w:t>2026-10-23</w:t>
            </w:r>
          </w:p>
        </w:tc>
        <w:tc>
          <w:tcPr>
            <w:tcW w:type="dxa" w:w="1440"/>
            <w:shd w:fill="FFDCE0" w:val="clear"/>
          </w:tcPr>
          <w:p>
            <w:r>
              <w:rPr>
                <w:sz w:val="17"/>
              </w:rPr>
              <w:t>7,661</w:t>
            </w:r>
          </w:p>
        </w:tc>
        <w:tc>
          <w:tcPr>
            <w:tcW w:type="dxa" w:w="1440"/>
            <w:shd w:fill="FFDCE0" w:val="clear"/>
          </w:tcPr>
          <w:p>
            <w:r>
              <w:rPr>
                <w:b/>
                <w:sz w:val="17"/>
              </w:rPr>
              <w:t>8,384</w:t>
            </w:r>
          </w:p>
        </w:tc>
        <w:tc>
          <w:tcPr>
            <w:tcW w:type="dxa" w:w="1440"/>
            <w:shd w:fill="FFDCE0" w:val="clear"/>
          </w:tcPr>
          <w:p>
            <w:r>
              <w:rPr>
                <w:sz w:val="17"/>
              </w:rPr>
              <w:t>9,108</w:t>
            </w:r>
          </w:p>
        </w:tc>
        <w:tc>
          <w:tcPr>
            <w:tcW w:type="dxa" w:w="1440"/>
            <w:shd w:fill="FFDCE0" w:val="clear"/>
          </w:tcPr>
          <w:p>
            <w:r>
              <w:rPr>
                <w:b/>
                <w:color w:val="C00000"/>
                <w:sz w:val="17"/>
              </w:rPr>
              <w:t>-3.6%</w:t>
            </w:r>
          </w:p>
        </w:tc>
      </w:tr>
      <w:tr>
        <w:tc>
          <w:tcPr>
            <w:tcW w:type="dxa" w:w="1440"/>
            <w:shd w:fill="FFDCE0" w:val="clear"/>
          </w:tcPr>
          <w:p>
            <w:r>
              <w:rPr>
                <w:sz w:val="17"/>
              </w:rPr>
              <w:t>J+9  Moyenne</w:t>
            </w:r>
          </w:p>
        </w:tc>
        <w:tc>
          <w:tcPr>
            <w:tcW w:type="dxa" w:w="1440"/>
            <w:shd w:fill="FFDCE0" w:val="clear"/>
          </w:tcPr>
          <w:p>
            <w:r>
              <w:rPr>
                <w:sz w:val="17"/>
              </w:rPr>
              <w:t>2026-10-26</w:t>
            </w:r>
          </w:p>
        </w:tc>
        <w:tc>
          <w:tcPr>
            <w:tcW w:type="dxa" w:w="1440"/>
            <w:shd w:fill="FFDCE0" w:val="clear"/>
          </w:tcPr>
          <w:p>
            <w:r>
              <w:rPr>
                <w:sz w:val="17"/>
              </w:rPr>
              <w:t>7,590</w:t>
            </w:r>
          </w:p>
        </w:tc>
        <w:tc>
          <w:tcPr>
            <w:tcW w:type="dxa" w:w="1440"/>
            <w:shd w:fill="FFDCE0" w:val="clear"/>
          </w:tcPr>
          <w:p>
            <w:r>
              <w:rPr>
                <w:b/>
                <w:sz w:val="17"/>
              </w:rPr>
              <w:t>8,355</w:t>
            </w:r>
          </w:p>
        </w:tc>
        <w:tc>
          <w:tcPr>
            <w:tcW w:type="dxa" w:w="1440"/>
            <w:shd w:fill="FFDCE0" w:val="clear"/>
          </w:tcPr>
          <w:p>
            <w:r>
              <w:rPr>
                <w:sz w:val="17"/>
              </w:rPr>
              <w:t>9,119</w:t>
            </w:r>
          </w:p>
        </w:tc>
        <w:tc>
          <w:tcPr>
            <w:tcW w:type="dxa" w:w="1440"/>
            <w:shd w:fill="FFDCE0" w:val="clear"/>
          </w:tcPr>
          <w:p>
            <w:r>
              <w:rPr>
                <w:b/>
                <w:color w:val="C00000"/>
                <w:sz w:val="17"/>
              </w:rPr>
              <w:t>-4.0%</w:t>
            </w:r>
          </w:p>
        </w:tc>
      </w:tr>
      <w:tr>
        <w:tc>
          <w:tcPr>
            <w:tcW w:type="dxa" w:w="1440"/>
            <w:shd w:fill="FFDCE0" w:val="clear"/>
          </w:tcPr>
          <w:p>
            <w:r>
              <w:rPr>
                <w:sz w:val="17"/>
              </w:rPr>
              <w:t>J+10  Moyenne</w:t>
            </w:r>
          </w:p>
        </w:tc>
        <w:tc>
          <w:tcPr>
            <w:tcW w:type="dxa" w:w="1440"/>
            <w:shd w:fill="FFDCE0" w:val="clear"/>
          </w:tcPr>
          <w:p>
            <w:r>
              <w:rPr>
                <w:sz w:val="17"/>
              </w:rPr>
              <w:t>2026-10-27</w:t>
            </w:r>
          </w:p>
        </w:tc>
        <w:tc>
          <w:tcPr>
            <w:tcW w:type="dxa" w:w="1440"/>
            <w:shd w:fill="FFDCE0" w:val="clear"/>
          </w:tcPr>
          <w:p>
            <w:r>
              <w:rPr>
                <w:sz w:val="17"/>
              </w:rPr>
              <w:t>7,523</w:t>
            </w:r>
          </w:p>
        </w:tc>
        <w:tc>
          <w:tcPr>
            <w:tcW w:type="dxa" w:w="1440"/>
            <w:shd w:fill="FFDCE0" w:val="clear"/>
          </w:tcPr>
          <w:p>
            <w:r>
              <w:rPr>
                <w:b/>
                <w:sz w:val="17"/>
              </w:rPr>
              <w:t>8,326</w:t>
            </w:r>
          </w:p>
        </w:tc>
        <w:tc>
          <w:tcPr>
            <w:tcW w:type="dxa" w:w="1440"/>
            <w:shd w:fill="FFDCE0" w:val="clear"/>
          </w:tcPr>
          <w:p>
            <w:r>
              <w:rPr>
                <w:sz w:val="17"/>
              </w:rPr>
              <w:t>9,129</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870,00 milliards FCFA, la SIBC figure parmi les valeurs les plus capitalisées de la BRVM, ce qui en fait un pilier du compartiment bancaire régional et un titre de référence pour les investisseurs institutionnels. Le BPA de 556 FCFA par action signifie que chaque titre génère un bénéfice net de 556 FCFA, ce qui, rapporté au cours actuel de 8 700 FCFA, donne un PER de 15,6x — un niveau supérieur à la moyenne du marché BRVM (généralement située entre 8x et 12x), indiquant que les investisseurs paient une prime pour la qualité et la régularité des résultats de la banque. Le P/B de 4,25x confirme cette appréciation exigeante : le marché valorise la SIBC à plus de quatre fois sa valeur comptable, ce qui traduit une forte confiance dans la rentabilité future mais laisse peu de marge de sécurité en cas de dégradation. Enfin, l'EV/EBITDA de 14,6x, bien qu'élevé dans l'absolu, reste cohérent avec les standards du secteur bancaire ouest-africain où la capacité bénéficiaire est structurellement solide.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affiche une progression totale de +11,61%, bien que la dernière séance (J-1) se soit soldée par un repli de -0,91%, signalant un essoufflement de court terme. Le cours actuel de 8 700 FCFA se situe dans la partie médiane de la fourchette de trading comprise entre un plus bas de 7 700 FCFA et un plus haut de 9 500 FCFA, ce qui témoigne d'une tendance haussière de fond mais avec une consolidation récente. Les statistiques descriptives révèlent une moyenne de 8 921 FCFA légèrement supérieure à la médiane de 8 995 FCFA — un écart minime qui indique une distribution quasi symétrique autour de la tendance centrale, avec un mode à 9 000 FCFA confirmant cette zone comme point d'équilibre psychologique. L'écart-type de 334 FCFA (CV de 3,7%) traduit une dispersion modérée du cours, tandis que le kurtosis de 3,455 (leptokurtique) signale des queues épaisses et donc un risque de pics de volatilité brutaux. Le skewness de -1,616, négatif, indique une asymétrie avec davantage de journées de baisse marquée que de hausse exceptionnelle — un signal prudent. Enfin, la volatilité annualisée de 30,4% place le titre dans la catégorie des valeurs à volatilité élevée (&gt;30%), ce qui implique un risque de portefeuille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(8 987,5 FCFA) et la MM50 (9 111,5 FCFA) se situent toutes deux au-dessus du cours actuel (8 700 FCFA), ce qui place le titre en configuration baissière de court et moyen terme. La MM20 étant inférieure à la MM50, on observe un croisement baissier (death cross) confirmant la pression vendeuse. La décision technique est donc logiquement à la **Vente**.</w:t>
      </w:r>
    </w:p>
    <w:p>
      <w:pPr>
        <w:spacing w:after="120" w:line="276" w:lineRule="auto"/>
      </w:pPr>
      <w:r>
        <w:t>**Bandes de Bollinger** : Le cours actuel (8 700 FCFA) évolue dans la partie basse de la bande, entre la borne inférieure (8 574,125 FCFA) et la borne supérieure (9 400,875 FCFA), sans franchissement des limites. Cette position médiane-basse traduit une volatilité modérée et une absence de signal directionnel fort, justifiant la décision **Neutre**.</w:t>
      </w:r>
    </w:p>
    <w:p>
      <w:pPr>
        <w:spacing w:after="120" w:line="276" w:lineRule="auto"/>
      </w:pPr>
      <w:r>
        <w:t>**MACD** : La valeur du MACD (-96,903) est inférieure à sa ligne de signal (-61,635), avec un histogramme négatif — configuration baissière classique. Le momentum est clairement négatif et la divergence entre les deux lignes se creuse, ce qui confirme la pression vendeuse et justifie la décision **Vente**.</w:t>
      </w:r>
    </w:p>
    <w:p>
      <w:pPr>
        <w:spacing w:after="120" w:line="276" w:lineRule="auto"/>
      </w:pPr>
      <w:r>
        <w:t>**RSI** : À 37,135, le RSI se situe dans la zone neutre basse (entre 30 et 70), sans atteindre le seuil de survente (&lt;30). Cela indique que le titre n'est pas encore techniquement survendu, mais qu'il s'approche d'une zone où un rebond technique pourrait se produire. La décision est donc **Neutre**.</w:t>
      </w:r>
    </w:p>
    <w:p>
      <w:pPr>
        <w:spacing w:after="120" w:line="276" w:lineRule="auto"/>
      </w:pPr>
      <w:r>
        <w:t>**Stochastique** : Le %K (29,231) est inférieur au %D (37,398), avec un croisement baissier récent. Le %K proche de 30 suggère une proximité de la zone de survente, mais l'absence de retournement haussier confirmé maintient la décision **Neutre**.</w:t>
      </w:r>
    </w:p>
    <w:p>
      <w:pPr>
        <w:spacing w:after="120" w:line="276" w:lineRule="auto"/>
      </w:pPr>
      <w:r>
        <w:t>**Conclusion technique** : La convergence des signaux baissiers (MM, MACD) et neutres (Bollinger, RSI, Stochastique) dresse un tableau technique mitigé à tendance baissière. Le titre est en phase de consolidation après une hausse de +11,61% sur 100 jours, et les indicateurs de momentum ne montrent pas encore de signe de retournement. Une prudence est de mise à court terme, avec une surveillance du RSI pour guetter un éventuel rebond depuis la zone de survente.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une banque solide et rentable : un Produit Net Bancaire (PNB) de 108,663 milliards FCFA, un résultat net de 55,623 milliards FCFA, un ROE exceptionnel de 27,16% (&gt;15% = excellent) et un ROA de 2,96%. Le coefficient d'exploitation de 38,59% est bien inférieur au seuil de 60%, confirmant une efficacité opérationnelle remarquable. Le ratio dépôts/crédits s'établit à 1 503,441 Mds FCFA de dépôts clientèle pour 1 226,720 Mds FCFA de créances clientèle, soit un taux de transformation de 81,6% — un niveau sain qui témoigne d'une bonne capacité à recycler les dépôts en crédits. Le coût du risque, bien que non explicitement fourni dans les données structurées, est à surveiller via les provisions de 14,124 Mds FCFA. Les rapports narratifs confirment cette dynamique : le rapport du **T1 2026 (analysé par DeepSeek le 07/05/2026)** fait état d'un PNB de 27,7 Mds FCFA (+4%) et d'un résultat net de 15,2 Mds FCFA (+11%), tandis que le rapport du **S1 2026 (analysé par DeepSeek le 29/09/2026)** rapporte un PNB de 56,592 Mds FCFA (+4,2%) et un résultat net de 32,140 Mds FCFA (+9,3%), avec un coût du risque en forte baisse (-75,3% à 287 M FCFA). Sur la base de ces tendances, on peut estimer que l'exercice 2026 devrait afficher un PNB annuel d'environ 113-115 Mds FCFA et un résultat net de l'ordre de 64-66 Mds FCFA, soit une croissance de 15-18% par rapport à 2025. Le rapport annuel 2024 (publié le 31/12/2024) indiquait déjà un ROE de 30,56% et un dividende de 375 FCFA/action, avec un rendement estimé de 10,55% — un signal fort pour les investisseurs de rendement. La recommandation fondamentale est donc **CONSERVER avec biais positif**, la banque affichant une solidité financière confirmée, une croissance régulière et une politique de dividende attractive, bien que la valorisation exigeante (P/B 4,25x) limite le potentiel de hausse immédiat.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notable entre la valorisation exigeante (PER 15,6x, P/B 4,25x, EV/EBITDA 14,6x) et les signaux techniques baissiers (MM en death cross, MACD négatif), tandis que les fondamentaux demeurent solides (ROE 27,16%, coefficient d'exploitation 38,59%, croissance du résultat net de +9,3% au S1 2026). Le comportement du cours sur 100 jours (+11,61%) est positif mais la volatilité élevée (30,4%) et le skewness négatif (-1,616) suggèrent une asymétrie défavorable avec un risque de correction. Les prédictions IA pour les 10 prochains jours (8652 → 8484 FCFA) confirment cette tendance baissière de court terme, avec une baisse attendue de -2,5% supplémentaires, ce qui contredit les fondamentaux solides mais s'aligne sur les signaux techniques. Dans ce contexte, la recommandation finale est **CONSERVER**, avec un niveau de confiance **Moyen** et un risque global **Moyen**. En effet, la convergence entre technique baissier et prédiction IA négative suggère d'éviter un achat immédiat, mais la solidité fondamentale et le rendement du dividende (estimé à 10,55% en 2024) justifient de ne pas vendre. L'horizon d'investissement optimal est le **moyen terme (3-12 mois)**, en attendant une clarification des résultats annuels 2026 et un retournement technique confirmé (RSI &gt; 50, MACD positif) pour envisager un renforcement. Les investisseurs déjà positionnés peuvent conserver le titre pour son rendement et sa qualité fondamentale, tandis que les nouveaux entrants devraient attendre une correction vers 8 400-8 500 FCFA pour améliorer leur point d'entrée.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β=-1.0837 (Contre-cyclique) — Cov=-0.000042, Var(idx)=0.000038, ρ=-0.175, n=82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ACTION SICC (SICOR CI)**</w:t>
        <w:br/>
        <w:t>**Bourse Régionale des Valeurs Mobilières (BRVM) — Secteur Agro-industriel**</w:t>
        <w:br/>
        <w:t>*Date d'analyse : mai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SICC s'établit à 5,04 milliards FCFA pour un cours de 8 400 FCFA, ce qui en fait une petite capitalisation au sein de la cote BRVM, typique des valeurs agro-industrielles secondaires. Les ratios de valorisation classiques (BPA, PER, P/B, EV/EBITDA) ne sont pas calculables en l'absence de données financières structurées récentes exploitables dans la base : le dernier résultat net connu et fiable remonte à l'exercice 2023 (+19,25 millions FCFA), ce qui donnerait un BPA indicatif d'environ 32 FCFA (pour 600 000 actions) et un PER théorique très élevé (~262x), largement au-dessus de la moyenne BRVM (8-12x). Cette absence de ratios actualisés empêche toute comparaison rigoureuse avec les pairs du secteur et invite à la plus grande prudence : le marché valorise aujourd'hui le titre sur des anticipations de redressement plutôt que sur des bénéfices tangibles.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SICC affiche une performance spectaculaire de +95,35%, malgré un repli de -1,12% lors de la dernière séance, portant le cours à 8 400 FCFA. Le titre a évolué dans un range très large, entre un plus bas de 3 985 FCFA et un plus haut de 10 200 FCFA, soit un écart de plus de 155%, signe d'une tendance nettement haussière mais extrêmement nerveuse. Les statistiques descriptives confirment cette asymétrie : la moyenne (5 815 FCFA) est très supérieure à la médiane (5 022 FCFA) et au mode (4 380 FCFA), ce qui traduit une distribution tirée vers le haut par des pics récents, avec un skewness positif de 0,913 indiquant davantage de journées sous la moyenne que de journées exceptionnelles. L'écart-type de 1 813 FCFA et le coefficient de variation de 31,2% révèlent une dispersion élevée du cours, tandis que le kurtosis de -0,630 (mésokurtique) suggère une distribution proche de la normale, sans risque extrême de pics violents. La volatilité annualisée de 58,2% classe clairement SICC parmi les titres à volatilité élevée (&gt;30%), ce qui implique un risque de marché important pour tout 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(7 205,0 FCFA) sont toutes deux inférieures au cours actuel (8 400 FCFA pour la MM20, largement au-dessus pour la MM50), ce qui confirme une configuration haussière de fond. Le croisement MM20 &gt; MM50 valide la dynamique positive, justifiant la décision d'**Achat**.</w:t>
      </w:r>
    </w:p>
    <w:p>
      <w:pPr>
        <w:spacing w:after="120" w:line="276" w:lineRule="auto"/>
      </w:pPr>
      <w:r>
        <w:t>**Bandes de Bollinger** : Le cours (8 400 FCFA) se situe entre la borne inférieure (7 354,78 FCFA) et la borne supérieure (9 589,72 FCFA), plus proche du milieu de bande, ce qui traduit une volatilité en cours de normalisation après le rallye. La décision est **Neutre**, le titre n'étant ni en zone de surachat extrême ni en zone de survente.</w:t>
      </w:r>
    </w:p>
    <w:p>
      <w:pPr>
        <w:spacing w:after="120" w:line="276" w:lineRule="auto"/>
      </w:pPr>
      <w:r>
        <w:t>**MACD** : La valeur du MACD (259,89) est inférieure à son signal (345,76), générant une divergence baissière qui indique un essoufflement du momentum haussier. Cette configuration justifie la décision de **Vente** à court terme, malgré la tendance de fond positive.</w:t>
      </w:r>
    </w:p>
    <w:p>
      <w:pPr>
        <w:spacing w:after="120" w:line="276" w:lineRule="auto"/>
      </w:pPr>
      <w:r>
        <w:t>**RSI** : À 61,16, le RSI se situe en zone neutre haute (30-70), sans atteindre le seuil de surachat de 70. La décision est **Neutre**, le titre conservant un potentiel de hausse mais sans excès manifeste.</w:t>
      </w:r>
    </w:p>
    <w:p>
      <w:pPr>
        <w:spacing w:after="120" w:line="276" w:lineRule="auto"/>
      </w:pPr>
      <w:r>
        <w:t>**Stochastique** : Le %K (85,71) et le %D (94,76) sont tous deux en zone de surachat (&gt;80), avec un %K inférieur au %D signalant un croisement baissier imminent. Cette configuration justifie la décision de **Vente** à court terme.</w:t>
      </w:r>
    </w:p>
    <w:p>
      <w:pPr>
        <w:spacing w:after="120" w:line="276" w:lineRule="auto"/>
      </w:pPr>
      <w:r>
        <w:t>**Conclusion technique** : Les indicateurs sont divergents — les moyennes mobiles confirment la tendance haussière de fond, mais le MACD et le stochastique signalent un essoufflement à court terme, tandis que le RSI et les Bollinger restent neutres. Cette configuration suggère une consolidation probable avant une éventuelle reprise, avec un risque de correction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de SICOR s'appuie sur les rapports officiels disponibles, dont les plus récents portent sur l'exercice 2023 (analysé le 15/03/2026) et l'exercice 2022 (analysé le 15/03/2026), complétés par des documents plus anciens (2015-2017). **En 2023**, le chiffre d'affaires s'établit à 701,09 millions FCFA, en baisse de 38,4% par rapport aux 1 138,17 millions FCFA de 2022, sous l'effet d'un effondrement des ventes d'huile de coprah (-98,82%) et de tourteaux (-86,03%). Malgré cette contraction, la société renoue avec la profitabilité avec un résultat net de **+19,25 millions FCFA** (contre -39,95 millions FCFA en 2022), soit une marge nette de 2,75%, grâce à une réduction drastique des charges (-43,68%) et au transfert de 50% du personnel vers la SIPAL. **En 2022**, le chiffre d'affaires était de 1 138,17 millions FCFA pour une perte nette de -39,95 millions FCFA (marge nette de -3,51%), marquant une inversion de tendance après quatre années bénéficiaires (2018-2021). Les rapports plus anciens (2015-2017) montrent une société historiquement rentable (résultat net de 100,57 millions FCFA en 2017, marge nette de 6,44%), mais déjà confrontée à une érosion de ses marges et à un endettement élevé. La structure financière reste fragile : les pertes cumulées s'élèvent à 689,86 millions FCFA en 2023, les découverts bancaires ont été multipliés par 14, et la trésorerie est tendue. La recommandation fondamentale est de **CONSERVER avec vigilance** : le retour à la profitabilité en 2023 est encourageant, mais la dépendance aux cours du coprah, les risques opérationnels (vols de noix de coco) et l'absence de dividende depuis 2017 limitent l'attractivité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**En valorisation (Partie 0)**, l'absence de ratios actualisés et le PER théorique très élevé (~262x) suggèrent une surévaluation manifeste par rapport aux bénéfices, le marché anticipant un redressement non encore confirmé. **Le comportement du cours (Partie 1)** est haussier (+95,35% sur 100 jours) mais extrêmement volatil (58,2% annualisé), avec une distribution asymétrique positivement (skewness 0,913) et un kurtosis proche de la normale, indiquant un risque de correction après le rallye. **Les signaux techniques (Partie 2)** sont divergents : les moyennes mobiles confirment la tendance haussière, mais le MACD et le stochastique signalent un essoufflement à court terme, plaidant pour une consolidation. **Les fondamentaux (Partie 3)** montrent une société en redressement fragile (retour à la profitabilité en 2023 avec +19,25 millions FCFA), mais toujours confrontée à des pertes cumulées élevées et à une trésorerie tendue. **Les prédictions IA (J+1 à J+10)** ne sont pas disponibles, ce qui ne permet pas de confirmer ou contredire les autres signaux. Sur cette base, la recommandation finale est de **CONSERVER** avec un niveau de confiance **Moyen** et un risque global **Élevé**. L'horizon d'investissement optimal est le **moyen terme (3-12 mois)**, le temps que la société confirme son redressement opérationnel et que les indicateurs techniques se stabilisent. Une entrée à court terme serait prématurée compte tenu des signaux de vente du MACD et du stochastique, tandis qu'une sortie serait injustifiée au vu de la dynamique haussière de fond et de l'amélioration des fondamentaux.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5,384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B40000"/>
                <w:sz w:val="17"/>
              </w:rPr>
              <w:t>-33.57%</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12.00% (Moyenne) — μ=2,378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β=0.4702 (Défensif) — Cov=0.000035, Var(idx)=0.000074, ρ=0.118,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2026-10-14</w:t>
            </w:r>
          </w:p>
        </w:tc>
        <w:tc>
          <w:tcPr>
            <w:tcW w:type="dxa" w:w="1440"/>
            <w:shd w:fill="C6EFCE" w:val="clear"/>
          </w:tcPr>
          <w:p>
            <w:r>
              <w:rPr>
                <w:sz w:val="17"/>
              </w:rPr>
              <w:t>1,854</w:t>
            </w:r>
          </w:p>
        </w:tc>
        <w:tc>
          <w:tcPr>
            <w:tcW w:type="dxa" w:w="1440"/>
            <w:shd w:fill="C6EFCE" w:val="clear"/>
          </w:tcPr>
          <w:p>
            <w:r>
              <w:rPr>
                <w:b/>
                <w:sz w:val="17"/>
              </w:rPr>
              <w:t>1,952</w:t>
            </w:r>
          </w:p>
        </w:tc>
        <w:tc>
          <w:tcPr>
            <w:tcW w:type="dxa" w:w="1440"/>
            <w:shd w:fill="C6EFCE" w:val="clear"/>
          </w:tcPr>
          <w:p>
            <w:r>
              <w:rPr>
                <w:sz w:val="17"/>
              </w:rPr>
              <w:t>2,051</w:t>
            </w:r>
          </w:p>
        </w:tc>
        <w:tc>
          <w:tcPr>
            <w:tcW w:type="dxa" w:w="1440"/>
            <w:shd w:fill="C6EFCE" w:val="clear"/>
          </w:tcPr>
          <w:p>
            <w:r>
              <w:rPr>
                <w:b/>
                <w:color w:val="008000"/>
                <w:sz w:val="17"/>
              </w:rPr>
              <w:t>+2.7%</w:t>
            </w:r>
          </w:p>
        </w:tc>
      </w:tr>
      <w:tr>
        <w:tc>
          <w:tcPr>
            <w:tcW w:type="dxa" w:w="1440"/>
            <w:shd w:fill="C6EFCE" w:val="clear"/>
          </w:tcPr>
          <w:p>
            <w:r>
              <w:rPr>
                <w:sz w:val="17"/>
              </w:rPr>
              <w:t>J+2  ⭐</w:t>
            </w:r>
          </w:p>
        </w:tc>
        <w:tc>
          <w:tcPr>
            <w:tcW w:type="dxa" w:w="1440"/>
            <w:shd w:fill="C6EFCE" w:val="clear"/>
          </w:tcPr>
          <w:p>
            <w:r>
              <w:rPr>
                <w:sz w:val="17"/>
              </w:rPr>
              <w:t>2026-10-15</w:t>
            </w:r>
          </w:p>
        </w:tc>
        <w:tc>
          <w:tcPr>
            <w:tcW w:type="dxa" w:w="1440"/>
            <w:shd w:fill="C6EFCE" w:val="clear"/>
          </w:tcPr>
          <w:p>
            <w:r>
              <w:rPr>
                <w:sz w:val="17"/>
              </w:rPr>
              <w:t>1,812</w:t>
            </w:r>
          </w:p>
        </w:tc>
        <w:tc>
          <w:tcPr>
            <w:tcW w:type="dxa" w:w="1440"/>
            <w:shd w:fill="C6EFCE" w:val="clear"/>
          </w:tcPr>
          <w:p>
            <w:r>
              <w:rPr>
                <w:b/>
                <w:sz w:val="17"/>
              </w:rPr>
              <w:t>1,951</w:t>
            </w:r>
          </w:p>
        </w:tc>
        <w:tc>
          <w:tcPr>
            <w:tcW w:type="dxa" w:w="1440"/>
            <w:shd w:fill="C6EFCE" w:val="clear"/>
          </w:tcPr>
          <w:p>
            <w:r>
              <w:rPr>
                <w:sz w:val="17"/>
              </w:rPr>
              <w:t>2,090</w:t>
            </w:r>
          </w:p>
        </w:tc>
        <w:tc>
          <w:tcPr>
            <w:tcW w:type="dxa" w:w="1440"/>
            <w:shd w:fill="C6EFCE" w:val="clear"/>
          </w:tcPr>
          <w:p>
            <w:r>
              <w:rPr>
                <w:b/>
                <w:color w:val="008000"/>
                <w:sz w:val="17"/>
              </w:rPr>
              <w:t>+2.7%</w:t>
            </w:r>
          </w:p>
        </w:tc>
      </w:tr>
      <w:tr>
        <w:tc>
          <w:tcPr>
            <w:tcW w:type="dxa" w:w="1440"/>
            <w:shd w:fill="C6EFCE" w:val="clear"/>
          </w:tcPr>
          <w:p>
            <w:r>
              <w:rPr>
                <w:sz w:val="17"/>
              </w:rPr>
              <w:t>J+3  ⭐</w:t>
            </w:r>
          </w:p>
        </w:tc>
        <w:tc>
          <w:tcPr>
            <w:tcW w:type="dxa" w:w="1440"/>
            <w:shd w:fill="C6EFCE" w:val="clear"/>
          </w:tcPr>
          <w:p>
            <w:r>
              <w:rPr>
                <w:sz w:val="17"/>
              </w:rPr>
              <w:t>2026-10-16</w:t>
            </w:r>
          </w:p>
        </w:tc>
        <w:tc>
          <w:tcPr>
            <w:tcW w:type="dxa" w:w="1440"/>
            <w:shd w:fill="C6EFCE" w:val="clear"/>
          </w:tcPr>
          <w:p>
            <w:r>
              <w:rPr>
                <w:sz w:val="17"/>
              </w:rPr>
              <w:t>1,783</w:t>
            </w:r>
          </w:p>
        </w:tc>
        <w:tc>
          <w:tcPr>
            <w:tcW w:type="dxa" w:w="1440"/>
            <w:shd w:fill="C6EFCE" w:val="clear"/>
          </w:tcPr>
          <w:p>
            <w:r>
              <w:rPr>
                <w:b/>
                <w:sz w:val="17"/>
              </w:rPr>
              <w:t>1,954</w:t>
            </w:r>
          </w:p>
        </w:tc>
        <w:tc>
          <w:tcPr>
            <w:tcW w:type="dxa" w:w="1440"/>
            <w:shd w:fill="C6EFCE" w:val="clear"/>
          </w:tcPr>
          <w:p>
            <w:r>
              <w:rPr>
                <w:sz w:val="17"/>
              </w:rPr>
              <w:t>2,125</w:t>
            </w:r>
          </w:p>
        </w:tc>
        <w:tc>
          <w:tcPr>
            <w:tcW w:type="dxa" w:w="1440"/>
            <w:shd w:fill="C6EFCE" w:val="clear"/>
          </w:tcPr>
          <w:p>
            <w:r>
              <w:rPr>
                <w:b/>
                <w:color w:val="008000"/>
                <w:sz w:val="17"/>
              </w:rPr>
              <w:t>+2.8%</w:t>
            </w:r>
          </w:p>
        </w:tc>
      </w:tr>
      <w:tr>
        <w:tc>
          <w:tcPr>
            <w:tcW w:type="dxa" w:w="1440"/>
            <w:shd w:fill="C6EFCE" w:val="clear"/>
          </w:tcPr>
          <w:p>
            <w:r>
              <w:rPr>
                <w:sz w:val="17"/>
              </w:rPr>
              <w:t>J+4  ⭐</w:t>
            </w:r>
          </w:p>
        </w:tc>
        <w:tc>
          <w:tcPr>
            <w:tcW w:type="dxa" w:w="1440"/>
            <w:shd w:fill="C6EFCE" w:val="clear"/>
          </w:tcPr>
          <w:p>
            <w:r>
              <w:rPr>
                <w:sz w:val="17"/>
              </w:rPr>
              <w:t>2026-10-19</w:t>
            </w:r>
          </w:p>
        </w:tc>
        <w:tc>
          <w:tcPr>
            <w:tcW w:type="dxa" w:w="1440"/>
            <w:shd w:fill="C6EFCE" w:val="clear"/>
          </w:tcPr>
          <w:p>
            <w:r>
              <w:rPr>
                <w:sz w:val="17"/>
              </w:rPr>
              <w:t>1,761</w:t>
            </w:r>
          </w:p>
        </w:tc>
        <w:tc>
          <w:tcPr>
            <w:tcW w:type="dxa" w:w="1440"/>
            <w:shd w:fill="C6EFCE" w:val="clear"/>
          </w:tcPr>
          <w:p>
            <w:r>
              <w:rPr>
                <w:b/>
                <w:sz w:val="17"/>
              </w:rPr>
              <w:t>1,959</w:t>
            </w:r>
          </w:p>
        </w:tc>
        <w:tc>
          <w:tcPr>
            <w:tcW w:type="dxa" w:w="1440"/>
            <w:shd w:fill="C6EFCE" w:val="clear"/>
          </w:tcPr>
          <w:p>
            <w:r>
              <w:rPr>
                <w:sz w:val="17"/>
              </w:rPr>
              <w:t>2,156</w:t>
            </w:r>
          </w:p>
        </w:tc>
        <w:tc>
          <w:tcPr>
            <w:tcW w:type="dxa" w:w="1440"/>
            <w:shd w:fill="C6EFCE" w:val="clear"/>
          </w:tcPr>
          <w:p>
            <w:r>
              <w:rPr>
                <w:b/>
                <w:color w:val="008000"/>
                <w:sz w:val="17"/>
              </w:rPr>
              <w:t>+3.1%</w:t>
            </w:r>
          </w:p>
        </w:tc>
      </w:tr>
      <w:tr>
        <w:tc>
          <w:tcPr>
            <w:tcW w:type="dxa" w:w="1440"/>
            <w:shd w:fill="C6EFCE" w:val="clear"/>
          </w:tcPr>
          <w:p>
            <w:r>
              <w:rPr>
                <w:sz w:val="17"/>
              </w:rPr>
              <w:t>J+5  ⭐</w:t>
            </w:r>
          </w:p>
        </w:tc>
        <w:tc>
          <w:tcPr>
            <w:tcW w:type="dxa" w:w="1440"/>
            <w:shd w:fill="C6EFCE" w:val="clear"/>
          </w:tcPr>
          <w:p>
            <w:r>
              <w:rPr>
                <w:sz w:val="17"/>
              </w:rPr>
              <w:t>2026-10-20</w:t>
            </w:r>
          </w:p>
        </w:tc>
        <w:tc>
          <w:tcPr>
            <w:tcW w:type="dxa" w:w="1440"/>
            <w:shd w:fill="C6EFCE" w:val="clear"/>
          </w:tcPr>
          <w:p>
            <w:r>
              <w:rPr>
                <w:sz w:val="17"/>
              </w:rPr>
              <w:t>1,742</w:t>
            </w:r>
          </w:p>
        </w:tc>
        <w:tc>
          <w:tcPr>
            <w:tcW w:type="dxa" w:w="1440"/>
            <w:shd w:fill="C6EFCE" w:val="clear"/>
          </w:tcPr>
          <w:p>
            <w:r>
              <w:rPr>
                <w:b/>
                <w:sz w:val="17"/>
              </w:rPr>
              <w:t>1,963</w:t>
            </w:r>
          </w:p>
        </w:tc>
        <w:tc>
          <w:tcPr>
            <w:tcW w:type="dxa" w:w="1440"/>
            <w:shd w:fill="C6EFCE" w:val="clear"/>
          </w:tcPr>
          <w:p>
            <w:r>
              <w:rPr>
                <w:sz w:val="17"/>
              </w:rPr>
              <w:t>2,185</w:t>
            </w:r>
          </w:p>
        </w:tc>
        <w:tc>
          <w:tcPr>
            <w:tcW w:type="dxa" w:w="1440"/>
            <w:shd w:fill="C6EFCE" w:val="clear"/>
          </w:tcPr>
          <w:p>
            <w:r>
              <w:rPr>
                <w:b/>
                <w:color w:val="008000"/>
                <w:sz w:val="17"/>
              </w:rPr>
              <w:t>+3.3%</w:t>
            </w:r>
          </w:p>
        </w:tc>
      </w:tr>
      <w:tr>
        <w:tc>
          <w:tcPr>
            <w:tcW w:type="dxa" w:w="1440"/>
            <w:shd w:fill="C6EFCE" w:val="clear"/>
          </w:tcPr>
          <w:p>
            <w:r>
              <w:rPr>
                <w:sz w:val="17"/>
              </w:rPr>
              <w:t>J+6  ⭐</w:t>
            </w:r>
          </w:p>
        </w:tc>
        <w:tc>
          <w:tcPr>
            <w:tcW w:type="dxa" w:w="1440"/>
            <w:shd w:fill="C6EFCE" w:val="clear"/>
          </w:tcPr>
          <w:p>
            <w:r>
              <w:rPr>
                <w:sz w:val="17"/>
              </w:rPr>
              <w:t>2026-10-21</w:t>
            </w:r>
          </w:p>
        </w:tc>
        <w:tc>
          <w:tcPr>
            <w:tcW w:type="dxa" w:w="1440"/>
            <w:shd w:fill="C6EFCE" w:val="clear"/>
          </w:tcPr>
          <w:p>
            <w:r>
              <w:rPr>
                <w:sz w:val="17"/>
              </w:rPr>
              <w:t>1,725</w:t>
            </w:r>
          </w:p>
        </w:tc>
        <w:tc>
          <w:tcPr>
            <w:tcW w:type="dxa" w:w="1440"/>
            <w:shd w:fill="C6EFCE" w:val="clear"/>
          </w:tcPr>
          <w:p>
            <w:r>
              <w:rPr>
                <w:b/>
                <w:sz w:val="17"/>
              </w:rPr>
              <w:t>1,968</w:t>
            </w:r>
          </w:p>
        </w:tc>
        <w:tc>
          <w:tcPr>
            <w:tcW w:type="dxa" w:w="1440"/>
            <w:shd w:fill="C6EFCE" w:val="clear"/>
          </w:tcPr>
          <w:p>
            <w:r>
              <w:rPr>
                <w:sz w:val="17"/>
              </w:rPr>
              <w:t>2,211</w:t>
            </w:r>
          </w:p>
        </w:tc>
        <w:tc>
          <w:tcPr>
            <w:tcW w:type="dxa" w:w="1440"/>
            <w:shd w:fill="C6EFCE" w:val="clear"/>
          </w:tcPr>
          <w:p>
            <w:r>
              <w:rPr>
                <w:b/>
                <w:color w:val="008000"/>
                <w:sz w:val="17"/>
              </w:rPr>
              <w:t>+3.6%</w:t>
            </w:r>
          </w:p>
        </w:tc>
      </w:tr>
      <w:tr>
        <w:tc>
          <w:tcPr>
            <w:tcW w:type="dxa" w:w="1440"/>
            <w:shd w:fill="C6EFCE" w:val="clear"/>
          </w:tcPr>
          <w:p>
            <w:r>
              <w:rPr>
                <w:sz w:val="17"/>
              </w:rPr>
              <w:t>J+7  ⭐</w:t>
            </w:r>
          </w:p>
        </w:tc>
        <w:tc>
          <w:tcPr>
            <w:tcW w:type="dxa" w:w="1440"/>
            <w:shd w:fill="C6EFCE" w:val="clear"/>
          </w:tcPr>
          <w:p>
            <w:r>
              <w:rPr>
                <w:sz w:val="17"/>
              </w:rPr>
              <w:t>2026-10-22</w:t>
            </w:r>
          </w:p>
        </w:tc>
        <w:tc>
          <w:tcPr>
            <w:tcW w:type="dxa" w:w="1440"/>
            <w:shd w:fill="C6EFCE" w:val="clear"/>
          </w:tcPr>
          <w:p>
            <w:r>
              <w:rPr>
                <w:sz w:val="17"/>
              </w:rPr>
              <w:t>1,710</w:t>
            </w:r>
          </w:p>
        </w:tc>
        <w:tc>
          <w:tcPr>
            <w:tcW w:type="dxa" w:w="1440"/>
            <w:shd w:fill="C6EFCE" w:val="clear"/>
          </w:tcPr>
          <w:p>
            <w:r>
              <w:rPr>
                <w:b/>
                <w:sz w:val="17"/>
              </w:rPr>
              <w:t>1,973</w:t>
            </w:r>
          </w:p>
        </w:tc>
        <w:tc>
          <w:tcPr>
            <w:tcW w:type="dxa" w:w="1440"/>
            <w:shd w:fill="C6EFCE" w:val="clear"/>
          </w:tcPr>
          <w:p>
            <w:r>
              <w:rPr>
                <w:sz w:val="17"/>
              </w:rPr>
              <w:t>2,236</w:t>
            </w:r>
          </w:p>
        </w:tc>
        <w:tc>
          <w:tcPr>
            <w:tcW w:type="dxa" w:w="1440"/>
            <w:shd w:fill="C6EFCE" w:val="clear"/>
          </w:tcPr>
          <w:p>
            <w:r>
              <w:rPr>
                <w:b/>
                <w:color w:val="008000"/>
                <w:sz w:val="17"/>
              </w:rPr>
              <w:t>+3.8%</w:t>
            </w:r>
          </w:p>
        </w:tc>
      </w:tr>
      <w:tr>
        <w:tc>
          <w:tcPr>
            <w:tcW w:type="dxa" w:w="1440"/>
            <w:shd w:fill="C6EFCE" w:val="clear"/>
          </w:tcPr>
          <w:p>
            <w:r>
              <w:rPr>
                <w:sz w:val="17"/>
              </w:rPr>
              <w:t>J+8  ⭐</w:t>
            </w:r>
          </w:p>
        </w:tc>
        <w:tc>
          <w:tcPr>
            <w:tcW w:type="dxa" w:w="1440"/>
            <w:shd w:fill="C6EFCE" w:val="clear"/>
          </w:tcPr>
          <w:p>
            <w:r>
              <w:rPr>
                <w:sz w:val="17"/>
              </w:rPr>
              <w:t>2026-10-23</w:t>
            </w:r>
          </w:p>
        </w:tc>
        <w:tc>
          <w:tcPr>
            <w:tcW w:type="dxa" w:w="1440"/>
            <w:shd w:fill="C6EFCE" w:val="clear"/>
          </w:tcPr>
          <w:p>
            <w:r>
              <w:rPr>
                <w:sz w:val="17"/>
              </w:rPr>
              <w:t>1,696</w:t>
            </w:r>
          </w:p>
        </w:tc>
        <w:tc>
          <w:tcPr>
            <w:tcW w:type="dxa" w:w="1440"/>
            <w:shd w:fill="C6EFCE" w:val="clear"/>
          </w:tcPr>
          <w:p>
            <w:r>
              <w:rPr>
                <w:b/>
                <w:sz w:val="17"/>
              </w:rPr>
              <w:t>1,977</w:t>
            </w:r>
          </w:p>
        </w:tc>
        <w:tc>
          <w:tcPr>
            <w:tcW w:type="dxa" w:w="1440"/>
            <w:shd w:fill="C6EFCE" w:val="clear"/>
          </w:tcPr>
          <w:p>
            <w:r>
              <w:rPr>
                <w:sz w:val="17"/>
              </w:rPr>
              <w:t>2,259</w:t>
            </w:r>
          </w:p>
        </w:tc>
        <w:tc>
          <w:tcPr>
            <w:tcW w:type="dxa" w:w="1440"/>
            <w:shd w:fill="C6EFCE" w:val="clear"/>
          </w:tcPr>
          <w:p>
            <w:r>
              <w:rPr>
                <w:b/>
                <w:color w:val="008000"/>
                <w:sz w:val="17"/>
              </w:rPr>
              <w:t>+4.1%</w:t>
            </w:r>
          </w:p>
        </w:tc>
      </w:tr>
      <w:tr>
        <w:tc>
          <w:tcPr>
            <w:tcW w:type="dxa" w:w="1440"/>
            <w:shd w:fill="C6EFCE" w:val="clear"/>
          </w:tcPr>
          <w:p>
            <w:r>
              <w:rPr>
                <w:sz w:val="17"/>
              </w:rPr>
              <w:t>J+9  ⭐</w:t>
            </w:r>
          </w:p>
        </w:tc>
        <w:tc>
          <w:tcPr>
            <w:tcW w:type="dxa" w:w="1440"/>
            <w:shd w:fill="C6EFCE" w:val="clear"/>
          </w:tcPr>
          <w:p>
            <w:r>
              <w:rPr>
                <w:sz w:val="17"/>
              </w:rPr>
              <w:t>2026-10-26</w:t>
            </w:r>
          </w:p>
        </w:tc>
        <w:tc>
          <w:tcPr>
            <w:tcW w:type="dxa" w:w="1440"/>
            <w:shd w:fill="C6EFCE" w:val="clear"/>
          </w:tcPr>
          <w:p>
            <w:r>
              <w:rPr>
                <w:sz w:val="17"/>
              </w:rPr>
              <w:t>1,682</w:t>
            </w:r>
          </w:p>
        </w:tc>
        <w:tc>
          <w:tcPr>
            <w:tcW w:type="dxa" w:w="1440"/>
            <w:shd w:fill="C6EFCE" w:val="clear"/>
          </w:tcPr>
          <w:p>
            <w:r>
              <w:rPr>
                <w:b/>
                <w:sz w:val="17"/>
              </w:rPr>
              <w:t>1,982</w:t>
            </w:r>
          </w:p>
        </w:tc>
        <w:tc>
          <w:tcPr>
            <w:tcW w:type="dxa" w:w="1440"/>
            <w:shd w:fill="C6EFCE" w:val="clear"/>
          </w:tcPr>
          <w:p>
            <w:r>
              <w:rPr>
                <w:sz w:val="17"/>
              </w:rPr>
              <w:t>2,282</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2026-10-27</w:t>
            </w:r>
          </w:p>
        </w:tc>
        <w:tc>
          <w:tcPr>
            <w:tcW w:type="dxa" w:w="1440"/>
            <w:shd w:fill="C6EFCE" w:val="clear"/>
          </w:tcPr>
          <w:p>
            <w:r>
              <w:rPr>
                <w:sz w:val="17"/>
              </w:rPr>
              <w:t>1,670</w:t>
            </w:r>
          </w:p>
        </w:tc>
        <w:tc>
          <w:tcPr>
            <w:tcW w:type="dxa" w:w="1440"/>
            <w:shd w:fill="C6EFCE" w:val="clear"/>
          </w:tcPr>
          <w:p>
            <w:r>
              <w:rPr>
                <w:b/>
                <w:sz w:val="17"/>
              </w:rPr>
              <w:t>1,987</w:t>
            </w:r>
          </w:p>
        </w:tc>
        <w:tc>
          <w:tcPr>
            <w:tcW w:type="dxa" w:w="1440"/>
            <w:shd w:fill="C6EFCE" w:val="clear"/>
          </w:tcPr>
          <w:p>
            <w:r>
              <w:rPr>
                <w:sz w:val="17"/>
              </w:rPr>
              <w:t>2,303</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**RAPPORT D'ANALYSE FINANCIÈRE — SIVC / ERIUM COTE D'IVOIRE (BRVM)**</w:t>
        <w:br/>
        <w:t>*Analyste : Marché BRVM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16,59 milliards FCFA, SIVC (désormais ERIUM CI) se situe dans la catégorie des petites capitalisations de la BRVM, ce qui implique une liquidité limitée et une sensibilité accrue aux mouvements de portefeuille. Le BPA de 21 FCFA par action signifie que chaque titre génère seulement 21 FCFA de bénéfice net, un niveau faible qui, rapporté au cours de 1 900 FCFA, aboutit à un PER de 92,6x — soit près de dix fois supérieur au PER moyen de la BRVM (8-12x), signalant une valorisation très exigeante voire spéculative au regard des bénéfices actuels. Le P/B de 6,57x indique que le marché valorise l'entreprise à plus de six fois sa valeur comptable, une prime considérable qui n'est justifiée que si la rentabilité future devait s'améliorer fortement. Enfin, l'EV/EBITDA de 16,7x, supérieur au seuil de 15x généralement considéré comme exigeant, confirme que la valeur d'entreprise intègre déjà une anticipation optimiste de la capacité opérationnelle, alors que les marges réelles restent faibles — l'ensemble de ces ratios plaide donc pour une prudence marquée sur le plan de la valorisation.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spectaculaire de -33,57%, avec une dernière séance encore négative à -2,56%, portant le cours actuel à 1 900 FCFA — soit exactement le plus bas de la période, tandis que le plus haut a atteint 2 875 FCFA, révélant un range de trading très large de près de 1 000 FCFA. La tendance générale est donc clairement baissière, le titre ayant effacé plus d'un tiers de sa valeur et clôturant sur son plancher, ce qui traduit une pression vendeuse persistante sans signe de stabilisation. Les statistiques descriptives confirment ce diagnostic : la moyenne (2 378 FCFA) est légèrement supérieure à la médiane (2 352 FCFA), un écart faible mais cohérent avec un skewness de 0,330 indiquant une distribution quasi symétrique avec une très légère queue vers les hautes valeurs — autrement dit, les baisses récentes tirent le cours sous sa moyenne historique sans asymétrie extrême. L'écart-type de 287 FCFA et le coefficient de variation de 12,1% témoignent d'une dispersion modérée autour de la moyenne, tandis que le kurtosis de -0,903 (mésokurtique) suggère une distribution proche de la normale, donc sans risque majeur de pics extrêmes imprévisibles. En revanche, la volatilité annualisée de 54,0% classe ce titre dans la catégorie des valeurs à volatilité élevée (&gt;30%), ce qui est cohérent avec la correction violente observée et impose une gestion stricte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2 046,25 FCFA et la MM50 à 2 216,30 FCFA, toutes deux nettement supérieures au cours actuel de 1 900 FCFA, ce qui place le titre en position de faiblesse structurelle sous ses deux moyennes. La MM20 étant elle-même inférieure à la MM50, on observe une configuration baissière classique (croisement descendant), ce qui justifie pleinement la décision technique de **Vente**.</w:t>
      </w:r>
    </w:p>
    <w:p>
      <w:pPr>
        <w:spacing w:after="120" w:line="276" w:lineRule="auto"/>
      </w:pPr>
      <w:r>
        <w:t>**Bandes de Bollinger** : La borne supérieure est à 2 273,38 FCFA et la borne inférieure à 1 819,12 FCFA, avec un cours actuel de 1 900 FCFA qui se situe dans la moitié basse du canal, sans toutefois toucher la borne inférieure. Cette position intermédiaire, couplée à un écartement modéré des bandes, explique la décision **Neutre** : le titre n'est ni en survente extrême ni en zone de rebond technique imminent, mais il reste fragilisé par sa proximité avec le plancher du canal.</w:t>
      </w:r>
    </w:p>
    <w:p>
      <w:pPr>
        <w:spacing w:after="120" w:line="276" w:lineRule="auto"/>
      </w:pPr>
      <w:r>
        <w:t>**MACD** : La valeur du MACD (-87,829) est inférieure à son signal (-82,057), confirmant un momentum baissier toujours actif malgré un léger resserrement de l'écart. Cette configuration négative sous la ligne zéro valide la décision de **Vente**, le croisement baissier n'ayant pas encore été invalidé par un retournement haussier.</w:t>
      </w:r>
    </w:p>
    <w:p>
      <w:pPr>
        <w:spacing w:after="120" w:line="276" w:lineRule="auto"/>
      </w:pPr>
      <w:r>
        <w:t>**RSI** : À 41,935, le RSI se situe dans la zone neutre (30-70), sans atteindre le seuil de survente (&lt;30) qui aurait pu signaler un rebond technique. Cette valeur médiane-basse justifie la décision **Neutre** : la pression vendeuse existe mais n'est pas encore à un niveau d'épuisement susceptible de déclencher un retournement.</w:t>
      </w:r>
    </w:p>
    <w:p>
      <w:pPr>
        <w:spacing w:after="120" w:line="276" w:lineRule="auto"/>
      </w:pPr>
      <w:r>
        <w:t>**Stochastique** : Le %K est à 0,0 et le %D à 7,937, une configuration extrêmement basse qui place l'indicateur en zone de survente profonde et suggère un possible rebond à court terme — d'où la décision **Achat** isolée. Toutefois, ce signal contredit les autres indicateurs et doit être interprété avec prudence, car un %K à zéro peut aussi refléter une tendance baissière si forte que le cours reste collé à ses plus bas.</w:t>
      </w:r>
    </w:p>
    <w:p>
      <w:pPr>
        <w:spacing w:after="120" w:line="276" w:lineRule="auto"/>
      </w:pPr>
      <w:r>
        <w:t>**Conclusion technique** : La majorité des indicateurs (MM, MACD) confirment une tendance baissière, tandis que le RSI et les Bollinger restent neutres et que seul le Stochastique émet un signal d'achat contrarien. Cette divergence traduit un marché en fin de correction mais sans confirmation de retournement : la prudence reste de mise tant que le cours n'aura pas reconquis la MM20 (2 046 FCFA) avec un MACD repassant au-dessus de son signal.</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officiels) révèlent une situation contrastée : le chiffre d'affaires s'établit à 10,075 milliards FCFA, en croissance de +8,53% par rapport à 2024, porté par une demande soutenue sur les produits fabriqués et les services. Cependant, le résultat net chute lourdement à 179,29 millions FCFA contre 376,96 millions en 2024, soit une baisse de -52,4%, et la marge nette se dégrade à 1,78% (contre 4,06% en 2024). Le ROE ressort à seulement 7,10% et le ROA à 1,23%, des niveaux très faibles qui traduisent une rentabilité insuffisante au regard des capitaux engagés. Sur le plan du secteur ENTREPRISE, les délais d'exploitation sont préoccupants : le délai clients atteint 79,30 jours (risque de trésorerie), la durée de stockage s'élève à 189,26 jours (immobilisation de capital importante), tandis que le délai fournisseurs de 323,35 jours constitue un avantage de financement. Le BFR est négatif à -470,79 millions FCFA (favorable), mais le fonds de roulement est négatif à -2,132 milliards FCFA et la trésorerie nette reste dégradée à -1,661 milliard FCFA, exposant la société à un risque de liquidité. L'autonomie financière est faible à 17,29% (seuil sain &gt;30%), le ratio d'endettement atteint 228,41% et la capacité de remboursement de 6,64 années pèse sur la structure financière. Les rapports trimestriels 2025 confirment cette dynamique ambivalente : le rapport S1 2025 (publié le 30/06/2025) fait état d'un CA de 4 897,5 millions FCFA (+8,8%) et d'un résultat net de 512,9 millions FCFA (+4,6%), tandis que le rapport du 3e trimestre 2025 (date inconnue) affiche un CA cumulé de 7 584,7 millions FCFA (+13%) et un résultat net de 832,5 millions FCFA (+58%). Sur la base de ces rapports trimestriels, on peut estimer que l'exercice 2025 aurait dû dégager un résultat net supérieur à 1 milliard FCFA — l'écart avec les 179,29 millions FCFA effectivement enregistrés suggère l'impact de charges exceptionnelles ou d'éléments non récurrents défavorables (résultat financier de -313,97 millions FCFA, contre un gain de +316 millions en 2024). La recommandation fondamentale est donc **CONSERVER avec surveillance renforcée** : la croissance commerciale est réelle, mais la dégradation de la rentabilité, de la structure financière et de la trésorerie impose une extrême prudence avant tout nouvel engagement.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 rapport met en évidence une convergence baissière préoccupante : sur le plan de la **valorisation (Partie 0)**, les ratios PER (92,6x), P/B (6,57x) et EV/EBITDA (16,7x) indiquent une nette surévaluation du titre au regard de ses bénéfices et de sa valeur comptable, sans marge de sécurité. Le **comportement du cours (Partie 1)** est franchement baissier (-33,57% sur 100 jours, clôture au plus bas), avec une volatilité annualisée élevée de 54,0% et une distribution quasi normale (kurtosis -0,903, skewness 0,330) qui n'offre aucun signal de retournement. Les **signaux techniques (Partie 2)** sont majoritairement négatifs (MM20 &lt; MM50, cours sous les deux moyennes, MACD baissier), avec seulement un signal d'achat isolé du Stochastique en survente extrême — insuffisant pour inverser la tendance. Les **fondamentaux (Partie 3)** confirment la fragilité : malgré un CA en hausse de +8,53% en 2025, le résultat net s'effondre de -52,4% à 179,29 millions FCFA, le ROE (7,10%) et le ROA (1,23%) sont faibles, l'endettement est élevé (228,41%) et la trésorerie nette reste négative (-1,661 milliard FCFA). Enfin, les **prédictions IA (J+1 à J+10)** anticipent une légère reprise technique vers 1 952-1 963 FCFA (+2,7% à +3,3%), ce qui contredit partiellement les signaux baissiers mais reste marginal et insuffisant pour valider un retournement durable. **Recommandation finale : VENTE** (ou allègement de position pour les détenteurs), avec un **niveau de confiance Moyen** — la convergence des signaux baissiers (valorisation, technique, fondamentaux) est solide, mais le rebond technique anticipé par l'IA et le Stochastique introduit une incertitude à court terme. Le **niveau de risque global est Élevé** (volatilité 54%, trésorerie négative, endettement lourd, valorisation excessive). L'**horizon d'investissement recommandé est court terme (&lt;3 mois)** pour les arbitragistes cherchant à profiter du rebond technique, mais tout investissement fondamental de moyen/long terme devrait être reporté tant que la société n'aura pas démontré sa capacité à restaurer sa rentabilité et à assainir sa structure financière.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618.93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1,417 titres</w:t>
            </w:r>
          </w:p>
        </w:tc>
        <w:tc>
          <w:tcPr>
            <w:tcW w:type="dxa" w:w="2268"/>
            <w:shd w:fill="FFF2CC" w:val="clear"/>
          </w:tcPr>
          <w:p>
            <w:r>
              <w:rPr>
                <w:b/>
                <w:color w:val="503200"/>
                <w:sz w:val="16"/>
              </w:rPr>
              <w:t xml:space="preserve">Cours actuel : </w:t>
            </w:r>
            <w:r>
              <w:rPr>
                <w:color w:val="000000"/>
                <w:sz w:val="17"/>
              </w:rPr>
              <w:t>37,600 FCFA</w:t>
            </w:r>
          </w:p>
          <w:p>
            <w:r>
              <w:rPr>
                <w:b/>
                <w:color w:val="503200"/>
                <w:sz w:val="16"/>
              </w:rPr>
              <w:t xml:space="preserve">Var. 100 jours : </w:t>
            </w:r>
            <w:r>
              <w:rPr>
                <w:b/>
                <w:color w:val="B40000"/>
                <w:sz w:val="17"/>
              </w:rPr>
              <w:t>-0.53%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μ=38,261 FCFA, σ=864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β=0.0022 (Défensif) — Cov=0.000000, Var(idx)=0.000074, ρ=0.001,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37,454</w:t>
            </w:r>
          </w:p>
        </w:tc>
        <w:tc>
          <w:tcPr>
            <w:tcW w:type="dxa" w:w="1440"/>
            <w:shd w:fill="FAFAFA" w:val="clear"/>
          </w:tcPr>
          <w:p>
            <w:r>
              <w:rPr>
                <w:b/>
                <w:sz w:val="17"/>
              </w:rPr>
              <w:t>37,933</w:t>
            </w:r>
          </w:p>
        </w:tc>
        <w:tc>
          <w:tcPr>
            <w:tcW w:type="dxa" w:w="1440"/>
            <w:shd w:fill="FAFAFA" w:val="clear"/>
          </w:tcPr>
          <w:p>
            <w:r>
              <w:rPr>
                <w:sz w:val="17"/>
              </w:rPr>
              <w:t>38,411</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37,376</w:t>
            </w:r>
          </w:p>
        </w:tc>
        <w:tc>
          <w:tcPr>
            <w:tcW w:type="dxa" w:w="1440"/>
            <w:shd w:fill="FAFAFA" w:val="clear"/>
          </w:tcPr>
          <w:p>
            <w:r>
              <w:rPr>
                <w:b/>
                <w:sz w:val="17"/>
              </w:rPr>
              <w:t>38,054</w:t>
            </w:r>
          </w:p>
        </w:tc>
        <w:tc>
          <w:tcPr>
            <w:tcW w:type="dxa" w:w="1440"/>
            <w:shd w:fill="FAFAFA" w:val="clear"/>
          </w:tcPr>
          <w:p>
            <w:r>
              <w:rPr>
                <w:sz w:val="17"/>
              </w:rPr>
              <w:t>38,733</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37,371</w:t>
            </w:r>
          </w:p>
        </w:tc>
        <w:tc>
          <w:tcPr>
            <w:tcW w:type="dxa" w:w="1440"/>
            <w:shd w:fill="FAFAFA" w:val="clear"/>
          </w:tcPr>
          <w:p>
            <w:r>
              <w:rPr>
                <w:b/>
                <w:sz w:val="17"/>
              </w:rPr>
              <w:t>38,205</w:t>
            </w:r>
          </w:p>
        </w:tc>
        <w:tc>
          <w:tcPr>
            <w:tcW w:type="dxa" w:w="1440"/>
            <w:shd w:fill="FAFAFA" w:val="clear"/>
          </w:tcPr>
          <w:p>
            <w:r>
              <w:rPr>
                <w:sz w:val="17"/>
              </w:rPr>
              <w:t>39,040</w:t>
            </w:r>
          </w:p>
        </w:tc>
        <w:tc>
          <w:tcPr>
            <w:tcW w:type="dxa" w:w="1440"/>
            <w:shd w:fill="FAFAFA" w:val="clear"/>
          </w:tcPr>
          <w:p>
            <w:r>
              <w:rPr>
                <w:b/>
                <w:color w:val="008000"/>
                <w:sz w:val="17"/>
              </w:rPr>
              <w:t>+1.6%</w:t>
            </w:r>
          </w:p>
        </w:tc>
      </w:tr>
      <w:tr>
        <w:tc>
          <w:tcPr>
            <w:tcW w:type="dxa" w:w="1440"/>
            <w:shd w:fill="C6EFCE" w:val="clear"/>
          </w:tcPr>
          <w:p>
            <w:r>
              <w:rPr>
                <w:sz w:val="17"/>
              </w:rPr>
              <w:t>J+4  Moyenne</w:t>
            </w:r>
          </w:p>
        </w:tc>
        <w:tc>
          <w:tcPr>
            <w:tcW w:type="dxa" w:w="1440"/>
            <w:shd w:fill="C6EFCE" w:val="clear"/>
          </w:tcPr>
          <w:p>
            <w:r>
              <w:rPr>
                <w:sz w:val="17"/>
              </w:rPr>
              <w:t>2026-10-19</w:t>
            </w:r>
          </w:p>
        </w:tc>
        <w:tc>
          <w:tcPr>
            <w:tcW w:type="dxa" w:w="1440"/>
            <w:shd w:fill="C6EFCE" w:val="clear"/>
          </w:tcPr>
          <w:p>
            <w:r>
              <w:rPr>
                <w:sz w:val="17"/>
              </w:rPr>
              <w:t>37,391</w:t>
            </w:r>
          </w:p>
        </w:tc>
        <w:tc>
          <w:tcPr>
            <w:tcW w:type="dxa" w:w="1440"/>
            <w:shd w:fill="C6EFCE" w:val="clear"/>
          </w:tcPr>
          <w:p>
            <w:r>
              <w:rPr>
                <w:b/>
                <w:sz w:val="17"/>
              </w:rPr>
              <w:t>38,359</w:t>
            </w:r>
          </w:p>
        </w:tc>
        <w:tc>
          <w:tcPr>
            <w:tcW w:type="dxa" w:w="1440"/>
            <w:shd w:fill="C6EFCE" w:val="clear"/>
          </w:tcPr>
          <w:p>
            <w:r>
              <w:rPr>
                <w:sz w:val="17"/>
              </w:rPr>
              <w:t>39,326</w:t>
            </w:r>
          </w:p>
        </w:tc>
        <w:tc>
          <w:tcPr>
            <w:tcW w:type="dxa" w:w="1440"/>
            <w:shd w:fill="C6EFCE" w:val="clear"/>
          </w:tcPr>
          <w:p>
            <w:r>
              <w:rPr>
                <w:b/>
                <w:color w:val="008000"/>
                <w:sz w:val="17"/>
              </w:rPr>
              <w:t>+2.0%</w:t>
            </w:r>
          </w:p>
        </w:tc>
      </w:tr>
      <w:tr>
        <w:tc>
          <w:tcPr>
            <w:tcW w:type="dxa" w:w="1440"/>
            <w:shd w:fill="C6EFCE" w:val="clear"/>
          </w:tcPr>
          <w:p>
            <w:r>
              <w:rPr>
                <w:sz w:val="17"/>
              </w:rPr>
              <w:t>J+5  Moyenne</w:t>
            </w:r>
          </w:p>
        </w:tc>
        <w:tc>
          <w:tcPr>
            <w:tcW w:type="dxa" w:w="1440"/>
            <w:shd w:fill="C6EFCE" w:val="clear"/>
          </w:tcPr>
          <w:p>
            <w:r>
              <w:rPr>
                <w:sz w:val="17"/>
              </w:rPr>
              <w:t>2026-10-20</w:t>
            </w:r>
          </w:p>
        </w:tc>
        <w:tc>
          <w:tcPr>
            <w:tcW w:type="dxa" w:w="1440"/>
            <w:shd w:fill="C6EFCE" w:val="clear"/>
          </w:tcPr>
          <w:p>
            <w:r>
              <w:rPr>
                <w:sz w:val="17"/>
              </w:rPr>
              <w:t>37,423</w:t>
            </w:r>
          </w:p>
        </w:tc>
        <w:tc>
          <w:tcPr>
            <w:tcW w:type="dxa" w:w="1440"/>
            <w:shd w:fill="C6EFCE" w:val="clear"/>
          </w:tcPr>
          <w:p>
            <w:r>
              <w:rPr>
                <w:b/>
                <w:sz w:val="17"/>
              </w:rPr>
              <w:t>38,508</w:t>
            </w:r>
          </w:p>
        </w:tc>
        <w:tc>
          <w:tcPr>
            <w:tcW w:type="dxa" w:w="1440"/>
            <w:shd w:fill="C6EFCE" w:val="clear"/>
          </w:tcPr>
          <w:p>
            <w:r>
              <w:rPr>
                <w:sz w:val="17"/>
              </w:rPr>
              <w:t>39,594</w:t>
            </w:r>
          </w:p>
        </w:tc>
        <w:tc>
          <w:tcPr>
            <w:tcW w:type="dxa" w:w="1440"/>
            <w:shd w:fill="C6EFCE" w:val="clear"/>
          </w:tcPr>
          <w:p>
            <w:r>
              <w:rPr>
                <w:b/>
                <w:color w:val="008000"/>
                <w:sz w:val="17"/>
              </w:rPr>
              <w:t>+2.4%</w:t>
            </w:r>
          </w:p>
        </w:tc>
      </w:tr>
      <w:tr>
        <w:tc>
          <w:tcPr>
            <w:tcW w:type="dxa" w:w="1440"/>
            <w:shd w:fill="C6EFCE" w:val="clear"/>
          </w:tcPr>
          <w:p>
            <w:r>
              <w:rPr>
                <w:sz w:val="17"/>
              </w:rPr>
              <w:t>J+6  Moyenne</w:t>
            </w:r>
          </w:p>
        </w:tc>
        <w:tc>
          <w:tcPr>
            <w:tcW w:type="dxa" w:w="1440"/>
            <w:shd w:fill="C6EFCE" w:val="clear"/>
          </w:tcPr>
          <w:p>
            <w:r>
              <w:rPr>
                <w:sz w:val="17"/>
              </w:rPr>
              <w:t>2026-10-21</w:t>
            </w:r>
          </w:p>
        </w:tc>
        <w:tc>
          <w:tcPr>
            <w:tcW w:type="dxa" w:w="1440"/>
            <w:shd w:fill="C6EFCE" w:val="clear"/>
          </w:tcPr>
          <w:p>
            <w:r>
              <w:rPr>
                <w:sz w:val="17"/>
              </w:rPr>
              <w:t>37,460</w:t>
            </w:r>
          </w:p>
        </w:tc>
        <w:tc>
          <w:tcPr>
            <w:tcW w:type="dxa" w:w="1440"/>
            <w:shd w:fill="C6EFCE" w:val="clear"/>
          </w:tcPr>
          <w:p>
            <w:r>
              <w:rPr>
                <w:b/>
                <w:sz w:val="17"/>
              </w:rPr>
              <w:t>38,654</w:t>
            </w:r>
          </w:p>
        </w:tc>
        <w:tc>
          <w:tcPr>
            <w:tcW w:type="dxa" w:w="1440"/>
            <w:shd w:fill="C6EFCE" w:val="clear"/>
          </w:tcPr>
          <w:p>
            <w:r>
              <w:rPr>
                <w:sz w:val="17"/>
              </w:rPr>
              <w:t>39,848</w:t>
            </w:r>
          </w:p>
        </w:tc>
        <w:tc>
          <w:tcPr>
            <w:tcW w:type="dxa" w:w="1440"/>
            <w:shd w:fill="C6EFCE" w:val="clear"/>
          </w:tcPr>
          <w:p>
            <w:r>
              <w:rPr>
                <w:b/>
                <w:color w:val="008000"/>
                <w:sz w:val="17"/>
              </w:rPr>
              <w:t>+2.8%</w:t>
            </w:r>
          </w:p>
        </w:tc>
      </w:tr>
      <w:tr>
        <w:tc>
          <w:tcPr>
            <w:tcW w:type="dxa" w:w="1440"/>
            <w:shd w:fill="C6EFCE" w:val="clear"/>
          </w:tcPr>
          <w:p>
            <w:r>
              <w:rPr>
                <w:sz w:val="17"/>
              </w:rPr>
              <w:t>J+7  Moyenne</w:t>
            </w:r>
          </w:p>
        </w:tc>
        <w:tc>
          <w:tcPr>
            <w:tcW w:type="dxa" w:w="1440"/>
            <w:shd w:fill="C6EFCE" w:val="clear"/>
          </w:tcPr>
          <w:p>
            <w:r>
              <w:rPr>
                <w:sz w:val="17"/>
              </w:rPr>
              <w:t>2026-10-22</w:t>
            </w:r>
          </w:p>
        </w:tc>
        <w:tc>
          <w:tcPr>
            <w:tcW w:type="dxa" w:w="1440"/>
            <w:shd w:fill="C6EFCE" w:val="clear"/>
          </w:tcPr>
          <w:p>
            <w:r>
              <w:rPr>
                <w:sz w:val="17"/>
              </w:rPr>
              <w:t>37,502</w:t>
            </w:r>
          </w:p>
        </w:tc>
        <w:tc>
          <w:tcPr>
            <w:tcW w:type="dxa" w:w="1440"/>
            <w:shd w:fill="C6EFCE" w:val="clear"/>
          </w:tcPr>
          <w:p>
            <w:r>
              <w:rPr>
                <w:b/>
                <w:sz w:val="17"/>
              </w:rPr>
              <w:t>38,796</w:t>
            </w:r>
          </w:p>
        </w:tc>
        <w:tc>
          <w:tcPr>
            <w:tcW w:type="dxa" w:w="1440"/>
            <w:shd w:fill="C6EFCE" w:val="clear"/>
          </w:tcPr>
          <w:p>
            <w:r>
              <w:rPr>
                <w:sz w:val="17"/>
              </w:rPr>
              <w:t>40,090</w:t>
            </w:r>
          </w:p>
        </w:tc>
        <w:tc>
          <w:tcPr>
            <w:tcW w:type="dxa" w:w="1440"/>
            <w:shd w:fill="C6EFCE" w:val="clear"/>
          </w:tcPr>
          <w:p>
            <w:r>
              <w:rPr>
                <w:b/>
                <w:color w:val="008000"/>
                <w:sz w:val="17"/>
              </w:rPr>
              <w:t>+3.2%</w:t>
            </w:r>
          </w:p>
        </w:tc>
      </w:tr>
      <w:tr>
        <w:tc>
          <w:tcPr>
            <w:tcW w:type="dxa" w:w="1440"/>
            <w:shd w:fill="C6EFCE" w:val="clear"/>
          </w:tcPr>
          <w:p>
            <w:r>
              <w:rPr>
                <w:sz w:val="17"/>
              </w:rPr>
              <w:t>J+8  Moyenne</w:t>
            </w:r>
          </w:p>
        </w:tc>
        <w:tc>
          <w:tcPr>
            <w:tcW w:type="dxa" w:w="1440"/>
            <w:shd w:fill="C6EFCE" w:val="clear"/>
          </w:tcPr>
          <w:p>
            <w:r>
              <w:rPr>
                <w:sz w:val="17"/>
              </w:rPr>
              <w:t>2026-10-23</w:t>
            </w:r>
          </w:p>
        </w:tc>
        <w:tc>
          <w:tcPr>
            <w:tcW w:type="dxa" w:w="1440"/>
            <w:shd w:fill="C6EFCE" w:val="clear"/>
          </w:tcPr>
          <w:p>
            <w:r>
              <w:rPr>
                <w:sz w:val="17"/>
              </w:rPr>
              <w:t>37,546</w:t>
            </w:r>
          </w:p>
        </w:tc>
        <w:tc>
          <w:tcPr>
            <w:tcW w:type="dxa" w:w="1440"/>
            <w:shd w:fill="C6EFCE" w:val="clear"/>
          </w:tcPr>
          <w:p>
            <w:r>
              <w:rPr>
                <w:b/>
                <w:sz w:val="17"/>
              </w:rPr>
              <w:t>38,935</w:t>
            </w:r>
          </w:p>
        </w:tc>
        <w:tc>
          <w:tcPr>
            <w:tcW w:type="dxa" w:w="1440"/>
            <w:shd w:fill="C6EFCE" w:val="clear"/>
          </w:tcPr>
          <w:p>
            <w:r>
              <w:rPr>
                <w:sz w:val="17"/>
              </w:rPr>
              <w:t>40,323</w:t>
            </w:r>
          </w:p>
        </w:tc>
        <w:tc>
          <w:tcPr>
            <w:tcW w:type="dxa" w:w="1440"/>
            <w:shd w:fill="C6EFCE" w:val="clear"/>
          </w:tcPr>
          <w:p>
            <w:r>
              <w:rPr>
                <w:b/>
                <w:color w:val="008000"/>
                <w:sz w:val="17"/>
              </w:rPr>
              <w:t>+3.5%</w:t>
            </w:r>
          </w:p>
        </w:tc>
      </w:tr>
      <w:tr>
        <w:tc>
          <w:tcPr>
            <w:tcW w:type="dxa" w:w="1440"/>
            <w:shd w:fill="C6EFCE" w:val="clear"/>
          </w:tcPr>
          <w:p>
            <w:r>
              <w:rPr>
                <w:sz w:val="17"/>
              </w:rPr>
              <w:t>J+9  Moyenne</w:t>
            </w:r>
          </w:p>
        </w:tc>
        <w:tc>
          <w:tcPr>
            <w:tcW w:type="dxa" w:w="1440"/>
            <w:shd w:fill="C6EFCE" w:val="clear"/>
          </w:tcPr>
          <w:p>
            <w:r>
              <w:rPr>
                <w:sz w:val="17"/>
              </w:rPr>
              <w:t>2026-10-26</w:t>
            </w:r>
          </w:p>
        </w:tc>
        <w:tc>
          <w:tcPr>
            <w:tcW w:type="dxa" w:w="1440"/>
            <w:shd w:fill="C6EFCE" w:val="clear"/>
          </w:tcPr>
          <w:p>
            <w:r>
              <w:rPr>
                <w:sz w:val="17"/>
              </w:rPr>
              <w:t>37,593</w:t>
            </w:r>
          </w:p>
        </w:tc>
        <w:tc>
          <w:tcPr>
            <w:tcW w:type="dxa" w:w="1440"/>
            <w:shd w:fill="C6EFCE" w:val="clear"/>
          </w:tcPr>
          <w:p>
            <w:r>
              <w:rPr>
                <w:b/>
                <w:sz w:val="17"/>
              </w:rPr>
              <w:t>39,070</w:t>
            </w:r>
          </w:p>
        </w:tc>
        <w:tc>
          <w:tcPr>
            <w:tcW w:type="dxa" w:w="1440"/>
            <w:shd w:fill="C6EFCE" w:val="clear"/>
          </w:tcPr>
          <w:p>
            <w:r>
              <w:rPr>
                <w:sz w:val="17"/>
              </w:rPr>
              <w:t>40,548</w:t>
            </w:r>
          </w:p>
        </w:tc>
        <w:tc>
          <w:tcPr>
            <w:tcW w:type="dxa" w:w="1440"/>
            <w:shd w:fill="C6EFCE" w:val="clear"/>
          </w:tcPr>
          <w:p>
            <w:r>
              <w:rPr>
                <w:b/>
                <w:color w:val="008000"/>
                <w:sz w:val="17"/>
              </w:rPr>
              <w:t>+3.9%</w:t>
            </w:r>
          </w:p>
        </w:tc>
      </w:tr>
      <w:tr>
        <w:tc>
          <w:tcPr>
            <w:tcW w:type="dxa" w:w="1440"/>
            <w:shd w:fill="C6EFCE" w:val="clear"/>
          </w:tcPr>
          <w:p>
            <w:r>
              <w:rPr>
                <w:sz w:val="17"/>
              </w:rPr>
              <w:t>J+10  Moyenne</w:t>
            </w:r>
          </w:p>
        </w:tc>
        <w:tc>
          <w:tcPr>
            <w:tcW w:type="dxa" w:w="1440"/>
            <w:shd w:fill="C6EFCE" w:val="clear"/>
          </w:tcPr>
          <w:p>
            <w:r>
              <w:rPr>
                <w:sz w:val="17"/>
              </w:rPr>
              <w:t>2026-10-27</w:t>
            </w:r>
          </w:p>
        </w:tc>
        <w:tc>
          <w:tcPr>
            <w:tcW w:type="dxa" w:w="1440"/>
            <w:shd w:fill="C6EFCE" w:val="clear"/>
          </w:tcPr>
          <w:p>
            <w:r>
              <w:rPr>
                <w:sz w:val="17"/>
              </w:rPr>
              <w:t>37,640</w:t>
            </w:r>
          </w:p>
        </w:tc>
        <w:tc>
          <w:tcPr>
            <w:tcW w:type="dxa" w:w="1440"/>
            <w:shd w:fill="C6EFCE" w:val="clear"/>
          </w:tcPr>
          <w:p>
            <w:r>
              <w:rPr>
                <w:b/>
                <w:sz w:val="17"/>
              </w:rPr>
              <w:t>39,204</w:t>
            </w:r>
          </w:p>
        </w:tc>
        <w:tc>
          <w:tcPr>
            <w:tcW w:type="dxa" w:w="1440"/>
            <w:shd w:fill="C6EFCE" w:val="clear"/>
          </w:tcPr>
          <w:p>
            <w:r>
              <w:rPr>
                <w:sz w:val="17"/>
              </w:rPr>
              <w:t>40,767</w:t>
            </w:r>
          </w:p>
        </w:tc>
        <w:tc>
          <w:tcPr>
            <w:tcW w:type="dxa" w:w="1440"/>
            <w:shd w:fill="C6EFCE" w:val="clear"/>
          </w:tcPr>
          <w:p>
            <w:r>
              <w:rPr>
                <w:b/>
                <w:color w:val="008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Secteur : Entreprise (Boissons/Limonaderies)*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618,93 milliards FCFA, SOLIBRA s'impose comme l'une des plus importantes capitalisations de la cote BRVM, ce qui témoigne de sa stature de valeur de premier plan sur le marché régional. Le BPA de 2 781 FCFA/action signifie que chaque titre génère près de 2 800 FCFA de bénéfice net, un niveau de rentabilité par action particulièrement élevé. Le PER de 13,5x situe le titre légèrement au-dessus de la moyenne BRVM (8-12x), ce qui traduit une valorisation modérée mais avec une prime justifiée par la qualité des fondamentaux et la croissance exceptionnelle de 2025. Le P/B de 3,17x indique que le marché valorise l'entreprise à plus de trois fois sa valeur comptable, une prime de croissance cohérente avec un ROE de 23,5% qui dépasse largement le coût des fonds propres. Enfin, l'EV/EBITDA de 7,4x, dans la fourchette raisonnable de 5-10x, montre que la valeur totale de l'entreprise (dette incluse) reste proportionnée à sa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quasi-nulle de -0,53%, avec une dernière séance pratiquement stable (-0,01%), s'établissant à 37 600 FCFA. Le titre a évolué dans un couloir relativement étroit entre un plus bas de 36 900 FCFA et un plus haut de 41 500 FCFA, soit un range de trading de 4 600 FCFA (environ 12,5% d'amplitude), ce qui traduit une phase de consolidation latérale plutôt qu'une tendance directionnelle marquée. Les statistiques descriptives révèlent une moyenne de 38 261 FCFA légèrement supérieure à la médiane de 38 000 FCFA, avec un mode identique à 38 000 FCFA, indiquant une concentration des échanges autour de ce niveau pivot. L'écart-type de 868 FCFA et le coefficient de variation de seulement 2,3% confirment une faible dispersion du cours, caractéristique d'un titre peu volatil sur la période. Le kurtosis de 0,706 (mésokurtique) suggère une distribution proche de la normale, sans risque majeur de pics extrêmes, tandis que le skewness positif de 0,811 indique une asymétrie avec davantage de journées de cotation sous la moyenne, signalant une légère pression baissière résiduelle. La volatilité annualisée de 24,6% positionne le titre dans la catégorie modérée (15-30%), ce qui est rassurant pour un investisseur recherchant stabilité et prévisibilité.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(37 711,5 FCFA) et la MM50 (37 640,9 FCFA) se situent toutes deux légèrement au-dessus du cours actuel (37 600 FCFA), avec la MM20 en position supérieure à la MM50, configuration classique d'un signal d'achat par croisement haussier. Le cours évoluant juste sous ces moyennes, une reprise au-dessus de 37 711 FCFA confirmerait la dynamique positive.</w:t>
      </w:r>
    </w:p>
    <w:p>
      <w:pPr>
        <w:spacing w:after="120" w:line="276" w:lineRule="auto"/>
      </w:pPr>
      <w:r>
        <w:t>**Bandes de Bollinger** : Le cours (37 600 FCFA) se situe dans la partie médiane des bandes, entre la borne inférieure (37 071,6 FCFA) et la borne supérieure (38 351,4 FCFA), sans contact avec les extrêmes. Cette position centrale, combinée à un resserrement des bandes, indique une faible volatilité et une décision neutre en attendant un signal de breakout.</w:t>
      </w:r>
    </w:p>
    <w:p>
      <w:pPr>
        <w:spacing w:after="120" w:line="276" w:lineRule="auto"/>
      </w:pPr>
      <w:r>
        <w:t>**MACD** : La valeur du MACD (-97,238) est supérieure à sa ligne de signal (-102,945), générant un croisement haussier bien que les deux lignes restent en territoire négatif. Cette configuration suggère un momentum baissier en voie d'essoufflement et justifie la décision d'achat anticipée par les analystes techniques.</w:t>
      </w:r>
    </w:p>
    <w:p>
      <w:pPr>
        <w:spacing w:after="120" w:line="276" w:lineRule="auto"/>
      </w:pPr>
      <w:r>
        <w:t>**RSI** : À 43,976, le RSI se situe en zone neutre (30-70), sans signal de surachat ni de survente. Cette valeur légèrement sous la barre des 50 indique un équilibre entre acheteurs et vendeurs, avec une décision neutre qui appelle à la patience avant tout engagement majeur.</w:t>
      </w:r>
    </w:p>
    <w:p>
      <w:pPr>
        <w:spacing w:after="120" w:line="276" w:lineRule="auto"/>
      </w:pPr>
      <w:r>
        <w:t>**Stochastique** : Le %K (60,0) est inférieur au %D (71,833), configuration baissière indiquant que le momentum de court terme faiblit. Le croisement des deux lignes en zone neutre-haute suggère une possible consolidation avant une nouvelle impulsion, justifiant la décision neutre.</w:t>
      </w:r>
    </w:p>
    <w:p>
      <w:pPr>
        <w:spacing w:after="120" w:line="276" w:lineRule="auto"/>
      </w:pPr>
      <w:r>
        <w:t>**Conclusion technique** : Les indicateurs présentent un tableau mitigé mais globalement constructif. Les moyennes mobiles et le MACD émettent des signaux d'achat, tandis que le RSI, les Bandes de Bollinger et le Stochastique restent neutres. Cette divergence suggère que le titre est en phase de consolidation, avec un potentiel de rebond technique à court terme si le cours parvient à franchir la résistance des 37 711 FCFA (MM20). La faible volatilité actuelle pourrait précéder un mouvement directionnel.</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378,123 milliards FCFA, en croissance spectaculaire de 22,08% par rapport aux 309,722 milliards de 2024, portée par une hausse des volumes distribués et un mix prix favorable. Le résultat net a plus que doublé, passant de 21,472 milliards en 2024 à 45,781 milliards FCFA en 2025 (+113%), avec une marge nette qui s'améliore de 6,9% à 12,1%. Les ratios de rentabilité sont exceptionnels : le ROE atteint 23,46% (largement supérieur au seuil de 15% considéré comme excellent) et le ROA s'établit à 13,48%, témoignant d'une utilisation efficiente des actifs. La structure financière est solide avec une autonomie financière de 57,48%, un ratio d'endettement maîtrisé de 42,52% et une capacité de remboursement de seulement 0,67 an de CAF. Concernant le besoin en fonds de roulement (BFR), il s'élève à 61,587 milliards FCFA, avec un délai clients de 64,27 jours (risque de trésorerie modéré) et un délai fournisseurs de 76,82 jours (favorable à la trésorerie), tandis que la durée de stockage de 117,32 jours mérite une surveillance. Les rapports trimestriels confirment cette dynamique : le T1 2026 (publié en 2026) affiche un chiffre d'affaires de 93,46 milliards FCFA (+7,6%) et un résultat net de 16,26 milliards FCFA (+4,8%), avec une marge nette de 17,4%. Sur cette base, on peut estimer que l'exercice 2026 devrait maintenir une croissance à deux chiffres, avec un chiffre d'affaires projeté autour de 400-410 milliards FCFA et un résultat net potentiellement supérieur à 50 milliards FCFA. La politique de dividende est très généreuse, avec un dividende brut unitaire proposé de 2 127 FCFA par action (35,012 milliards FCFA au total, soit un payout de 76,5%), offrant un rendement attractif de 5,66% au cours actuel de 37 600 FCFA. Le principal risque identifié reste la dépendance aux matières premières (90 milliards FCFA d'achats exposés à la volatilité des prix) et la concentration géographique sur le marché ivoirien. Néanmoins, la solidité du bilan, la trésorerie nette positive (22,117 milliards FCFA) et la position de leader sur le marché ouest-africain des boissons justifient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converge vers une recommandation **ACHAT** avec un niveau de confiance **Élevé** et un risque global **Moyen**. La valorisation (Partie 0) est modérée avec un PER de 13,5x et un EV/EBITDA de 7,4x, ne montrant ni sous-évaluation flagrante ni surévaluation excessive, tandis que le P/B de 3,17x est justifié par un ROE de 23,46%. Le comportement du cours (Partie 1) est stable avec une volatilité modérée de 24,6% et une distribution proche de la normale (kurtosis 0,706), bien que le skewness positif de 0,811 appelle à la prudence face à une légère pression baissière. Les signaux techniques (Partie 2) sont mitigés mais constructifs : les moyennes mobiles et le MACD sont haussiers, tandis que le RSI et le Stochastique restent neutres, suggérant une consolidation avant un potentiel rebond. Les fondamentaux (Partie 3) sont exceptionnels avec une croissance du CA de 22,08%, un résultat net en hausse de 113% et des ratios de rentabilité au-dessus des standards, confirmés par le T1 2026 (+7,6% de CA). Les prédictions IA (J+1 à J+10) anticipent une trajectoire haussière progressive de 37 933 FCFA à 38 508 FCFA, ce qui confirme les signaux techniques d'achat et la solidité fondamentale. Compte tenu de cette convergence entre valorisation raisonnable, fondamentaux solides, signaux techniques positifs et prédictions haussières, l'action SLBC représente une opportunité d'investissement attractive. L'horizon optimal est le **moyen terme (3-12 mois)** pour capturer la croissance bénéficiaire et le dividende généreux, avec un potentiel de plus-value en capital si le cours franchit la résistance des 38 351 FCFA (borne supérieure de Bollinger).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122.70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1,654 titres</w:t>
            </w:r>
          </w:p>
        </w:tc>
        <w:tc>
          <w:tcPr>
            <w:tcW w:type="dxa" w:w="2268"/>
            <w:shd w:fill="FFF2CC" w:val="clear"/>
          </w:tcPr>
          <w:p>
            <w:r>
              <w:rPr>
                <w:b/>
                <w:color w:val="503200"/>
                <w:sz w:val="16"/>
              </w:rPr>
              <w:t xml:space="preserve">Cours actuel : </w:t>
            </w:r>
            <w:r>
              <w:rPr>
                <w:color w:val="000000"/>
                <w:sz w:val="17"/>
              </w:rPr>
              <w:t>15,740 FCFA</w:t>
            </w:r>
          </w:p>
          <w:p>
            <w:r>
              <w:rPr>
                <w:b/>
                <w:color w:val="503200"/>
                <w:sz w:val="16"/>
              </w:rPr>
              <w:t xml:space="preserve">Var. 100 jours : </w:t>
            </w:r>
            <w:r>
              <w:rPr>
                <w:b/>
                <w:color w:val="007800"/>
                <w:sz w:val="17"/>
              </w:rPr>
              <w:t>+25.92%</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12,500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8.13% (Moyenne) — μ=16,187 FCFA, σ=1,315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β=0.3853 (Défensif) — Cov=0.000029, Var(idx)=0.000074, ρ=0.123,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98627"/>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14,900</w:t>
            </w:r>
          </w:p>
        </w:tc>
        <w:tc>
          <w:tcPr>
            <w:tcW w:type="dxa" w:w="1440"/>
            <w:shd w:fill="FAFAFA" w:val="clear"/>
          </w:tcPr>
          <w:p>
            <w:r>
              <w:rPr>
                <w:b/>
                <w:sz w:val="17"/>
              </w:rPr>
              <w:t>15,684</w:t>
            </w:r>
          </w:p>
        </w:tc>
        <w:tc>
          <w:tcPr>
            <w:tcW w:type="dxa" w:w="1440"/>
            <w:shd w:fill="FAFAFA" w:val="clear"/>
          </w:tcPr>
          <w:p>
            <w:r>
              <w:rPr>
                <w:sz w:val="17"/>
              </w:rPr>
              <w:t>16,467</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14,558</w:t>
            </w:r>
          </w:p>
        </w:tc>
        <w:tc>
          <w:tcPr>
            <w:tcW w:type="dxa" w:w="1440"/>
            <w:shd w:fill="FAFAFA" w:val="clear"/>
          </w:tcPr>
          <w:p>
            <w:r>
              <w:rPr>
                <w:b/>
                <w:sz w:val="17"/>
              </w:rPr>
              <w:t>15,665</w:t>
            </w:r>
          </w:p>
        </w:tc>
        <w:tc>
          <w:tcPr>
            <w:tcW w:type="dxa" w:w="1440"/>
            <w:shd w:fill="FAFAFA" w:val="clear"/>
          </w:tcPr>
          <w:p>
            <w:r>
              <w:rPr>
                <w:sz w:val="17"/>
              </w:rPr>
              <w:t>16,771</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14,286</w:t>
            </w:r>
          </w:p>
        </w:tc>
        <w:tc>
          <w:tcPr>
            <w:tcW w:type="dxa" w:w="1440"/>
            <w:shd w:fill="FAFAFA" w:val="clear"/>
          </w:tcPr>
          <w:p>
            <w:r>
              <w:rPr>
                <w:b/>
                <w:sz w:val="17"/>
              </w:rPr>
              <w:t>15,639</w:t>
            </w:r>
          </w:p>
        </w:tc>
        <w:tc>
          <w:tcPr>
            <w:tcW w:type="dxa" w:w="1440"/>
            <w:shd w:fill="FAFAFA" w:val="clear"/>
          </w:tcPr>
          <w:p>
            <w:r>
              <w:rPr>
                <w:sz w:val="17"/>
              </w:rPr>
              <w:t>16,992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14,052</w:t>
            </w:r>
          </w:p>
        </w:tc>
        <w:tc>
          <w:tcPr>
            <w:tcW w:type="dxa" w:w="1440"/>
            <w:shd w:fill="FAFAFA" w:val="clear"/>
          </w:tcPr>
          <w:p>
            <w:r>
              <w:rPr>
                <w:b/>
                <w:sz w:val="17"/>
              </w:rPr>
              <w:t>15,612</w:t>
            </w:r>
          </w:p>
        </w:tc>
        <w:tc>
          <w:tcPr>
            <w:tcW w:type="dxa" w:w="1440"/>
            <w:shd w:fill="FAFAFA" w:val="clear"/>
          </w:tcPr>
          <w:p>
            <w:r>
              <w:rPr>
                <w:sz w:val="17"/>
              </w:rPr>
              <w:t>17,171</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13,844</w:t>
            </w:r>
          </w:p>
        </w:tc>
        <w:tc>
          <w:tcPr>
            <w:tcW w:type="dxa" w:w="1440"/>
            <w:shd w:fill="FAFAFA" w:val="clear"/>
          </w:tcPr>
          <w:p>
            <w:r>
              <w:rPr>
                <w:b/>
                <w:sz w:val="17"/>
              </w:rPr>
              <w:t>15,584</w:t>
            </w:r>
          </w:p>
        </w:tc>
        <w:tc>
          <w:tcPr>
            <w:tcW w:type="dxa" w:w="1440"/>
            <w:shd w:fill="FAFAFA" w:val="clear"/>
          </w:tcPr>
          <w:p>
            <w:r>
              <w:rPr>
                <w:sz w:val="17"/>
              </w:rPr>
              <w:t>17,325</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13,654</w:t>
            </w:r>
          </w:p>
        </w:tc>
        <w:tc>
          <w:tcPr>
            <w:tcW w:type="dxa" w:w="1440"/>
            <w:shd w:fill="FAFAFA" w:val="clear"/>
          </w:tcPr>
          <w:p>
            <w:r>
              <w:rPr>
                <w:b/>
                <w:sz w:val="17"/>
              </w:rPr>
              <w:t>15,557</w:t>
            </w:r>
          </w:p>
        </w:tc>
        <w:tc>
          <w:tcPr>
            <w:tcW w:type="dxa" w:w="1440"/>
            <w:shd w:fill="FAFAFA" w:val="clear"/>
          </w:tcPr>
          <w:p>
            <w:r>
              <w:rPr>
                <w:sz w:val="17"/>
              </w:rPr>
              <w:t>17,460</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13,478</w:t>
            </w:r>
          </w:p>
        </w:tc>
        <w:tc>
          <w:tcPr>
            <w:tcW w:type="dxa" w:w="1440"/>
            <w:shd w:fill="FAFAFA" w:val="clear"/>
          </w:tcPr>
          <w:p>
            <w:r>
              <w:rPr>
                <w:b/>
                <w:sz w:val="17"/>
              </w:rPr>
              <w:t>15,530</w:t>
            </w:r>
          </w:p>
        </w:tc>
        <w:tc>
          <w:tcPr>
            <w:tcW w:type="dxa" w:w="1440"/>
            <w:shd w:fill="FAFAFA" w:val="clear"/>
          </w:tcPr>
          <w:p>
            <w:r>
              <w:rPr>
                <w:sz w:val="17"/>
              </w:rPr>
              <w:t>17,582</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13,313</w:t>
            </w:r>
          </w:p>
        </w:tc>
        <w:tc>
          <w:tcPr>
            <w:tcW w:type="dxa" w:w="1440"/>
            <w:shd w:fill="FAFAFA" w:val="clear"/>
          </w:tcPr>
          <w:p>
            <w:r>
              <w:rPr>
                <w:b/>
                <w:sz w:val="17"/>
              </w:rPr>
              <w:t>15,503</w:t>
            </w:r>
          </w:p>
        </w:tc>
        <w:tc>
          <w:tcPr>
            <w:tcW w:type="dxa" w:w="1440"/>
            <w:shd w:fill="FAFAFA" w:val="clear"/>
          </w:tcPr>
          <w:p>
            <w:r>
              <w:rPr>
                <w:sz w:val="17"/>
              </w:rPr>
              <w:t>17,693</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13,158</w:t>
            </w:r>
          </w:p>
        </w:tc>
        <w:tc>
          <w:tcPr>
            <w:tcW w:type="dxa" w:w="1440"/>
            <w:shd w:fill="FAFAFA" w:val="clear"/>
          </w:tcPr>
          <w:p>
            <w:r>
              <w:rPr>
                <w:b/>
                <w:sz w:val="17"/>
              </w:rPr>
              <w:t>15,477</w:t>
            </w:r>
          </w:p>
        </w:tc>
        <w:tc>
          <w:tcPr>
            <w:tcW w:type="dxa" w:w="1440"/>
            <w:shd w:fill="FAFAFA" w:val="clear"/>
          </w:tcPr>
          <w:p>
            <w:r>
              <w:rPr>
                <w:sz w:val="17"/>
              </w:rPr>
              <w:t>17,796</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13,010</w:t>
            </w:r>
          </w:p>
        </w:tc>
        <w:tc>
          <w:tcPr>
            <w:tcW w:type="dxa" w:w="1440"/>
            <w:shd w:fill="FAFAFA" w:val="clear"/>
          </w:tcPr>
          <w:p>
            <w:r>
              <w:rPr>
                <w:b/>
                <w:sz w:val="17"/>
              </w:rPr>
              <w:t>15,450</w:t>
            </w:r>
          </w:p>
        </w:tc>
        <w:tc>
          <w:tcPr>
            <w:tcW w:type="dxa" w:w="1440"/>
            <w:shd w:fill="FAFAFA" w:val="clear"/>
          </w:tcPr>
          <w:p>
            <w:r>
              <w:rPr>
                <w:sz w:val="17"/>
              </w:rPr>
              <w:t>17,890</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 / Produits pétroliers)**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122,70 Mds FCFA, SMBC se positionne comme une valeur de moyenne capitalisation sur la BRVM, représentant un poids significatif dans le compartiment industriel de la cote. Le BPA de 1 677 FCFA/action signifie que chaque titre génère près de 1 677 FCFA de bénéfice net, ce qui, rapporté au cours actuel de 15 740 FCFA, donne un PER de 9,4x — un niveau modéré, légèrement inférieur à la moyenne BRVM (~8-12x), suggérant une valorisation raisonnable voire légèrement sous-évaluée au regard des bénéfices. Le P/B de 2,86x indique que le marché valorise l'action à près de trois fois sa valeur comptable, traduisant une prime de croissance et de qualité accordée par les investisseurs. Enfin, l'EV/EBITDA de 5,8x, bien positionné dans la fourchette raisonnable de 5-10x, montre que la valeur d'entreprise reste cohérente avec la capacité opérationnelle de la société, ce qui renforce le caractère attractif du titre sur le plan fondamental.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performance remarquable de **+25,92%**, avec une dernière séance en hausse de **+1,16%**, confirmant un momentum positif de court terme. Le titre a évolué dans un range large entre **12 500 FCFA** (plus bas) et **18 500 FCFA** (plus haut), soit une amplitude de près de 48%, témoignant d'une forte volatilité intra-période. La tendance générale est donc nettement haussière, portée par l'amélioration spectaculaire de la rentabilité publiée pour l'exercice 2025 (résultat net +50,3%). Les statistiques descriptives révèlent une moyenne de 16 187 FCFA légèrement inférieure à la médiane de 16 445 FCFA, avec un mode à 16 500 FCFA : cet écart, combiné à un skewness de **-0,975** (asymétrie négative), indique que le cours a passé davantage de journées au-dessus de sa moyenne, mais que quelques journées de forte baisse ont tiré la moyenne vers le bas — un profil typique de consolidation après un pic. L'écart-type de 1 322 FCFA (CV = 8,2%) traduit une dispersion modérée du cours autour de sa tendance, tandis que le kurtosis de **0,758** (mésokurtique) suggère une distribution proche de la normale, sans risque excessif de pics extrêmes. Enfin, la volatilité annualisée de **42,5%** classe SMBC parmi les titres à volatilité élevée (&gt;30%), ce qui implique un risque de marché non négligeable et justifie une approche prudente en termes de sizing.</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16 310,25 FCFA et la MM50 à 16 685,90 FCFA, toutes deux supérieures au cours actuel de 15 740 FCFA. Cette configuration — cours sous ses deux moyennes — est baissière à court et moyen terme, ce qui justifie la décision technique de **Vente** émise par le système. Le croisement potentiel de la MM20 sous la MM50 (death cross) reste à surveiller.</w:t>
      </w:r>
    </w:p>
    <w:p>
      <w:pPr>
        <w:spacing w:after="120" w:line="276" w:lineRule="auto"/>
      </w:pPr>
      <w:r>
        <w:t>**Bandes de Bollinger :** Le cours (15 740 FCFA) se situe dans la moitié inférieure de la bande, entre la borne inférieure (14 522,87 FCFA) et la borne supérieure (18 097,63 FCFA), sans toucher les extrêmes. Cette position centrale traduit une absence de signal directionnel fort, d'où la décision **Neutre**. L'écart entre les bornes reste large, confirmant la volatilité élevée du titre.</w:t>
      </w:r>
    </w:p>
    <w:p>
      <w:pPr>
        <w:spacing w:after="120" w:line="276" w:lineRule="auto"/>
      </w:pPr>
      <w:r>
        <w:t>**MACD :** La valeur du MACD (-305,75) est inférieure à son signal (-243,87), avec un histogramme négatif. Cette configuration baissière indique que le momentum de court terme reste négatif, bien que l'écart entre les deux lignes se réduise légèrement. La décision **Vente** est cohérente avec cette dynamique.</w:t>
      </w:r>
    </w:p>
    <w:p>
      <w:pPr>
        <w:spacing w:after="120" w:line="276" w:lineRule="auto"/>
      </w:pPr>
      <w:r>
        <w:t>**RSI :** À 48,72, le RSI se situe dans la zone neutre (30-70), sans signal de surachat ni de survente. Cette valeur médiane indique un équilibre entre acheteurs et vendeurs, justifiant la décision **Neutre**. Le titre n'est ni épuisé à la hausse ni survendu.</w:t>
      </w:r>
    </w:p>
    <w:p>
      <w:pPr>
        <w:spacing w:after="120" w:line="276" w:lineRule="auto"/>
      </w:pPr>
      <w:r>
        <w:t>**Stochastique :** Le %K (45,08) et le %D (43,33) évoluent en zone neutre, avec un %K légèrement supérieur au %D — un croisement haussier naissant mais non confirmé. La décision **Neutre** reflète cette absence de signal clair, le stochastique n'ayant pas encore atteint la zone de survente (&lt;20) qui déclencherait un signal d'achat.</w:t>
      </w:r>
    </w:p>
    <w:p>
      <w:pPr>
        <w:spacing w:after="120" w:line="276" w:lineRule="auto"/>
      </w:pPr>
      <w:r>
        <w:t>**Conclusion technique :** Les indicateurs sont majoritairement neutres à baissiers (MM et MACD en Vente, Bollinger/RSI/Stochastique en Neutre), ce qui traduit une phase de consolidation après le rallye haussier des 100 derniers jours. Le cours évolue sous ses moyennes mobiles, signe que la pression vendeuse domine à court terme, mais l'absence de survente (RSI ~49) suggère que le potentiel de baisse reste limité. Un retour au-dessus de la MM20 (16 310 FCFA) serait nécessaire pour confirmer une reprise haussière.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SMBC affiche un chiffre d'affaires de **206 740 M FCFA**, en baisse de **-9,74%** par rapport à 2024 (229 061 M FCFA), mais un résultat net en forte progression de **+50,3%** à **13 075 M FCFA** (contre 8 698 M FCFA en 2024). Cette performance paradoxale s'explique par une amélioration spectaculaire de la rentabilité opérationnelle : l'EBE bondit de +41,8% à 18 480 M FCFA, la marge nette passe de 3,8% à **6,32%**, et le ROE atteint **30,47%** (excellent, &gt;15%), tandis que le ROA s'établit à **7,26%**. La structure financière se renforce : capitaux propres de 42 913 M FCFA (+21,6%), trésorerie nette positive de 23 988 M FCFA (contre 6 070 M FCFA en 2024), et capacité de remboursement de 0,68 an (dette financière/CAF), très confortable.</w:t>
      </w:r>
    </w:p>
    <w:p>
      <w:pPr>
        <w:spacing w:after="120" w:line="276" w:lineRule="auto"/>
      </w:pPr>
      <w:r>
        <w:t>**Analyse sectorielle (entreprise industrielle) :** Le BFR s'élève à 1 693 M FCFA, mais le délai client de **193,75 jours** constitue un point de vigilance majeur — il signifie que SMBC met près de 6,5 mois à encaisser ses créances, ce qui pèse sur la trésorerie malgré la position nette positive. À l'inverse, le délai fournisseurs de **207,07 jours** est favorable (financement par les fournisseurs), et la durée de stockage de 38,09 jours reste maîtrisée. Le ratio d'endettement de 76,16% et l'autonomie financière de 23,84% (inférieure au seuil sain de 30%) indiquent une dépendance modérée aux dettes, mais la solvabilité générale (131,30%) et la liquidité générale (120,18%) restent satisfaisantes.</w:t>
      </w:r>
    </w:p>
    <w:p>
      <w:pPr>
        <w:spacing w:after="120" w:line="276" w:lineRule="auto"/>
      </w:pPr>
      <w:r>
        <w:t>**Estimations basées sur les rapports trimestriels :** Les rapports T1 2025 (CA -22%, RN -7%), S1 2025 (CA -23%, RN -7%) et 9M 2025 (CA -14%, RN +6%) montrent une amélioration progressive de la rentabilité au fil de l'année, portée par les marges de raffinage. Sur cette base, on estime que l'exercice 2025 s'est conclu avec un RN de 13,1 Mds FCFA (confirmé par les états financiers), et que 2026 devrait bénéficier de la poursuite des chantiers routiers en Côte d'Ivoire et de la demande à l'export (Nigeria, Ghana, Burkina, Mali). Le principal risque reste la volatilité du Brent et les aléas climatiques (pluies) affectant la demande.</w:t>
      </w:r>
    </w:p>
    <w:p>
      <w:pPr>
        <w:spacing w:after="120" w:line="276" w:lineRule="auto"/>
      </w:pPr>
      <w:r>
        <w:t>**Recommandation fondamentale :** SMBC présente une solidité financière remarquable (ROE 30,5%, trésorerie nette positive, endettement maîtrisé) et une capacité démontrée à améliorer ses marges malgré la baisse du CA. Les risques identifiés (délai client élevé, dépendance aux matières premières, baisse structurelle du CA) sont réels mais compensés par la qualité de la gestion opérationnelle. Le titre est fondamentalement **sous-évalué** (PER 9,4x, EV/EBITDA 5,8x) au regard de sa rentabilité.</w:t>
      </w:r>
    </w:p>
    <w:p>
      <w:pPr>
        <w:spacing w:after="120" w:line="276" w:lineRule="auto"/>
      </w:pPr>
      <w:r>
        <w:t>---</w:t>
      </w:r>
    </w:p>
    <w:p>
      <w:pPr>
        <w:spacing w:after="120" w:line="276" w:lineRule="auto"/>
      </w:pPr>
      <w:r>
        <w:t>## PARTIE 4 : CONCLUSION D'INVESTISSEMENT</w:t>
      </w:r>
    </w:p>
    <w:p>
      <w:pPr>
        <w:spacing w:after="120" w:line="276" w:lineRule="auto"/>
      </w:pPr>
      <w:r>
        <w:t>La valorisation (Partie 0) est attractive : PER de 9,4x légèrement sous la moyenne BRVM, P/B de 2,86x justifié par un ROE de 30,5%, et EV/EBITDA de 5,8x raisonnable — le titre n'est pas cher au regard de ses bénéfices. Le comportement du cours (Partie 1) est haussier sur 100 jours (+25,92%) mais marqué par une volatilité élevée (42,5%) et une asymétrie négative (skewness -0,975) qui signale une consolidation après un pic à 18 500 FCFA. Les signaux techniques (Partie 2) sont majoritairement neutres à baissiers (MM et MACD en Vente, RSI/Stochastique/Bollinger en Neutre), traduisant une phase de digestion sans signal d'achat immédiat. Les fondamentaux (Partie 3) sont excellents : résultat net +50,3% en 2025, ROE de 30,5%, trésorerie nette de 24 Mds FCFA, et estimations favorables pour 2026 portées par la demande en infrastructures. Les prédictions IA (J+1 à J+10) anticipent une légère dérive baissière de 15 684 à 15 584 FCFA, confirmant la consolidation technique sans effondrement.</w:t>
      </w:r>
    </w:p>
    <w:p>
      <w:pPr>
        <w:spacing w:after="120" w:line="276" w:lineRule="auto"/>
      </w:pPr>
      <w:r>
        <w:t>**Synthèse :** Il existe une divergence entre des fondamentaux très solides et une technique à court terme baissière, mais cette divergence est classique après un rallye de +26%. La prédiction IA d'une stabilisation autour de 15 600 FCFA suggère que la correction reste contenue.</w:t>
      </w:r>
    </w:p>
    <w:p>
      <w:pPr>
        <w:spacing w:after="120" w:line="276" w:lineRule="auto"/>
      </w:pPr>
      <w:r>
        <w:t>**Recommandation finale : CONSERVER (avec biais haussier à moyen terme)**</w:t>
        <w:br/>
        <w:t>- **Justification :** La convergence entre valorisation attractive, fondamentaux robustes (ROE 30,5%, RN +50,3%) et prédiction d'une stabilisation modérée plaide pour une conservation du titre. Un achat supplémentaire serait justifié si le cours revient vers 15 000-15 200 FCFA (borne inférieure de Bollinger) ou si la MM20 est franchie à la hausse.</w:t>
        <w:br/>
        <w:t>- **Niveau de confiance :** Moyen (technique baissière à court terme vs fondamentaux solides)</w:t>
        <w:br/>
        <w:t>- **Niveau de risque global :** Élevé (volatilité annualisée de 42,5%, dépendance aux matières premières)</w:t>
        <w:br/>
        <w:t>- **Horizon d'investissement optimal :** Moyen terme (3-12 mois), le temps que la consolidation technique s'achève et que les résultats 2026 confirment la dynamique de rentabilité.</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4490.00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13,682 titres</w:t>
            </w:r>
          </w:p>
        </w:tc>
        <w:tc>
          <w:tcPr>
            <w:tcW w:type="dxa" w:w="2268"/>
            <w:shd w:fill="FFF2CC" w:val="clear"/>
          </w:tcPr>
          <w:p>
            <w:r>
              <w:rPr>
                <w:b/>
                <w:color w:val="503200"/>
                <w:sz w:val="16"/>
              </w:rPr>
              <w:t xml:space="preserve">Cours actuel : </w:t>
            </w:r>
            <w:r>
              <w:rPr>
                <w:color w:val="000000"/>
                <w:sz w:val="17"/>
              </w:rPr>
              <w:t>44,900 FCFA</w:t>
            </w:r>
          </w:p>
          <w:p>
            <w:r>
              <w:rPr>
                <w:b/>
                <w:color w:val="503200"/>
                <w:sz w:val="16"/>
              </w:rPr>
              <w:t xml:space="preserve">Var. 100 jours : </w:t>
            </w:r>
            <w:r>
              <w:rPr>
                <w:b/>
                <w:color w:val="007800"/>
                <w:sz w:val="17"/>
              </w:rPr>
              <w:t>+55.63%</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29.3/100 → Moyen</w:t>
      </w:r>
    </w:p>
    <w:p>
      <w:pPr>
        <w:spacing w:before="40" w:after="80"/>
      </w:pPr>
      <w:r>
        <w:rPr>
          <w:rFonts w:ascii="Courier New" w:hAnsi="Courier New"/>
          <w:color w:val="825A00"/>
          <w:sz w:val="18"/>
        </w:rPr>
        <w:t>█████░░░░░░░░░░░░░░░  29.3/100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16.43% (Élevée) — μ=33,885 FCFA, σ=5,567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β=1.2104 (Agressif) — Cov=0.000090, Var(idx)=0.000074, ρ=0.492,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13,682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43,387</w:t>
            </w:r>
          </w:p>
        </w:tc>
        <w:tc>
          <w:tcPr>
            <w:tcW w:type="dxa" w:w="1440"/>
            <w:shd w:fill="FAFAFA" w:val="clear"/>
          </w:tcPr>
          <w:p>
            <w:r>
              <w:rPr>
                <w:b/>
                <w:sz w:val="17"/>
              </w:rPr>
              <w:t>44,677</w:t>
            </w:r>
          </w:p>
        </w:tc>
        <w:tc>
          <w:tcPr>
            <w:tcW w:type="dxa" w:w="1440"/>
            <w:shd w:fill="FAFAFA" w:val="clear"/>
          </w:tcPr>
          <w:p>
            <w:r>
              <w:rPr>
                <w:sz w:val="17"/>
              </w:rPr>
              <w:t>45,968</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42,839</w:t>
            </w:r>
          </w:p>
        </w:tc>
        <w:tc>
          <w:tcPr>
            <w:tcW w:type="dxa" w:w="1440"/>
            <w:shd w:fill="FAFAFA" w:val="clear"/>
          </w:tcPr>
          <w:p>
            <w:r>
              <w:rPr>
                <w:b/>
                <w:sz w:val="17"/>
              </w:rPr>
              <w:t>44,663</w:t>
            </w:r>
          </w:p>
        </w:tc>
        <w:tc>
          <w:tcPr>
            <w:tcW w:type="dxa" w:w="1440"/>
            <w:shd w:fill="FAFAFA" w:val="clear"/>
          </w:tcPr>
          <w:p>
            <w:r>
              <w:rPr>
                <w:sz w:val="17"/>
              </w:rPr>
              <w:t>46,487</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42,406</w:t>
            </w:r>
          </w:p>
        </w:tc>
        <w:tc>
          <w:tcPr>
            <w:tcW w:type="dxa" w:w="1440"/>
            <w:shd w:fill="FAFAFA" w:val="clear"/>
          </w:tcPr>
          <w:p>
            <w:r>
              <w:rPr>
                <w:b/>
                <w:sz w:val="17"/>
              </w:rPr>
              <w:t>44,639</w:t>
            </w:r>
          </w:p>
        </w:tc>
        <w:tc>
          <w:tcPr>
            <w:tcW w:type="dxa" w:w="1440"/>
            <w:shd w:fill="FAFAFA" w:val="clear"/>
          </w:tcPr>
          <w:p>
            <w:r>
              <w:rPr>
                <w:sz w:val="17"/>
              </w:rPr>
              <w:t>46,872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42,045</w:t>
            </w:r>
          </w:p>
        </w:tc>
        <w:tc>
          <w:tcPr>
            <w:tcW w:type="dxa" w:w="1440"/>
            <w:shd w:fill="FAFAFA" w:val="clear"/>
          </w:tcPr>
          <w:p>
            <w:r>
              <w:rPr>
                <w:b/>
                <w:sz w:val="17"/>
              </w:rPr>
              <w:t>44,622</w:t>
            </w:r>
          </w:p>
        </w:tc>
        <w:tc>
          <w:tcPr>
            <w:tcW w:type="dxa" w:w="1440"/>
            <w:shd w:fill="FAFAFA" w:val="clear"/>
          </w:tcPr>
          <w:p>
            <w:r>
              <w:rPr>
                <w:sz w:val="17"/>
              </w:rPr>
              <w:t>47,199</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41,729</w:t>
            </w:r>
          </w:p>
        </w:tc>
        <w:tc>
          <w:tcPr>
            <w:tcW w:type="dxa" w:w="1440"/>
            <w:shd w:fill="FAFAFA" w:val="clear"/>
          </w:tcPr>
          <w:p>
            <w:r>
              <w:rPr>
                <w:b/>
                <w:sz w:val="17"/>
              </w:rPr>
              <w:t>44,609</w:t>
            </w:r>
          </w:p>
        </w:tc>
        <w:tc>
          <w:tcPr>
            <w:tcW w:type="dxa" w:w="1440"/>
            <w:shd w:fill="FAFAFA" w:val="clear"/>
          </w:tcPr>
          <w:p>
            <w:r>
              <w:rPr>
                <w:sz w:val="17"/>
              </w:rPr>
              <w:t>47,490</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41,445</w:t>
            </w:r>
          </w:p>
        </w:tc>
        <w:tc>
          <w:tcPr>
            <w:tcW w:type="dxa" w:w="1440"/>
            <w:shd w:fill="FAFAFA" w:val="clear"/>
          </w:tcPr>
          <w:p>
            <w:r>
              <w:rPr>
                <w:b/>
                <w:sz w:val="17"/>
              </w:rPr>
              <w:t>44,600</w:t>
            </w:r>
          </w:p>
        </w:tc>
        <w:tc>
          <w:tcPr>
            <w:tcW w:type="dxa" w:w="1440"/>
            <w:shd w:fill="FAFAFA" w:val="clear"/>
          </w:tcPr>
          <w:p>
            <w:r>
              <w:rPr>
                <w:sz w:val="17"/>
              </w:rPr>
              <w:t>47,755</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41,184</w:t>
            </w:r>
          </w:p>
        </w:tc>
        <w:tc>
          <w:tcPr>
            <w:tcW w:type="dxa" w:w="1440"/>
            <w:shd w:fill="FAFAFA" w:val="clear"/>
          </w:tcPr>
          <w:p>
            <w:r>
              <w:rPr>
                <w:b/>
                <w:sz w:val="17"/>
              </w:rPr>
              <w:t>44,591</w:t>
            </w:r>
          </w:p>
        </w:tc>
        <w:tc>
          <w:tcPr>
            <w:tcW w:type="dxa" w:w="1440"/>
            <w:shd w:fill="FAFAFA" w:val="clear"/>
          </w:tcPr>
          <w:p>
            <w:r>
              <w:rPr>
                <w:sz w:val="17"/>
              </w:rPr>
              <w:t>47,999</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40,942</w:t>
            </w:r>
          </w:p>
        </w:tc>
        <w:tc>
          <w:tcPr>
            <w:tcW w:type="dxa" w:w="1440"/>
            <w:shd w:fill="FAFAFA" w:val="clear"/>
          </w:tcPr>
          <w:p>
            <w:r>
              <w:rPr>
                <w:b/>
                <w:sz w:val="17"/>
              </w:rPr>
              <w:t>44,583</w:t>
            </w:r>
          </w:p>
        </w:tc>
        <w:tc>
          <w:tcPr>
            <w:tcW w:type="dxa" w:w="1440"/>
            <w:shd w:fill="FAFAFA" w:val="clear"/>
          </w:tcPr>
          <w:p>
            <w:r>
              <w:rPr>
                <w:sz w:val="17"/>
              </w:rPr>
              <w:t>48,225</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40,713</w:t>
            </w:r>
          </w:p>
        </w:tc>
        <w:tc>
          <w:tcPr>
            <w:tcW w:type="dxa" w:w="1440"/>
            <w:shd w:fill="FAFAFA" w:val="clear"/>
          </w:tcPr>
          <w:p>
            <w:r>
              <w:rPr>
                <w:b/>
                <w:sz w:val="17"/>
              </w:rPr>
              <w:t>44,575</w:t>
            </w:r>
          </w:p>
        </w:tc>
        <w:tc>
          <w:tcPr>
            <w:tcW w:type="dxa" w:w="1440"/>
            <w:shd w:fill="FAFAFA" w:val="clear"/>
          </w:tcPr>
          <w:p>
            <w:r>
              <w:rPr>
                <w:sz w:val="17"/>
              </w:rPr>
              <w:t>48,436</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40,495</w:t>
            </w:r>
          </w:p>
        </w:tc>
        <w:tc>
          <w:tcPr>
            <w:tcW w:type="dxa" w:w="1440"/>
            <w:shd w:fill="FAFAFA" w:val="clear"/>
          </w:tcPr>
          <w:p>
            <w:r>
              <w:rPr>
                <w:b/>
                <w:sz w:val="17"/>
              </w:rPr>
              <w:t>44,565</w:t>
            </w:r>
          </w:p>
        </w:tc>
        <w:tc>
          <w:tcPr>
            <w:tcW w:type="dxa" w:w="1440"/>
            <w:shd w:fill="FAFAFA" w:val="clear"/>
          </w:tcPr>
          <w:p>
            <w:r>
              <w:rPr>
                <w:sz w:val="17"/>
              </w:rPr>
              <w:t>48,635</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4 490 milliards FCFA, Sonatel confirme son statut de valeur phare de la BRVM, représentant à elle seule une part significative de la capitalisation totale du marché régional. Le BPA de 4 136 FCFA par action traduit la capacité bénéficiaire intrinsèque du titre, tandis que le PER de 10,9x situe la valorisation dans la fourchette haute de la moyenne BRVM (~8-12x), sans toutefois constituer une prime excessive au regard de la qualité des fondamentaux. Le P/B de 3,21x indique que le marché valorise l'action à plus de trois fois sa valeur comptable, traduisant une prime de croissance justifiée par la rentabilité élevée des fonds propres (ROE de 29,56%). Enfin, l'EV/EBITDA de 4,7x, inférieur au seuil de 5x, signale que la valeur d'entreprise reste très raisonnablement valorisée par rapport à la capacité opérationnelle de génération de cash-flows, ce qui constitue un point d'appui majeur pour la thèse d'investissement.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 enregistré une progression spectaculaire de +55,63%, portant le cours à 44 900 FCFA, malgré un léger repli de -0,22% lors de la dernière séance. Le range de trading est particulièrement large, avec un plus bas à 27 160 FCFA et un plus haut à 45 000 FCFA, soit une amplitude de plus de 65%, témoignant d'une dynamique haussière puissante et d'un intérêt croissant des investisseurs. La tendance générale est clairement haussière, soutenue par des publications financières solides et un contexte de recherche de rendement sur le marché régional. Les statistiques descriptives révèlent une moyenne de 33 885 FCFA nettement supérieure à la médiane de 31 652 FCFA, confirmant une asymétrie positive (skewness de 0,760) avec davantage de journées de cotation sous la moyenne, typique d'un titre ayant connu une accélération récente. L'écart-type de 5 595 FCFA (CV de 16,5%) indique une dispersion modérée du cours, tandis que le kurtosis de -0,796 (mésokurtique) suggère une distribution proche de la normale, sans risque excessif de pics extrêmes. La volatilité annualisée de 33,3% classe le titre dans la catégorie des valeurs à volatilité élevée (&gt;30%), ce qui implique un risque de marché non négligeable mais cohérent avec la performance exceptionnelle enregistrée.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42 983,25 FCFA et la MM50 à 38 192,20 FCFA, toutes deux nettement inférieures au cours actuel de 44 900 FCFA. Cette configuration en « golden cross » (MM20 &gt; MM50) avec un cours au-dessus des deux moyennes confirme une tendance haussière robuste et justifie la décision d'achat.</w:t>
      </w:r>
    </w:p>
    <w:p>
      <w:pPr>
        <w:spacing w:after="120" w:line="276" w:lineRule="auto"/>
      </w:pPr>
      <w:r>
        <w:t>**Bandes de Bollinger** : Le cours (44 900 FCFA) évolue dans la partie haute de la bande, entre la borne inférieure à 38 649,37 FCFA et la borne supérieure à 47 317,13 FCFA, sans toutefois la franchir. Cette position proche de la borne haute, couplée à une volatilité modérée, justifie la décision neutre : le titre n'est ni en surchauffe extrême, ni en zone de faiblesse.</w:t>
      </w:r>
    </w:p>
    <w:p>
      <w:pPr>
        <w:spacing w:after="120" w:line="276" w:lineRule="auto"/>
      </w:pPr>
      <w:r>
        <w:t>**MACD** : La valeur du MACD (2 012,58) est légèrement inférieure à son signal (2 122,02), générant une divergence baissière qui traduit un essoufflement du momentum haussier. Cette configuration justifie la décision de vente à court terme, bien que l'écart reste marginal.</w:t>
      </w:r>
    </w:p>
    <w:p>
      <w:pPr>
        <w:spacing w:after="120" w:line="276" w:lineRule="auto"/>
      </w:pPr>
      <w:r>
        <w:t>**RSI** : À 78,27, le RSI se situe nettement au-dessus du seuil de surachat (70), signalant que le titre a été fortement acheté et qu'une correction ou consolidation est probable. La décision de vente est cohérente avec ce niveau de surachat.</w:t>
      </w:r>
    </w:p>
    <w:p>
      <w:pPr>
        <w:spacing w:after="120" w:line="276" w:lineRule="auto"/>
      </w:pPr>
      <w:r>
        <w:t>**Stochastique** : Le %K (97,5) et le %D (99,0) évoluent tous deux en zone de surachat extrême, avec un %K légèrement inférieur au %D, suggérant un début de croisement baissier. Cette configuration confirme la décision de vente à court terme.</w:t>
      </w:r>
    </w:p>
    <w:p>
      <w:pPr>
        <w:spacing w:after="120" w:line="276" w:lineRule="auto"/>
      </w:pPr>
      <w:r>
        <w:t>**Conclusion technique** : Les indicateurs de tendance (MM20/MM50) restent haussiers et soutiennent le cours, mais les oscillateurs (RSI, Stochastique, MACD) affichent des signaux de surachat et de perte de momentum. Cette divergence entre tendance de fond et signaux de court terme suggère une phase de consolidation imminente, sans remise en cause de la dynamique haussière de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Sonatel a réalisé un chiffre d'affaires consolidé de 1 923,1 milliards FCFA, en progression de +8,3% sur un an, porté par la Data mobile (+8,6% de clients), le haut débit fixe (+26,2%) et Orange Money (+2,8% de clients). Le résultat net consolidé s'établit à 413,6 milliards FCFA (+5,1%), avec une marge nette de 21,5% et une marge d'EBITDAAL de 47,8%, confirmant l'excellence opérationnelle du groupe. Le ROE de 29,56% et le ROA de 12,65% témoignent d'une rentabilité exceptionnelle des fonds propres et des actifs, tandis que l'autonomie financière de 42,79% et la solvabilité générale de 174,79% traduisent une structure financière saine. Sur le plan de l'exploitation, le BFR est négatif (-284,9 milliards FCFA), ce qui constitue un avantage concurrentiel majeur : Sonatel finance son cycle d'exploitation par ses fournisseurs (délai fournisseurs de 201,39 jours) tout en encaissant rapidement ses clients (délai clients de 46,16 jours), générant ainsi une trésorerie nette de 536,1 milliards FCFA. Le ratio d'endettement de 57,21% et la capacité de remboursement de 0,64 an (dettes financières / CAF) confirment une faible dépendance à l'endettement. Les rapports trimestriels récents confirment cette dynamique : le communiqué du 27 juillet 2026 (S1 2026) fait état d'un chiffre d'affaires de 1 049,8 milliards FCFA (+9,3%) et d'un résultat net de 230 milliards FCFA (+10,5%), avec une notation relevée à AAA (wu) par GCR Ratings. Sur la base de ces tendances, on estime que l'exercice 2026 devrait enregistrer une croissance du chiffre d'affaires d'environ 9% et un résultat net proche de 450 milliards FCFA. Le dividende proposé au titre de 2025 s'élève à 1 933 FCFA brut (1 740 FCFA net), offrant un rendement attractif de 3,87% au cours actuel. La recommandation fondamentale est donc positive : Sonatel est un titre de qualité, avec des fondamentaux solides, une croissance rentable et une politique de dividende généreuse, bien que les pressions réglementaires et concurrentielles constituent des points de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Sonatel apparaît raisonnable au regard de ses fondamentaux : le PER de 10,9x et l'EV/EBITDA de 4,7x indiquent que le marché ne surpaye pas excessivement la qualité de la valeur, tandis que le P/B de 3,21x reflète une prime de croissance justifiée par un ROE de 29,56%. Le comportement du cours sur 100 jours est exceptionnel (+55,63%), avec une volatilité élevée (33,3%) et une asymétrie positive (skewness de 0,760) qui traduit un intérêt soutenu des investisseurs, mais le RSI à 78,27 et le Stochastique à 97,5 signalent un surachat à court terme. Les signaux techniques sont divergents : les moyennes mobiles restent haussières (MM20 &gt; MM50), mais le MACD, le RSI et le Stochastique convergent vers une décision de vente à court terme, suggérant une consolidation imminente. Les fondamentaux demeurent solides, avec un chiffre d'affaires de 1 923,1 milliards FCFA en 2025 (+8,3%), un résultat net de 413,6 milliards FCFA (+5,1%) et des perspectives 2026 estimées à +9% de croissance, soutenues par le S1 2026 (+9,3% de CA, +10,5% de résultat net) et une notation AAA. Les prédictions IA pour les 10 prochains jours (44 677 FCFA le 14/10, 44 609 FCFA le 20/10) anticipent une légère correction de -0,65% par rapport au cours actuel, ce qui confirme la thèse d'une consolidation à court terme sans remise en cause de la tendance de fond. Sur la base de cette synthèse, la recommandation finale est **CONSERVER** : le titre est fondamentalement solide et la tendance de moyen terme reste haussière, mais le surachat technique et la correction attendue à court terme incitent à la prudence pour les nouveaux entrants. Le niveau de confiance est **Moyen** (les fondamentaux sont excellents mais les signaux techniques à court terme sont baissiers), le risque global est **Moyen** (volatilité élevée mais fondamentaux solides), et l'horizon d'investissement optimal est le **moyen terme (3-12 mois)**, en attendant une correction pour renforcer les positions à des niveaux plus attractifs (zone des 42 000-43 000 FCFA).</w:t>
      </w:r>
    </w:p>
    <w:p>
      <w:pPr>
        <w:spacing w:after="120" w:line="276" w:lineRule="auto"/>
      </w:pPr>
      <w:r>
        <w:t>---</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169.57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5,338 titres</w:t>
            </w:r>
          </w:p>
        </w:tc>
        <w:tc>
          <w:tcPr>
            <w:tcW w:type="dxa" w:w="2268"/>
            <w:shd w:fill="FFF2CC" w:val="clear"/>
          </w:tcPr>
          <w:p>
            <w:r>
              <w:rPr>
                <w:b/>
                <w:color w:val="503200"/>
                <w:sz w:val="16"/>
              </w:rPr>
              <w:t xml:space="preserve">Cours actuel : </w:t>
            </w:r>
            <w:r>
              <w:rPr>
                <w:color w:val="000000"/>
                <w:sz w:val="17"/>
              </w:rPr>
              <w:t>7,850 FCFA</w:t>
            </w:r>
          </w:p>
          <w:p>
            <w:r>
              <w:rPr>
                <w:b/>
                <w:color w:val="503200"/>
                <w:sz w:val="16"/>
              </w:rPr>
              <w:t xml:space="preserve">Var. 100 jours : </w:t>
            </w:r>
            <w:r>
              <w:rPr>
                <w:b/>
                <w:color w:val="007800"/>
                <w:sz w:val="17"/>
              </w:rPr>
              <w:t>+9.03%</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4.12% (Faible) — μ=8,101 FCFA, σ=334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β=1.0398 (Neutre (suit le marché)) — Cov=0.000077, Var(idx)=0.000074, ρ=0.334,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090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7,458</w:t>
            </w:r>
          </w:p>
        </w:tc>
        <w:tc>
          <w:tcPr>
            <w:tcW w:type="dxa" w:w="1440"/>
            <w:shd w:fill="FAFAFA" w:val="clear"/>
          </w:tcPr>
          <w:p>
            <w:r>
              <w:rPr>
                <w:b/>
                <w:sz w:val="17"/>
              </w:rPr>
              <w:t>7,860</w:t>
            </w:r>
          </w:p>
        </w:tc>
        <w:tc>
          <w:tcPr>
            <w:tcW w:type="dxa" w:w="1440"/>
            <w:shd w:fill="FAFAFA" w:val="clear"/>
          </w:tcPr>
          <w:p>
            <w:r>
              <w:rPr>
                <w:sz w:val="17"/>
              </w:rPr>
              <w:t>8,262</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7,268</w:t>
            </w:r>
          </w:p>
        </w:tc>
        <w:tc>
          <w:tcPr>
            <w:tcW w:type="dxa" w:w="1440"/>
            <w:shd w:fill="FAFAFA" w:val="clear"/>
          </w:tcPr>
          <w:p>
            <w:r>
              <w:rPr>
                <w:b/>
                <w:sz w:val="17"/>
              </w:rPr>
              <w:t>7,834</w:t>
            </w:r>
          </w:p>
        </w:tc>
        <w:tc>
          <w:tcPr>
            <w:tcW w:type="dxa" w:w="1440"/>
            <w:shd w:fill="FAFAFA" w:val="clear"/>
          </w:tcPr>
          <w:p>
            <w:r>
              <w:rPr>
                <w:sz w:val="17"/>
              </w:rPr>
              <w:t>8,401</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7,121</w:t>
            </w:r>
          </w:p>
        </w:tc>
        <w:tc>
          <w:tcPr>
            <w:tcW w:type="dxa" w:w="1440"/>
            <w:shd w:fill="FAFAFA" w:val="clear"/>
          </w:tcPr>
          <w:p>
            <w:r>
              <w:rPr>
                <w:b/>
                <w:sz w:val="17"/>
              </w:rPr>
              <w:t>7,813</w:t>
            </w:r>
          </w:p>
        </w:tc>
        <w:tc>
          <w:tcPr>
            <w:tcW w:type="dxa" w:w="1440"/>
            <w:shd w:fill="FAFAFA" w:val="clear"/>
          </w:tcPr>
          <w:p>
            <w:r>
              <w:rPr>
                <w:sz w:val="17"/>
              </w:rPr>
              <w:t>8,506</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6,995</w:t>
            </w:r>
          </w:p>
        </w:tc>
        <w:tc>
          <w:tcPr>
            <w:tcW w:type="dxa" w:w="1440"/>
            <w:shd w:fill="FAFAFA" w:val="clear"/>
          </w:tcPr>
          <w:p>
            <w:r>
              <w:rPr>
                <w:b/>
                <w:sz w:val="17"/>
              </w:rPr>
              <w:t>7,793</w:t>
            </w:r>
          </w:p>
        </w:tc>
        <w:tc>
          <w:tcPr>
            <w:tcW w:type="dxa" w:w="1440"/>
            <w:shd w:fill="FAFAFA" w:val="clear"/>
          </w:tcPr>
          <w:p>
            <w:r>
              <w:rPr>
                <w:sz w:val="17"/>
              </w:rPr>
              <w:t>8,590</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6,883</w:t>
            </w:r>
          </w:p>
        </w:tc>
        <w:tc>
          <w:tcPr>
            <w:tcW w:type="dxa" w:w="1440"/>
            <w:shd w:fill="FAFAFA" w:val="clear"/>
          </w:tcPr>
          <w:p>
            <w:r>
              <w:rPr>
                <w:b/>
                <w:sz w:val="17"/>
              </w:rPr>
              <w:t>7,772</w:t>
            </w:r>
          </w:p>
        </w:tc>
        <w:tc>
          <w:tcPr>
            <w:tcW w:type="dxa" w:w="1440"/>
            <w:shd w:fill="FAFAFA" w:val="clear"/>
          </w:tcPr>
          <w:p>
            <w:r>
              <w:rPr>
                <w:sz w:val="17"/>
              </w:rPr>
              <w:t>8,662</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6,782</w:t>
            </w:r>
          </w:p>
        </w:tc>
        <w:tc>
          <w:tcPr>
            <w:tcW w:type="dxa" w:w="1440"/>
            <w:shd w:fill="FAFAFA" w:val="clear"/>
          </w:tcPr>
          <w:p>
            <w:r>
              <w:rPr>
                <w:b/>
                <w:sz w:val="17"/>
              </w:rPr>
              <w:t>7,753</w:t>
            </w:r>
          </w:p>
        </w:tc>
        <w:tc>
          <w:tcPr>
            <w:tcW w:type="dxa" w:w="1440"/>
            <w:shd w:fill="FAFAFA" w:val="clear"/>
          </w:tcPr>
          <w:p>
            <w:r>
              <w:rPr>
                <w:sz w:val="17"/>
              </w:rPr>
              <w:t>8,724</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6,688</w:t>
            </w:r>
          </w:p>
        </w:tc>
        <w:tc>
          <w:tcPr>
            <w:tcW w:type="dxa" w:w="1440"/>
            <w:shd w:fill="FAFAFA" w:val="clear"/>
          </w:tcPr>
          <w:p>
            <w:r>
              <w:rPr>
                <w:b/>
                <w:sz w:val="17"/>
              </w:rPr>
              <w:t>7,734</w:t>
            </w:r>
          </w:p>
        </w:tc>
        <w:tc>
          <w:tcPr>
            <w:tcW w:type="dxa" w:w="1440"/>
            <w:shd w:fill="FAFAFA" w:val="clear"/>
          </w:tcPr>
          <w:p>
            <w:r>
              <w:rPr>
                <w:sz w:val="17"/>
              </w:rPr>
              <w:t>8,781</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6,600</w:t>
            </w:r>
          </w:p>
        </w:tc>
        <w:tc>
          <w:tcPr>
            <w:tcW w:type="dxa" w:w="1440"/>
            <w:shd w:fill="FAFAFA" w:val="clear"/>
          </w:tcPr>
          <w:p>
            <w:r>
              <w:rPr>
                <w:b/>
                <w:sz w:val="17"/>
              </w:rPr>
              <w:t>7,716</w:t>
            </w:r>
          </w:p>
        </w:tc>
        <w:tc>
          <w:tcPr>
            <w:tcW w:type="dxa" w:w="1440"/>
            <w:shd w:fill="FAFAFA" w:val="clear"/>
          </w:tcPr>
          <w:p>
            <w:r>
              <w:rPr>
                <w:sz w:val="17"/>
              </w:rPr>
              <w:t>8,833</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6,518</w:t>
            </w:r>
          </w:p>
        </w:tc>
        <w:tc>
          <w:tcPr>
            <w:tcW w:type="dxa" w:w="1440"/>
            <w:shd w:fill="FAFAFA" w:val="clear"/>
          </w:tcPr>
          <w:p>
            <w:r>
              <w:rPr>
                <w:b/>
                <w:sz w:val="17"/>
              </w:rPr>
              <w:t>7,699</w:t>
            </w:r>
          </w:p>
        </w:tc>
        <w:tc>
          <w:tcPr>
            <w:tcW w:type="dxa" w:w="1440"/>
            <w:shd w:fill="FAFAFA" w:val="clear"/>
          </w:tcPr>
          <w:p>
            <w:r>
              <w:rPr>
                <w:sz w:val="17"/>
              </w:rPr>
              <w:t>8,881</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6,440</w:t>
            </w:r>
          </w:p>
        </w:tc>
        <w:tc>
          <w:tcPr>
            <w:tcW w:type="dxa" w:w="1440"/>
            <w:shd w:fill="FFDCE0" w:val="clear"/>
          </w:tcPr>
          <w:p>
            <w:r>
              <w:rPr>
                <w:b/>
                <w:sz w:val="17"/>
              </w:rPr>
              <w:t>7,683</w:t>
            </w:r>
          </w:p>
        </w:tc>
        <w:tc>
          <w:tcPr>
            <w:tcW w:type="dxa" w:w="1440"/>
            <w:shd w:fill="FFDCE0" w:val="clear"/>
          </w:tcPr>
          <w:p>
            <w:r>
              <w:rPr>
                <w:sz w:val="17"/>
              </w:rPr>
              <w:t>8,926</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169,57 milliards FCFA, SOGC s'impose comme une valeur de premier plan de la cote BRVM, représentant un poids significatif dans l'indice composite. Le BPA de 578 FCFA/action signifie que chaque titre génère près de 578 FCFA de bénéfice net, un niveau de rentabilité par action appréciable pour le marché ouest-africain. Le PER de 13,6x situe le titre légèrement au-dessus de la moyenne BRVM (8-12x), traduisant une prime modérée consentie par le marché pour la qualité des fondamentaux et la régularité du dividende. Le P/B de 2,48x indique que le marché valorise l'entreprise à près de 2,5 fois sa valeur comptable, ce qui reflète une prime de croissance justifiée par la solidité du bilan (capitaux propres de 68,43 Mds FCFA). Enfin, l'EV/EBITDA de 7,0x, dans la fourchette raisonnable de 5-10x, suggère que la valeur d'entreprise reste cohérente avec la capacité opérationnelle de génération de cash-flow,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progression totale de +9,03%, malgré un repli de -1,69% lors de la dernière séance, portant le cours actuel à 7 850 FCFA. Le range de trading s'établit entre un plus bas de 7 200 FCFA et un plus haut de 8 875 FCFA, soit une amplitude de 1 675 FCFA (23,3%) qui témoigne d'une réelle dynamique haussière sur la période. La tendance générale demeure haussière, le cours actuel se maintenant au-dessus du plus bas mais en retrait du sommet, suggérant une phase de consolidation après le pic. Les statistiques descriptives révèlent une moyenne de 8 101 FCFA légèrement supérieure à la médiane de 8 145 FCFA, avec un mode à 8 100 FCFA, indiquant une distribution quasi-symétrique centrée autour de 8 100 FCFA. L'écart-type de 335 FCFA (CV = 4,1%) traduit une dispersion modérée du cours, tandis que le kurtosis de 0,296 (mésokurtique) signale une distribution proche de la normale, sans risque excessif de pics extrêmes. Le skewness de -0,608 (asymétrie négative) indique davantage de journées au-dessus de la moyenne, confirmant la tendance haussière. La volatilité annualisée de 42,1% classe le titre dans la catégorie à volatilité élevée (&gt;30%), ce qui implique un risque de fluctuation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(7 878,5 FCFA) et la MM50 (8 020,2 FCFA) encadrent le cours actuel de 7 850 FCFA, qui évolue sous ses deux moyennes. Cette configuration baissière à court terme, avec MM20 &lt; MM50, justifie la décision de vente technique, le titre n'ayant pas encore retrouvé ses niveaux moyens de référence.</w:t>
      </w:r>
    </w:p>
    <w:p>
      <w:pPr>
        <w:spacing w:after="120" w:line="276" w:lineRule="auto"/>
      </w:pPr>
      <w:r>
        <w:t>**Bandes de Bollinger** : Le cours actuel (7 850 FCFA) se situe dans la partie inférieure de la bande, entre la borne inférieure (7 483,3 FCFA) et la borne supérieure (8 273,7 FCFA), à environ 45% de la largeur du canal. Cette position médiane-basse, couplée à une volatilité élevée, justifie la décision neutre, le titre n'étant ni en zone de survente ni de surachat.</w:t>
      </w:r>
    </w:p>
    <w:p>
      <w:pPr>
        <w:spacing w:after="120" w:line="276" w:lineRule="auto"/>
      </w:pPr>
      <w:r>
        <w:t>**MACD** : La valeur du MACD (-37,755) est supérieure à son signal (-59,583), générant un croisement haussier positif. Cette divergence positive indique un ralentissement de la dynamique baissière et un possible retournement à la hausse, justifiant la décision d'achat technique malgré la tendance de fond encore fragile.</w:t>
      </w:r>
    </w:p>
    <w:p>
      <w:pPr>
        <w:spacing w:after="120" w:line="276" w:lineRule="auto"/>
      </w:pPr>
      <w:r>
        <w:t>**RSI** : À 50,859, le RSI se situe parfaitement dans la zone neutre (30-70), sans signal de surachat ni de survente. Cette position médiane confirme l'absence de pression directionnelle forte et justifie la décision neutre, le titre évoluant sans excès.</w:t>
      </w:r>
    </w:p>
    <w:p>
      <w:pPr>
        <w:spacing w:after="120" w:line="276" w:lineRule="auto"/>
      </w:pPr>
      <w:r>
        <w:t>**Stochastique** : Le %K (68,75) est inférieur au %D (80,0), avec un croisement baissier en zone haute. Cette configuration suggère un essoufflement de la dynamique haussière à court terme et un risque de correction, justifiant la décision neutre avec une vigilance baissière.</w:t>
      </w:r>
    </w:p>
    <w:p>
      <w:pPr>
        <w:spacing w:after="120" w:line="276" w:lineRule="auto"/>
      </w:pPr>
      <w:r>
        <w:t>**Conclusion technique** : Les indicateurs techniques présentent un tableau mitigé, avec une majorité de signaux neutres (Bollinger, RSI, Stochastique) et une divergence entre la tendance baissière des moyennes mobiles et le croisement haussier du MACD. Le titre évolue dans une phase de consolidation sans direction claire, avec un léger biais baissier à court terme (MM20 &lt; MM50, Stochastique baissier) mais un potentiel de rebond technique (MACD haussier). La prudence reste de mise en l'absence de signal fort et convergent.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SOGC affiche un chiffre d'affaires de 98,979 milliards FCFA, en croissance de 10,70% par rapport à 2024 (93,52 Mds FCFA), portée par la hausse des prix de l'huile de palme (+20%) et de palmiste (+47%) ainsi que par la progression des volumes de caoutchouc (+9%). Le résultat net s'établit à 12,493 milliards FCFA, en léger repli de 5% par rapport aux 13,11 milliards FCFA de 2024, sous l'effet de la hausse de 15% des coûts de matières premières (coagulum). La rentabilité reste néanmoins solide avec un ROE de 18,26% (excellent, &gt;15%) et un ROA de 13,84%, tandis que la marge nette de 12,62% et la marge opérationnelle de 17,24% témoignent d'une bonne maîtrise des charges. La structure financière est remarquablement saine : l'autonomie financière de 75,79% (capitaux propres/total bilan) et un ratio d'endettement de seulement 24,21% confirment la solidité du bilan, avec des capitaux propres de 68,43 Mds FCFA pour un total actif de 90,29 Mds FCFA. Le besoin en fonds de roulement (BFR) de 7,124 Mds FCFA et la trésorerie nette de 4,575 Mds FCFA illustrent une gestion rigoureuse du cycle d'exploitation, bien que la durée de stockage de 97,67 jours reste élevée. Les délais clients (29,60 jours) et fournisseurs (31,72 jours) sont équilibrés, limitant le risque de trésorerie. Sur la base des rapports trimestriels 2025 (T1 : CA +63,1%, RN +262,9% ; S1 : CA +51,9%, RN +151,6% ; 9M : CA +21,3%, RN +39,5%), on observe un ralentissement progressif de la croissance, conformément aux alertes de la direction sur la concurrence accrue pour l'achat de coagulum et la baisse des cours SICOM. Le rapport annuel 2025 (publié en 2026) confirme cette tendance avec un RN de 12,49 Mds FCFA (-5%) et un dividende proposé de 570 FCFA/action (vs 60 FCFA en 2024), soit un rendement attractif de 7,3% au cours actuel. La génération de cash-flow opérationnel reste robuste (22,644 Mds FCFA) et le free cash-flow de 16,031 Mds FCFA couvre largement les investissements. En synthèse, SOGC présente des fondamentaux solides (ROE &gt;18%, autonomie financière &gt;75%, trésorerie nette positive) mais fait face à un ralentissement de sa croissance et à une pression sur ses marges, ce qui justifie une recommandation de conservation avec une vigilance accrue sur l'évolution des prix des matières premières.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SOGC (PER 13,6x, P/B 2,48x, EV/EBITDA 7,0x) apparaît raisonnable mais sans décote significative par rapport au marché BRVM, le titre intégrant déjà une prime de qualité. Le comportement du cours sur 100 jours (+9,03%) est haussier mais la volatilité élevée (42,1%) et l'asymétrie négative (skewness -0,608) suggèrent une phase de consolidation avec des risques de correction à court terme. Les signaux techniques sont mitigés : les moyennes mobiles sont baissières (MM20 &lt; MM50), le Stochastique indique un essoufflement, mais le MACD génère un croisement haussier et le RSI reste neutre, créant une divergence qui appelle à la prudence. Les fondamentaux demeurent solides (ROE 18,26%, autonomie financière 75,79%, dividende 570 FCFA/action) mais le ralentissement de la croissance (RN -5% en 2025) et la pression sur les marges (coûts matières premières +15%) constituent des vents contraires. Les prédictions IA (7 860 → 7 772 FCFA sur 10 jours) anticipent une légère tendance baissière, en ligne avec la consolidation technique observée. Sur la base de cette synthèse, la recommandation est **CONSERVER** avec un niveau de confiance **Moyen** et un risque global **Moyen**. Le titre offre un rendement attractif (7,3%) et des fondamentaux solides, mais l'absence de catalyseur haussier à court terme et la pression sur les marges justifient une position attentiste. L'horizon d'investissement optimal est le **moyen terme (3-12 mois)**, en attendant une stabilisation des prix des matières premières et une clarification de la trajectoire bénéficiaire.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4,745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+15.33%</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9.17% (Moyenne) — μ=7,927 FCFA, σ=727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β=0.6975 (Défensif) — Cov=0.000052, Var(idx)=0.000074, ρ=0.218,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7,418</w:t>
            </w:r>
          </w:p>
        </w:tc>
        <w:tc>
          <w:tcPr>
            <w:tcW w:type="dxa" w:w="1440"/>
            <w:shd w:fill="FAFAFA" w:val="clear"/>
          </w:tcPr>
          <w:p>
            <w:r>
              <w:rPr>
                <w:b/>
                <w:sz w:val="17"/>
              </w:rPr>
              <w:t>7,818</w:t>
            </w:r>
          </w:p>
        </w:tc>
        <w:tc>
          <w:tcPr>
            <w:tcW w:type="dxa" w:w="1440"/>
            <w:shd w:fill="FAFAFA" w:val="clear"/>
          </w:tcPr>
          <w:p>
            <w:r>
              <w:rPr>
                <w:sz w:val="17"/>
              </w:rPr>
              <w:t>8,217</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7,222</w:t>
            </w:r>
          </w:p>
        </w:tc>
        <w:tc>
          <w:tcPr>
            <w:tcW w:type="dxa" w:w="1440"/>
            <w:shd w:fill="FAFAFA" w:val="clear"/>
          </w:tcPr>
          <w:p>
            <w:r>
              <w:rPr>
                <w:b/>
                <w:sz w:val="17"/>
              </w:rPr>
              <w:t>7,785</w:t>
            </w:r>
          </w:p>
        </w:tc>
        <w:tc>
          <w:tcPr>
            <w:tcW w:type="dxa" w:w="1440"/>
            <w:shd w:fill="FAFAFA" w:val="clear"/>
          </w:tcPr>
          <w:p>
            <w:r>
              <w:rPr>
                <w:sz w:val="17"/>
              </w:rPr>
              <w:t>8,347</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7,063</w:t>
            </w:r>
          </w:p>
        </w:tc>
        <w:tc>
          <w:tcPr>
            <w:tcW w:type="dxa" w:w="1440"/>
            <w:shd w:fill="FAFAFA" w:val="clear"/>
          </w:tcPr>
          <w:p>
            <w:r>
              <w:rPr>
                <w:b/>
                <w:sz w:val="17"/>
              </w:rPr>
              <w:t>7,749</w:t>
            </w:r>
          </w:p>
        </w:tc>
        <w:tc>
          <w:tcPr>
            <w:tcW w:type="dxa" w:w="1440"/>
            <w:shd w:fill="FAFAFA" w:val="clear"/>
          </w:tcPr>
          <w:p>
            <w:r>
              <w:rPr>
                <w:sz w:val="17"/>
              </w:rPr>
              <w:t>8,434</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2026-10-19</w:t>
            </w:r>
          </w:p>
        </w:tc>
        <w:tc>
          <w:tcPr>
            <w:tcW w:type="dxa" w:w="1440"/>
            <w:shd w:fill="FFDCE0" w:val="clear"/>
          </w:tcPr>
          <w:p>
            <w:r>
              <w:rPr>
                <w:sz w:val="17"/>
              </w:rPr>
              <w:t>6,925</w:t>
            </w:r>
          </w:p>
        </w:tc>
        <w:tc>
          <w:tcPr>
            <w:tcW w:type="dxa" w:w="1440"/>
            <w:shd w:fill="FFDCE0" w:val="clear"/>
          </w:tcPr>
          <w:p>
            <w:r>
              <w:rPr>
                <w:b/>
                <w:sz w:val="17"/>
              </w:rPr>
              <w:t>7,713</w:t>
            </w:r>
          </w:p>
        </w:tc>
        <w:tc>
          <w:tcPr>
            <w:tcW w:type="dxa" w:w="1440"/>
            <w:shd w:fill="FFDCE0" w:val="clear"/>
          </w:tcPr>
          <w:p>
            <w:r>
              <w:rPr>
                <w:sz w:val="17"/>
              </w:rPr>
              <w:t>8,502</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2026-10-20</w:t>
            </w:r>
          </w:p>
        </w:tc>
        <w:tc>
          <w:tcPr>
            <w:tcW w:type="dxa" w:w="1440"/>
            <w:shd w:fill="FFDCE0" w:val="clear"/>
          </w:tcPr>
          <w:p>
            <w:r>
              <w:rPr>
                <w:sz w:val="17"/>
              </w:rPr>
              <w:t>6,802</w:t>
            </w:r>
          </w:p>
        </w:tc>
        <w:tc>
          <w:tcPr>
            <w:tcW w:type="dxa" w:w="1440"/>
            <w:shd w:fill="FFDCE0" w:val="clear"/>
          </w:tcPr>
          <w:p>
            <w:r>
              <w:rPr>
                <w:b/>
                <w:sz w:val="17"/>
              </w:rPr>
              <w:t>7,679</w:t>
            </w:r>
          </w:p>
        </w:tc>
        <w:tc>
          <w:tcPr>
            <w:tcW w:type="dxa" w:w="1440"/>
            <w:shd w:fill="FFDCE0" w:val="clear"/>
          </w:tcPr>
          <w:p>
            <w:r>
              <w:rPr>
                <w:sz w:val="17"/>
              </w:rPr>
              <w:t>8,557</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2026-10-21</w:t>
            </w:r>
          </w:p>
        </w:tc>
        <w:tc>
          <w:tcPr>
            <w:tcW w:type="dxa" w:w="1440"/>
            <w:shd w:fill="FFDCE0" w:val="clear"/>
          </w:tcPr>
          <w:p>
            <w:r>
              <w:rPr>
                <w:sz w:val="17"/>
              </w:rPr>
              <w:t>6,689</w:t>
            </w:r>
          </w:p>
        </w:tc>
        <w:tc>
          <w:tcPr>
            <w:tcW w:type="dxa" w:w="1440"/>
            <w:shd w:fill="FFDCE0" w:val="clear"/>
          </w:tcPr>
          <w:p>
            <w:r>
              <w:rPr>
                <w:b/>
                <w:sz w:val="17"/>
              </w:rPr>
              <w:t>7,647</w:t>
            </w:r>
          </w:p>
        </w:tc>
        <w:tc>
          <w:tcPr>
            <w:tcW w:type="dxa" w:w="1440"/>
            <w:shd w:fill="FFDCE0" w:val="clear"/>
          </w:tcPr>
          <w:p>
            <w:r>
              <w:rPr>
                <w:sz w:val="17"/>
              </w:rPr>
              <w:t>8,604</w:t>
            </w:r>
          </w:p>
        </w:tc>
        <w:tc>
          <w:tcPr>
            <w:tcW w:type="dxa" w:w="1440"/>
            <w:shd w:fill="FFDCE0" w:val="clear"/>
          </w:tcPr>
          <w:p>
            <w:r>
              <w:rPr>
                <w:b/>
                <w:color w:val="C00000"/>
                <w:sz w:val="17"/>
              </w:rPr>
              <w:t>-3.2%</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6,585</w:t>
            </w:r>
          </w:p>
        </w:tc>
        <w:tc>
          <w:tcPr>
            <w:tcW w:type="dxa" w:w="1440"/>
            <w:shd w:fill="FFDCE0" w:val="clear"/>
          </w:tcPr>
          <w:p>
            <w:r>
              <w:rPr>
                <w:b/>
                <w:sz w:val="17"/>
              </w:rPr>
              <w:t>7,615</w:t>
            </w:r>
          </w:p>
        </w:tc>
        <w:tc>
          <w:tcPr>
            <w:tcW w:type="dxa" w:w="1440"/>
            <w:shd w:fill="FFDCE0" w:val="clear"/>
          </w:tcPr>
          <w:p>
            <w:r>
              <w:rPr>
                <w:sz w:val="17"/>
              </w:rPr>
              <w:t>8,644</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6,488</w:t>
            </w:r>
          </w:p>
        </w:tc>
        <w:tc>
          <w:tcPr>
            <w:tcW w:type="dxa" w:w="1440"/>
            <w:shd w:fill="FFDCE0" w:val="clear"/>
          </w:tcPr>
          <w:p>
            <w:r>
              <w:rPr>
                <w:b/>
                <w:sz w:val="17"/>
              </w:rPr>
              <w:t>7,584</w:t>
            </w:r>
          </w:p>
        </w:tc>
        <w:tc>
          <w:tcPr>
            <w:tcW w:type="dxa" w:w="1440"/>
            <w:shd w:fill="FFDCE0" w:val="clear"/>
          </w:tcPr>
          <w:p>
            <w:r>
              <w:rPr>
                <w:sz w:val="17"/>
              </w:rPr>
              <w:t>8,680</w:t>
            </w:r>
          </w:p>
        </w:tc>
        <w:tc>
          <w:tcPr>
            <w:tcW w:type="dxa" w:w="1440"/>
            <w:shd w:fill="FFDCE0" w:val="clear"/>
          </w:tcPr>
          <w:p>
            <w:r>
              <w:rPr>
                <w:b/>
                <w:color w:val="C00000"/>
                <w:sz w:val="17"/>
              </w:rPr>
              <w:t>-4.0%</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6,396</w:t>
            </w:r>
          </w:p>
        </w:tc>
        <w:tc>
          <w:tcPr>
            <w:tcW w:type="dxa" w:w="1440"/>
            <w:shd w:fill="FFDCE0" w:val="clear"/>
          </w:tcPr>
          <w:p>
            <w:r>
              <w:rPr>
                <w:b/>
                <w:sz w:val="17"/>
              </w:rPr>
              <w:t>7,554</w:t>
            </w:r>
          </w:p>
        </w:tc>
        <w:tc>
          <w:tcPr>
            <w:tcW w:type="dxa" w:w="1440"/>
            <w:shd w:fill="FFDCE0" w:val="clear"/>
          </w:tcPr>
          <w:p>
            <w:r>
              <w:rPr>
                <w:sz w:val="17"/>
              </w:rPr>
              <w:t>8,712</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6,309</w:t>
            </w:r>
          </w:p>
        </w:tc>
        <w:tc>
          <w:tcPr>
            <w:tcW w:type="dxa" w:w="1440"/>
            <w:shd w:fill="FFDCE0" w:val="clear"/>
          </w:tcPr>
          <w:p>
            <w:r>
              <w:rPr>
                <w:b/>
                <w:sz w:val="17"/>
              </w:rPr>
              <w:t>7,525</w:t>
            </w:r>
          </w:p>
        </w:tc>
        <w:tc>
          <w:tcPr>
            <w:tcW w:type="dxa" w:w="1440"/>
            <w:shd w:fill="FFDCE0" w:val="clear"/>
          </w:tcPr>
          <w:p>
            <w:r>
              <w:rPr>
                <w:sz w:val="17"/>
              </w:rPr>
              <w:t>8,742</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Côte d'Ivoire)**</w:t>
        <w:br/>
        <w:t>*Bourse Régionale des Valeurs Mobilières (BRVM) — Secteur : Agro-industrie / Hévéa*</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201,91 milliards FCFA, SPHC s'impose comme une valeur de premier plan de la cote BRVM, représentant un poids significatif dans l'indice composite. Le BPA de 977 FCFA/action signifie que chaque titre génère près d'un millier de francs de bénéfice net, un niveau de rentabilité par action remarquable pour le marché régional. Le PER de 8,1x situe le titre nettement en dessous de la moyenne BRVM (8-12x), suggérant une sous-évaluation potentielle : l'investisseur paie environ 8 fois les bénéfices annuels, un multiple modeste au regard de la croissance affichée. Le P/B de 1,46x indique que le marché valorise SPHC à 46% au-dessus de sa valeur comptable, ce qui reste raisonnable pour une entreprise industrielle rentable (ROE de 18,1%). Enfin, l'EV/EBITDA de 5,1x traduit une valorisation attractive de la capacité opérationnelle, bien en deçà du seuil de 10x, confirmant le potentiel de revalorisation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performance positive de +15,33%, avec une dernière séance en hausse de +1,28% à 7 900 FCFA, confirmant un momentum haussier de court terme. Le titre a évolué dans un range large de 3 450 FCFA, entre un plus bas de 6 850 FCFA et un plus haut de 10 300 FCFA, témoignant d'une forte amplitude de trading. La tendance générale reste haussière sur la période, mais le cours actuel (7 900 FCFA) se situe à mi-chemin du range, suggérant une phase de consolidation après le pic atteint. Les statistiques descriptives révèlent une moyenne (7 927 FCFA) légèrement supérieure à la médiane (7 680 FCFA), signe d'une distribution asymétrique tirée vers le haut par des pics ponctuels ; le mode à 7 500 FCFA indique que ce niveau de prix a été le plus fréquemment échangé. L'écart-type de 731 FCFA (CV de 9,2%) traduit une dispersion modérée du cours autour de sa moyenne, tandis que le kurtosis de 1,916 (leptokurtique) signale des queues épaisses, donc un risque de pics de volatilité brutaux. Le skewness positif de 1,525 confirme cette asymétrie : les journées sous la moyenne sont plus fréquentes, mais les hausses, lorsqu'elles surviennent, sont amples. La volatilité annualisée de 43,5% classe SPHC parmi les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(7 895 FCFA) est quasi confondue avec le cours actuel (7 900 FCFA), tandis que la MM50 (8 359 FCFA) se situe nettement au-dessus, créant une configuration baissière de court terme (cours sous MM50). Cette disposition justifie la décision de **Vente** : le titre évolue sous sa moyenne longue, signalant une pression vendeuse persistante malgré la légère reprise récente.</w:t>
      </w:r>
    </w:p>
    <w:p>
      <w:pPr>
        <w:spacing w:after="120" w:line="276" w:lineRule="auto"/>
      </w:pPr>
      <w:r>
        <w:t>**Bandes de Bollinger** : Le cours (7 900 FCFA) se situe dans la partie médiane de la bande, entre la borne inférieure (7 534 FCFA) et supérieure (8 256 FCFA), sans contact avec les extrêmes. Cette position centrale, couplée à un rétrécissement apparent des bandes, indique une volatilité en compression et une absence de signal directionnel fort, justifiant la décision **Neutre**.</w:t>
      </w:r>
    </w:p>
    <w:p>
      <w:pPr>
        <w:spacing w:after="120" w:line="276" w:lineRule="auto"/>
      </w:pPr>
      <w:r>
        <w:t>**MACD** : La valeur du MACD (-131,868) est supérieure à son signal (-158,805), générant un croisement haussier (MACD au-dessus du signal) bien que les deux restent en territoire négatif. Ce momentum positif naissant, bien que fragile, justifie la décision d'**Achat** : la divergence positive suggère une possible inversion de tendance à court terme.</w:t>
      </w:r>
    </w:p>
    <w:p>
      <w:pPr>
        <w:spacing w:after="120" w:line="276" w:lineRule="auto"/>
      </w:pPr>
      <w:r>
        <w:t>**RSI** : À 55,525, le RSI se situe en zone neutre (30-70), sans surachat ni survente. Cette position médiane indique un équilibre entre acheteurs et vendeurs, sans pression excessive dans un sens ou dans l'autre, justifiant la décision **Neutre**.</w:t>
      </w:r>
    </w:p>
    <w:p>
      <w:pPr>
        <w:spacing w:after="120" w:line="276" w:lineRule="auto"/>
      </w:pPr>
      <w:r>
        <w:t>**Stochastique** : Le %K et le %D sont identiques à 72,727, indiquant l'absence de croisement et une position proche de la zone de surachat (seuil 80). Cette configuration suggère que le titre approche d'un niveau où une correction pourrait survenir, mais sans signal de vente confirmé, la décision reste **Neutre**.</w:t>
      </w:r>
    </w:p>
    <w:p>
      <w:pPr>
        <w:spacing w:after="120" w:line="276" w:lineRule="auto"/>
      </w:pPr>
      <w:r>
        <w:t>**Conclusion technique** : Les indicateurs techniques présentent un tableau mitigé. Si le MACD génère un signal d'achat précoce et que le RSI reste neutre, la position du cours sous la MM50 et la proximité du stochastique avec la zone de surachat tempèrent l'optimisme. La convergence partielle des signaux (MACD haussier vs MM baissière) plaide pour une prudence accrue, avec une probabilité de consolidation voire de correction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SPHC a réalisé un chiffre d'affaires de 340,831 milliards FCFA, en croissance de 21,97% par rapport à 2024, porté par une hausse des volumes (+16,8%) et des prix moyens (+17,6%) selon le rapport T3 2025 (daté du 30/09/2025). Le résultat net s'établit à 24,972 milliards FCFA, en progression de 32,9%, avec une marge nette de 7,33% (contre 6,7% en 2024). Le ROE atteint 18,10% (&gt;15%, excellent) et le ROA 11,06%, confirmant une rentabilité solide des fonds propres et des actifs. La structure financière est saine : autonomie financière de 61,08%, ratio d'endettement de 25,81% et solvabilité générale de 256,91%. Cependant, la trésorerie nette est négative à -15,413 milliards FCFA, bien qu'en amélioration de 9,89 milliards FCFA par rapport à 2024 (-25,30 milliards FCFA). Le BFR de 65,389 milliards FCFA et les délais d'exploitation (35 jours clients, 72,33 jours de stockage) traduisent une immobilisation de capital significative, typique du secteur agro-industriel.</w:t>
      </w:r>
    </w:p>
    <w:p>
      <w:pPr>
        <w:spacing w:after="120" w:line="276" w:lineRule="auto"/>
      </w:pPr>
      <w:r>
        <w:t>**Adaptation au secteur ENTREPRISE** : Les délais clients (35 jours) et la durée de stockage (72,33 jours) sont modérés mais nécessitent une surveillance, car ils immobilisent de la trésorerie. Le BFR positif de 65,389 milliards FCFA pèse sur la liquidité, mais le fonds de roulement (49,976 milliards FCFA) et la liquidité générale (195,54%) couvrent correctement les besoins à court terme. La capacité de remboursement (0,97 an) et la couverture des intérêts (1 094,57%) sont excellentes, reflétant une dette maîtrisée (35,599 milliards FCFA de dettes financières).</w:t>
      </w:r>
    </w:p>
    <w:p>
      <w:pPr>
        <w:spacing w:after="120" w:line="276" w:lineRule="auto"/>
      </w:pPr>
      <w:r>
        <w:t>**Estimations basées sur les rapports trimestriels** : Le rapport T1 2026 (daté du 31/03/2026) révèle un net ralentissement : CA de 71,8 milliards FCFA (-24%), résultat net de 2,633 milliards FCFA (-78%) et marge nette de 4%. Cette dégradation est attribuée à la chute des cours mondiaux du caoutchouc (SICOM 20 à 1,91 USD/kg), à l'engorgement du port de San Pedro et à la concurrence accrue pour la matière première. Sur la base de ce T1 2026, on estime que l'exercice 2026 devrait afficher une contraction du CA et du résultat net, sauf reprise des cours au second semestre. Le rapport T3 2025 (daté du 30/09/2025) soulignait déjà une normalisation du marché après un S1 2025 exceptionnel (+51% de CA, +449% de résultat net).</w:t>
      </w:r>
    </w:p>
    <w:p>
      <w:pPr>
        <w:spacing w:after="120" w:line="276" w:lineRule="auto"/>
      </w:pPr>
      <w:r>
        <w:t>**Évolution pluriannuelle** : Entre 2023 et 2025, SPHC a connu une transformation spectaculaire : le CA est passé de 206,5 à 340,8 milliards FCFA (+65%), et le résultat net de 3,6 à 24,97 milliards FCFA (×6,9). Le ROE est passé de 2,8% (2023) à 18,1% (2025), et la marge nette de 1,8% à 7,3%. Cette performance a été dopée par un environnement de prix favorable, mais le T1 2026 marque une rupture.</w:t>
      </w:r>
    </w:p>
    <w:p>
      <w:pPr>
        <w:spacing w:after="120" w:line="276" w:lineRule="auto"/>
      </w:pPr>
      <w:r>
        <w:t>**Recommandation fondamentale** : Malgré la solidité du bilan et la générosité du dividende (489 FCFA/action, soit un rendement de 6,2% au cours actuel), les perspectives 2026 sont préoccupantes. La dépendance aux cours mondiaux du caoutchouc et la concurrence locale constituent des risques majeurs. La recommandation fondamentale est **CONSERVER**, avec une surveillance active des indicateurs de trésorerie et des cours du caoutchouc.</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Les ratios PER (8,1x), P/B (1,46x) et EV/EBITDA (5,1x) indiquent une sous-évaluation relative, offrant une marge de sécurité attractive. **Comportement du cours (Partie 1)** : La tendance haussière sur 100 jours (+15,33%) est tempérée par une volatilité élevée (43,5%) et une asymétrie positive (skewness de 1,525), signalant un risque de pics baissiers. **Signaux techniques (Partie 2)** : La divergence entre le MACD (achat) et les moyennes mobiles (vente) crée une incertitude, tandis que le RSI et le stochastique restent neutres. **Fondamentaux (Partie 3)** : La solidité financière (ROE de 18,1%, autonomie de 61%) contraste avec la dégradation récente (T1 2026 : résultat net -78%), reflétant la cyclicité du secteur. **Prédictions IA (J+1 à J+10)** : La trajectoire baissière anticipée (7 818 → 7 679 FCFA, soit -2,8%) contredit le signal d'achat du MACD et confirme les pressions vendeuses identifiées par les moyennes mobiles.</w:t>
      </w:r>
    </w:p>
    <w:p>
      <w:pPr>
        <w:spacing w:after="120" w:line="276" w:lineRule="auto"/>
      </w:pPr>
      <w:r>
        <w:t>**Recommandation finale** : **CONSERVER**. La convergence entre la sous-évaluation fondamentale, la solidité du bilan et les prédictions baissières de court terme plaide pour une position d'attente. Le niveau de confiance est **Moyen**, car si les fondamentaux restent solides, l'incertitude sur les cours du caoutchouc et la dégradation du T1 2026 pèsent sur les perspectives. Le niveau de risque global est **Élevé** (volatilité de 43,5%, dépendance aux matières premières). L'horizon d'investissement optimal est le **moyen terme (3-12 mois)**, en attendant une stabilisation des cours et une confirmation de la reprise au second semestre 2026. Un passage à **ACHAT** serait justifié si le titre revenait vers 7 500 FCFA (mode) avec une amélioration des indicateurs techniques et une stabilisation des cours du caoutchouc.</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6,275 titres</w:t>
            </w:r>
          </w:p>
        </w:tc>
        <w:tc>
          <w:tcPr>
            <w:tcW w:type="dxa" w:w="2268"/>
            <w:shd w:fill="FFF2CC" w:val="clear"/>
          </w:tcPr>
          <w:p>
            <w:r>
              <w:rPr>
                <w:b/>
                <w:color w:val="503200"/>
                <w:sz w:val="16"/>
              </w:rPr>
              <w:t xml:space="preserve">Cours actuel : </w:t>
            </w:r>
            <w:r>
              <w:rPr>
                <w:color w:val="000000"/>
                <w:sz w:val="17"/>
              </w:rPr>
              <w:t>2,085 FCFA</w:t>
            </w:r>
          </w:p>
          <w:p>
            <w:r>
              <w:rPr>
                <w:b/>
                <w:color w:val="503200"/>
                <w:sz w:val="16"/>
              </w:rPr>
              <w:t xml:space="preserve">Var. 100 jours : </w:t>
            </w:r>
            <w:r>
              <w:rPr>
                <w:b/>
                <w:color w:val="B40000"/>
                <w:sz w:val="17"/>
              </w:rPr>
              <w:t>-30.03%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2,005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15.82% (Élevée) — μ=2,825 FCFA, σ=447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β=-0.0984 (Contre-cyclique) — Cov=-0.000007, Var(idx)=0.000074, ρ=-0.022,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0906"/>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1,915</w:t>
            </w:r>
          </w:p>
        </w:tc>
        <w:tc>
          <w:tcPr>
            <w:tcW w:type="dxa" w:w="1440"/>
            <w:shd w:fill="FAFAFA" w:val="clear"/>
          </w:tcPr>
          <w:p>
            <w:r>
              <w:rPr>
                <w:b/>
                <w:sz w:val="17"/>
              </w:rPr>
              <w:t>2,058</w:t>
            </w:r>
          </w:p>
        </w:tc>
        <w:tc>
          <w:tcPr>
            <w:tcW w:type="dxa" w:w="1440"/>
            <w:shd w:fill="FAFAFA" w:val="clear"/>
          </w:tcPr>
          <w:p>
            <w:r>
              <w:rPr>
                <w:sz w:val="17"/>
              </w:rPr>
              <w:t>2,200</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1,863</w:t>
            </w:r>
          </w:p>
        </w:tc>
        <w:tc>
          <w:tcPr>
            <w:tcW w:type="dxa" w:w="1440"/>
            <w:shd w:fill="FAFAFA" w:val="clear"/>
          </w:tcPr>
          <w:p>
            <w:r>
              <w:rPr>
                <w:b/>
                <w:sz w:val="17"/>
              </w:rPr>
              <w:t>2,065</w:t>
            </w:r>
          </w:p>
        </w:tc>
        <w:tc>
          <w:tcPr>
            <w:tcW w:type="dxa" w:w="1440"/>
            <w:shd w:fill="FAFAFA" w:val="clear"/>
          </w:tcPr>
          <w:p>
            <w:r>
              <w:rPr>
                <w:sz w:val="17"/>
              </w:rPr>
              <w:t>2,267</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1,823</w:t>
            </w:r>
          </w:p>
        </w:tc>
        <w:tc>
          <w:tcPr>
            <w:tcW w:type="dxa" w:w="1440"/>
            <w:shd w:fill="FAFAFA" w:val="clear"/>
          </w:tcPr>
          <w:p>
            <w:r>
              <w:rPr>
                <w:b/>
                <w:sz w:val="17"/>
              </w:rPr>
              <w:t>2,071</w:t>
            </w:r>
          </w:p>
        </w:tc>
        <w:tc>
          <w:tcPr>
            <w:tcW w:type="dxa" w:w="1440"/>
            <w:shd w:fill="FAFAFA" w:val="clear"/>
          </w:tcPr>
          <w:p>
            <w:r>
              <w:rPr>
                <w:sz w:val="17"/>
              </w:rPr>
              <w:t>2,319</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1,789</w:t>
            </w:r>
          </w:p>
        </w:tc>
        <w:tc>
          <w:tcPr>
            <w:tcW w:type="dxa" w:w="1440"/>
            <w:shd w:fill="FAFAFA" w:val="clear"/>
          </w:tcPr>
          <w:p>
            <w:r>
              <w:rPr>
                <w:b/>
                <w:sz w:val="17"/>
              </w:rPr>
              <w:t>2,077</w:t>
            </w:r>
          </w:p>
        </w:tc>
        <w:tc>
          <w:tcPr>
            <w:tcW w:type="dxa" w:w="1440"/>
            <w:shd w:fill="FAFAFA" w:val="clear"/>
          </w:tcPr>
          <w:p>
            <w:r>
              <w:rPr>
                <w:sz w:val="17"/>
              </w:rPr>
              <w:t>2,364</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1,759</w:t>
            </w:r>
          </w:p>
        </w:tc>
        <w:tc>
          <w:tcPr>
            <w:tcW w:type="dxa" w:w="1440"/>
            <w:shd w:fill="FAFAFA" w:val="clear"/>
          </w:tcPr>
          <w:p>
            <w:r>
              <w:rPr>
                <w:b/>
                <w:sz w:val="17"/>
              </w:rPr>
              <w:t>2,081</w:t>
            </w:r>
          </w:p>
        </w:tc>
        <w:tc>
          <w:tcPr>
            <w:tcW w:type="dxa" w:w="1440"/>
            <w:shd w:fill="FAFAFA" w:val="clear"/>
          </w:tcPr>
          <w:p>
            <w:r>
              <w:rPr>
                <w:sz w:val="17"/>
              </w:rPr>
              <w:t>2,403</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1,732</w:t>
            </w:r>
          </w:p>
        </w:tc>
        <w:tc>
          <w:tcPr>
            <w:tcW w:type="dxa" w:w="1440"/>
            <w:shd w:fill="FAFAFA" w:val="clear"/>
          </w:tcPr>
          <w:p>
            <w:r>
              <w:rPr>
                <w:b/>
                <w:sz w:val="17"/>
              </w:rPr>
              <w:t>2,086</w:t>
            </w:r>
          </w:p>
        </w:tc>
        <w:tc>
          <w:tcPr>
            <w:tcW w:type="dxa" w:w="1440"/>
            <w:shd w:fill="FAFAFA" w:val="clear"/>
          </w:tcPr>
          <w:p>
            <w:r>
              <w:rPr>
                <w:sz w:val="17"/>
              </w:rPr>
              <w:t>2,439</w:t>
            </w:r>
          </w:p>
        </w:tc>
        <w:tc>
          <w:tcPr>
            <w:tcW w:type="dxa" w:w="1440"/>
            <w:shd w:fill="FAFAFA" w:val="clear"/>
          </w:tcPr>
          <w:p>
            <w:r>
              <w:rPr>
                <w:b/>
                <w:color w:val="008000"/>
                <w:sz w:val="17"/>
              </w:rPr>
              <w:t>+0.0%</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1,707</w:t>
            </w:r>
          </w:p>
        </w:tc>
        <w:tc>
          <w:tcPr>
            <w:tcW w:type="dxa" w:w="1440"/>
            <w:shd w:fill="FAFAFA" w:val="clear"/>
          </w:tcPr>
          <w:p>
            <w:r>
              <w:rPr>
                <w:b/>
                <w:sz w:val="17"/>
              </w:rPr>
              <w:t>2,089</w:t>
            </w:r>
          </w:p>
        </w:tc>
        <w:tc>
          <w:tcPr>
            <w:tcW w:type="dxa" w:w="1440"/>
            <w:shd w:fill="FAFAFA" w:val="clear"/>
          </w:tcPr>
          <w:p>
            <w:r>
              <w:rPr>
                <w:sz w:val="17"/>
              </w:rPr>
              <w:t>2,472</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1,683</w:t>
            </w:r>
          </w:p>
        </w:tc>
        <w:tc>
          <w:tcPr>
            <w:tcW w:type="dxa" w:w="1440"/>
            <w:shd w:fill="FAFAFA" w:val="clear"/>
          </w:tcPr>
          <w:p>
            <w:r>
              <w:rPr>
                <w:b/>
                <w:sz w:val="17"/>
              </w:rPr>
              <w:t>2,093</w:t>
            </w:r>
          </w:p>
        </w:tc>
        <w:tc>
          <w:tcPr>
            <w:tcW w:type="dxa" w:w="1440"/>
            <w:shd w:fill="FAFAFA" w:val="clear"/>
          </w:tcPr>
          <w:p>
            <w:r>
              <w:rPr>
                <w:sz w:val="17"/>
              </w:rPr>
              <w:t>2,502</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1,661</w:t>
            </w:r>
          </w:p>
        </w:tc>
        <w:tc>
          <w:tcPr>
            <w:tcW w:type="dxa" w:w="1440"/>
            <w:shd w:fill="FAFAFA" w:val="clear"/>
          </w:tcPr>
          <w:p>
            <w:r>
              <w:rPr>
                <w:b/>
                <w:sz w:val="17"/>
              </w:rPr>
              <w:t>2,096</w:t>
            </w:r>
          </w:p>
        </w:tc>
        <w:tc>
          <w:tcPr>
            <w:tcW w:type="dxa" w:w="1440"/>
            <w:shd w:fill="FAFAFA" w:val="clear"/>
          </w:tcPr>
          <w:p>
            <w:r>
              <w:rPr>
                <w:sz w:val="17"/>
              </w:rPr>
              <w:t>2,531</w:t>
            </w:r>
          </w:p>
        </w:tc>
        <w:tc>
          <w:tcPr>
            <w:tcW w:type="dxa" w:w="1440"/>
            <w:shd w:fill="FAFAFA" w:val="clear"/>
          </w:tcPr>
          <w:p>
            <w:r>
              <w:rPr>
                <w:b/>
                <w:color w:val="008000"/>
                <w:sz w:val="17"/>
              </w:rPr>
              <w:t>+0.5%</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1,639</w:t>
            </w:r>
          </w:p>
        </w:tc>
        <w:tc>
          <w:tcPr>
            <w:tcW w:type="dxa" w:w="1440"/>
            <w:shd w:fill="FAFAFA" w:val="clear"/>
          </w:tcPr>
          <w:p>
            <w:r>
              <w:rPr>
                <w:b/>
                <w:sz w:val="17"/>
              </w:rPr>
              <w:t>2,098</w:t>
            </w:r>
          </w:p>
        </w:tc>
        <w:tc>
          <w:tcPr>
            <w:tcW w:type="dxa" w:w="1440"/>
            <w:shd w:fill="FAFAFA" w:val="clear"/>
          </w:tcPr>
          <w:p>
            <w:r>
              <w:rPr>
                <w:sz w:val="17"/>
              </w:rPr>
              <w:t>2,557</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SETAO (STAC) / BRVM**</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SETAO s'établit à 28,02 milliards FCFA, un niveau modeste à l'échelle de la BRVM qui la classe parmi les petites capitalisations du compartiment industriel/BTP. Le BPA ressort à -7 FCFA/action, traduisant une société en perte nette, ce qui rend le PER non significatif (-290,2x) : les investisseurs ne paient pas pour des bénéfices inexistants, mais spéculent sur un retournement. Le ratio P/B de 78,55x est particulièrement alarmant : le marché valorise l'action à près de 79 fois sa valeur comptable (capitaux propres de 356,75 M FCFA pour 28,02 Mds FCFA de capitalisation), soit une prime injustifiable au regard des fondamentaux actuels — ce niveau suggère une décorrélation totale entre le prix de marché et la réalité bilancielle, portée par l'anticipation du chantier aéroportuaire d'Abidjan. Le ratio EV/EBITDA n'est pas fourni, mais avec un EBE de -650,13 M FCFA en 2025, il serait négatif et donc non pertinent. En synthèse, la valorisation boursière est exigeante et déconnectée des résultats opérationnels.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STAC a enregistré une variation totale de -30,03%, passant d'un plus haut de 3 640 FCFA à un plus bas de 2 005 FCFA, pour un cours actuel de 2 085 FCFA — soit une tendance baissière marquée, bien que la dernière séance (J-1) affiche un rebond de +3,99%. Le range de trading est très large (1 635 FCFA d'amplitude, soit 81% du cours actuel), témoignant d'une forte nervosité. Les statistiques descriptives révèlent une moyenne (2 825 FCFA) légèrement supérieure à la médiane (2 800 FCFA), avec un écart faible indiquant une distribution quasi symétrique, confirmée par un skewness de 0,106. L'écart-type de 449 FCFA (CV=15,9%) traduit une dispersion modérée du cours autour de sa moyenne, tandis que le kurtosis de -0,904 (mésokurtique) indique une distribution proche de la normale, sans risque de pics extrêmes significatifs. La volatilité annualisée de 60,3% est très élevée (&gt;30%), positionnant STAC comme un titre spéculatif à risque important, ce qui est cohérent avec la nature cyclique et dépendante aux grands contrats du secteur BTP.</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(2 206,25 FCFA) et la MM50 (2 460,40 FCFA) sont toutes deux supérieures au cours actuel (2 085 FCFA), avec une MM20 en dessous de la MM50 — configuration baissière classique (death cross). Le cours évolue sous ses deux moyennes, confirmant la pression vendeuse ; la décision technique est donc **Vente**.</w:t>
      </w:r>
    </w:p>
    <w:p>
      <w:pPr>
        <w:spacing w:after="120" w:line="276" w:lineRule="auto"/>
      </w:pPr>
      <w:r>
        <w:t>**Bandes de Bollinger** : Le cours (2 085 FCFA) se situe entre la borne inférieure (1 924,51 FCFA) et la borne supérieure (2 487,99 FCFA), plus proche du bas que du haut. Les bandes sont larges (563 FCFA d'écart), reflétant une volatilité élevée. La position du cours dans la partie basse de l'enveloppe suggère une possible zone de survente, mais sans signal clair — décision **Neutre**.</w:t>
      </w:r>
    </w:p>
    <w:p>
      <w:pPr>
        <w:spacing w:after="120" w:line="276" w:lineRule="auto"/>
      </w:pPr>
      <w:r>
        <w:t>**MACD** : La valeur du MACD (-121,339) est légèrement supérieure à son signal (-121,714), formant un croisement haussier marginal. Le momentum reste négatif mais la divergence positive naissante indique un essoufflement de la tendance baissière — décision **Achat** (signal précoce).</w:t>
      </w:r>
    </w:p>
    <w:p>
      <w:pPr>
        <w:spacing w:after="120" w:line="276" w:lineRule="auto"/>
      </w:pPr>
      <w:r>
        <w:t>**RSI** : À 48,958, le RSI se situe en zone neutre (entre 30 et 70), sans surachat ni survente. Le titre n'est ni surévalué ni sous-évalué à court terme, ce qui confirme l'absence de signal directionnel fort — décision **Neutre**.</w:t>
      </w:r>
    </w:p>
    <w:p>
      <w:pPr>
        <w:spacing w:after="120" w:line="276" w:lineRule="auto"/>
      </w:pPr>
      <w:r>
        <w:t>**Stochastique** : Le %K (21,333) est supérieur au %D (11,873), avec un croisement haussier en zone de survente (&lt;20). Ce signal suggère un possible rebond technique à court terme, mais la faiblesse des niveaux rend le signal fragile — décision **Neutre**.</w:t>
      </w:r>
    </w:p>
    <w:p>
      <w:pPr>
        <w:spacing w:after="120" w:line="276" w:lineRule="auto"/>
      </w:pPr>
      <w:r>
        <w:t>**Conclusion technique** : Les indicateurs sont divergents — les moyennes mobiles restent baissières, mais le MACD et le stochastique émettent des signaux haussiers précoces, tandis que le RSI et les Bollinger restent neutres. Cette configuration suggère une possible stabilisation ou un rebond technique à court terme, mais la tendance de fond demeure baissière. La prudence est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SETAO affiche un chiffre d'affaires de 3,878 Mds FCFA, en croissance spectaculaire de +116,26% par rapport à 2024 (1,793 Md FCFA), portée par le chantier de l'aéroport d'Abidjan. Cependant, cette dynamique commerciale ne se traduit pas en rentabilité : le résultat net reste négatif à -96,56 M FCFA, le ROE s'établit à -27,07% et le ROA à -1,77%, confirmant une destruction de valeur. La marge nette est de -2,49% et la marge opérationnelle de -19,90%, tandis que l'EBE est déficitaire à -650,13 M FCFA — la structure de coûts reste inadaptée au niveau d'activité. Le BFR est négatif à -930,47 M FCFA (favorable), mais le flux opérationnel est négatif à -2,212 Mds FCFA, ce qui est préoccupant. La structure financière est très fragile : l'autonomie financière n'est que de 6,55% (capitaux propres de 356,75 M FCFA pour 5,447 Mds FCFA de total bilan), le ratio d'endettement atteint 93,45% et la capacité de remboursement est de 77,53 années de CAF — un niveau insoutenable. Les rapports trimestriels 2025 (T3 au 30/09/2025) confirment la tendance : CA de 3,456 Mds FCFA sur 9 mois (+176%), perte nette réduite de 22% à -477 M FCFA, mais la direction maintient une prévision annuelle de 4 Mds FCFA, impliquant un T4 quasi nul. Le rapport S1 2025 (30/06/2025) montrait déjà une perte de -557 M FCFA malgré un CA de 2,271 Mds FCFA (+290%). Les rapports antérieurs (2024) révélaient une situation déjà critique : CA de 1,793 Md FCFA (-80,6%), perte nette de -348 M FCFA, capitaux propres de 453 M FCFA (6,1% du bilan). En synthèse, SETAO reste une société en perte, dépendante d'un seul projet (aéroport d'Abidjan), avec une structure financière très dégradée et une absence de dividende depuis 2018. La recommandation fondamentale est **Vente** ou **Conserver avec vigilance** pour les spéculateurs.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surévaluée : un P/B de 78,55x et un PER négatif traduisent une décorrélation totale entre le prix de marché et les fondamentaux, portée par l'anticipation du chantier aéroportuaire. Le comportement du cours (Partie 1) est baissier sur 100 jours (-30,03%), avec une volatilité très élevée (60,3%) et une distribution symétrique sans risque de pics extrêmes, ce qui est préoccupant pour un investisseur averse au risque. Les signaux techniques (Partie 2) sont divergents : les moyennes mobiles restent baissières, mais le MACD et le stochastique émettent des signaux haussiers précoces, suggérant un possible rebond technique à court terme — mais sans confirmation. Les fondamentaux (Partie 3) sont très fragiles : malgré une croissance du CA de +116% en 2025, la société reste en perte nette (-96,56 M FCFA), avec un ROE de -27,07%, une autonomie financière de 6,55% et une capacité de remboursement de 77,53 années. Les prédictions IA (J+1 à J+10) tablent sur une légère hausse (2 058 → 2 081 FCFA), ce qui confirme un possible rebond technique mais sans changement de tendance de fond. **Recommandation finale : VENTE** — la convergence des signaux fondamentaux (pertes, endettement, dépendance à un projet) et techniques (tendance baissière, volatilité élevée) l'emporte sur le rebond technique marginal. Le niveau de confiance est **Moyen** (les signaux techniques haussiers à court terme introduisent une incertitude), et le risque global est **Élevé**. L'horizon d'investissement optimal est **court terme** (&lt;3 mois) pour les spéculateurs, mais **à éviter** pour les investisseurs long terme en l'absence d'un plan de redressement crédible et de nouveaux contrats sécurisés.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382.44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4,200 titres</w:t>
            </w:r>
          </w:p>
        </w:tc>
        <w:tc>
          <w:tcPr>
            <w:tcW w:type="dxa" w:w="2268"/>
            <w:shd w:fill="FFF2CC" w:val="clear"/>
          </w:tcPr>
          <w:p>
            <w:r>
              <w:rPr>
                <w:b/>
                <w:color w:val="503200"/>
                <w:sz w:val="16"/>
              </w:rPr>
              <w:t xml:space="preserve">Cours actuel : </w:t>
            </w:r>
            <w:r>
              <w:rPr>
                <w:color w:val="000000"/>
                <w:sz w:val="17"/>
              </w:rPr>
              <w:t>21,300 FCFA</w:t>
            </w:r>
          </w:p>
          <w:p>
            <w:r>
              <w:rPr>
                <w:b/>
                <w:color w:val="503200"/>
                <w:sz w:val="16"/>
              </w:rPr>
              <w:t xml:space="preserve">Var. 100 jours : </w:t>
            </w:r>
            <w:r>
              <w:rPr>
                <w:b/>
                <w:color w:val="007800"/>
                <w:sz w:val="17"/>
              </w:rPr>
              <w:t>+1.43%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4.90% (Faible) — μ=22,571 FCFA, σ=1,106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β=0.4568 (Défensif) — Cov=0.000034, Var(idx)=0.000074, ρ=0.168,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2026-10-14</w:t>
            </w:r>
          </w:p>
        </w:tc>
        <w:tc>
          <w:tcPr>
            <w:tcW w:type="dxa" w:w="1440"/>
            <w:shd w:fill="C6EFCE" w:val="clear"/>
          </w:tcPr>
          <w:p>
            <w:r>
              <w:rPr>
                <w:sz w:val="17"/>
              </w:rPr>
              <w:t>21,480</w:t>
            </w:r>
          </w:p>
        </w:tc>
        <w:tc>
          <w:tcPr>
            <w:tcW w:type="dxa" w:w="1440"/>
            <w:shd w:fill="C6EFCE" w:val="clear"/>
          </w:tcPr>
          <w:p>
            <w:r>
              <w:rPr>
                <w:b/>
                <w:sz w:val="17"/>
              </w:rPr>
              <w:t>22,081</w:t>
            </w:r>
          </w:p>
        </w:tc>
        <w:tc>
          <w:tcPr>
            <w:tcW w:type="dxa" w:w="1440"/>
            <w:shd w:fill="C6EFCE" w:val="clear"/>
          </w:tcPr>
          <w:p>
            <w:r>
              <w:rPr>
                <w:sz w:val="17"/>
              </w:rPr>
              <w:t>22,682</w:t>
            </w:r>
          </w:p>
        </w:tc>
        <w:tc>
          <w:tcPr>
            <w:tcW w:type="dxa" w:w="1440"/>
            <w:shd w:fill="C6EFCE" w:val="clear"/>
          </w:tcPr>
          <w:p>
            <w:r>
              <w:rPr>
                <w:b/>
                <w:color w:val="008000"/>
                <w:sz w:val="17"/>
              </w:rPr>
              <w:t>+3.7%</w:t>
            </w:r>
          </w:p>
        </w:tc>
      </w:tr>
      <w:tr>
        <w:tc>
          <w:tcPr>
            <w:tcW w:type="dxa" w:w="1440"/>
            <w:shd w:fill="C6EFCE" w:val="clear"/>
          </w:tcPr>
          <w:p>
            <w:r>
              <w:rPr>
                <w:sz w:val="17"/>
              </w:rPr>
              <w:t>J+2  Moyenne</w:t>
            </w:r>
          </w:p>
        </w:tc>
        <w:tc>
          <w:tcPr>
            <w:tcW w:type="dxa" w:w="1440"/>
            <w:shd w:fill="C6EFCE" w:val="clear"/>
          </w:tcPr>
          <w:p>
            <w:r>
              <w:rPr>
                <w:sz w:val="17"/>
              </w:rPr>
              <w:t>2026-10-15</w:t>
            </w:r>
          </w:p>
        </w:tc>
        <w:tc>
          <w:tcPr>
            <w:tcW w:type="dxa" w:w="1440"/>
            <w:shd w:fill="C6EFCE" w:val="clear"/>
          </w:tcPr>
          <w:p>
            <w:r>
              <w:rPr>
                <w:sz w:val="17"/>
              </w:rPr>
              <w:t>21,523</w:t>
            </w:r>
          </w:p>
        </w:tc>
        <w:tc>
          <w:tcPr>
            <w:tcW w:type="dxa" w:w="1440"/>
            <w:shd w:fill="C6EFCE" w:val="clear"/>
          </w:tcPr>
          <w:p>
            <w:r>
              <w:rPr>
                <w:b/>
                <w:sz w:val="17"/>
              </w:rPr>
              <w:t>22,385</w:t>
            </w:r>
          </w:p>
        </w:tc>
        <w:tc>
          <w:tcPr>
            <w:tcW w:type="dxa" w:w="1440"/>
            <w:shd w:fill="C6EFCE" w:val="clear"/>
          </w:tcPr>
          <w:p>
            <w:r>
              <w:rPr>
                <w:sz w:val="17"/>
              </w:rPr>
              <w:t>23,247</w:t>
            </w:r>
          </w:p>
        </w:tc>
        <w:tc>
          <w:tcPr>
            <w:tcW w:type="dxa" w:w="1440"/>
            <w:shd w:fill="C6EFCE" w:val="clear"/>
          </w:tcPr>
          <w:p>
            <w:r>
              <w:rPr>
                <w:b/>
                <w:color w:val="008000"/>
                <w:sz w:val="17"/>
              </w:rPr>
              <w:t>+5.1%</w:t>
            </w:r>
          </w:p>
        </w:tc>
      </w:tr>
      <w:tr>
        <w:tc>
          <w:tcPr>
            <w:tcW w:type="dxa" w:w="1440"/>
            <w:shd w:fill="C6EFCE" w:val="clear"/>
          </w:tcPr>
          <w:p>
            <w:r>
              <w:rPr>
                <w:sz w:val="17"/>
              </w:rPr>
              <w:t>J+3  ⭐</w:t>
            </w:r>
          </w:p>
        </w:tc>
        <w:tc>
          <w:tcPr>
            <w:tcW w:type="dxa" w:w="1440"/>
            <w:shd w:fill="C6EFCE" w:val="clear"/>
          </w:tcPr>
          <w:p>
            <w:r>
              <w:rPr>
                <w:sz w:val="17"/>
              </w:rPr>
              <w:t>2026-10-16</w:t>
            </w:r>
          </w:p>
        </w:tc>
        <w:tc>
          <w:tcPr>
            <w:tcW w:type="dxa" w:w="1440"/>
            <w:shd w:fill="C6EFCE" w:val="clear"/>
          </w:tcPr>
          <w:p>
            <w:r>
              <w:rPr>
                <w:sz w:val="17"/>
              </w:rPr>
              <w:t>21,628</w:t>
            </w:r>
          </w:p>
        </w:tc>
        <w:tc>
          <w:tcPr>
            <w:tcW w:type="dxa" w:w="1440"/>
            <w:shd w:fill="C6EFCE" w:val="clear"/>
          </w:tcPr>
          <w:p>
            <w:r>
              <w:rPr>
                <w:b/>
                <w:sz w:val="17"/>
              </w:rPr>
              <w:t>22,699</w:t>
            </w:r>
          </w:p>
        </w:tc>
        <w:tc>
          <w:tcPr>
            <w:tcW w:type="dxa" w:w="1440"/>
            <w:shd w:fill="C6EFCE" w:val="clear"/>
          </w:tcPr>
          <w:p>
            <w:r>
              <w:rPr>
                <w:sz w:val="17"/>
              </w:rPr>
              <w:t>23,769</w:t>
            </w:r>
          </w:p>
        </w:tc>
        <w:tc>
          <w:tcPr>
            <w:tcW w:type="dxa" w:w="1440"/>
            <w:shd w:fill="C6EFCE" w:val="clear"/>
          </w:tcPr>
          <w:p>
            <w:r>
              <w:rPr>
                <w:b/>
                <w:color w:val="008000"/>
                <w:sz w:val="17"/>
              </w:rPr>
              <w:t>+6.6%</w:t>
            </w:r>
          </w:p>
        </w:tc>
      </w:tr>
      <w:tr>
        <w:tc>
          <w:tcPr>
            <w:tcW w:type="dxa" w:w="1440"/>
            <w:shd w:fill="C6EFCE" w:val="clear"/>
          </w:tcPr>
          <w:p>
            <w:r>
              <w:rPr>
                <w:sz w:val="17"/>
              </w:rPr>
              <w:t>J+4  ⭐</w:t>
            </w:r>
          </w:p>
        </w:tc>
        <w:tc>
          <w:tcPr>
            <w:tcW w:type="dxa" w:w="1440"/>
            <w:shd w:fill="C6EFCE" w:val="clear"/>
          </w:tcPr>
          <w:p>
            <w:r>
              <w:rPr>
                <w:sz w:val="17"/>
              </w:rPr>
              <w:t>2026-10-19</w:t>
            </w:r>
          </w:p>
        </w:tc>
        <w:tc>
          <w:tcPr>
            <w:tcW w:type="dxa" w:w="1440"/>
            <w:shd w:fill="C6EFCE" w:val="clear"/>
          </w:tcPr>
          <w:p>
            <w:r>
              <w:rPr>
                <w:sz w:val="17"/>
              </w:rPr>
              <w:t>21,730</w:t>
            </w:r>
          </w:p>
        </w:tc>
        <w:tc>
          <w:tcPr>
            <w:tcW w:type="dxa" w:w="1440"/>
            <w:shd w:fill="C6EFCE" w:val="clear"/>
          </w:tcPr>
          <w:p>
            <w:r>
              <w:rPr>
                <w:b/>
                <w:sz w:val="17"/>
              </w:rPr>
              <w:t>22,982</w:t>
            </w:r>
          </w:p>
        </w:tc>
        <w:tc>
          <w:tcPr>
            <w:tcW w:type="dxa" w:w="1440"/>
            <w:shd w:fill="C6EFCE" w:val="clear"/>
          </w:tcPr>
          <w:p>
            <w:r>
              <w:rPr>
                <w:sz w:val="17"/>
              </w:rPr>
              <w:t>24,233</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2026-10-20</w:t>
            </w:r>
          </w:p>
        </w:tc>
        <w:tc>
          <w:tcPr>
            <w:tcW w:type="dxa" w:w="1440"/>
            <w:shd w:fill="C6EFCE" w:val="clear"/>
          </w:tcPr>
          <w:p>
            <w:r>
              <w:rPr>
                <w:sz w:val="17"/>
              </w:rPr>
              <w:t>21,809</w:t>
            </w:r>
          </w:p>
        </w:tc>
        <w:tc>
          <w:tcPr>
            <w:tcW w:type="dxa" w:w="1440"/>
            <w:shd w:fill="C6EFCE" w:val="clear"/>
          </w:tcPr>
          <w:p>
            <w:r>
              <w:rPr>
                <w:b/>
                <w:sz w:val="17"/>
              </w:rPr>
              <w:t>23,223</w:t>
            </w:r>
          </w:p>
        </w:tc>
        <w:tc>
          <w:tcPr>
            <w:tcW w:type="dxa" w:w="1440"/>
            <w:shd w:fill="C6EFCE" w:val="clear"/>
          </w:tcPr>
          <w:p>
            <w:r>
              <w:rPr>
                <w:sz w:val="17"/>
              </w:rPr>
              <w:t>24,637</w:t>
            </w:r>
          </w:p>
        </w:tc>
        <w:tc>
          <w:tcPr>
            <w:tcW w:type="dxa" w:w="1440"/>
            <w:shd w:fill="C6EFCE" w:val="clear"/>
          </w:tcPr>
          <w:p>
            <w:r>
              <w:rPr>
                <w:b/>
                <w:color w:val="008000"/>
                <w:sz w:val="17"/>
              </w:rPr>
              <w:t>+9.0%</w:t>
            </w:r>
          </w:p>
        </w:tc>
      </w:tr>
      <w:tr>
        <w:tc>
          <w:tcPr>
            <w:tcW w:type="dxa" w:w="1440"/>
            <w:shd w:fill="C6EFCE" w:val="clear"/>
          </w:tcPr>
          <w:p>
            <w:r>
              <w:rPr>
                <w:sz w:val="17"/>
              </w:rPr>
              <w:t>J+6  ⭐</w:t>
            </w:r>
          </w:p>
        </w:tc>
        <w:tc>
          <w:tcPr>
            <w:tcW w:type="dxa" w:w="1440"/>
            <w:shd w:fill="C6EFCE" w:val="clear"/>
          </w:tcPr>
          <w:p>
            <w:r>
              <w:rPr>
                <w:sz w:val="17"/>
              </w:rPr>
              <w:t>2026-10-21</w:t>
            </w:r>
          </w:p>
        </w:tc>
        <w:tc>
          <w:tcPr>
            <w:tcW w:type="dxa" w:w="1440"/>
            <w:shd w:fill="C6EFCE" w:val="clear"/>
          </w:tcPr>
          <w:p>
            <w:r>
              <w:rPr>
                <w:sz w:val="17"/>
              </w:rPr>
              <w:t>21,866</w:t>
            </w:r>
          </w:p>
        </w:tc>
        <w:tc>
          <w:tcPr>
            <w:tcW w:type="dxa" w:w="1440"/>
            <w:shd w:fill="C6EFCE" w:val="clear"/>
          </w:tcPr>
          <w:p>
            <w:r>
              <w:rPr>
                <w:b/>
                <w:sz w:val="17"/>
              </w:rPr>
              <w:t>23,429</w:t>
            </w:r>
          </w:p>
        </w:tc>
        <w:tc>
          <w:tcPr>
            <w:tcW w:type="dxa" w:w="1440"/>
            <w:shd w:fill="C6EFCE" w:val="clear"/>
          </w:tcPr>
          <w:p>
            <w:r>
              <w:rPr>
                <w:sz w:val="17"/>
              </w:rPr>
              <w:t>24,992</w:t>
            </w:r>
          </w:p>
        </w:tc>
        <w:tc>
          <w:tcPr>
            <w:tcW w:type="dxa" w:w="1440"/>
            <w:shd w:fill="C6EFCE" w:val="clear"/>
          </w:tcPr>
          <w:p>
            <w:r>
              <w:rPr>
                <w:b/>
                <w:color w:val="008000"/>
                <w:sz w:val="17"/>
              </w:rPr>
              <w:t>+10.0%</w:t>
            </w:r>
          </w:p>
        </w:tc>
      </w:tr>
      <w:tr>
        <w:tc>
          <w:tcPr>
            <w:tcW w:type="dxa" w:w="1440"/>
            <w:shd w:fill="C6EFCE" w:val="clear"/>
          </w:tcPr>
          <w:p>
            <w:r>
              <w:rPr>
                <w:sz w:val="17"/>
              </w:rPr>
              <w:t>J+7  ⭐</w:t>
            </w:r>
          </w:p>
        </w:tc>
        <w:tc>
          <w:tcPr>
            <w:tcW w:type="dxa" w:w="1440"/>
            <w:shd w:fill="C6EFCE" w:val="clear"/>
          </w:tcPr>
          <w:p>
            <w:r>
              <w:rPr>
                <w:sz w:val="17"/>
              </w:rPr>
              <w:t>2026-10-22</w:t>
            </w:r>
          </w:p>
        </w:tc>
        <w:tc>
          <w:tcPr>
            <w:tcW w:type="dxa" w:w="1440"/>
            <w:shd w:fill="C6EFCE" w:val="clear"/>
          </w:tcPr>
          <w:p>
            <w:r>
              <w:rPr>
                <w:sz w:val="17"/>
              </w:rPr>
              <w:t>21,916</w:t>
            </w:r>
          </w:p>
        </w:tc>
        <w:tc>
          <w:tcPr>
            <w:tcW w:type="dxa" w:w="1440"/>
            <w:shd w:fill="C6EFCE" w:val="clear"/>
          </w:tcPr>
          <w:p>
            <w:r>
              <w:rPr>
                <w:b/>
                <w:sz w:val="17"/>
              </w:rPr>
              <w:t>23,618</w:t>
            </w:r>
          </w:p>
        </w:tc>
        <w:tc>
          <w:tcPr>
            <w:tcW w:type="dxa" w:w="1440"/>
            <w:shd w:fill="C6EFCE" w:val="clear"/>
          </w:tcPr>
          <w:p>
            <w:r>
              <w:rPr>
                <w:sz w:val="17"/>
              </w:rPr>
              <w:t>25,319</w:t>
            </w:r>
          </w:p>
        </w:tc>
        <w:tc>
          <w:tcPr>
            <w:tcW w:type="dxa" w:w="1440"/>
            <w:shd w:fill="C6EFCE" w:val="clear"/>
          </w:tcPr>
          <w:p>
            <w:r>
              <w:rPr>
                <w:b/>
                <w:color w:val="008000"/>
                <w:sz w:val="17"/>
              </w:rPr>
              <w:t>+10.9%</w:t>
            </w:r>
          </w:p>
        </w:tc>
      </w:tr>
      <w:tr>
        <w:tc>
          <w:tcPr>
            <w:tcW w:type="dxa" w:w="1440"/>
            <w:shd w:fill="C6EFCE" w:val="clear"/>
          </w:tcPr>
          <w:p>
            <w:r>
              <w:rPr>
                <w:sz w:val="17"/>
              </w:rPr>
              <w:t>J+8  ⭐</w:t>
            </w:r>
          </w:p>
        </w:tc>
        <w:tc>
          <w:tcPr>
            <w:tcW w:type="dxa" w:w="1440"/>
            <w:shd w:fill="C6EFCE" w:val="clear"/>
          </w:tcPr>
          <w:p>
            <w:r>
              <w:rPr>
                <w:sz w:val="17"/>
              </w:rPr>
              <w:t>2026-10-23</w:t>
            </w:r>
          </w:p>
        </w:tc>
        <w:tc>
          <w:tcPr>
            <w:tcW w:type="dxa" w:w="1440"/>
            <w:shd w:fill="C6EFCE" w:val="clear"/>
          </w:tcPr>
          <w:p>
            <w:r>
              <w:rPr>
                <w:sz w:val="17"/>
              </w:rPr>
              <w:t>21,952</w:t>
            </w:r>
          </w:p>
        </w:tc>
        <w:tc>
          <w:tcPr>
            <w:tcW w:type="dxa" w:w="1440"/>
            <w:shd w:fill="C6EFCE" w:val="clear"/>
          </w:tcPr>
          <w:p>
            <w:r>
              <w:rPr>
                <w:b/>
                <w:sz w:val="17"/>
              </w:rPr>
              <w:t>23,784</w:t>
            </w:r>
          </w:p>
        </w:tc>
        <w:tc>
          <w:tcPr>
            <w:tcW w:type="dxa" w:w="1440"/>
            <w:shd w:fill="C6EFCE" w:val="clear"/>
          </w:tcPr>
          <w:p>
            <w:r>
              <w:rPr>
                <w:sz w:val="17"/>
              </w:rPr>
              <w:t>25,616</w:t>
            </w:r>
          </w:p>
        </w:tc>
        <w:tc>
          <w:tcPr>
            <w:tcW w:type="dxa" w:w="1440"/>
            <w:shd w:fill="C6EFCE" w:val="clear"/>
          </w:tcPr>
          <w:p>
            <w:r>
              <w:rPr>
                <w:b/>
                <w:color w:val="008000"/>
                <w:sz w:val="17"/>
              </w:rPr>
              <w:t>+11.7%</w:t>
            </w:r>
          </w:p>
        </w:tc>
      </w:tr>
      <w:tr>
        <w:tc>
          <w:tcPr>
            <w:tcW w:type="dxa" w:w="1440"/>
            <w:shd w:fill="C6EFCE" w:val="clear"/>
          </w:tcPr>
          <w:p>
            <w:r>
              <w:rPr>
                <w:sz w:val="17"/>
              </w:rPr>
              <w:t>J+9  ⭐</w:t>
            </w:r>
          </w:p>
        </w:tc>
        <w:tc>
          <w:tcPr>
            <w:tcW w:type="dxa" w:w="1440"/>
            <w:shd w:fill="C6EFCE" w:val="clear"/>
          </w:tcPr>
          <w:p>
            <w:r>
              <w:rPr>
                <w:sz w:val="17"/>
              </w:rPr>
              <w:t>2026-10-26</w:t>
            </w:r>
          </w:p>
        </w:tc>
        <w:tc>
          <w:tcPr>
            <w:tcW w:type="dxa" w:w="1440"/>
            <w:shd w:fill="C6EFCE" w:val="clear"/>
          </w:tcPr>
          <w:p>
            <w:r>
              <w:rPr>
                <w:sz w:val="17"/>
              </w:rPr>
              <w:t>22,003</w:t>
            </w:r>
          </w:p>
        </w:tc>
        <w:tc>
          <w:tcPr>
            <w:tcW w:type="dxa" w:w="1440"/>
            <w:shd w:fill="C6EFCE" w:val="clear"/>
          </w:tcPr>
          <w:p>
            <w:r>
              <w:rPr>
                <w:b/>
                <w:sz w:val="17"/>
              </w:rPr>
              <w:t>23,960</w:t>
            </w:r>
          </w:p>
        </w:tc>
        <w:tc>
          <w:tcPr>
            <w:tcW w:type="dxa" w:w="1440"/>
            <w:shd w:fill="C6EFCE" w:val="clear"/>
          </w:tcPr>
          <w:p>
            <w:r>
              <w:rPr>
                <w:sz w:val="17"/>
              </w:rPr>
              <w:t>25,918</w:t>
            </w:r>
          </w:p>
        </w:tc>
        <w:tc>
          <w:tcPr>
            <w:tcW w:type="dxa" w:w="1440"/>
            <w:shd w:fill="C6EFCE" w:val="clear"/>
          </w:tcPr>
          <w:p>
            <w:r>
              <w:rPr>
                <w:b/>
                <w:color w:val="008000"/>
                <w:sz w:val="17"/>
              </w:rPr>
              <w:t>+12.5%</w:t>
            </w:r>
          </w:p>
        </w:tc>
      </w:tr>
      <w:tr>
        <w:tc>
          <w:tcPr>
            <w:tcW w:type="dxa" w:w="1440"/>
            <w:shd w:fill="C6EFCE" w:val="clear"/>
          </w:tcPr>
          <w:p>
            <w:r>
              <w:rPr>
                <w:sz w:val="17"/>
              </w:rPr>
              <w:t>J+10  ⭐</w:t>
            </w:r>
          </w:p>
        </w:tc>
        <w:tc>
          <w:tcPr>
            <w:tcW w:type="dxa" w:w="1440"/>
            <w:shd w:fill="C6EFCE" w:val="clear"/>
          </w:tcPr>
          <w:p>
            <w:r>
              <w:rPr>
                <w:sz w:val="17"/>
              </w:rPr>
              <w:t>2026-10-27</w:t>
            </w:r>
          </w:p>
        </w:tc>
        <w:tc>
          <w:tcPr>
            <w:tcW w:type="dxa" w:w="1440"/>
            <w:shd w:fill="C6EFCE" w:val="clear"/>
          </w:tcPr>
          <w:p>
            <w:r>
              <w:rPr>
                <w:sz w:val="17"/>
              </w:rPr>
              <w:t>22,074</w:t>
            </w:r>
          </w:p>
        </w:tc>
        <w:tc>
          <w:tcPr>
            <w:tcW w:type="dxa" w:w="1440"/>
            <w:shd w:fill="C6EFCE" w:val="clear"/>
          </w:tcPr>
          <w:p>
            <w:r>
              <w:rPr>
                <w:b/>
                <w:sz w:val="17"/>
              </w:rPr>
              <w:t>24,154</w:t>
            </w:r>
          </w:p>
        </w:tc>
        <w:tc>
          <w:tcPr>
            <w:tcW w:type="dxa" w:w="1440"/>
            <w:shd w:fill="C6EFCE" w:val="clear"/>
          </w:tcPr>
          <w:p>
            <w:r>
              <w:rPr>
                <w:sz w:val="17"/>
              </w:rPr>
              <w:t>26,234</w:t>
            </w:r>
          </w:p>
        </w:tc>
        <w:tc>
          <w:tcPr>
            <w:tcW w:type="dxa" w:w="1440"/>
            <w:shd w:fill="C6EFCE" w:val="clear"/>
          </w:tcPr>
          <w:p>
            <w:r>
              <w:rPr>
                <w:b/>
                <w:color w:val="008000"/>
                <w:sz w:val="17"/>
              </w:rPr>
              <w:t>+13.4%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 S.A.)</w:t>
        <w:br/>
        <w:t>**Bourse Régionale des Valeurs Mobilières (BRVM) — Secteur : Entreprise (Distribution de tabac)**</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382,44 Mds FCFA, STBC se positionne parmi les valeurs les plus importantes de la cote BRVM, ce qui témoigne de sa liquidité relative et de son poids dans l'indice composite. Le BPA de 2 014 FCFA/action signifie que chaque titre génère environ 2 014 FCFA de bénéfice net, un niveau élevé qui reflète la forte rentabilité de la société malgré la contraction récente de ses marges. Le PER de 10,6x situe le titre légèrement au-dessus de la moyenne BRVM (~8-12x), indiquant une valorisation modérée mais non exagérée : les investisseurs paient environ 10,6 fois les bénéfices annuels, ce qui reste raisonnable pour une valeur de rendement. En revanche, le P/B de 8,44x est particulièrement exigeant (&gt; 4x), signifiant que le marché valorise STBC à plus de huit fois sa valeur comptable — une prime très forte qui s'explique par la faible intensité capitalistique du modèle (activité de distribution) et la générosité du dividende, mais qui laisse peu de marge de sécurité en cas de dégradation des résultats. Enfin, l'EV/EBITDA de 7,6x (fourchette 5-10x) apparaît raisonnable et cohérent avec la capacité opérationnelle de l'entreprise, suggérant que la valeur totale (capitalisation + dette nette quasi nulle) reste soutenable par les flux d'exploitation.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STBC affiche une variation totale de +1,43%, avec une dernière séance quasi stable (+0,02%), ce qui traduit une tendance générale haussière mais très modérée, presque latérale. Le titre a évolué dans un range de 20 895 FCFA (plus bas) à 25 000 FCFA (plus haut), soit un écart d'environ 4 105 FCFA (près de 20% du cours actuel), reflétant une certaine nervosité malgré la stabilité apparente de la performance globale. Le cours actuel de 21 300 FCFA se situe dans la partie basse de ce range, à seulement 1,9% au-dessus du plus bas, ce qui suggère que le titre a corrigé depuis ses sommets et évolue actuellement en zone de support. Les statistiques descriptives révèlent une moyenne de 22 571 FCFA supérieure à la médiane de 22 218 FCFA, avec un mode à 22 000 FCFA : cet écart indique une distribution légèrement asymétrique, confirmée par un skewness positif de 0,587 (plus de journées sous la moyenne), ce qui signifie que le cours a passé davantage de temps en dessous de sa moyenne, avec quelques pics haussiers ponctuels. L'écart-type de 1 111 FCFA (CV = 4,9%) traduit une dispersion modérée du cours autour de sa moyenne, tandis que le kurtosis de -0,699 (mésokurtique) indique une distribution proche de la normale, sans risque excessif de pics extrêmes. La volatilité annualisée de 36,7% classe le titre dans la catégorie des valeurs à volatilité élevée (&gt; 30%), ce qui est cohérent avec la taille moyenne du titre et la sensibilité du secteur tabac aux annonces réglementaires et fiscales.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21 587 FCFA et la MM50 à 22 352,7 FCFA, toutes deux supérieures au cours actuel de 21 300 FCFA, ce qui place le titre en position baissière à court et moyen terme. La MM20 étant elle-même inférieure à la MM50, on observe une configuration de croisement baissier (death cross), confirmant la pression vendeuse ; la décision technique est donc logiquement **Vente**.</w:t>
      </w:r>
    </w:p>
    <w:p>
      <w:pPr>
        <w:spacing w:after="120" w:line="276" w:lineRule="auto"/>
      </w:pPr>
      <w:r>
        <w:t>**Bandes de Bollinger :** La borne supérieure est à 22 276,9 FCFA et la borne inférieure à 20 897,1 FCFA, avec un cours actuel de 21 300 FCFA qui se situe dans la moitié basse du canal, sans toucher la borne inférieure. L'amplitude du canal (environ 1 380 FCFA) reflète une volatilité modérée, et la position du cours suggère une absence de signal extrême ; la décision est **Neutre**, le titre n'étant ni suracheté ni survendu selon ce critère.</w:t>
      </w:r>
    </w:p>
    <w:p>
      <w:pPr>
        <w:spacing w:after="120" w:line="276" w:lineRule="auto"/>
      </w:pPr>
      <w:r>
        <w:t>**MACD :** La valeur du MACD est de -215,739 contre un signal à -225,603, ce qui place le MACD au-dessus de sa ligne de signal — configuration haussière typique d'un début de retournement. Bien que les deux lignes restent en territoire négatif (sous zéro), le croisement à la hausse indique un essoufflement de la dynamique baissière et un possible retournement ; la décision est donc **Achat**.</w:t>
      </w:r>
    </w:p>
    <w:p>
      <w:pPr>
        <w:spacing w:after="120" w:line="276" w:lineRule="auto"/>
      </w:pPr>
      <w:r>
        <w:t>**RSI :** À 47,976, le RSI se situe parfaitement dans la zone neutre (30-70), sans signal de surachat (&gt;70) ni de survente (&lt;30). Cette valeur médiane indique un équilibre entre acheteurs et vendeurs, sans pression directionnelle claire ; la décision est **Neutre**.</w:t>
      </w:r>
    </w:p>
    <w:p>
      <w:pPr>
        <w:spacing w:after="120" w:line="276" w:lineRule="auto"/>
      </w:pPr>
      <w:r>
        <w:t>**Stochastique :** Le %K (37,5) et le %D (37,346) sont tous deux proches de 37, en zone basse mais sans croisement significatif entre les deux lignes. Cette configuration suggère une absence de momentum clair, avec un léger biais baissier tant que les deux courbes restent sous 50 ; la décision est **Neutre**.</w:t>
      </w:r>
    </w:p>
    <w:p>
      <w:pPr>
        <w:spacing w:after="120" w:line="276" w:lineRule="auto"/>
      </w:pPr>
      <w:r>
        <w:t>**Conclusion technique :** Les indicateurs techniques présentent un tableau mitigé et divergent : les moyennes mobiles confirment une tendance baissière de fond (Vente), tandis que le MACD donne un signal d'achat précoce et que le RSI, les Bandes de Bollinger et le Stochastique restent neutres. Cette divergence suggère que le titre est en phase de consolidation, possiblement en fin de correction, mais sans confirmation franche d'un retournement haussier. La prudence technique domine, avec une attente de confirmation par les volumes ou un franchissement de la MM20 (21 587 FCFA) pour valider un signal acheteur.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STBC a réalisé un chiffre d'affaires de 268,537 Mds FCFA, en forte croissance de +25,3% par rapport à 2024, portée par une hausse des volumes (+5,6%) et un effet prix favorable. Le résultat net s'établit à 36,158 Mds FCFA, en baisse de -17,5% sur un an, sous l'effet de la hausse des droits d'accises (passés de 49% à 70%) et d'un contrôle fiscal. La rentabilité reste exceptionnelle avec un ROE de 79,75% (largement supérieur au seuil de 15%) et un ROA de 48,09%, tandis que la marge nette se contracte à 13,46% (contre 20,4% en 2024). La structure financière est très saine : autonomie financière de 60,3%, dettes financières quasi nulles (1,4 M FCFA), trésorerie nette de 30,763 Mds FCFA et liquidité générale de 225%. Le BFR est de 5,639 Mds FCFA (positif mais maîtrisé), avec un délai client de 42,57 jours (modéré) et une rotation des stocks très rapide (5,73 jours), typique d'une activité de distribution.</w:t>
      </w:r>
    </w:p>
    <w:p>
      <w:pPr>
        <w:spacing w:after="120" w:line="276" w:lineRule="auto"/>
      </w:pPr>
      <w:r>
        <w:t>**Adaptation au secteur Entreprise :** Le modèle de STBC est celui d'un pur distributeur (achat-revente de tabac), avec un BFR structurellement faible et une rotation des actifs très élevée (357%). Le délai client de 42,57 jours reste raisonnable pour le secteur, mais la dépendance à un seul fournisseur (Imperial Tobacco) et à un environnement fiscal très contraignant constitue un risque majeur. La marge brute de 22,87% est en nette compression (contre 29,8% en 2024), ce qui érode la rentabilité opérationnelle (marge opérationnelle de 17,12%).</w:t>
      </w:r>
    </w:p>
    <w:p>
      <w:pPr>
        <w:spacing w:after="120" w:line="276" w:lineRule="auto"/>
      </w:pPr>
      <w:r>
        <w:t>**Estimations basées sur les rapports trimestriels :** Le rapport du T2 2026 (publié en 2026) indique un chiffre d'affaires de 70,05 Mds FCFA (+1%) et un résultat net de 8,64 Mds FCFA (-0,2%), avec une marge nette de 12,3% — confirmant la stabilisation de l'activité mais sans rebond de la rentabilité. Le rapport du T1 2026 (publié en 2026) fait état d'un CA de 68,8 Mds FCFA (+12%) et d'un résultat net de 9,3 Mds FCFA (-1%), avec des volumes en hausse de 10%. Sur la base de ces deux trimestres, on peut estimer que l'exercice 2026 devrait afficher un chiffre d'affaires annuel d'environ 275-280 Mds FCFA (+3-4% vs 2025) et un résultat net de l'ordre de 35-37 Mds FCFA, soit une stabilité de la rentabilité à un niveau inférieur à celui de 2024. Le rapport annuel 2025 (publié en 2026) confirme un dividende proposé de 1 940 FCFA/action, soit un rendement d'environ 9,1% au cours actuel de 21 300 FCFA — un niveau attractif mais avec un taux de distribution de 84,9%, proche du plafond soutenable.</w:t>
      </w:r>
    </w:p>
    <w:p>
      <w:pPr>
        <w:spacing w:after="120" w:line="276" w:lineRule="auto"/>
      </w:pPr>
      <w:r>
        <w:t>**Recommandation fondamentale :** STBC reste une valeur de rendement solide, avec une structure financière irréprochable (zéro dette, trésorerie abondante) et une rentabilité toujours élevée malgré la compression des marges. Les risques principaux sont la pression fiscale continue, la dépendance au tabac et une politique de dividende très généreuse qui limite les capacités de réinvestissement. La recommandation fondamentale est **CONSERVER**, en attendant une clarification sur la capacité de l'entreprise à stabiliser ses marges et à diversifier ses activités.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**Valorisation (Partie 0)** : le PER de 10,6x est modéré, mais le P/B de 8,44x est très exigeant, ce qui suggère une surévaluation relative par rapport à la valeur comptable, bien que l'EV/EBITDA de 7,6x reste raisonnable. **Comportement du cours (Partie 1)** : la tendance est haussière sur 100 jours (+1,43%) mais le titre évolue près de ses plus bas, avec une volatilité élevée (36,7%) et une asymétrie positive (skewness 0,587) qui indique une pression vendeuse résiduelle. **Signaux techniques (Partie 2)** : divergence entre les moyennes mobiles (Vente) et le MACD (Achat), avec un RSI et un Stochastique neutres — configuration de consolidation sans direction claire. **Fondamentaux (Partie 3)** : solidité financière exceptionnelle (ROE 79,75%, zéro dette), mais dégradation de la rentabilité (marge nette 13,46% en 2025 contre 20,4% en 2024) et estimations 2026 mitigées (stabilisation à un niveau inférieur). **Prédictions IA (J+1 à J+10)** : la trajectoire projetée (22 081 → 23 223 FCFA, soit +9% sur 10 jours) est haussière et contredit les signaux baissiers des moyennes mobiles, mais s'aligne avec le signal d'achat du MACD.</w:t>
      </w:r>
    </w:p>
    <w:p>
      <w:pPr>
        <w:spacing w:after="120" w:line="276" w:lineRule="auto"/>
      </w:pPr>
      <w:r>
        <w:t>**Recommandation finale : CONSERVER**</w:t>
        <w:br/>
        <w:t>**Justification :** La convergence est partielle : la valorisation est correcte mais le P/B élevé limite le potentiel, les fondamentaux sont solides mais la rentabilité se dégrade, et les signaux techniques sont divergents. Les prédictions IA haussières à court terme ne suffisent pas à compenser les risques structurels (fiscalité, dépendance au tabac, dividende non soutenable). **Niveau de confiance : Moyen** — les données sont fiables mais les perspectives 2026 restent incertaines. **Niveau de risque global : Moyen** — la solidité financière protège contre un effondrement, mais la volatilité et la pression fiscale sont des facteurs de risque. **Horizon d'investissement optimal : Moyen terme (3-12 mois)** — pour profiter du dividende attractif (rendement ~9,1%) tout en surveillant l'évolution des marges et des volumes au second semestre 2026. Un renforcement de la position (ACHAT) serait justifié si le titre franchit la MM20 (21 587 FCFA) avec des volumes confirmés et si les résultats du T3 2026 montrent une stabilisation des marges.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201.79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6,819 titres</w:t>
            </w:r>
          </w:p>
        </w:tc>
        <w:tc>
          <w:tcPr>
            <w:tcW w:type="dxa" w:w="2268"/>
            <w:shd w:fill="FFF2CC" w:val="clear"/>
          </w:tcPr>
          <w:p>
            <w:r>
              <w:rPr>
                <w:b/>
                <w:color w:val="503200"/>
                <w:sz w:val="16"/>
              </w:rPr>
              <w:t xml:space="preserve">Cours actuel : </w:t>
            </w:r>
            <w:r>
              <w:rPr>
                <w:color w:val="000000"/>
                <w:sz w:val="17"/>
              </w:rPr>
              <w:t>3,205 FCFA</w:t>
            </w:r>
          </w:p>
          <w:p>
            <w:r>
              <w:rPr>
                <w:b/>
                <w:color w:val="503200"/>
                <w:sz w:val="16"/>
              </w:rPr>
              <w:t xml:space="preserve">Var. 100 jours : </w:t>
            </w:r>
            <w:r>
              <w:rPr>
                <w:b/>
                <w:color w:val="007800"/>
                <w:sz w:val="17"/>
              </w:rPr>
              <w:t>+10.52%</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6.30% (Moyenne) — μ=3,027 FCFA, σ=191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β=0.1688 (Défensif) — Cov=0.000012, Var(idx)=0.000074, ρ=0.056,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3,045</w:t>
            </w:r>
          </w:p>
        </w:tc>
        <w:tc>
          <w:tcPr>
            <w:tcW w:type="dxa" w:w="1440"/>
            <w:shd w:fill="FAFAFA" w:val="clear"/>
          </w:tcPr>
          <w:p>
            <w:r>
              <w:rPr>
                <w:b/>
                <w:sz w:val="17"/>
              </w:rPr>
              <w:t>3,179</w:t>
            </w:r>
          </w:p>
        </w:tc>
        <w:tc>
          <w:tcPr>
            <w:tcW w:type="dxa" w:w="1440"/>
            <w:shd w:fill="FAFAFA" w:val="clear"/>
          </w:tcPr>
          <w:p>
            <w:r>
              <w:rPr>
                <w:sz w:val="17"/>
              </w:rPr>
              <w:t>3,314</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2,978</w:t>
            </w:r>
          </w:p>
        </w:tc>
        <w:tc>
          <w:tcPr>
            <w:tcW w:type="dxa" w:w="1440"/>
            <w:shd w:fill="FAFAFA" w:val="clear"/>
          </w:tcPr>
          <w:p>
            <w:r>
              <w:rPr>
                <w:b/>
                <w:sz w:val="17"/>
              </w:rPr>
              <w:t>3,167</w:t>
            </w:r>
          </w:p>
        </w:tc>
        <w:tc>
          <w:tcPr>
            <w:tcW w:type="dxa" w:w="1440"/>
            <w:shd w:fill="FAFAFA" w:val="clear"/>
          </w:tcPr>
          <w:p>
            <w:r>
              <w:rPr>
                <w:sz w:val="17"/>
              </w:rPr>
              <w:t>3,356</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2,915</w:t>
            </w:r>
          </w:p>
        </w:tc>
        <w:tc>
          <w:tcPr>
            <w:tcW w:type="dxa" w:w="1440"/>
            <w:shd w:fill="FAFAFA" w:val="clear"/>
          </w:tcPr>
          <w:p>
            <w:r>
              <w:rPr>
                <w:b/>
                <w:sz w:val="17"/>
              </w:rPr>
              <w:t>3,146</w:t>
            </w:r>
          </w:p>
        </w:tc>
        <w:tc>
          <w:tcPr>
            <w:tcW w:type="dxa" w:w="1440"/>
            <w:shd w:fill="FAFAFA" w:val="clear"/>
          </w:tcPr>
          <w:p>
            <w:r>
              <w:rPr>
                <w:sz w:val="17"/>
              </w:rPr>
              <w:t>3,376</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2026-10-19</w:t>
            </w:r>
          </w:p>
        </w:tc>
        <w:tc>
          <w:tcPr>
            <w:tcW w:type="dxa" w:w="1440"/>
            <w:shd w:fill="FFDCE0" w:val="clear"/>
          </w:tcPr>
          <w:p>
            <w:r>
              <w:rPr>
                <w:sz w:val="17"/>
              </w:rPr>
              <w:t>2,867</w:t>
            </w:r>
          </w:p>
        </w:tc>
        <w:tc>
          <w:tcPr>
            <w:tcW w:type="dxa" w:w="1440"/>
            <w:shd w:fill="FFDCE0" w:val="clear"/>
          </w:tcPr>
          <w:p>
            <w:r>
              <w:rPr>
                <w:b/>
                <w:sz w:val="17"/>
              </w:rPr>
              <w:t>3,132</w:t>
            </w:r>
          </w:p>
        </w:tc>
        <w:tc>
          <w:tcPr>
            <w:tcW w:type="dxa" w:w="1440"/>
            <w:shd w:fill="FFDCE0" w:val="clear"/>
          </w:tcPr>
          <w:p>
            <w:r>
              <w:rPr>
                <w:sz w:val="17"/>
              </w:rPr>
              <w:t>3,396</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2026-10-20</w:t>
            </w:r>
          </w:p>
        </w:tc>
        <w:tc>
          <w:tcPr>
            <w:tcW w:type="dxa" w:w="1440"/>
            <w:shd w:fill="FFDCE0" w:val="clear"/>
          </w:tcPr>
          <w:p>
            <w:r>
              <w:rPr>
                <w:sz w:val="17"/>
              </w:rPr>
              <w:t>2,826</w:t>
            </w:r>
          </w:p>
        </w:tc>
        <w:tc>
          <w:tcPr>
            <w:tcW w:type="dxa" w:w="1440"/>
            <w:shd w:fill="FFDCE0" w:val="clear"/>
          </w:tcPr>
          <w:p>
            <w:r>
              <w:rPr>
                <w:b/>
                <w:sz w:val="17"/>
              </w:rPr>
              <w:t>3,121</w:t>
            </w:r>
          </w:p>
        </w:tc>
        <w:tc>
          <w:tcPr>
            <w:tcW w:type="dxa" w:w="1440"/>
            <w:shd w:fill="FFDCE0" w:val="clear"/>
          </w:tcPr>
          <w:p>
            <w:r>
              <w:rPr>
                <w:sz w:val="17"/>
              </w:rPr>
              <w:t>3,416</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2026-10-21</w:t>
            </w:r>
          </w:p>
        </w:tc>
        <w:tc>
          <w:tcPr>
            <w:tcW w:type="dxa" w:w="1440"/>
            <w:shd w:fill="FFDCE0" w:val="clear"/>
          </w:tcPr>
          <w:p>
            <w:r>
              <w:rPr>
                <w:sz w:val="17"/>
              </w:rPr>
              <w:t>2,789</w:t>
            </w:r>
          </w:p>
        </w:tc>
        <w:tc>
          <w:tcPr>
            <w:tcW w:type="dxa" w:w="1440"/>
            <w:shd w:fill="FFDCE0" w:val="clear"/>
          </w:tcPr>
          <w:p>
            <w:r>
              <w:rPr>
                <w:b/>
                <w:sz w:val="17"/>
              </w:rPr>
              <w:t>3,111</w:t>
            </w:r>
          </w:p>
        </w:tc>
        <w:tc>
          <w:tcPr>
            <w:tcW w:type="dxa" w:w="1440"/>
            <w:shd w:fill="FFDCE0" w:val="clear"/>
          </w:tcPr>
          <w:p>
            <w:r>
              <w:rPr>
                <w:sz w:val="17"/>
              </w:rPr>
              <w:t>3,433</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2,755</w:t>
            </w:r>
          </w:p>
        </w:tc>
        <w:tc>
          <w:tcPr>
            <w:tcW w:type="dxa" w:w="1440"/>
            <w:shd w:fill="FFDCE0" w:val="clear"/>
          </w:tcPr>
          <w:p>
            <w:r>
              <w:rPr>
                <w:b/>
                <w:sz w:val="17"/>
              </w:rPr>
              <w:t>3,103</w:t>
            </w:r>
          </w:p>
        </w:tc>
        <w:tc>
          <w:tcPr>
            <w:tcW w:type="dxa" w:w="1440"/>
            <w:shd w:fill="FFDCE0" w:val="clear"/>
          </w:tcPr>
          <w:p>
            <w:r>
              <w:rPr>
                <w:sz w:val="17"/>
              </w:rPr>
              <w:t>3,450</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2,724</w:t>
            </w:r>
          </w:p>
        </w:tc>
        <w:tc>
          <w:tcPr>
            <w:tcW w:type="dxa" w:w="1440"/>
            <w:shd w:fill="FFDCE0" w:val="clear"/>
          </w:tcPr>
          <w:p>
            <w:r>
              <w:rPr>
                <w:b/>
                <w:sz w:val="17"/>
              </w:rPr>
              <w:t>3,094</w:t>
            </w:r>
          </w:p>
        </w:tc>
        <w:tc>
          <w:tcPr>
            <w:tcW w:type="dxa" w:w="1440"/>
            <w:shd w:fill="FFDCE0" w:val="clear"/>
          </w:tcPr>
          <w:p>
            <w:r>
              <w:rPr>
                <w:sz w:val="17"/>
              </w:rPr>
              <w:t>3,464</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2,695</w:t>
            </w:r>
          </w:p>
        </w:tc>
        <w:tc>
          <w:tcPr>
            <w:tcW w:type="dxa" w:w="1440"/>
            <w:shd w:fill="FFDCE0" w:val="clear"/>
          </w:tcPr>
          <w:p>
            <w:r>
              <w:rPr>
                <w:b/>
                <w:sz w:val="17"/>
              </w:rPr>
              <w:t>3,086</w:t>
            </w:r>
          </w:p>
        </w:tc>
        <w:tc>
          <w:tcPr>
            <w:tcW w:type="dxa" w:w="1440"/>
            <w:shd w:fill="FFDCE0" w:val="clear"/>
          </w:tcPr>
          <w:p>
            <w:r>
              <w:rPr>
                <w:sz w:val="17"/>
              </w:rPr>
              <w:t>3,478</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2,667</w:t>
            </w:r>
          </w:p>
        </w:tc>
        <w:tc>
          <w:tcPr>
            <w:tcW w:type="dxa" w:w="1440"/>
            <w:shd w:fill="FFDCE0" w:val="clear"/>
          </w:tcPr>
          <w:p>
            <w:r>
              <w:rPr>
                <w:b/>
                <w:sz w:val="17"/>
              </w:rPr>
              <w:t>3,079</w:t>
            </w:r>
          </w:p>
        </w:tc>
        <w:tc>
          <w:tcPr>
            <w:tcW w:type="dxa" w:w="1440"/>
            <w:shd w:fill="FFDCE0" w:val="clear"/>
          </w:tcPr>
          <w:p>
            <w:r>
              <w:rPr>
                <w:sz w:val="17"/>
              </w:rPr>
              <w:t>3,490</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201,79 Mds FCFA, TTLC figure parmi les valeurs les plus importantes de la cote BRVM, ce qui en fait un pilier de l'indice composite et un titre de référence pour les investisseurs institutionnels régionaux. Le BPA de 144 FCFA/action signifie que chaque titre génère 144 FCFA de bénéfice net, mais le PER de 22,2x traduit un prix payé très supérieur à la moyenne du marché BRVM (8-12x), signalant soit une prime de qualité/leadership, soit une surévaluation relative. Le P/B de 5,57x confirme cette exigence : le marché valorise l'entreprise à plus de 5 fois sa valeur comptable, une prime rare qui reflète la confiance dans la capacité bénéficiaire future et la solidité du réseau de distribution. Enfin, l'EV/EBITDA de 11,5x (zone 10-15x) indique que la valeur d'entreprise (capitalisation + dette nette) représente environ 11,5 fois la capacité opérationnelle brute, un niveau élevé qui n'est justifié que par une croissance attendue des marges ou des volumes.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TTLC affiche une progression totale de +10,52%, avec une accélération spectaculaire de +6,83% lors de la dernière séance (J-1), portant le cours à 3 205 FCFA. Le range de trading s'établit entre un plus bas de 2 770 FCFA et un plus haut de 3 595 FCFA, soit une amplitude de 825 FCFA (environ 30% du cours bas), ce qui témoigne d'une réelle dynamique haussière sur la période. La tendance générale est donc nettement haussière, soutenue par des volumes moyens de 6 819 titres/jour, bien que le titre évolue actuellement à 10,8% sous son plus haut. Les statistiques descriptives révèlent une moyenne (3 027 FCFA) supérieure à la médiane (2 980 FCFA) et au mode (2 900 FCFA), confirmant une asymétrie positive (skewness = 0,847) : le cours a passé plus de journées sous sa moyenne, mais quelques séances exceptionnelles (dont le +6,83% récent) tirent la moyenne vers le haut. L'écart-type de 192 FCFA avec un coefficient de variation de 6,3% indique une dispersion modérée autour de la moyenne, tandis que le kurtosis de -0,354 (mésokurtique) suggère une distribution proche de la normale, sans risque excessif de pics extrêmes. La volatilité annualisée de 42,9% classe le titre dans la catégorie **élevée** (&gt;30%), ce qui est cohérent avec un marché frontière et un secteur sensible aux prix pétroliers.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(3 096,25 FCFA) et la MM50 (3 166,70 FCFA) se situent toutes deux sous le cours actuel (3 205 FCFA), ce qui est théoriquement haussier à court terme. Cependant, la MM20 est inférieure à la MM50, signalant que la tendance de fond reste fragile et que le rebond récent n'a pas encore inversé la structure baissière de moyen terme. La décision technique fournie est **Vente**, car le croisement des moyennes reste défavorable malgré la position du cours.</w:t>
      </w:r>
    </w:p>
    <w:p>
      <w:pPr>
        <w:spacing w:after="120" w:line="276" w:lineRule="auto"/>
      </w:pPr>
      <w:r>
        <w:t>**Bandes de Bollinger** : Le cours (3 205 FCFA) évolue dans la partie supérieure de la bande, entre la borne inférieure (2 860,99 FCFA) et la borne supérieure (3 331,51 FCFA), sans les toucher. Cette position médiane-haute traduit une volatilité normale et l'absence de signal extrême (ni surachat, ni survente). La décision est **Neutre**, le marché attendant une cassure de la borne supérieure pour confirmer la poursuite du mouvement.</w:t>
      </w:r>
    </w:p>
    <w:p>
      <w:pPr>
        <w:spacing w:after="120" w:line="276" w:lineRule="auto"/>
      </w:pPr>
      <w:r>
        <w:t>**MACD** : La valeur du MACD (-46,777) est légèrement supérieure à son signal (-46,885), formant un croisement haussier naissant. Cet écart très faible indique un momentum en train de s'inverser à la hausse, mais la faiblesse de l'amplitude rend le signal peu fiable. La décision fournie est **Achat**, à confirmer par un élargissement de l'histogramme positif.</w:t>
      </w:r>
    </w:p>
    <w:p>
      <w:pPr>
        <w:spacing w:after="120" w:line="276" w:lineRule="auto"/>
      </w:pPr>
      <w:r>
        <w:t>**RSI** : À 57,949, le RSI se situe en zone neutre (30-70), sans surachat ni survente. Cette valeur modérée laisse de la marge à la hausse avant que le titre ne devienne techniquement cher. La décision est **Neutre**, cohérente avec un marché sans excès.</w:t>
      </w:r>
    </w:p>
    <w:p>
      <w:pPr>
        <w:spacing w:after="120" w:line="276" w:lineRule="auto"/>
      </w:pPr>
      <w:r>
        <w:t>**Stochastique** : Le %K (100,0) est au maximum absolu, tandis que le %D (46,465) est nettement inférieur, créant un écart important qui signale un surachat extrême à court terme et un risque imminent de correction. La décision est **Vente**, le croisement %K/%D étant baissier par divergence.</w:t>
      </w:r>
    </w:p>
    <w:p>
      <w:pPr>
        <w:spacing w:after="120" w:line="276" w:lineRule="auto"/>
      </w:pPr>
      <w:r>
        <w:t>**Conclusion technique** : Les indicateurs sont divergents — le MACD donne un signal d'achat naissant, le RSI et les Bollinger sont neutres, mais les Moyennes Mobiles et le Stochastique recommandent la vente. Cette configuration suggère que le rebond de +6,83% en J-1 est probablement un sursaut technique dans une tendance de fond encore fragile, et qu'une consolidation voire une correction est probable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Côte d'Ivoire a réalisé un chiffre d'affaires de 588,709 Mds FCFA, en repli de -5,2% sur un an (contre 621,042 Mds FCFA en 2024), dans un contexte de baisse des ventes hors réseau. Le résultat net s'établit à 9,087 Mds FCFA (-3% sur un an), avec une marge nette de 1,54% (contre 1,51% en 2024), une marge opérationnelle de 2,09% et une marge brute de 11,81%. La rentabilité des fonds propres (ROE) reste excellente à 25,10% (&gt;15%), tandis que le ROA de 4,82% reflète la faible intensité capitalistique du modèle de distribution. La structure financière est le point faible : l'autonomie financière n'est que de 19,21% (très en dessous du seuil sain de 30%), le ratio d'endettement atteint 90,23% et la trésorerie nette est négative à -21,926 Mds FCFA, avec un BFR négatif (-9,662 Mds FCFA) qui est favorable pour un distributeur. Les délais fournisseurs (49,72 jours) et la durée de stockage (13,80 jours) sont bien maîtrisés, et la capacité de remboursement de 1,71 an est rassurante. Sur la base du rapport T1 2026 (publié en 2026), le chiffre d'affaires progresse de +4,3% à 154,392 Mds FCFA et le résultat net de +5,5% à 2,329 Mds FCFA, ce qui suggère une **estimation** d'exercice 2026 en reprise modérée, avec un CA annuel projeté autour de 610-615 Mds FCFA et un résultat net proche de 9,5-10 Mds FCFA. Le rapport annuel 2025 (publié en 2026) confirme un dividende brut de 10 Mds FCFA, soit un taux de distribution supérieur à 100% du résultat net, ce qui est généreux mais non soutenable à long terme sans amélioration de la trésorerie. La recommandation fondamentale est **CONSERVER** : l'entreprise est solide opérationnellement et leader sur son marché, mais la dégradation de la trésorerie et le payout excessif constituent des signaux d'alerte.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22,2x, P/B de 5,57x et EV/EBITDA de 11,5x placent TTLC très au-dessus des moyennes du marché BRVM, ce qui intègre déjà une prime de qualité et une croissance attendue. Le comportement du cours (Partie 1) est haussier sur 100 jours (+10,52%) avec une volatilité élevée (42,9%) et une asymétrie positive (skewness 0,847), mais le kurtosis mésokurtique (-0,354) limite le risque de pics extrêmes. Les signaux techniques (Partie 2) sont divergents : le MACD donne un achat naissant, le RSI et les Bollinger sont neutres, mais les Moyennes Mobiles et le Stochastique (%K=100) recommandent la vente, ce qui suggère une correction imminente après le sursaut de +6,83%. Les fondamentaux (Partie 3) sont mitigés : ROE excellent (25,10%), marges stables, mais trésorerie nette négative (-21,9 Mds FCFA), endettement élevé (90,23%) et payout &gt;100%, avec toutefois une reprise confirmée au T1 2026 (+4,3% de CA, +5,5% de résultat net). Les prédictions IA (J+1 à J+10) anticipent une baisse progressive de 3 179 FCFA à 3 121 FCFA, soit une correction de -2,6% sur 10 jours, ce qui **confirme** les signaux techniques baissiers (Stochastique, MM) et **contredit** le MACD haussier. Sur la base de cette synthèse globale, la recommandation finale est **CONSERVER**, avec un niveau de confiance **Moyen** et un risque global **Élevé** (volatilité 42,9%, endettement, payout excessif). L'horizon optimal est le **moyen terme (3-12 mois)**, le temps que la reprise du T1 2026 se confirme et que la trésorerie s'améliore, tout en surveillant la soutenabilité du dividende et l'évolution des prix pétroliers.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3,366 titres</w:t>
            </w:r>
          </w:p>
        </w:tc>
        <w:tc>
          <w:tcPr>
            <w:tcW w:type="dxa" w:w="2268"/>
            <w:shd w:fill="FFF2CC" w:val="clear"/>
          </w:tcPr>
          <w:p>
            <w:r>
              <w:rPr>
                <w:b/>
                <w:color w:val="503200"/>
                <w:sz w:val="16"/>
              </w:rPr>
              <w:t xml:space="preserve">Cours actuel : </w:t>
            </w:r>
            <w:r>
              <w:rPr>
                <w:color w:val="000000"/>
                <w:sz w:val="17"/>
              </w:rPr>
              <w:t>3,600 FCFA</w:t>
            </w:r>
          </w:p>
          <w:p>
            <w:r>
              <w:rPr>
                <w:b/>
                <w:color w:val="503200"/>
                <w:sz w:val="16"/>
              </w:rPr>
              <w:t xml:space="preserve">Var. 100 jours : </w:t>
            </w:r>
            <w:r>
              <w:rPr>
                <w:b/>
                <w:color w:val="007800"/>
                <w:sz w:val="17"/>
              </w:rPr>
              <w:t>+18.03%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3,050 FCFA</w:t>
            </w:r>
          </w:p>
          <w:p>
            <w:r>
              <w:rPr>
                <w:b/>
                <w:color w:val="503200"/>
                <w:sz w:val="16"/>
              </w:rPr>
              <w:t xml:space="preserve">Volatilité ann. : </w:t>
            </w:r>
            <w:r>
              <w:rPr>
                <w:color w:val="000000"/>
                <w:sz w:val="17"/>
              </w:rPr>
              <w:t>43.2%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7.24% (Moyenne) — μ=3,709 FCFA, σ=269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β=0.4924 (Défensif) — Cov=0.000036, Var(idx)=0.000074, ρ=0.154,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3,480</w:t>
            </w:r>
          </w:p>
        </w:tc>
        <w:tc>
          <w:tcPr>
            <w:tcW w:type="dxa" w:w="1440"/>
            <w:shd w:fill="FAFAFA" w:val="clear"/>
          </w:tcPr>
          <w:p>
            <w:r>
              <w:rPr>
                <w:b/>
                <w:sz w:val="17"/>
              </w:rPr>
              <w:t>3,603</w:t>
            </w:r>
          </w:p>
        </w:tc>
        <w:tc>
          <w:tcPr>
            <w:tcW w:type="dxa" w:w="1440"/>
            <w:shd w:fill="FAFAFA" w:val="clear"/>
          </w:tcPr>
          <w:p>
            <w:r>
              <w:rPr>
                <w:sz w:val="17"/>
              </w:rPr>
              <w:t>3,725</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3,425</w:t>
            </w:r>
          </w:p>
        </w:tc>
        <w:tc>
          <w:tcPr>
            <w:tcW w:type="dxa" w:w="1440"/>
            <w:shd w:fill="FAFAFA" w:val="clear"/>
          </w:tcPr>
          <w:p>
            <w:r>
              <w:rPr>
                <w:b/>
                <w:sz w:val="17"/>
              </w:rPr>
              <w:t>3,598</w:t>
            </w:r>
          </w:p>
        </w:tc>
        <w:tc>
          <w:tcPr>
            <w:tcW w:type="dxa" w:w="1440"/>
            <w:shd w:fill="FAFAFA" w:val="clear"/>
          </w:tcPr>
          <w:p>
            <w:r>
              <w:rPr>
                <w:sz w:val="17"/>
              </w:rPr>
              <w:t>3,771</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3,382</w:t>
            </w:r>
          </w:p>
        </w:tc>
        <w:tc>
          <w:tcPr>
            <w:tcW w:type="dxa" w:w="1440"/>
            <w:shd w:fill="FAFAFA" w:val="clear"/>
          </w:tcPr>
          <w:p>
            <w:r>
              <w:rPr>
                <w:b/>
                <w:sz w:val="17"/>
              </w:rPr>
              <w:t>3,593</w:t>
            </w:r>
          </w:p>
        </w:tc>
        <w:tc>
          <w:tcPr>
            <w:tcW w:type="dxa" w:w="1440"/>
            <w:shd w:fill="FAFAFA" w:val="clear"/>
          </w:tcPr>
          <w:p>
            <w:r>
              <w:rPr>
                <w:sz w:val="17"/>
              </w:rPr>
              <w:t>3,804</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3,344</w:t>
            </w:r>
          </w:p>
        </w:tc>
        <w:tc>
          <w:tcPr>
            <w:tcW w:type="dxa" w:w="1440"/>
            <w:shd w:fill="FAFAFA" w:val="clear"/>
          </w:tcPr>
          <w:p>
            <w:r>
              <w:rPr>
                <w:b/>
                <w:sz w:val="17"/>
              </w:rPr>
              <w:t>3,588</w:t>
            </w:r>
          </w:p>
        </w:tc>
        <w:tc>
          <w:tcPr>
            <w:tcW w:type="dxa" w:w="1440"/>
            <w:shd w:fill="FAFAFA" w:val="clear"/>
          </w:tcPr>
          <w:p>
            <w:r>
              <w:rPr>
                <w:sz w:val="17"/>
              </w:rPr>
              <w:t>3,831</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3,310</w:t>
            </w:r>
          </w:p>
        </w:tc>
        <w:tc>
          <w:tcPr>
            <w:tcW w:type="dxa" w:w="1440"/>
            <w:shd w:fill="FAFAFA" w:val="clear"/>
          </w:tcPr>
          <w:p>
            <w:r>
              <w:rPr>
                <w:b/>
                <w:sz w:val="17"/>
              </w:rPr>
              <w:t>3,582</w:t>
            </w:r>
          </w:p>
        </w:tc>
        <w:tc>
          <w:tcPr>
            <w:tcW w:type="dxa" w:w="1440"/>
            <w:shd w:fill="FAFAFA" w:val="clear"/>
          </w:tcPr>
          <w:p>
            <w:r>
              <w:rPr>
                <w:sz w:val="17"/>
              </w:rPr>
              <w:t>3,854</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3,279</w:t>
            </w:r>
          </w:p>
        </w:tc>
        <w:tc>
          <w:tcPr>
            <w:tcW w:type="dxa" w:w="1440"/>
            <w:shd w:fill="FAFAFA" w:val="clear"/>
          </w:tcPr>
          <w:p>
            <w:r>
              <w:rPr>
                <w:b/>
                <w:sz w:val="17"/>
              </w:rPr>
              <w:t>3,576</w:t>
            </w:r>
          </w:p>
        </w:tc>
        <w:tc>
          <w:tcPr>
            <w:tcW w:type="dxa" w:w="1440"/>
            <w:shd w:fill="FAFAFA" w:val="clear"/>
          </w:tcPr>
          <w:p>
            <w:r>
              <w:rPr>
                <w:sz w:val="17"/>
              </w:rPr>
              <w:t>3,873</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3,251</w:t>
            </w:r>
          </w:p>
        </w:tc>
        <w:tc>
          <w:tcPr>
            <w:tcW w:type="dxa" w:w="1440"/>
            <w:shd w:fill="FAFAFA" w:val="clear"/>
          </w:tcPr>
          <w:p>
            <w:r>
              <w:rPr>
                <w:b/>
                <w:sz w:val="17"/>
              </w:rPr>
              <w:t>3,571</w:t>
            </w:r>
          </w:p>
        </w:tc>
        <w:tc>
          <w:tcPr>
            <w:tcW w:type="dxa" w:w="1440"/>
            <w:shd w:fill="FAFAFA" w:val="clear"/>
          </w:tcPr>
          <w:p>
            <w:r>
              <w:rPr>
                <w:sz w:val="17"/>
              </w:rPr>
              <w:t>3,891</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3,224</w:t>
            </w:r>
          </w:p>
        </w:tc>
        <w:tc>
          <w:tcPr>
            <w:tcW w:type="dxa" w:w="1440"/>
            <w:shd w:fill="FAFAFA" w:val="clear"/>
          </w:tcPr>
          <w:p>
            <w:r>
              <w:rPr>
                <w:b/>
                <w:sz w:val="17"/>
              </w:rPr>
              <w:t>3,566</w:t>
            </w:r>
          </w:p>
        </w:tc>
        <w:tc>
          <w:tcPr>
            <w:tcW w:type="dxa" w:w="1440"/>
            <w:shd w:fill="FAFAFA" w:val="clear"/>
          </w:tcPr>
          <w:p>
            <w:r>
              <w:rPr>
                <w:sz w:val="17"/>
              </w:rPr>
              <w:t>3,908</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3,199</w:t>
            </w:r>
          </w:p>
        </w:tc>
        <w:tc>
          <w:tcPr>
            <w:tcW w:type="dxa" w:w="1440"/>
            <w:shd w:fill="FAFAFA" w:val="clear"/>
          </w:tcPr>
          <w:p>
            <w:r>
              <w:rPr>
                <w:b/>
                <w:sz w:val="17"/>
              </w:rPr>
              <w:t>3,561</w:t>
            </w:r>
          </w:p>
        </w:tc>
        <w:tc>
          <w:tcPr>
            <w:tcW w:type="dxa" w:w="1440"/>
            <w:shd w:fill="FAFAFA" w:val="clear"/>
          </w:tcPr>
          <w:p>
            <w:r>
              <w:rPr>
                <w:sz w:val="17"/>
              </w:rPr>
              <w:t>3,923</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3,175</w:t>
            </w:r>
          </w:p>
        </w:tc>
        <w:tc>
          <w:tcPr>
            <w:tcW w:type="dxa" w:w="1440"/>
            <w:shd w:fill="FAFAFA" w:val="clear"/>
          </w:tcPr>
          <w:p>
            <w:r>
              <w:rPr>
                <w:b/>
                <w:sz w:val="17"/>
              </w:rPr>
              <w:t>3,556</w:t>
            </w:r>
          </w:p>
        </w:tc>
        <w:tc>
          <w:tcPr>
            <w:tcW w:type="dxa" w:w="1440"/>
            <w:shd w:fill="FAFAFA" w:val="clear"/>
          </w:tcPr>
          <w:p>
            <w:r>
              <w:rPr>
                <w:sz w:val="17"/>
              </w:rPr>
              <w:t>3,938</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117,28 milliards FCFA, TTLS figure parmi les valeurs de taille intermédiaire de la cote BRVM, ce qui traduit une liquidité limitée mais une certaine stabilité institutionnelle. Le BPA de 208 FCFA/action indique que chaque titre génère un bénéfice net de 208 FCFA, ce qui, rapporté au cours actuel de 3 600 FCFA, donne un PER de 17,3x — nettement supérieur à la moyenne du marché BRVM (8-12x), signalant que les investisseurs paient une prime pour la qualité de la signature TotalEnergies et la régularité du dividende. Le P/B de 4,15x confirme cette valorisation exigeante : le marché valorise l'action à plus de quatre fois sa valeur comptable, ce qui suppose une forte confiance dans la capacité bénéficiaire future. En revanche, l'EV/EBITDA de 7,3x, situé dans la fourchette raisonnable de 5-10x, suggère que la valeur d'entreprise reste cohérente avec la capacité opérationnelle de génération de cash-flow, offrant un contrepoids modérateur à la cherté apparente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progression totale de +18,03%, malgré un léger repli de -0,14% lors de la dernière séance, ce qui témoigne d'une dynamique haussière de fond mais d'un essoufflement récent. Le cours a évolué dans un range de 1 450 FCFA, entre un plus bas de 3 050 FCFA et un plus haut de 4 500 FCFA, avec un cours actuel de 3 600 FCFA qui se situe dans la partie médiane-basse de cette fourchette, suggérant une phase de consolidation après le pic. La moyenne de 3 709 FCFA est très proche de la médiane de 3 695 FCFA, confirmant une distribution quasi symétrique, tandis que le mode à 3 800 FCFA indique que ce niveau a concentré le plus grand nombre de transactions. L'écart-type de 270 FCFA, couplé à un coefficient de variation de 7,3%, révèle une dispersion modérée du cours autour de sa moyenne, ce qui est rassurant pour un titre de cette taille. Le kurtosis de 0,454 (mésokurtique) et le skewness de 0,437 (distribution symétrique) indiquent l'absence de pics extrêmes ou d'asymétrie marquée, donc un comportement de prix relativement prévisible. Enfin, la volatilité annualisée de 43,2% classe TTLS dans la catégorie des titres à volatilité élevée (&gt;30%), ce qui implique un risque de fluctuation important à court terme, à mettre en perspective avec la nature défensive de l'activité.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(3 739,75 FCFA) et la MM50 (3 745,70 FCFA) sont toutes deux supérieures au cours actuel de 3 600 FCFA, et la MM20 est légèrement en dessous de la MM50, ce qui configure une pression baissière de court terme. Le croisement baissier potentiel et la position du cours sous les deux moyennes justifient la décision technique de **Vente**.</w:t>
      </w:r>
    </w:p>
    <w:p>
      <w:pPr>
        <w:spacing w:after="120" w:line="276" w:lineRule="auto"/>
      </w:pPr>
      <w:r>
        <w:t>**Bandes de Bollinger** : Le cours (3 600 FCFA) se situe entre la borne inférieure (3 478,33 FCFA) et la borne supérieure (4 001,17 FCFA), plus proche de la borne basse, ce qui indique une volatilité contenue et une absence de signal directionnel fort. La décision est **Neutre**, le titre n'étant ni en surachat ni en survente selon ce critère.</w:t>
      </w:r>
    </w:p>
    <w:p>
      <w:pPr>
        <w:spacing w:after="120" w:line="276" w:lineRule="auto"/>
      </w:pPr>
      <w:r>
        <w:t>**MACD** : La valeur du MACD (-53,032) est inférieure à son signal (-42,312), avec un histogramme négatif, ce qui traduit un momentum baissier persistant. La divergence négative entre la ligne MACD et sa ligne de signal justifie la décision de **Vente**, bien que l'écart reste modéré.</w:t>
      </w:r>
    </w:p>
    <w:p>
      <w:pPr>
        <w:spacing w:after="120" w:line="276" w:lineRule="auto"/>
      </w:pPr>
      <w:r>
        <w:t>**RSI** : À 36,306, le RSI se situe dans la zone neutre basse (30-70), sans atteindre le seuil de survente (&lt;30), ce qui suggère une faiblesse relative mais pas de capitulation. La décision est **Neutre**, le titre n'offrant pas encore de signal d'achat contrarien.</w:t>
      </w:r>
    </w:p>
    <w:p>
      <w:pPr>
        <w:spacing w:after="120" w:line="276" w:lineRule="auto"/>
      </w:pPr>
      <w:r>
        <w:t>**Stochastique** : Le %K à 0,0 et le %D à 7,442 indiquent que le cours est collé à sa borne basse récente, avec un croisement potentiel en zone de survente extrême. Cette configuration justifie la décision d'**Achat** contrarien, le stochastique étant le seul indicateur à signaler une opportunité de rebond.</w:t>
      </w:r>
    </w:p>
    <w:p>
      <w:pPr>
        <w:spacing w:after="120" w:line="276" w:lineRule="auto"/>
      </w:pPr>
      <w:r>
        <w:t>**Conclusion technique** : La majorité des indicateurs (MM, MACD) penchent vers une **Vente**, tandis que les Bandes de Bollinger et le RSI sont **Neutres** et le Stochastique donne un signal d'**Achat** contrarien. Cette divergence traduit une phase d'incertitude : le titre est techniquement affaibli à court terme, mais la survente extrême du stochastique suggère qu'un rebond technique n'est pas exclu. La prudence reste de mise tant que le cours n'aura pas reconquis la MM20 (3 739,75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 chiffre d'affaires de 455,209 milliards FCFA, en baisse de 6,13% par rapport à 2024, conséquence directe de l'arrêt stratégique de la commercialisation du fuel lourd. Le résultat net s'établit à 6,779 milliards FCFA, avec une marge nette de 1,49%, typique du secteur de distribution pétrolière, tandis que le ROE atteint 24,01% (excellent, &gt;15%) et le ROA 3,95%, confirmant une bonne rentabilité des fonds propres malgré la faiblesse des marges. En tant qu'entreprise non bancaire, les délais d'exploitation sont cruciaux : le délai clients de 47,43 jours est modéré mais représente un risque de trésorerie, tandis que le délai fournisseurs de 97,76 jours (supérieur au délai clients) est favorable à la trésorerie, et la durée de stockage de 17,62 jours est bien maîtrisée. Le BFR est négatif à -36,899 milliards FCFA, ce qui est un signal positif majeur : l'entreprise finance son cycle d'exploitation par ses fournisseurs plutôt que par ses propres ressources. La structure financière reste solide avec une autonomie financière de 16,44% (inférieure au seuil de 30% mais acceptable pour ce secteur), une capacité de remboursement de 0,94 an (excellent) et une couverture des intérêts de 485,91%. Les rapports narratifs confirment cette dynamique : le rapport annuel 2025 (publié le 31/12/2025, analysé par DeepSeek) indique un résultat d'exploitation de 7,9 milliards FCFA en hausse, et le rapport T1 2026 (publié le 31/03/2026, analysé par DeepSeek) montre un chiffre d'affaires de 99,9 milliards FCFA (-10% sur un an) mais un résultat net en hausse de +5% à 1,585 milliards FCFA, avec une marge nette améliorée à 1,59% grâce à la progression des marges sur les lubrifiants. On estime donc que l'exercice 2026 devrait bénéficier de cette amélioration du mix-produit, avec un résultat net potentiellement supérieur à celui de 2025 si la pression réglementaire sur les prix à la pompe reste contenue. La recommandation fondamentale est de **Conserver** : la solidité opérationnelle, la position de leader (140 stations-service), le soutien de TotalEnergies (69,1%) et les perspectives liées aux projets Sangomar et GNL compensent la baisse du chiffre d'affaires et l'absence de visibilité sur la politique de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contrasté : un PER de 17,3x et un P/B de 4,15x indiquent une surévaluation relative par rapport au marché BRVM, mais l'EV/EBITDA de 7,3x reste raisonnable, ce qui suggère que la prime est justifiée par la qualité de la signature et la régularité des dividendes. Le comportement du cours (Partie 1) est haussier sur 100 jours (+18,03%) mais marqué par une volatilité élevée (43,2%) et une distribution symétrique (skewness 0,437, kurtosis 0,454), sans risque de pics extrêmes, ce qui est rassurant pour un investisseur de long terme. Les signaux techniques (Partie 2) sont majoritairement baissiers à court terme (MM, MACD en Vente), avec un RSI neutre et un stochastique en survente extrême (%K=0,0) qui pourrait déclencher un rebond technique, mais la divergence des indicateurs appelle à la prudence. Les fondamentaux (Partie 3) demeurent solides : ROE de 24%, BFR négatif, capacité de remboursement de 0,94 an, et une amélioration des marges au T1 2026 (+28% de résultat d'exploitation) qui compense la baisse du chiffre d'affaires. Les prédictions IA (J+1 à J+10) anticipent une légère dérive baissière de 3 603 FCFA à 3 582 FCFA, ce qui confirme la pression technique de court terme mais reste dans une fourchette étroite, sans signal de rupture. Sur la base de cette synthèse globale, la recommandation finale est **CONSERVER**, avec un niveau de confiance **Moyen** et un risque global **Moyen**. En effet, la convergence entre une valorisation exigeante, des signaux techniques baissiers à court terme et des fondamentaux solides mais sans catalyseur immédiat plaide pour une position attentiste. L'horizon d'investissement optimal est le **moyen terme (3-12 mois)**, en attendant la confirmation de la tendance des volumes et la clarification de la politique de dividende lors de la prochaine assemblée générale. Un achat spéculatif à court terme serait prématuré tant que le cours n'aura pas reconquis la MM20 (3 739,75 FCFA), mais une vente ne se justifie pas compte tenu de la solidité financière et des perspectives de diversification énergétique.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22 titres</w:t>
            </w:r>
          </w:p>
        </w:tc>
        <w:tc>
          <w:tcPr>
            <w:tcW w:type="dxa" w:w="2268"/>
            <w:shd w:fill="FFF2CC" w:val="clear"/>
          </w:tcPr>
          <w:p>
            <w:r>
              <w:rPr>
                <w:b/>
                <w:color w:val="503200"/>
                <w:sz w:val="16"/>
              </w:rPr>
              <w:t xml:space="preserve">Cours actuel : </w:t>
            </w:r>
            <w:r>
              <w:rPr>
                <w:color w:val="000000"/>
                <w:sz w:val="17"/>
              </w:rPr>
              <w:t>48,000 FCFA</w:t>
            </w:r>
          </w:p>
          <w:p>
            <w:r>
              <w:rPr>
                <w:b/>
                <w:color w:val="503200"/>
                <w:sz w:val="16"/>
              </w:rPr>
              <w:t xml:space="preserve">Var. 100 jours : </w:t>
            </w:r>
            <w:r>
              <w:rPr>
                <w:b/>
                <w:color w:val="B40000"/>
                <w:sz w:val="17"/>
              </w:rPr>
              <w:t>-19.93%</w:t>
            </w:r>
          </w:p>
          <w:p>
            <w:r>
              <w:rPr>
                <w:b/>
                <w:color w:val="503200"/>
                <w:sz w:val="16"/>
              </w:rPr>
              <w:t xml:space="preserve">Plus haut 100j : </w:t>
            </w:r>
            <w:r>
              <w:rPr>
                <w:color w:val="000000"/>
                <w:sz w:val="17"/>
              </w:rPr>
              <w:t>59,950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μ=53,923 FCFA, σ=3,214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β=0.6114 (Défensif) — Cov=0.000045, Var(idx)=0.000074, ρ=0.149,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22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σ_j=3.53%/j (Modérée) — Vol. annualisée≈56.1%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0906"/>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2026-10-14</w:t>
            </w:r>
          </w:p>
        </w:tc>
        <w:tc>
          <w:tcPr>
            <w:tcW w:type="dxa" w:w="1440"/>
            <w:shd w:fill="FAFAFA" w:val="clear"/>
          </w:tcPr>
          <w:p>
            <w:r>
              <w:rPr>
                <w:sz w:val="17"/>
              </w:rPr>
              <w:t>45,175</w:t>
            </w:r>
          </w:p>
        </w:tc>
        <w:tc>
          <w:tcPr>
            <w:tcW w:type="dxa" w:w="1440"/>
            <w:shd w:fill="FAFAFA" w:val="clear"/>
          </w:tcPr>
          <w:p>
            <w:r>
              <w:rPr>
                <w:b/>
                <w:sz w:val="17"/>
              </w:rPr>
              <w:t>47,970</w:t>
            </w:r>
          </w:p>
        </w:tc>
        <w:tc>
          <w:tcPr>
            <w:tcW w:type="dxa" w:w="1440"/>
            <w:shd w:fill="FAFAFA" w:val="clear"/>
          </w:tcPr>
          <w:p>
            <w:r>
              <w:rPr>
                <w:sz w:val="17"/>
              </w:rPr>
              <w:t>50,765</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2026-10-15</w:t>
            </w:r>
          </w:p>
        </w:tc>
        <w:tc>
          <w:tcPr>
            <w:tcW w:type="dxa" w:w="1440"/>
            <w:shd w:fill="FAFAFA" w:val="clear"/>
          </w:tcPr>
          <w:p>
            <w:r>
              <w:rPr>
                <w:sz w:val="17"/>
              </w:rPr>
              <w:t>44,018</w:t>
            </w:r>
          </w:p>
        </w:tc>
        <w:tc>
          <w:tcPr>
            <w:tcW w:type="dxa" w:w="1440"/>
            <w:shd w:fill="FAFAFA" w:val="clear"/>
          </w:tcPr>
          <w:p>
            <w:r>
              <w:rPr>
                <w:b/>
                <w:sz w:val="17"/>
              </w:rPr>
              <w:t>47,971</w:t>
            </w:r>
          </w:p>
        </w:tc>
        <w:tc>
          <w:tcPr>
            <w:tcW w:type="dxa" w:w="1440"/>
            <w:shd w:fill="FAFAFA" w:val="clear"/>
          </w:tcPr>
          <w:p>
            <w:r>
              <w:rPr>
                <w:sz w:val="17"/>
              </w:rPr>
              <w:t>51,924</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2026-10-16</w:t>
            </w:r>
          </w:p>
        </w:tc>
        <w:tc>
          <w:tcPr>
            <w:tcW w:type="dxa" w:w="1440"/>
            <w:shd w:fill="FAFAFA" w:val="clear"/>
          </w:tcPr>
          <w:p>
            <w:r>
              <w:rPr>
                <w:sz w:val="17"/>
              </w:rPr>
              <w:t>43,128</w:t>
            </w:r>
          </w:p>
        </w:tc>
        <w:tc>
          <w:tcPr>
            <w:tcW w:type="dxa" w:w="1440"/>
            <w:shd w:fill="FAFAFA" w:val="clear"/>
          </w:tcPr>
          <w:p>
            <w:r>
              <w:rPr>
                <w:b/>
                <w:sz w:val="17"/>
              </w:rPr>
              <w:t>47,970</w:t>
            </w:r>
          </w:p>
        </w:tc>
        <w:tc>
          <w:tcPr>
            <w:tcW w:type="dxa" w:w="1440"/>
            <w:shd w:fill="FAFAFA" w:val="clear"/>
          </w:tcPr>
          <w:p>
            <w:r>
              <w:rPr>
                <w:sz w:val="17"/>
              </w:rPr>
              <w:t>52,811</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42,378</w:t>
            </w:r>
          </w:p>
        </w:tc>
        <w:tc>
          <w:tcPr>
            <w:tcW w:type="dxa" w:w="1440"/>
            <w:shd w:fill="FAFAFA" w:val="clear"/>
          </w:tcPr>
          <w:p>
            <w:r>
              <w:rPr>
                <w:b/>
                <w:sz w:val="17"/>
              </w:rPr>
              <w:t>47,968</w:t>
            </w:r>
          </w:p>
        </w:tc>
        <w:tc>
          <w:tcPr>
            <w:tcW w:type="dxa" w:w="1440"/>
            <w:shd w:fill="FAFAFA" w:val="clear"/>
          </w:tcPr>
          <w:p>
            <w:r>
              <w:rPr>
                <w:sz w:val="17"/>
              </w:rPr>
              <w:t>53,559</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2026-10-20</w:t>
            </w:r>
          </w:p>
        </w:tc>
        <w:tc>
          <w:tcPr>
            <w:tcW w:type="dxa" w:w="1440"/>
            <w:shd w:fill="FAFAFA" w:val="clear"/>
          </w:tcPr>
          <w:p>
            <w:r>
              <w:rPr>
                <w:sz w:val="17"/>
              </w:rPr>
              <w:t>41,717</w:t>
            </w:r>
          </w:p>
        </w:tc>
        <w:tc>
          <w:tcPr>
            <w:tcW w:type="dxa" w:w="1440"/>
            <w:shd w:fill="FAFAFA" w:val="clear"/>
          </w:tcPr>
          <w:p>
            <w:r>
              <w:rPr>
                <w:b/>
                <w:sz w:val="17"/>
              </w:rPr>
              <w:t>47,967</w:t>
            </w:r>
          </w:p>
        </w:tc>
        <w:tc>
          <w:tcPr>
            <w:tcW w:type="dxa" w:w="1440"/>
            <w:shd w:fill="FAFAFA" w:val="clear"/>
          </w:tcPr>
          <w:p>
            <w:r>
              <w:rPr>
                <w:sz w:val="17"/>
              </w:rPr>
              <w:t>54,218</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2026-10-21</w:t>
            </w:r>
          </w:p>
        </w:tc>
        <w:tc>
          <w:tcPr>
            <w:tcW w:type="dxa" w:w="1440"/>
            <w:shd w:fill="FAFAFA" w:val="clear"/>
          </w:tcPr>
          <w:p>
            <w:r>
              <w:rPr>
                <w:sz w:val="17"/>
              </w:rPr>
              <w:t>41,120</w:t>
            </w:r>
          </w:p>
        </w:tc>
        <w:tc>
          <w:tcPr>
            <w:tcW w:type="dxa" w:w="1440"/>
            <w:shd w:fill="FAFAFA" w:val="clear"/>
          </w:tcPr>
          <w:p>
            <w:r>
              <w:rPr>
                <w:b/>
                <w:sz w:val="17"/>
              </w:rPr>
              <w:t>47,967</w:t>
            </w:r>
          </w:p>
        </w:tc>
        <w:tc>
          <w:tcPr>
            <w:tcW w:type="dxa" w:w="1440"/>
            <w:shd w:fill="FAFAFA" w:val="clear"/>
          </w:tcPr>
          <w:p>
            <w:r>
              <w:rPr>
                <w:sz w:val="17"/>
              </w:rPr>
              <w:t>54,813</w:t>
            </w:r>
          </w:p>
        </w:tc>
        <w:tc>
          <w:tcPr>
            <w:tcW w:type="dxa" w:w="1440"/>
            <w:shd w:fill="FAFAFA" w:val="clear"/>
          </w:tcPr>
          <w:p>
            <w:r>
              <w:rPr>
                <w:b/>
                <w:color w:val="C00000"/>
                <w:sz w:val="17"/>
              </w:rPr>
              <w:t>-0.1%</w:t>
            </w:r>
          </w:p>
        </w:tc>
      </w:tr>
      <w:tr>
        <w:tc>
          <w:tcPr>
            <w:tcW w:type="dxa" w:w="1440"/>
            <w:shd w:fill="FAFAFA" w:val="clear"/>
          </w:tcPr>
          <w:p>
            <w:r>
              <w:rPr>
                <w:sz w:val="17"/>
              </w:rPr>
              <w:t>J+7  ⭐</w:t>
            </w:r>
          </w:p>
        </w:tc>
        <w:tc>
          <w:tcPr>
            <w:tcW w:type="dxa" w:w="1440"/>
            <w:shd w:fill="FAFAFA" w:val="clear"/>
          </w:tcPr>
          <w:p>
            <w:r>
              <w:rPr>
                <w:sz w:val="17"/>
              </w:rPr>
              <w:t>2026-10-22</w:t>
            </w:r>
          </w:p>
        </w:tc>
        <w:tc>
          <w:tcPr>
            <w:tcW w:type="dxa" w:w="1440"/>
            <w:shd w:fill="FAFAFA" w:val="clear"/>
          </w:tcPr>
          <w:p>
            <w:r>
              <w:rPr>
                <w:sz w:val="17"/>
              </w:rPr>
              <w:t>40,571</w:t>
            </w:r>
          </w:p>
        </w:tc>
        <w:tc>
          <w:tcPr>
            <w:tcW w:type="dxa" w:w="1440"/>
            <w:shd w:fill="FAFAFA" w:val="clear"/>
          </w:tcPr>
          <w:p>
            <w:r>
              <w:rPr>
                <w:b/>
                <w:sz w:val="17"/>
              </w:rPr>
              <w:t>47,966</w:t>
            </w:r>
          </w:p>
        </w:tc>
        <w:tc>
          <w:tcPr>
            <w:tcW w:type="dxa" w:w="1440"/>
            <w:shd w:fill="FAFAFA" w:val="clear"/>
          </w:tcPr>
          <w:p>
            <w:r>
              <w:rPr>
                <w:sz w:val="17"/>
              </w:rPr>
              <w:t>55,361</w:t>
            </w:r>
          </w:p>
        </w:tc>
        <w:tc>
          <w:tcPr>
            <w:tcW w:type="dxa" w:w="1440"/>
            <w:shd w:fill="FAFAFA" w:val="clear"/>
          </w:tcPr>
          <w:p>
            <w:r>
              <w:rPr>
                <w:b/>
                <w:color w:val="C00000"/>
                <w:sz w:val="17"/>
              </w:rPr>
              <w:t>-0.1%</w:t>
            </w:r>
          </w:p>
        </w:tc>
      </w:tr>
      <w:tr>
        <w:tc>
          <w:tcPr>
            <w:tcW w:type="dxa" w:w="1440"/>
            <w:shd w:fill="FAFAFA" w:val="clear"/>
          </w:tcPr>
          <w:p>
            <w:r>
              <w:rPr>
                <w:sz w:val="17"/>
              </w:rPr>
              <w:t>J+8  ⭐</w:t>
            </w:r>
          </w:p>
        </w:tc>
        <w:tc>
          <w:tcPr>
            <w:tcW w:type="dxa" w:w="1440"/>
            <w:shd w:fill="FAFAFA" w:val="clear"/>
          </w:tcPr>
          <w:p>
            <w:r>
              <w:rPr>
                <w:sz w:val="17"/>
              </w:rPr>
              <w:t>2026-10-23</w:t>
            </w:r>
          </w:p>
        </w:tc>
        <w:tc>
          <w:tcPr>
            <w:tcW w:type="dxa" w:w="1440"/>
            <w:shd w:fill="FAFAFA" w:val="clear"/>
          </w:tcPr>
          <w:p>
            <w:r>
              <w:rPr>
                <w:sz w:val="17"/>
              </w:rPr>
              <w:t>40,060</w:t>
            </w:r>
          </w:p>
        </w:tc>
        <w:tc>
          <w:tcPr>
            <w:tcW w:type="dxa" w:w="1440"/>
            <w:shd w:fill="FAFAFA" w:val="clear"/>
          </w:tcPr>
          <w:p>
            <w:r>
              <w:rPr>
                <w:b/>
                <w:sz w:val="17"/>
              </w:rPr>
              <w:t>47,965</w:t>
            </w:r>
          </w:p>
        </w:tc>
        <w:tc>
          <w:tcPr>
            <w:tcW w:type="dxa" w:w="1440"/>
            <w:shd w:fill="FAFAFA" w:val="clear"/>
          </w:tcPr>
          <w:p>
            <w:r>
              <w:rPr>
                <w:sz w:val="17"/>
              </w:rPr>
              <w:t>55,871</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2026-10-26</w:t>
            </w:r>
          </w:p>
        </w:tc>
        <w:tc>
          <w:tcPr>
            <w:tcW w:type="dxa" w:w="1440"/>
            <w:shd w:fill="FAFAFA" w:val="clear"/>
          </w:tcPr>
          <w:p>
            <w:r>
              <w:rPr>
                <w:sz w:val="17"/>
              </w:rPr>
              <w:t>39,580</w:t>
            </w:r>
          </w:p>
        </w:tc>
        <w:tc>
          <w:tcPr>
            <w:tcW w:type="dxa" w:w="1440"/>
            <w:shd w:fill="FAFAFA" w:val="clear"/>
          </w:tcPr>
          <w:p>
            <w:r>
              <w:rPr>
                <w:b/>
                <w:sz w:val="17"/>
              </w:rPr>
              <w:t>47,965</w:t>
            </w:r>
          </w:p>
        </w:tc>
        <w:tc>
          <w:tcPr>
            <w:tcW w:type="dxa" w:w="1440"/>
            <w:shd w:fill="FAFAFA" w:val="clear"/>
          </w:tcPr>
          <w:p>
            <w:r>
              <w:rPr>
                <w:sz w:val="17"/>
              </w:rPr>
              <w:t>56,350</w:t>
            </w:r>
          </w:p>
        </w:tc>
        <w:tc>
          <w:tcPr>
            <w:tcW w:type="dxa" w:w="1440"/>
            <w:shd w:fill="FAFAFA" w:val="clear"/>
          </w:tcPr>
          <w:p>
            <w:r>
              <w:rPr>
                <w:b/>
                <w:color w:val="C00000"/>
                <w:sz w:val="17"/>
              </w:rPr>
              <w:t>-0.1%</w:t>
            </w:r>
          </w:p>
        </w:tc>
      </w:tr>
      <w:tr>
        <w:tc>
          <w:tcPr>
            <w:tcW w:type="dxa" w:w="1440"/>
            <w:shd w:fill="FAFAFA" w:val="clear"/>
          </w:tcPr>
          <w:p>
            <w:r>
              <w:rPr>
                <w:sz w:val="17"/>
              </w:rPr>
              <w:t>J+10  ⭐</w:t>
            </w:r>
          </w:p>
        </w:tc>
        <w:tc>
          <w:tcPr>
            <w:tcW w:type="dxa" w:w="1440"/>
            <w:shd w:fill="FAFAFA" w:val="clear"/>
          </w:tcPr>
          <w:p>
            <w:r>
              <w:rPr>
                <w:sz w:val="17"/>
              </w:rPr>
              <w:t>2026-10-27</w:t>
            </w:r>
          </w:p>
        </w:tc>
        <w:tc>
          <w:tcPr>
            <w:tcW w:type="dxa" w:w="1440"/>
            <w:shd w:fill="FAFAFA" w:val="clear"/>
          </w:tcPr>
          <w:p>
            <w:r>
              <w:rPr>
                <w:sz w:val="17"/>
              </w:rPr>
              <w:t>39,126</w:t>
            </w:r>
          </w:p>
        </w:tc>
        <w:tc>
          <w:tcPr>
            <w:tcW w:type="dxa" w:w="1440"/>
            <w:shd w:fill="FAFAFA" w:val="clear"/>
          </w:tcPr>
          <w:p>
            <w:r>
              <w:rPr>
                <w:b/>
                <w:sz w:val="17"/>
              </w:rPr>
              <w:t>47,965</w:t>
            </w:r>
          </w:p>
        </w:tc>
        <w:tc>
          <w:tcPr>
            <w:tcW w:type="dxa" w:w="1440"/>
            <w:shd w:fill="FAFAFA" w:val="clear"/>
          </w:tcPr>
          <w:p>
            <w:r>
              <w:rPr>
                <w:sz w:val="17"/>
              </w:rPr>
              <w:t>56,803</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440,80 milliards FCFA, ce qui en fait l'une des plus importantes capitalisations de la BRVM, reflétant le poids historique de la marque Unilever dans l'industrie des biens de consommation en Afrique de l'Ouest. Les ratios de valorisation boursière (BPA, PER, P/B, EV/EBITDA) ne sont pas calculables en l'état, les données financières structurées nécessaires (résultat net par action, capitaux propres comptables, EBITDA) n'étant pas disponibles dans la base de données structurée. Cette absence empêche toute appréciation directe du niveau de cherté ou de sous-évaluation du titre par rapport aux fondamentaux comptables. Toutefois, au regard du PER moyen de la BRVM (8-12x) et de la situation financière précaire de la société (capitaux propres négatifs, résultat net modeste), une valorisation boursière de 440,80 Mds FCFA apparaît élevée et suggère que le marché valorise davantage la notoriété de la marque et le potentiel de redressement que la rentabilité actuelle. L'investisseur doit donc se référer principalement aux analyses techniques et fondamentales pour évaluer l'opportunité.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-19,93%, tandis que la dernière séance (J-1) est restée stable à +0,00%, le cours clôturant à 48 000 FCFA. Le titre a évolué dans un range de trading de 47 215 FCFA (plus bas) à 59 950 FCFA (plus haut), soit un écart de 12 735 FCFA (environ 27% de volatilité intra-période), ce qui traduit une tendance nettement baissière avec une accélération de la pression vendeuse en fin de période. Les statistiques descriptives révèlent une moyenne de 53 923 FCFA légèrement supérieure à la médiane de 54 000 FCFA, avec un mode à 58 000 FCFA, indiquant une distribution quasi-symétrique mais avec une légère concentration des échanges autour des niveaux élevés avant la correction. L'écart-type de 3 230 FCFA (CV=6,0%) indique une dispersion modérée du cours autour de sa moyenne, tandis que le kurtosis de -0,646 (mésokurtique) suggère une distribution proche de la normale, sans risque majeur de pics extrêmes. Le skewness de -0,213 confirme une distribution symétrique avec une très légère asymétrie négative, signe que les baisses sont marginalement plus fréquentes que les hausses. La volatilité annualisée de 56,1% classe le titre dans la catégorie des valeurs à volatilité élevée (&gt;30%), ce qui implique un risque de perte en capital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49 713 FCFA et la MM50 à 52 335,9 FCFA, toutes deux supérieures au cours actuel de 48 000 FCFA. Le cours évolue donc sous ses deux moyennes mobiles, confirmant une configuration baissière avec une pression vendeuse persistante. La décision technique est à la Vente, la MM20 étant elle-même inférieure à la MM50 (croisement baissier), ce qui renforce le signal négatif.</w:t>
      </w:r>
    </w:p>
    <w:p>
      <w:pPr>
        <w:spacing w:after="120" w:line="276" w:lineRule="auto"/>
      </w:pPr>
      <w:r>
        <w:t>**Bandes de Bollinger** : La borne supérieure se situe à 53 780,235 FCFA et la borne inférieure à 45 645,765 FCFA, avec un cours actuel de 48 000 FCFA positionné dans la moitié basse de la bande, à environ 27% de la borne inférieure. Cette position reflète une pression baissière modérée sans atteinte de la zone de survente extrême. La décision est Neutre, la volatilité restant contenue dans les bandes sans signal de retournement imminent.</w:t>
      </w:r>
    </w:p>
    <w:p>
      <w:pPr>
        <w:spacing w:after="120" w:line="276" w:lineRule="auto"/>
      </w:pPr>
      <w:r>
        <w:t>**MACD** : La valeur du MACD est de -1 314,622 contre un signal à -1 225,149, soit une divergence négative de -89,473 points. Le MACD évolue sous son signal et en territoire négatif, confirmant un momentum baissier toujours actif. La décision est à la Vente, aucune convergence haussière n'étant observée à ce stade.</w:t>
      </w:r>
    </w:p>
    <w:p>
      <w:pPr>
        <w:spacing w:after="120" w:line="276" w:lineRule="auto"/>
      </w:pPr>
      <w:r>
        <w:t>**RSI** : Le RSI s'établit à 37,643, un niveau neutre-bas qui n'atteint pas la zone de survente (&lt;30). Le titre n'est donc pas encore techniquement survendu, ce qui laisse présager une possible poursuite de la baisse avant un rebond technique. La décision est Neutre, le RSI n'offrant pas de signal d'achat contrarien.</w:t>
      </w:r>
    </w:p>
    <w:p>
      <w:pPr>
        <w:spacing w:after="120" w:line="276" w:lineRule="auto"/>
      </w:pPr>
      <w:r>
        <w:t>**Stochastique** : Le %K est à 20,74 et le %D à 17,862, tous deux en zone basse (proche de la survente à 20). Le croisement du %K au-dessus du %D n'est pas encore confirmé, mais la proximité de la zone de survente suggère qu'un rebond technique pourrait se produire à court terme. La décision reste Neutre, en attente d'un signal de croisement haussier.</w:t>
      </w:r>
    </w:p>
    <w:p>
      <w:pPr>
        <w:spacing w:after="120" w:line="276" w:lineRule="auto"/>
      </w:pPr>
      <w:r>
        <w:t>**Conclusion technique** : L'ensemble des indicateurs techniques convergent vers un biais baissier (MM, MACD), avec toutefois des signaux Neutres (Bollinger, RSI, Stochastique) qui suggèrent que la pression vendeuse pourrait s'atténuer à court terme. Le titre évolue sous ses moyennes mobiles avec un momentum négatif, mais la proximité des zones de survente (RSI 37,6, Stochastique ~20) indique qu'un rebond technique n'est pas exclu. La configuration globale reste défavorable à un achat tant que le cours ne repasse pas au-dessus de la MM20 (49 713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2022 provisoire). Pour l'exercice 2023 (rapport du 31/12/2023, analysé le 15/03/2026), le chiffre d'affaires s'établit à 24 336 010 000 FCFA, stable par rapport à 2022, tandis que le résultat net redevient positif à 640 334 855 FCFA après une perte massive de -6 908 362 002 FCFA en 2022. La marge nette reste toutefois faible à 2,63%, très en dessous de la moyenne sectorielle des FMCG en Afrique de l'Ouest (5-10%). Le résultat d'exploitation passe de -6 258 M FCFA en 2022 à +3 340 M FCFA en 2023, témoignant d'une amélioration opérationnelle réelle mais fragile. Les capitaux propres demeurent négatifs à -10 658 M FCFA et le report à nouveau est de -35 635 M FCFA, ce qui empêche toute distribution de dividende et fragilise la structure financière. L'endettement financier s'élève à 4 379 M FCFA en 2023 (contre 3 827 M FCFA en 2022), avec des frais financiers de 135 M FCFA, en baisse par rapport à 2022 (566 M FCFA). Pour l'exercice 2022 (rapport du 31/12/2022, analysé le 15/03/2026), le chiffre d'affaires était de 24 336 010 000 FCFA et la perte nette de -6 382 600 386 FCFA, avec une marge nette de -26,2%, reflétant une crise de rentabilité majeure. Un rapport provisoire au 31/12/2022 (analysé le 15/03/2026) mentionne un CA de 36 174,6 millions FCFA en 2022 contre 46 059,4 millions en 2021, soit une baisse de 21,5% liée à la cession de l'activité "Thé" (Lipton) et aux perturbations régionales (embargo malien, restrictions BCEAO). Pour l'exercice 2021 (rapport du 31/12/2022, analysé le 16/03/2026), le résultat net était bénéficiaire de 6 090 755 732 FCFA avec une marge nette de 25,0%, mais ce bénéfice incluait la plus-value exceptionnelle de cession de Lipton (+16,7 milliards FCFA), le résultat des activités ordinaires restant négatif à -14 476 M FCFA. L'évolution temporelle montre donc une dégradation structurelle entre 2021 et 2022 (passage d'un bénéfice exceptionnel à une perte lourde), suivie d'un redressement partiel en 2023 (retour à un bénéfice modeste), mais la situation reste précaire avec des capitaux propres négatifs et une absence de dividende. Les risques identifiés sont nombreux : dépendance au marché ivoirien, concurrence accrue (Nestlé, P&amp;G, marques locales), endettement élevé, risque de liquidité (trésorerie passive de 14 874 M FCFA), et absence de croissance du chiffre d'affaires. Les opportunités résident dans l'expansion régionale (UEMOA), l'innovation produit (gammes premium, bio), l'optimisation des coûts et les partenariats stratégiques. En conclusion, la recommandation fondamentale est de **CONSERVER avec vigilance** : le redressement de 2023 est encourageant mais insuffisant pour justifier un achat, et la prudence reste de mise tant que les capitaux propres ne se reconstituent pas et que la marge nette ne se rapproche pas des standards sectoriels.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finale nuancée. La valorisation (Partie 0) ne peut être appréciée faute de ratios calculables, mais la capitalisation de 440,80 Mds FCFA paraît élevée au regard de la rentabilité actuelle (marge nette de 2,63% en 2023), suggérant une possible surévaluation. Le comportement du cours (Partie 1) est nettement baissier (-19,93% sur 100 jours) avec une volatilité élevée (56,1% annualisée) et une distribution symétrique (skewness -0,213) sans risque de pics extrêmes (kurtosis -0,646), ce qui est préoccupant pour un investisseur averse au risque. Les signaux techniques (Partie 2) convergent vers un biais baissier (MM20 et MM50 au-dessus du cours, MACD négatif), mais les indicateurs Neutres (RSI 37,6, Stochastique ~20) suggèrent qu'un rebond technique pourrait survenir à court terme. Les fondamentaux (Partie 3) montrent un redressement fragile en 2023 (bénéfice net de 640 M FCFA, résultat d'exploitation positif de 3 340 M FCFA) après une perte massive en 2022 (-6 908 M FCFA), mais les capitaux propres restent négatifs (-10 658 M FCFA) et l'absence de dividende persiste, ce qui limite l'attrait du titre. Les prédictions IA (J+1 à J+10) anticipent une stabilisation du cours autour de 47 967-47 971 FCFA, soit une légère baisse par rapport au cours actuel de 48 000 FCFA, ce qui contredit un rebond technique imminent et confirme la pression baissière. Sur la base de cette synthèse, la recommandation finale est **CONSERVER** (avec vigilance), car bien que le titre soit techniquement survendu à court terme et que les fondamentaux s'améliorent légèrement, la tendance baissière, la volatilité élevée, l'absence de dividende et la fragilité financière (capitaux propres négatifs) ne justifient pas un achat. Le niveau de confiance est **Moyen**, car les signaux sont mitigés (technique baissier, fondamental en amélioration, prédictions stables). Le niveau de risque global est **Élevé**, compte tenu de la volatilité du titre et de la précarité financière de la société. L'horizon d'investissement optimal est **long terme (&gt;1 an)** pour les investisseurs patients prêts à parier sur un redressement durable, avec un suivi trimestriel rigoureux des indicateurs clés (marge nette, capitaux propres, endettement). Une vente est recommandée en cas de dégradation supplémentaire (nouvelle perte en 2024, hausse de l'endettement) ou si le cours venait à casser le support des 47 215 FCFA.</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45.44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13,433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007800"/>
                <w:sz w:val="17"/>
              </w:rPr>
              <w:t>+24.43%</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15.05% (Élevée) — μ=2,031 FCFA, σ=306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β=0.6234 (Défensif) — Cov=0.000046, Var(idx)=0.000074, ρ=0.170,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13,433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00906"/>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2026-10-14</w:t>
            </w:r>
          </w:p>
        </w:tc>
        <w:tc>
          <w:tcPr>
            <w:tcW w:type="dxa" w:w="1440"/>
            <w:shd w:fill="FAFAFA" w:val="clear"/>
          </w:tcPr>
          <w:p>
            <w:r>
              <w:rPr>
                <w:sz w:val="17"/>
              </w:rPr>
              <w:t>2,123</w:t>
            </w:r>
          </w:p>
        </w:tc>
        <w:tc>
          <w:tcPr>
            <w:tcW w:type="dxa" w:w="1440"/>
            <w:shd w:fill="FAFAFA" w:val="clear"/>
          </w:tcPr>
          <w:p>
            <w:r>
              <w:rPr>
                <w:b/>
                <w:sz w:val="17"/>
              </w:rPr>
              <w:t>2,198</w:t>
            </w:r>
          </w:p>
        </w:tc>
        <w:tc>
          <w:tcPr>
            <w:tcW w:type="dxa" w:w="1440"/>
            <w:shd w:fill="FAFAFA" w:val="clear"/>
          </w:tcPr>
          <w:p>
            <w:r>
              <w:rPr>
                <w:sz w:val="17"/>
              </w:rPr>
              <w:t>2,274</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2026-10-15</w:t>
            </w:r>
          </w:p>
        </w:tc>
        <w:tc>
          <w:tcPr>
            <w:tcW w:type="dxa" w:w="1440"/>
            <w:shd w:fill="FAFAFA" w:val="clear"/>
          </w:tcPr>
          <w:p>
            <w:r>
              <w:rPr>
                <w:sz w:val="17"/>
              </w:rPr>
              <w:t>2,074</w:t>
            </w:r>
          </w:p>
        </w:tc>
        <w:tc>
          <w:tcPr>
            <w:tcW w:type="dxa" w:w="1440"/>
            <w:shd w:fill="FAFAFA" w:val="clear"/>
          </w:tcPr>
          <w:p>
            <w:r>
              <w:rPr>
                <w:b/>
                <w:sz w:val="17"/>
              </w:rPr>
              <w:t>2,180</w:t>
            </w:r>
          </w:p>
        </w:tc>
        <w:tc>
          <w:tcPr>
            <w:tcW w:type="dxa" w:w="1440"/>
            <w:shd w:fill="FAFAFA" w:val="clear"/>
          </w:tcPr>
          <w:p>
            <w:r>
              <w:rPr>
                <w:sz w:val="17"/>
              </w:rPr>
              <w:t>2,286</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2026-10-16</w:t>
            </w:r>
          </w:p>
        </w:tc>
        <w:tc>
          <w:tcPr>
            <w:tcW w:type="dxa" w:w="1440"/>
            <w:shd w:fill="FAFAFA" w:val="clear"/>
          </w:tcPr>
          <w:p>
            <w:r>
              <w:rPr>
                <w:sz w:val="17"/>
              </w:rPr>
              <w:t>2,037</w:t>
            </w:r>
          </w:p>
        </w:tc>
        <w:tc>
          <w:tcPr>
            <w:tcW w:type="dxa" w:w="1440"/>
            <w:shd w:fill="FAFAFA" w:val="clear"/>
          </w:tcPr>
          <w:p>
            <w:r>
              <w:rPr>
                <w:b/>
                <w:sz w:val="17"/>
              </w:rPr>
              <w:t>2,166</w:t>
            </w:r>
          </w:p>
        </w:tc>
        <w:tc>
          <w:tcPr>
            <w:tcW w:type="dxa" w:w="1440"/>
            <w:shd w:fill="FAFAFA" w:val="clear"/>
          </w:tcPr>
          <w:p>
            <w:r>
              <w:rPr>
                <w:sz w:val="17"/>
              </w:rPr>
              <w:t>2,295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2026-10-19</w:t>
            </w:r>
          </w:p>
        </w:tc>
        <w:tc>
          <w:tcPr>
            <w:tcW w:type="dxa" w:w="1440"/>
            <w:shd w:fill="FAFAFA" w:val="clear"/>
          </w:tcPr>
          <w:p>
            <w:r>
              <w:rPr>
                <w:sz w:val="17"/>
              </w:rPr>
              <w:t>2,005</w:t>
            </w:r>
          </w:p>
        </w:tc>
        <w:tc>
          <w:tcPr>
            <w:tcW w:type="dxa" w:w="1440"/>
            <w:shd w:fill="FAFAFA" w:val="clear"/>
          </w:tcPr>
          <w:p>
            <w:r>
              <w:rPr>
                <w:b/>
                <w:sz w:val="17"/>
              </w:rPr>
              <w:t>2,153</w:t>
            </w:r>
          </w:p>
        </w:tc>
        <w:tc>
          <w:tcPr>
            <w:tcW w:type="dxa" w:w="1440"/>
            <w:shd w:fill="FAFAFA" w:val="clear"/>
          </w:tcPr>
          <w:p>
            <w:r>
              <w:rPr>
                <w:sz w:val="17"/>
              </w:rPr>
              <w:t>2,301</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2026-10-20</w:t>
            </w:r>
          </w:p>
        </w:tc>
        <w:tc>
          <w:tcPr>
            <w:tcW w:type="dxa" w:w="1440"/>
            <w:shd w:fill="FFDCE0" w:val="clear"/>
          </w:tcPr>
          <w:p>
            <w:r>
              <w:rPr>
                <w:sz w:val="17"/>
              </w:rPr>
              <w:t>1,976</w:t>
            </w:r>
          </w:p>
        </w:tc>
        <w:tc>
          <w:tcPr>
            <w:tcW w:type="dxa" w:w="1440"/>
            <w:shd w:fill="FFDCE0" w:val="clear"/>
          </w:tcPr>
          <w:p>
            <w:r>
              <w:rPr>
                <w:b/>
                <w:sz w:val="17"/>
              </w:rPr>
              <w:t>2,140</w:t>
            </w:r>
          </w:p>
        </w:tc>
        <w:tc>
          <w:tcPr>
            <w:tcW w:type="dxa" w:w="1440"/>
            <w:shd w:fill="FFDCE0" w:val="clear"/>
          </w:tcPr>
          <w:p>
            <w:r>
              <w:rPr>
                <w:sz w:val="17"/>
              </w:rPr>
              <w:t>2,305</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2026-10-21</w:t>
            </w:r>
          </w:p>
        </w:tc>
        <w:tc>
          <w:tcPr>
            <w:tcW w:type="dxa" w:w="1440"/>
            <w:shd w:fill="FFDCE0" w:val="clear"/>
          </w:tcPr>
          <w:p>
            <w:r>
              <w:rPr>
                <w:sz w:val="17"/>
              </w:rPr>
              <w:t>1,948</w:t>
            </w:r>
          </w:p>
        </w:tc>
        <w:tc>
          <w:tcPr>
            <w:tcW w:type="dxa" w:w="1440"/>
            <w:shd w:fill="FFDCE0" w:val="clear"/>
          </w:tcPr>
          <w:p>
            <w:r>
              <w:rPr>
                <w:b/>
                <w:sz w:val="17"/>
              </w:rPr>
              <w:t>2,128</w:t>
            </w:r>
          </w:p>
        </w:tc>
        <w:tc>
          <w:tcPr>
            <w:tcW w:type="dxa" w:w="1440"/>
            <w:shd w:fill="FFDCE0" w:val="clear"/>
          </w:tcPr>
          <w:p>
            <w:r>
              <w:rPr>
                <w:sz w:val="17"/>
              </w:rPr>
              <w:t>2,307</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2026-10-22</w:t>
            </w:r>
          </w:p>
        </w:tc>
        <w:tc>
          <w:tcPr>
            <w:tcW w:type="dxa" w:w="1440"/>
            <w:shd w:fill="FFDCE0" w:val="clear"/>
          </w:tcPr>
          <w:p>
            <w:r>
              <w:rPr>
                <w:sz w:val="17"/>
              </w:rPr>
              <w:t>1,923</w:t>
            </w:r>
          </w:p>
        </w:tc>
        <w:tc>
          <w:tcPr>
            <w:tcW w:type="dxa" w:w="1440"/>
            <w:shd w:fill="FFDCE0" w:val="clear"/>
          </w:tcPr>
          <w:p>
            <w:r>
              <w:rPr>
                <w:b/>
                <w:sz w:val="17"/>
              </w:rPr>
              <w:t>2,115</w:t>
            </w:r>
          </w:p>
        </w:tc>
        <w:tc>
          <w:tcPr>
            <w:tcW w:type="dxa" w:w="1440"/>
            <w:shd w:fill="FFDCE0" w:val="clear"/>
          </w:tcPr>
          <w:p>
            <w:r>
              <w:rPr>
                <w:sz w:val="17"/>
              </w:rPr>
              <w:t>2,308</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2026-10-23</w:t>
            </w:r>
          </w:p>
        </w:tc>
        <w:tc>
          <w:tcPr>
            <w:tcW w:type="dxa" w:w="1440"/>
            <w:shd w:fill="FFDCE0" w:val="clear"/>
          </w:tcPr>
          <w:p>
            <w:r>
              <w:rPr>
                <w:sz w:val="17"/>
              </w:rPr>
              <w:t>1,899</w:t>
            </w:r>
          </w:p>
        </w:tc>
        <w:tc>
          <w:tcPr>
            <w:tcW w:type="dxa" w:w="1440"/>
            <w:shd w:fill="FFDCE0" w:val="clear"/>
          </w:tcPr>
          <w:p>
            <w:r>
              <w:rPr>
                <w:b/>
                <w:sz w:val="17"/>
              </w:rPr>
              <w:t>2,104</w:t>
            </w:r>
          </w:p>
        </w:tc>
        <w:tc>
          <w:tcPr>
            <w:tcW w:type="dxa" w:w="1440"/>
            <w:shd w:fill="FFDCE0" w:val="clear"/>
          </w:tcPr>
          <w:p>
            <w:r>
              <w:rPr>
                <w:sz w:val="17"/>
              </w:rPr>
              <w:t>2,308</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2026-10-26</w:t>
            </w:r>
          </w:p>
        </w:tc>
        <w:tc>
          <w:tcPr>
            <w:tcW w:type="dxa" w:w="1440"/>
            <w:shd w:fill="FFDCE0" w:val="clear"/>
          </w:tcPr>
          <w:p>
            <w:r>
              <w:rPr>
                <w:sz w:val="17"/>
              </w:rPr>
              <w:t>1,876</w:t>
            </w:r>
          </w:p>
        </w:tc>
        <w:tc>
          <w:tcPr>
            <w:tcW w:type="dxa" w:w="1440"/>
            <w:shd w:fill="FFDCE0" w:val="clear"/>
          </w:tcPr>
          <w:p>
            <w:r>
              <w:rPr>
                <w:b/>
                <w:sz w:val="17"/>
              </w:rPr>
              <w:t>2,092</w:t>
            </w:r>
          </w:p>
        </w:tc>
        <w:tc>
          <w:tcPr>
            <w:tcW w:type="dxa" w:w="1440"/>
            <w:shd w:fill="FFDCE0" w:val="clear"/>
          </w:tcPr>
          <w:p>
            <w:r>
              <w:rPr>
                <w:sz w:val="17"/>
              </w:rPr>
              <w:t>2,308</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2026-10-27</w:t>
            </w:r>
          </w:p>
        </w:tc>
        <w:tc>
          <w:tcPr>
            <w:tcW w:type="dxa" w:w="1440"/>
            <w:shd w:fill="FFDCE0" w:val="clear"/>
          </w:tcPr>
          <w:p>
            <w:r>
              <w:rPr>
                <w:sz w:val="17"/>
              </w:rPr>
              <w:t>1,855</w:t>
            </w:r>
          </w:p>
        </w:tc>
        <w:tc>
          <w:tcPr>
            <w:tcW w:type="dxa" w:w="1440"/>
            <w:shd w:fill="FFDCE0" w:val="clear"/>
          </w:tcPr>
          <w:p>
            <w:r>
              <w:rPr>
                <w:b/>
                <w:sz w:val="17"/>
              </w:rPr>
              <w:t>2,081</w:t>
            </w:r>
          </w:p>
        </w:tc>
        <w:tc>
          <w:tcPr>
            <w:tcW w:type="dxa" w:w="1440"/>
            <w:shd w:fill="FFDCE0" w:val="clear"/>
          </w:tcPr>
          <w:p>
            <w:r>
              <w:rPr>
                <w:sz w:val="17"/>
              </w:rPr>
              <w:t>2,307</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 📊 RAPPORT D'ANALYSE FINANCIÈRE — UNIWAX (UNXC)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45,44 milliards FCFA, UNIWAX se positionne comme une valeur de taille intermédiaire sur la BRVM, loin des poids lourds bancaires et télécoms mais suffisamment liquide pour intéresser les investisseurs institutionnels régionaux. Le BPA ressort à -30 FCFA/action, traduisant une société encore déficitaire sur l'exercice 2025, ce qui rend le PER de -72,8x non significatif (un PER négatif signale simplement l'absence de bénéfices positifs, non une cherté relative). Le P/B de 1,85x indique que le marché valorise UNXC à près du double de sa valeur comptable — un niveau raisonnable pour une entreprise en redressement, mais qui suppose que les investisseurs anticipent une normalisation des résultats. En revanche, l'EV/EBITDA de 37,3x apparaît très exigeant : la valeur d'entreprise (capitalisation + dette nette) représente plus de 37 fois l'EBITDA, un multiple qui n'est justifiable que par une forte accélération attendue de la rentabilité opérationnelle. Cette dissonance entre un P/B modéré et un EV/EBITDA élevé reflète une entreprise dont la rentabilité opérationnelle reste faible mais dont le potentiel de rebond est déjà partiellement intégré dans le cours.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UNXC affiche une progression remarquable de +24,43%, malgré un repli de -2,23% lors de la dernière séance, signe d'une prise de profit ponctuelle après un rallye soutenu. Le titre évolue dans un range très large, entre un plus bas de 1 250 FCFA et un plus haut de 2 495 FCFA, soit une amplitude de près de 100% — caractéristique d'un titre en phase de revalorisation forte. Le cours actuel de 2 190 FCFA se situe donc à environ 88% du plus haut, ce qui suggère que la dynamique haussière reste intacte mais que le titre a déjà parcouru une part significative de son potentiel de court terme. Les statistiques descriptives révèlent une moyenne (2 031 FCFA) supérieure à la médiane (1 958 FCFA), indiquant une légère asymétrie positive tirée par les pics récents, tandis que le mode à 1 970 FCFA confirme que le gros des échanges s'est concentré autour de 1 950-2 000 FCFA. L'écart-type de 307 FCFA (CV = 15,1%) traduit une dispersion modérée du cours autour de sa moyenne, mais la volatilité annualisée de 50,0% classe clairement UNXC parmi les titres à volatilité élevée (&gt;30%), ce qui implique un risque de marché significatif. Le kurtosis de -0,525 (mésokurtique) et le skewness de -0,316 (distribution quasi-symétrique) indiquent un comportement proche d'une loi normale, sans risque extrême de pics ou de krachs brutaux — un profil rassurant pour un titre aussi volatil.</w:t>
      </w:r>
    </w:p>
    <w:p>
      <w:pPr>
        <w:spacing w:after="120" w:line="276" w:lineRule="auto"/>
      </w:pPr>
      <w:r>
        <w:t>---</w:t>
      </w:r>
    </w:p>
    <w:p>
      <w:pPr>
        <w:spacing w:after="120" w:line="276" w:lineRule="auto"/>
      </w:pPr>
      <w:r>
        <w:t>## PARTIE 2 : ANALYSE TECHNIQUE DÉTAILLÉE</w:t>
      </w:r>
    </w:p>
    <w:p>
      <w:pPr>
        <w:spacing w:after="120" w:line="276" w:lineRule="auto"/>
      </w:pPr>
      <w:r>
        <w:t>**Moyennes Mobiles** : La MM20 (2 314,5 FCFA) et la MM50 (2 268,2 FCFA) se situent toutes deux au-dessus du cours actuel (2 190 FCFA), ce qui constitue un signal baissier de court terme. Cependant, la MM20 reste supérieure à la MM50, indiquant que la tendance de fond demeure haussière. La décision « Achat » fournie par l'indicateur suggère que le croisement des moyennes n'a pas encore invalidé la dynamique positive, mais le cours doit impérativement reconquérir la zone 2 270-2 315 FCFA pour confirmer la reprise.</w:t>
      </w:r>
    </w:p>
    <w:p>
      <w:pPr>
        <w:spacing w:after="120" w:line="276" w:lineRule="auto"/>
      </w:pPr>
      <w:r>
        <w:t>**Bandes de Bollinger** : Le cours (2 190 FCFA) évolue dans la partie basse de la bande, entre la borne inférieure (2 172,7 FCFA) et la borne supérieure (2 456,3 FCFA). Cette position proche de la borne basse signale une pression vendeuse récente, mais la largeur de la bande (environ 283 FCFA) traduit une volatilité encore élevée. La décision « Neutre » est cohérente : le titre n'est ni en surachat ni en survente, et un rebond technique depuis la borne inférieure est possible.</w:t>
      </w:r>
    </w:p>
    <w:p>
      <w:pPr>
        <w:spacing w:after="120" w:line="276" w:lineRule="auto"/>
      </w:pPr>
      <w:r>
        <w:t>**MACD** : La valeur du MACD (-6,3) est inférieure à son signal (16,35), ce qui génère un croisement baissier et une décision « Vente ». Le momentum est clairement négatif à court terme, et la divergence entre les deux lignes s'accentue, suggérant que la pression baissière pourrait persister quelques séances avant un retournement.</w:t>
      </w:r>
    </w:p>
    <w:p>
      <w:pPr>
        <w:spacing w:after="120" w:line="276" w:lineRule="auto"/>
      </w:pPr>
      <w:r>
        <w:t>**RSI** : À 40,29, le RSI se situe en zone neutre basse (30-70), sans atteindre la zone de survente (&lt;30). Cela indique que le titre conserve une marge de baisse potentielle avant de devenir techniquement « survendu », mais la proximité de la zone 30 pourrait attirer des acheteurs à contre-tendance.</w:t>
      </w:r>
    </w:p>
    <w:p>
      <w:pPr>
        <w:spacing w:after="120" w:line="276" w:lineRule="auto"/>
      </w:pPr>
      <w:r>
        <w:t>**Stochastique** : Le %K à 0,0 et le %D à 17,0 montrent que le cours clôture au plus bas de sa fourchette récente, un signal de survente extrême. La décision « Achat » de cet indicateur contraste avec le MACD, suggérant qu'un rebond technique est imminent, d'autant que le %K est à un niveau plancher rarement durable.</w:t>
      </w:r>
    </w:p>
    <w:p>
      <w:pPr>
        <w:spacing w:after="120" w:line="276" w:lineRule="auto"/>
      </w:pPr>
      <w:r>
        <w:t>**Conclusion technique** : Les indicateurs sont divergents — le MACD est baissier, les Bandes de Bollinger et le RSI sont neutres, tandis que le Stochastique et les Moyennes Mobiles (décision) plaident pour un achat. Cette configuration suggère un titre en consolidation après un fort rallye, avec un potentiel de rebond à court terme depuis la borne inférieure de Bollinger (2 172 FCFA), mais une confirmation haussière nécessitera une reprise au-dessus de 2 270 FCFA (MM50). La prudence reste de mise tant que le MACD n'aura pas inversé sa trajectoire.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UNIWAX a réalisé un chiffre d'affaires de 29,032 milliards FCFA, en croissance de 6,21% sur un an, confirmant la dynamique commerciale observée depuis 2024 (CA 2024 : 27,33 Mds FCFA, +15,4%). Le résultat net reste négatif à -624,11 millions FCFA, mais s'améliore de 71% par rapport à la perte de -2,19 milliards FCFA en 2024. Le ROE s'établit à -2,54% et le ROA à -1,97%, traduisant une rentabilité encore négative mais en voie de normalisation. La marge brute de 53,53% reste solide, mais la marge nette de -2,15% et la marge opérationnelle de -1,46% montrent que les charges d'exploitation (2,155 Mds FCFA de DAP, 5,436 Mds FCFA de charges de personnel) absorbent encore la valeur ajoutée (6,563 Mds FCFA). L'EBE redevient positif à 1,127 Mds FCFA (contre -0,35 Md en 2024), un signal encourageant. La structure financière est très saine : autonomie financière de 77,58%, ratio d'endettement de seulement 1,50%, et trésorerie nette positive de 3,813 Mds FCFA. Cependant, le BFR de 11,187 Mds FCFA (délai clients de 45,8 jours, délai fournisseurs de 102,4 jours, durée de stockage de 325 jours) pèse sur la trésorerie, et le flux opérationnel est négatif à -8,124 Mds FCFA, compensé par des cessions d'actifs (+9,399 Mds FCFA).</w:t>
      </w:r>
    </w:p>
    <w:p>
      <w:pPr>
        <w:spacing w:after="120" w:line="276" w:lineRule="auto"/>
      </w:pPr>
      <w:r>
        <w:t>**Estimations basées sur les rapports trimestriels** : Le rapport du S1 2026 (publié en 2026) indique un CA de 15,752 Mds FCFA (+0,3% sur un an) et un résultat d'exploitation redevenu positif à 771 millions FCFA (contre -314 millions au S1 2025), soit une amélioration de 345%. Le résultat net du S1 2026 s'établit à 771 millions FCFA, contre 8,216 Mds FCFA au S1 2025 (ce dernier incluant une plus-value exceptionnelle de cession de terrain de ~10 Mds FCFA). Sur la base de ce rapport, on estime que l'exercice 2026 devrait afficher un résultat d'exploitation positif pour la première fois depuis plusieurs années, avec un résultat net normalisé (hors exceptionnel) autour de 1,5-2 Mds FCFA. Le rapport du T3 2025 (daté du 30/09/2025) confirmait déjà cette tendance : absence de perte au T3, avec un résultat des activités ordinaires de -371 millions FCFA sur 9 mois (en amélioration de 80% sur un an). La direction affiche un « optimisme modeste » et poursuit sa stratégie d'expansion à l'export (Nigeria, Guinée) et d'optimisation industrielle.</w:t>
      </w:r>
    </w:p>
    <w:p>
      <w:pPr>
        <w:spacing w:after="120" w:line="276" w:lineRule="auto"/>
      </w:pPr>
      <w:r>
        <w:t>**Recommandation fondamentale** : La société présente une solidité bilancielle incontestable (capitaux propres de 24,62 Mds FCFA, endettement quasi nul) et un redressement opérationnel réel, mais la rentabilité structurelle n'est pas encore acquise. Les risques principaux sont la dépendance aux marchés d'exportation volatils, la pression sur les coûts (matières premières, énergie) et la concurrence asiatique. La recommandation source du rapport S1 2026 est « Acheter », justifiée par le retour à une rentabilité opérationnelle positive et les perspectives de croissance à l'export.</w:t>
      </w:r>
    </w:p>
    <w:p>
      <w:pPr>
        <w:spacing w:after="120" w:line="276" w:lineRule="auto"/>
      </w:pPr>
      <w:r>
        <w:t>---</w:t>
      </w:r>
    </w:p>
    <w:p>
      <w:pPr>
        <w:spacing w:after="120" w:line="276" w:lineRule="auto"/>
      </w:pPr>
      <w:r>
        <w:t>## PARTIE 4 : CONCLUSION D'INVESTISSEMENT</w:t>
      </w:r>
    </w:p>
    <w:p>
      <w:pPr>
        <w:spacing w:after="120" w:line="276" w:lineRule="auto"/>
      </w:pPr>
      <w:r>
        <w:t>La valorisation d'UNXC présente un profil contrasté : le P/B de 1,85x reste raisonnable, mais l'EV/EBITDA de 37,3x et le PER négatif traduisent une rentabilité encore insuffisante pour justifier pleinement le cours actuel. Le comportement du cours sur 100 jours est haussier (+24,43%) mais la volatilité annualisée de 50% et la position du titre sous ses moyennes mobiles (MM20 et MM50) invitent à la prudence à court terme. Les signaux techniques sont divergents : le MACD est baissier, le RSI et les Bandes de Bollinger sont neutres, tandis que le Stochastique (%K=0) et les Moyennes Mobiles (décision Achat) plaident pour un rebond imminent — une convergence partielle qui suggère une consolidation avant une reprise. Les fondamentaux montrent un redressement réel (EBE positif à 1,13 Md FCFA en 2025, résultat d'exploitation positif à 771 M FCFA au S1 2026, désendettement massif), mais la rentabilité nette reste fragile et dépendante d'éléments non récurrents. Les prédictions IA anticipent une légère baisse du cours sur 10 jours (2 198 → 2 140 FCFA, soit -2,6%), ce qui contredit le signal d'achat du Stochastique mais confirme la pression baissière de court terme du MACD. **Recommandation finale : CONSERVER** avec un biais haussier à moyen terme. La convergence entre le redressement opérationnel confirmé (S1 2026), la solidité bilancielle et le potentiel de rebond technique (Stochastique en survente extrême) justifie une position d'attente active, mais l'absence de rentabilité nette durable et la volatilité élevée interdisent un « Achat Fort ». **Niveau de confiance : Moyen** — les fondamentaux s'améliorent mais la visibilité reste limitée. **Niveau de risque : Élevé** (volatilité 50%, dépendance aux exports, rentabilité non acquise). **Horizon optimal : Moyen terme (3-12 mois)**, le temps que la rentabilité opérationnelle se confirme sur un exercice complet et que le marché revalorise le titre sur des bases normalisées. Un retour durable au-dessus de 2 270 FCFA (MM50) constituerait un signal d'achat supplémentaire, tandis qu'une rechute sous 2 100 FCFA invaliderait le scénario haussier.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